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E5B54" w:rsidRDefault="00FE5B54">
      <w:pPr>
        <w:pStyle w:val="Title"/>
        <w:spacing w:after="0" w:line="360" w:lineRule="auto"/>
        <w:rPr>
          <w:rFonts w:ascii="Arial" w:eastAsia="Arial" w:hAnsi="Arial" w:cs="Arial"/>
        </w:rPr>
      </w:pPr>
    </w:p>
    <w:p w:rsidR="00FE5B54" w:rsidRDefault="00FE5B54">
      <w:pPr>
        <w:pStyle w:val="Title"/>
        <w:spacing w:before="0" w:after="0" w:line="360" w:lineRule="auto"/>
        <w:rPr>
          <w:rFonts w:ascii="Arial" w:eastAsia="Arial" w:hAnsi="Arial" w:cs="Arial"/>
        </w:rPr>
      </w:pPr>
    </w:p>
    <w:p w:rsidR="00FE5B54" w:rsidRDefault="00FE5B54">
      <w:pPr>
        <w:pStyle w:val="Title"/>
        <w:spacing w:before="0" w:after="0" w:line="360" w:lineRule="auto"/>
        <w:rPr>
          <w:rFonts w:ascii="Arial" w:eastAsia="Arial" w:hAnsi="Arial" w:cs="Arial"/>
        </w:rPr>
      </w:pPr>
    </w:p>
    <w:p w:rsidR="00FE5B54" w:rsidRDefault="00FE5B54">
      <w:pPr>
        <w:pStyle w:val="Title"/>
        <w:spacing w:before="0" w:after="0" w:line="360" w:lineRule="auto"/>
        <w:rPr>
          <w:rFonts w:ascii="Arial" w:eastAsia="Arial" w:hAnsi="Arial" w:cs="Arial"/>
        </w:rPr>
      </w:pPr>
    </w:p>
    <w:p w:rsidR="00FE5B54" w:rsidRDefault="00FE5B54">
      <w:pPr>
        <w:pStyle w:val="Title"/>
        <w:spacing w:before="0" w:after="0" w:line="360" w:lineRule="auto"/>
        <w:rPr>
          <w:rFonts w:ascii="Arial" w:eastAsia="Arial" w:hAnsi="Arial" w:cs="Arial"/>
        </w:rPr>
      </w:pPr>
    </w:p>
    <w:p w:rsidR="00FE5B54" w:rsidRDefault="00FE5B54">
      <w:pPr>
        <w:pStyle w:val="Title"/>
        <w:spacing w:before="0" w:after="0" w:line="360" w:lineRule="auto"/>
        <w:rPr>
          <w:rFonts w:ascii="Arial" w:eastAsia="Arial" w:hAnsi="Arial" w:cs="Arial"/>
        </w:rPr>
      </w:pPr>
    </w:p>
    <w:p w:rsidR="00FE5B54" w:rsidRDefault="00EB5D02">
      <w:pPr>
        <w:pStyle w:val="Title"/>
        <w:spacing w:before="0" w:line="360" w:lineRule="auto"/>
        <w:rPr>
          <w:rFonts w:ascii="Arial" w:eastAsia="Arial" w:hAnsi="Arial" w:cs="Arial"/>
        </w:rPr>
      </w:pPr>
      <w:r>
        <w:rPr>
          <w:rFonts w:ascii="Arial" w:eastAsia="Arial" w:hAnsi="Arial" w:cs="Arial"/>
        </w:rPr>
        <w:t>Problem Solving and Decision Making</w:t>
      </w:r>
    </w:p>
    <w:p w:rsidR="00FE5B54" w:rsidRPr="00312C49" w:rsidRDefault="00EB5D02">
      <w:pPr>
        <w:spacing w:after="0" w:line="360" w:lineRule="auto"/>
        <w:jc w:val="center"/>
        <w:rPr>
          <w:rFonts w:ascii="Arial" w:eastAsia="Arial" w:hAnsi="Arial" w:cs="Arial"/>
          <w:bCs/>
          <w:sz w:val="22"/>
          <w:szCs w:val="22"/>
        </w:rPr>
      </w:pPr>
      <w:r>
        <w:rPr>
          <w:rFonts w:ascii="Arial" w:eastAsia="Arial" w:hAnsi="Arial" w:cs="Arial"/>
          <w:b/>
          <w:i/>
          <w:color w:val="000000"/>
          <w:sz w:val="22"/>
          <w:szCs w:val="22"/>
        </w:rPr>
        <w:t>Student ID:</w:t>
      </w:r>
      <w:r w:rsidR="0068530F">
        <w:rPr>
          <w:rFonts w:ascii="Arial" w:eastAsia="Arial" w:hAnsi="Arial" w:cs="Arial"/>
          <w:bCs/>
          <w:i/>
          <w:color w:val="000000"/>
          <w:sz w:val="22"/>
          <w:szCs w:val="22"/>
        </w:rPr>
        <w:t xml:space="preserve"> 21</w:t>
      </w:r>
      <w:r w:rsidR="00312C49">
        <w:rPr>
          <w:rFonts w:ascii="Arial" w:eastAsia="Arial" w:hAnsi="Arial" w:cs="Arial"/>
          <w:bCs/>
          <w:i/>
          <w:color w:val="000000"/>
          <w:sz w:val="22"/>
          <w:szCs w:val="22"/>
        </w:rPr>
        <w:t>07</w:t>
      </w:r>
      <w:r w:rsidR="0068530F">
        <w:rPr>
          <w:rFonts w:ascii="Arial" w:eastAsia="Arial" w:hAnsi="Arial" w:cs="Arial"/>
          <w:bCs/>
          <w:i/>
          <w:color w:val="000000"/>
          <w:sz w:val="22"/>
          <w:szCs w:val="22"/>
        </w:rPr>
        <w:t>120</w:t>
      </w:r>
    </w:p>
    <w:p w:rsidR="00FE5B54" w:rsidRPr="009C459D" w:rsidRDefault="00EB5D02">
      <w:pPr>
        <w:spacing w:after="0" w:line="360" w:lineRule="auto"/>
        <w:jc w:val="center"/>
        <w:rPr>
          <w:rFonts w:ascii="Arial" w:eastAsia="Arial" w:hAnsi="Arial" w:cs="Arial"/>
          <w:bCs/>
          <w:sz w:val="22"/>
          <w:szCs w:val="22"/>
        </w:rPr>
      </w:pPr>
      <w:r>
        <w:rPr>
          <w:rFonts w:ascii="Arial" w:eastAsia="Arial" w:hAnsi="Arial" w:cs="Arial"/>
          <w:b/>
          <w:i/>
          <w:color w:val="000000"/>
          <w:sz w:val="22"/>
          <w:szCs w:val="22"/>
        </w:rPr>
        <w:t>Student Name:</w:t>
      </w:r>
      <w:r w:rsidR="00E774C2">
        <w:rPr>
          <w:rFonts w:ascii="Arial" w:eastAsia="Arial" w:hAnsi="Arial" w:cs="Arial"/>
          <w:b/>
          <w:i/>
          <w:color w:val="000000"/>
          <w:sz w:val="22"/>
          <w:szCs w:val="22"/>
        </w:rPr>
        <w:t xml:space="preserve"> </w:t>
      </w:r>
      <w:r w:rsidR="009C459D">
        <w:rPr>
          <w:rFonts w:ascii="Arial" w:eastAsia="Arial" w:hAnsi="Arial" w:cs="Arial"/>
          <w:bCs/>
          <w:i/>
          <w:color w:val="000000"/>
          <w:sz w:val="22"/>
          <w:szCs w:val="22"/>
        </w:rPr>
        <w:t>Mirela Oprea</w:t>
      </w:r>
    </w:p>
    <w:p w:rsidR="00FE5B54" w:rsidRPr="009E3CD7" w:rsidRDefault="00EB5D02">
      <w:pPr>
        <w:spacing w:after="0" w:line="360" w:lineRule="auto"/>
        <w:jc w:val="center"/>
        <w:rPr>
          <w:rFonts w:ascii="Arial" w:eastAsia="Arial" w:hAnsi="Arial" w:cs="Arial"/>
          <w:bCs/>
          <w:sz w:val="22"/>
          <w:szCs w:val="22"/>
        </w:rPr>
      </w:pPr>
      <w:r>
        <w:rPr>
          <w:rFonts w:ascii="Arial" w:eastAsia="Arial" w:hAnsi="Arial" w:cs="Arial"/>
          <w:b/>
          <w:i/>
          <w:color w:val="000000"/>
          <w:sz w:val="22"/>
          <w:szCs w:val="22"/>
        </w:rPr>
        <w:t>Course ID:</w:t>
      </w:r>
      <w:r w:rsidR="00E774C2">
        <w:rPr>
          <w:rFonts w:ascii="Arial" w:eastAsia="Arial" w:hAnsi="Arial" w:cs="Arial"/>
          <w:b/>
          <w:i/>
          <w:color w:val="000000"/>
          <w:sz w:val="22"/>
          <w:szCs w:val="22"/>
        </w:rPr>
        <w:t xml:space="preserve"> </w:t>
      </w:r>
      <w:r w:rsidR="002072C6">
        <w:rPr>
          <w:rFonts w:ascii="Arial" w:eastAsia="Arial" w:hAnsi="Arial" w:cs="Arial"/>
          <w:bCs/>
          <w:i/>
          <w:color w:val="000000"/>
          <w:sz w:val="22"/>
          <w:szCs w:val="22"/>
        </w:rPr>
        <w:t>BMSW4004_B</w:t>
      </w:r>
      <w:r w:rsidR="009E3CD7">
        <w:rPr>
          <w:rFonts w:ascii="Arial" w:eastAsia="Arial" w:hAnsi="Arial" w:cs="Arial"/>
          <w:bCs/>
          <w:i/>
          <w:color w:val="000000"/>
          <w:sz w:val="22"/>
          <w:szCs w:val="22"/>
        </w:rPr>
        <w:t xml:space="preserve">IRM </w:t>
      </w:r>
    </w:p>
    <w:p w:rsidR="00FE5B54" w:rsidRDefault="004E41EB" w:rsidP="00BB7911">
      <w:pPr>
        <w:spacing w:after="0" w:line="360" w:lineRule="auto"/>
        <w:jc w:val="center"/>
        <w:rPr>
          <w:i/>
          <w:iCs/>
        </w:rPr>
      </w:pPr>
      <w:r>
        <w:rPr>
          <w:rFonts w:ascii="Arial" w:eastAsia="Arial" w:hAnsi="Arial" w:cs="Arial"/>
          <w:b/>
          <w:i/>
          <w:color w:val="000000"/>
          <w:sz w:val="22"/>
          <w:szCs w:val="22"/>
        </w:rPr>
        <w:t>Lecturer:</w:t>
      </w:r>
      <w:r w:rsidR="0037701C">
        <w:rPr>
          <w:rFonts w:ascii="Arial" w:eastAsia="Arial" w:hAnsi="Arial" w:cs="Arial"/>
          <w:bCs/>
          <w:i/>
          <w:color w:val="000000"/>
          <w:sz w:val="22"/>
          <w:szCs w:val="22"/>
        </w:rPr>
        <w:t xml:space="preserve"> C</w:t>
      </w:r>
      <w:r w:rsidR="00CA348E">
        <w:rPr>
          <w:rFonts w:ascii="Arial" w:eastAsia="Arial" w:hAnsi="Arial" w:cs="Arial"/>
          <w:bCs/>
          <w:i/>
          <w:color w:val="000000"/>
          <w:sz w:val="22"/>
          <w:szCs w:val="22"/>
        </w:rPr>
        <w:t xml:space="preserve">hijioke </w:t>
      </w:r>
      <w:r w:rsidR="006963A8">
        <w:rPr>
          <w:rFonts w:ascii="Arial" w:eastAsia="Arial" w:hAnsi="Arial" w:cs="Arial"/>
          <w:bCs/>
          <w:i/>
          <w:color w:val="000000"/>
          <w:sz w:val="22"/>
          <w:szCs w:val="22"/>
        </w:rPr>
        <w:t>Uba</w:t>
      </w:r>
      <w:r w:rsidR="00EB5D02">
        <w:br w:type="page"/>
      </w:r>
      <w:r w:rsidR="00C433C7">
        <w:rPr>
          <w:b/>
          <w:bCs/>
          <w:i/>
          <w:iCs/>
        </w:rPr>
        <w:t xml:space="preserve">Task 2: </w:t>
      </w:r>
      <w:r w:rsidR="0037701C">
        <w:rPr>
          <w:i/>
          <w:iCs/>
        </w:rPr>
        <w:t>Final Report</w:t>
      </w:r>
    </w:p>
    <w:p w:rsidR="0037701C" w:rsidRPr="0037701C" w:rsidRDefault="0037701C" w:rsidP="0037701C">
      <w:pPr>
        <w:spacing w:after="0" w:line="360" w:lineRule="auto"/>
        <w:rPr>
          <w:rFonts w:ascii="Arial" w:eastAsia="Arial" w:hAnsi="Arial" w:cs="Arial"/>
          <w:i/>
          <w:iCs/>
          <w:sz w:val="22"/>
          <w:szCs w:val="22"/>
          <w:u w:val="single"/>
        </w:rPr>
      </w:pPr>
    </w:p>
    <w:p w:rsidR="00FE5B54" w:rsidRDefault="00EB5D02">
      <w:pPr>
        <w:pStyle w:val="Heading1"/>
        <w:spacing w:line="360" w:lineRule="auto"/>
        <w:jc w:val="center"/>
        <w:rPr>
          <w:rFonts w:ascii="Arial" w:eastAsia="Arial" w:hAnsi="Arial" w:cs="Arial"/>
          <w:sz w:val="22"/>
          <w:szCs w:val="22"/>
        </w:rPr>
      </w:pPr>
      <w:bookmarkStart w:id="0" w:name="_heading=h.gjdgxs" w:colFirst="0" w:colLast="0"/>
      <w:bookmarkEnd w:id="0"/>
      <w:r>
        <w:rPr>
          <w:rFonts w:ascii="Arial" w:eastAsia="Arial" w:hAnsi="Arial" w:cs="Arial"/>
          <w:sz w:val="22"/>
          <w:szCs w:val="22"/>
        </w:rPr>
        <w:lastRenderedPageBreak/>
        <w:t>Executive Summary</w:t>
      </w:r>
    </w:p>
    <w:p w:rsidR="00FE5B54" w:rsidRDefault="00EB5D02">
      <w:pPr>
        <w:spacing w:line="360" w:lineRule="auto"/>
        <w:rPr>
          <w:rFonts w:ascii="Arial" w:eastAsia="Arial" w:hAnsi="Arial" w:cs="Arial"/>
          <w:sz w:val="22"/>
          <w:szCs w:val="22"/>
        </w:rPr>
      </w:pPr>
      <w:r>
        <w:rPr>
          <w:rFonts w:ascii="Arial" w:eastAsia="Arial" w:hAnsi="Arial" w:cs="Arial"/>
          <w:sz w:val="22"/>
          <w:szCs w:val="22"/>
        </w:rPr>
        <w:t>This is a formal report based on the case scenario presented in the assessment regarding the complex problem of staff shortage within the NHS. This report investigates the nature and impact of the problem along with performing a PESTLE analysis to examine the external factors contributing to the problem. A fishbone diagram is presented to demonstrate the causes and effects relating to the problem based on which solutions are given. Each of the solutions is analysed using PMI analysis and their key success indicators are listed.</w:t>
      </w:r>
    </w:p>
    <w:p w:rsidR="00FE5B54" w:rsidRDefault="00EB5D02">
      <w:pPr>
        <w:spacing w:line="360" w:lineRule="auto"/>
        <w:jc w:val="left"/>
        <w:rPr>
          <w:rFonts w:ascii="Arial" w:eastAsia="Arial" w:hAnsi="Arial" w:cs="Arial"/>
          <w:sz w:val="22"/>
          <w:szCs w:val="22"/>
        </w:rPr>
      </w:pPr>
      <w:r>
        <w:br w:type="page"/>
      </w:r>
    </w:p>
    <w:p w:rsidR="00FE5B54" w:rsidRDefault="00EB5D02">
      <w:pPr>
        <w:keepNext/>
        <w:keepLines/>
        <w:pBdr>
          <w:top w:val="nil"/>
          <w:left w:val="nil"/>
          <w:bottom w:val="nil"/>
          <w:right w:val="nil"/>
          <w:between w:val="nil"/>
        </w:pBdr>
        <w:spacing w:before="240" w:after="0" w:line="360" w:lineRule="auto"/>
        <w:jc w:val="center"/>
        <w:rPr>
          <w:rFonts w:ascii="Arial" w:eastAsia="Arial" w:hAnsi="Arial" w:cs="Arial"/>
          <w:b/>
          <w:color w:val="000000"/>
        </w:rPr>
      </w:pPr>
      <w:r>
        <w:rPr>
          <w:rFonts w:ascii="Arial" w:eastAsia="Arial" w:hAnsi="Arial" w:cs="Arial"/>
          <w:b/>
          <w:color w:val="000000"/>
        </w:rPr>
        <w:lastRenderedPageBreak/>
        <w:t>Table of Contents</w:t>
      </w:r>
    </w:p>
    <w:sdt>
      <w:sdtPr>
        <w:id w:val="-550691239"/>
        <w:docPartObj>
          <w:docPartGallery w:val="Table of Contents"/>
          <w:docPartUnique/>
        </w:docPartObj>
      </w:sdtPr>
      <w:sdtEndPr/>
      <w:sdtContent>
        <w:p w:rsidR="00FE5B54" w:rsidRDefault="00EB5D02">
          <w:pPr>
            <w:pBdr>
              <w:top w:val="nil"/>
              <w:left w:val="nil"/>
              <w:bottom w:val="nil"/>
              <w:right w:val="nil"/>
              <w:between w:val="nil"/>
            </w:pBdr>
            <w:tabs>
              <w:tab w:val="right" w:pos="9016"/>
            </w:tabs>
            <w:spacing w:after="100" w:line="360" w:lineRule="auto"/>
            <w:rPr>
              <w:rFonts w:ascii="Arial" w:eastAsia="Arial" w:hAnsi="Arial" w:cs="Arial"/>
              <w:color w:val="000000"/>
              <w:sz w:val="22"/>
              <w:szCs w:val="22"/>
            </w:rPr>
          </w:pPr>
          <w:r>
            <w:fldChar w:fldCharType="begin"/>
          </w:r>
          <w:r>
            <w:instrText xml:space="preserve"> TOC \h \u \z </w:instrText>
          </w:r>
          <w:r>
            <w:fldChar w:fldCharType="separate"/>
          </w:r>
          <w:hyperlink w:anchor="_heading=h.30j0zll">
            <w:r>
              <w:rPr>
                <w:rFonts w:ascii="Arial" w:eastAsia="Arial" w:hAnsi="Arial" w:cs="Arial"/>
                <w:color w:val="000000"/>
                <w:sz w:val="22"/>
                <w:szCs w:val="22"/>
              </w:rPr>
              <w:t>Introduction</w:t>
            </w:r>
            <w:r>
              <w:rPr>
                <w:rFonts w:ascii="Arial" w:eastAsia="Arial" w:hAnsi="Arial" w:cs="Arial"/>
                <w:color w:val="000000"/>
                <w:sz w:val="22"/>
                <w:szCs w:val="22"/>
              </w:rPr>
              <w:tab/>
              <w:t>4</w:t>
            </w:r>
          </w:hyperlink>
        </w:p>
        <w:p w:rsidR="00FE5B54" w:rsidRDefault="002538A2">
          <w:pPr>
            <w:pBdr>
              <w:top w:val="nil"/>
              <w:left w:val="nil"/>
              <w:bottom w:val="nil"/>
              <w:right w:val="nil"/>
              <w:between w:val="nil"/>
            </w:pBdr>
            <w:tabs>
              <w:tab w:val="right" w:pos="9016"/>
            </w:tabs>
            <w:spacing w:after="100" w:line="360" w:lineRule="auto"/>
            <w:rPr>
              <w:rFonts w:ascii="Arial" w:eastAsia="Arial" w:hAnsi="Arial" w:cs="Arial"/>
              <w:color w:val="000000"/>
              <w:sz w:val="22"/>
              <w:szCs w:val="22"/>
            </w:rPr>
          </w:pPr>
          <w:hyperlink w:anchor="_heading=h.1fob9te">
            <w:r w:rsidR="00EB5D02">
              <w:rPr>
                <w:rFonts w:ascii="Arial" w:eastAsia="Arial" w:hAnsi="Arial" w:cs="Arial"/>
                <w:color w:val="000000"/>
                <w:sz w:val="22"/>
                <w:szCs w:val="22"/>
              </w:rPr>
              <w:t>Planning on implementing the decisions to solve the complex problem</w:t>
            </w:r>
            <w:r w:rsidR="00EB5D02">
              <w:rPr>
                <w:rFonts w:ascii="Arial" w:eastAsia="Arial" w:hAnsi="Arial" w:cs="Arial"/>
                <w:color w:val="000000"/>
                <w:sz w:val="22"/>
                <w:szCs w:val="22"/>
              </w:rPr>
              <w:tab/>
              <w:t>4</w:t>
            </w:r>
          </w:hyperlink>
        </w:p>
        <w:p w:rsidR="00FE5B54" w:rsidRDefault="002538A2">
          <w:pPr>
            <w:pBdr>
              <w:top w:val="nil"/>
              <w:left w:val="nil"/>
              <w:bottom w:val="nil"/>
              <w:right w:val="nil"/>
              <w:between w:val="nil"/>
            </w:pBdr>
            <w:tabs>
              <w:tab w:val="right" w:pos="9016"/>
            </w:tabs>
            <w:spacing w:after="100" w:line="360" w:lineRule="auto"/>
            <w:rPr>
              <w:rFonts w:ascii="Arial" w:eastAsia="Arial" w:hAnsi="Arial" w:cs="Arial"/>
              <w:color w:val="000000"/>
              <w:sz w:val="22"/>
              <w:szCs w:val="22"/>
            </w:rPr>
          </w:pPr>
          <w:hyperlink w:anchor="_heading=h.3znysh7">
            <w:r w:rsidR="00EB5D02">
              <w:rPr>
                <w:rFonts w:ascii="Arial" w:eastAsia="Arial" w:hAnsi="Arial" w:cs="Arial"/>
                <w:color w:val="000000"/>
                <w:sz w:val="22"/>
                <w:szCs w:val="22"/>
              </w:rPr>
              <w:t>The nature and impact of the employee-related complex problems and the organisations</w:t>
            </w:r>
            <w:r w:rsidR="00EB5D02">
              <w:rPr>
                <w:rFonts w:ascii="Arial" w:eastAsia="Arial" w:hAnsi="Arial" w:cs="Arial"/>
                <w:color w:val="000000"/>
                <w:sz w:val="22"/>
                <w:szCs w:val="22"/>
              </w:rPr>
              <w:tab/>
              <w:t>4</w:t>
            </w:r>
          </w:hyperlink>
        </w:p>
        <w:p w:rsidR="00FE5B54" w:rsidRDefault="002538A2">
          <w:pPr>
            <w:pBdr>
              <w:top w:val="nil"/>
              <w:left w:val="nil"/>
              <w:bottom w:val="nil"/>
              <w:right w:val="nil"/>
              <w:between w:val="nil"/>
            </w:pBdr>
            <w:tabs>
              <w:tab w:val="right" w:pos="9016"/>
            </w:tabs>
            <w:spacing w:after="100" w:line="360" w:lineRule="auto"/>
            <w:rPr>
              <w:rFonts w:ascii="Arial" w:eastAsia="Arial" w:hAnsi="Arial" w:cs="Arial"/>
              <w:color w:val="000000"/>
              <w:sz w:val="22"/>
              <w:szCs w:val="22"/>
            </w:rPr>
          </w:pPr>
          <w:hyperlink w:anchor="_heading=h.2et92p0">
            <w:r w:rsidR="00EB5D02">
              <w:rPr>
                <w:rFonts w:ascii="Arial" w:eastAsia="Arial" w:hAnsi="Arial" w:cs="Arial"/>
                <w:color w:val="000000"/>
                <w:sz w:val="22"/>
                <w:szCs w:val="22"/>
              </w:rPr>
              <w:t>PESTLE analysis identifies the macro-environmental factors leading to the complex problem</w:t>
            </w:r>
            <w:r w:rsidR="00EB5D02">
              <w:rPr>
                <w:rFonts w:ascii="Arial" w:eastAsia="Arial" w:hAnsi="Arial" w:cs="Arial"/>
                <w:color w:val="000000"/>
                <w:sz w:val="22"/>
                <w:szCs w:val="22"/>
              </w:rPr>
              <w:tab/>
              <w:t>4</w:t>
            </w:r>
          </w:hyperlink>
        </w:p>
        <w:p w:rsidR="00FE5B54" w:rsidRDefault="002538A2">
          <w:pPr>
            <w:pBdr>
              <w:top w:val="nil"/>
              <w:left w:val="nil"/>
              <w:bottom w:val="nil"/>
              <w:right w:val="nil"/>
              <w:between w:val="nil"/>
            </w:pBdr>
            <w:tabs>
              <w:tab w:val="right" w:pos="9016"/>
            </w:tabs>
            <w:spacing w:after="100" w:line="360" w:lineRule="auto"/>
            <w:rPr>
              <w:rFonts w:ascii="Arial" w:eastAsia="Arial" w:hAnsi="Arial" w:cs="Arial"/>
              <w:color w:val="000000"/>
              <w:sz w:val="22"/>
              <w:szCs w:val="22"/>
            </w:rPr>
          </w:pPr>
          <w:hyperlink w:anchor="_heading=h.tyjcwt">
            <w:r w:rsidR="00EB5D02">
              <w:rPr>
                <w:rFonts w:ascii="Arial" w:eastAsia="Arial" w:hAnsi="Arial" w:cs="Arial"/>
                <w:color w:val="000000"/>
                <w:sz w:val="22"/>
                <w:szCs w:val="22"/>
              </w:rPr>
              <w:t>A Fishbone Diagram analysing the cause-and-effect of the problem</w:t>
            </w:r>
            <w:r w:rsidR="00EB5D02">
              <w:rPr>
                <w:rFonts w:ascii="Arial" w:eastAsia="Arial" w:hAnsi="Arial" w:cs="Arial"/>
                <w:color w:val="000000"/>
                <w:sz w:val="22"/>
                <w:szCs w:val="22"/>
              </w:rPr>
              <w:tab/>
              <w:t>5</w:t>
            </w:r>
          </w:hyperlink>
        </w:p>
        <w:p w:rsidR="00FE5B54" w:rsidRDefault="002538A2">
          <w:pPr>
            <w:pBdr>
              <w:top w:val="nil"/>
              <w:left w:val="nil"/>
              <w:bottom w:val="nil"/>
              <w:right w:val="nil"/>
              <w:between w:val="nil"/>
            </w:pBdr>
            <w:tabs>
              <w:tab w:val="right" w:pos="9016"/>
            </w:tabs>
            <w:spacing w:after="100" w:line="360" w:lineRule="auto"/>
            <w:rPr>
              <w:rFonts w:ascii="Arial" w:eastAsia="Arial" w:hAnsi="Arial" w:cs="Arial"/>
              <w:color w:val="000000"/>
              <w:sz w:val="22"/>
              <w:szCs w:val="22"/>
            </w:rPr>
          </w:pPr>
          <w:hyperlink w:anchor="_heading=h.3dy6vkm">
            <w:r w:rsidR="00EB5D02">
              <w:rPr>
                <w:rFonts w:ascii="Arial" w:eastAsia="Arial" w:hAnsi="Arial" w:cs="Arial"/>
                <w:color w:val="000000"/>
                <w:sz w:val="22"/>
                <w:szCs w:val="22"/>
              </w:rPr>
              <w:t>Solutions (PMI Analyses)</w:t>
            </w:r>
            <w:r w:rsidR="00EB5D02">
              <w:rPr>
                <w:rFonts w:ascii="Arial" w:eastAsia="Arial" w:hAnsi="Arial" w:cs="Arial"/>
                <w:color w:val="000000"/>
                <w:sz w:val="22"/>
                <w:szCs w:val="22"/>
              </w:rPr>
              <w:tab/>
              <w:t>6</w:t>
            </w:r>
          </w:hyperlink>
        </w:p>
        <w:p w:rsidR="00FE5B54" w:rsidRDefault="002538A2">
          <w:pPr>
            <w:pBdr>
              <w:top w:val="nil"/>
              <w:left w:val="nil"/>
              <w:bottom w:val="nil"/>
              <w:right w:val="nil"/>
              <w:between w:val="nil"/>
            </w:pBdr>
            <w:tabs>
              <w:tab w:val="right" w:pos="9016"/>
            </w:tabs>
            <w:spacing w:after="100" w:line="360" w:lineRule="auto"/>
            <w:rPr>
              <w:rFonts w:ascii="Arial" w:eastAsia="Arial" w:hAnsi="Arial" w:cs="Arial"/>
              <w:color w:val="000000"/>
              <w:sz w:val="22"/>
              <w:szCs w:val="22"/>
            </w:rPr>
          </w:pPr>
          <w:hyperlink w:anchor="_heading=h.1t3h5sf">
            <w:r w:rsidR="00EB5D02">
              <w:rPr>
                <w:rFonts w:ascii="Arial" w:eastAsia="Arial" w:hAnsi="Arial" w:cs="Arial"/>
                <w:color w:val="000000"/>
                <w:sz w:val="22"/>
                <w:szCs w:val="22"/>
              </w:rPr>
              <w:t>Discussion on the success indicators to measure the effectiveness of these solutions</w:t>
            </w:r>
            <w:r w:rsidR="00EB5D02">
              <w:rPr>
                <w:rFonts w:ascii="Arial" w:eastAsia="Arial" w:hAnsi="Arial" w:cs="Arial"/>
                <w:color w:val="000000"/>
                <w:sz w:val="22"/>
                <w:szCs w:val="22"/>
              </w:rPr>
              <w:tab/>
              <w:t>7</w:t>
            </w:r>
          </w:hyperlink>
        </w:p>
        <w:p w:rsidR="00FE5B54" w:rsidRDefault="002538A2">
          <w:pPr>
            <w:pBdr>
              <w:top w:val="nil"/>
              <w:left w:val="nil"/>
              <w:bottom w:val="nil"/>
              <w:right w:val="nil"/>
              <w:between w:val="nil"/>
            </w:pBdr>
            <w:tabs>
              <w:tab w:val="right" w:pos="9016"/>
            </w:tabs>
            <w:spacing w:after="100" w:line="360" w:lineRule="auto"/>
            <w:rPr>
              <w:rFonts w:ascii="Arial" w:eastAsia="Arial" w:hAnsi="Arial" w:cs="Arial"/>
              <w:color w:val="000000"/>
              <w:sz w:val="22"/>
              <w:szCs w:val="22"/>
            </w:rPr>
          </w:pPr>
          <w:hyperlink w:anchor="_heading=h.4d34og8">
            <w:r w:rsidR="00EB5D02">
              <w:rPr>
                <w:rFonts w:ascii="Arial" w:eastAsia="Arial" w:hAnsi="Arial" w:cs="Arial"/>
                <w:color w:val="000000"/>
                <w:sz w:val="22"/>
                <w:szCs w:val="22"/>
              </w:rPr>
              <w:t>Evaluation of the alternative solutions to absenteeism and the mitigation of the problems</w:t>
            </w:r>
            <w:r w:rsidR="00EB5D02">
              <w:rPr>
                <w:rFonts w:ascii="Arial" w:eastAsia="Arial" w:hAnsi="Arial" w:cs="Arial"/>
                <w:color w:val="000000"/>
                <w:sz w:val="22"/>
                <w:szCs w:val="22"/>
              </w:rPr>
              <w:tab/>
              <w:t>7</w:t>
            </w:r>
          </w:hyperlink>
        </w:p>
        <w:p w:rsidR="00FE5B54" w:rsidRDefault="002538A2">
          <w:pPr>
            <w:pBdr>
              <w:top w:val="nil"/>
              <w:left w:val="nil"/>
              <w:bottom w:val="nil"/>
              <w:right w:val="nil"/>
              <w:between w:val="nil"/>
            </w:pBdr>
            <w:tabs>
              <w:tab w:val="right" w:pos="9016"/>
            </w:tabs>
            <w:spacing w:after="100" w:line="360" w:lineRule="auto"/>
            <w:rPr>
              <w:rFonts w:ascii="Arial" w:eastAsia="Arial" w:hAnsi="Arial" w:cs="Arial"/>
              <w:color w:val="000000"/>
              <w:sz w:val="22"/>
              <w:szCs w:val="22"/>
            </w:rPr>
          </w:pPr>
          <w:hyperlink w:anchor="_heading=h.2s8eyo1">
            <w:r w:rsidR="00EB5D02">
              <w:rPr>
                <w:rFonts w:ascii="Arial" w:eastAsia="Arial" w:hAnsi="Arial" w:cs="Arial"/>
                <w:color w:val="000000"/>
                <w:sz w:val="22"/>
                <w:szCs w:val="22"/>
              </w:rPr>
              <w:t>Indicators for the effectiveness of the solutions</w:t>
            </w:r>
            <w:r w:rsidR="00EB5D02">
              <w:rPr>
                <w:rFonts w:ascii="Arial" w:eastAsia="Arial" w:hAnsi="Arial" w:cs="Arial"/>
                <w:color w:val="000000"/>
                <w:sz w:val="22"/>
                <w:szCs w:val="22"/>
              </w:rPr>
              <w:tab/>
              <w:t>8</w:t>
            </w:r>
          </w:hyperlink>
        </w:p>
        <w:p w:rsidR="00FE5B54" w:rsidRDefault="002538A2">
          <w:pPr>
            <w:pBdr>
              <w:top w:val="nil"/>
              <w:left w:val="nil"/>
              <w:bottom w:val="nil"/>
              <w:right w:val="nil"/>
              <w:between w:val="nil"/>
            </w:pBdr>
            <w:tabs>
              <w:tab w:val="right" w:pos="9016"/>
            </w:tabs>
            <w:spacing w:after="100" w:line="360" w:lineRule="auto"/>
            <w:rPr>
              <w:rFonts w:ascii="Arial" w:eastAsia="Arial" w:hAnsi="Arial" w:cs="Arial"/>
              <w:color w:val="000000"/>
              <w:sz w:val="22"/>
              <w:szCs w:val="22"/>
            </w:rPr>
          </w:pPr>
          <w:hyperlink w:anchor="_heading=h.17dp8vu">
            <w:r w:rsidR="00EB5D02">
              <w:rPr>
                <w:rFonts w:ascii="Arial" w:eastAsia="Arial" w:hAnsi="Arial" w:cs="Arial"/>
                <w:color w:val="000000"/>
                <w:sz w:val="22"/>
                <w:szCs w:val="22"/>
              </w:rPr>
              <w:t>Conclusion</w:t>
            </w:r>
            <w:r w:rsidR="00EB5D02">
              <w:rPr>
                <w:rFonts w:ascii="Arial" w:eastAsia="Arial" w:hAnsi="Arial" w:cs="Arial"/>
                <w:color w:val="000000"/>
                <w:sz w:val="22"/>
                <w:szCs w:val="22"/>
              </w:rPr>
              <w:tab/>
              <w:t>9</w:t>
            </w:r>
          </w:hyperlink>
        </w:p>
        <w:p w:rsidR="00FE5B54" w:rsidRDefault="002538A2">
          <w:pPr>
            <w:pBdr>
              <w:top w:val="nil"/>
              <w:left w:val="nil"/>
              <w:bottom w:val="nil"/>
              <w:right w:val="nil"/>
              <w:between w:val="nil"/>
            </w:pBdr>
            <w:tabs>
              <w:tab w:val="right" w:pos="9016"/>
            </w:tabs>
            <w:spacing w:after="100" w:line="360" w:lineRule="auto"/>
            <w:rPr>
              <w:rFonts w:ascii="Arial" w:eastAsia="Arial" w:hAnsi="Arial" w:cs="Arial"/>
              <w:color w:val="000000"/>
              <w:sz w:val="22"/>
              <w:szCs w:val="22"/>
            </w:rPr>
          </w:pPr>
          <w:hyperlink w:anchor="_heading=h.3rdcrjn">
            <w:r w:rsidR="00EB5D02">
              <w:rPr>
                <w:rFonts w:ascii="Arial" w:eastAsia="Arial" w:hAnsi="Arial" w:cs="Arial"/>
                <w:color w:val="000000"/>
                <w:sz w:val="22"/>
                <w:szCs w:val="22"/>
              </w:rPr>
              <w:t>References</w:t>
            </w:r>
            <w:r w:rsidR="00EB5D02">
              <w:rPr>
                <w:rFonts w:ascii="Arial" w:eastAsia="Arial" w:hAnsi="Arial" w:cs="Arial"/>
                <w:color w:val="000000"/>
                <w:sz w:val="22"/>
                <w:szCs w:val="22"/>
              </w:rPr>
              <w:tab/>
              <w:t>10</w:t>
            </w:r>
          </w:hyperlink>
        </w:p>
        <w:p w:rsidR="00FE5B54" w:rsidRDefault="002538A2">
          <w:pPr>
            <w:pBdr>
              <w:top w:val="nil"/>
              <w:left w:val="nil"/>
              <w:bottom w:val="nil"/>
              <w:right w:val="nil"/>
              <w:between w:val="nil"/>
            </w:pBdr>
            <w:tabs>
              <w:tab w:val="right" w:pos="9016"/>
            </w:tabs>
            <w:spacing w:after="100" w:line="360" w:lineRule="auto"/>
            <w:rPr>
              <w:rFonts w:ascii="Arial" w:eastAsia="Arial" w:hAnsi="Arial" w:cs="Arial"/>
              <w:color w:val="000000"/>
              <w:sz w:val="22"/>
              <w:szCs w:val="22"/>
            </w:rPr>
          </w:pPr>
          <w:hyperlink w:anchor="_heading=h.1ksv4uv">
            <w:r w:rsidR="00EB5D02">
              <w:rPr>
                <w:rFonts w:ascii="Arial" w:eastAsia="Arial" w:hAnsi="Arial" w:cs="Arial"/>
                <w:color w:val="000000"/>
                <w:sz w:val="22"/>
                <w:szCs w:val="22"/>
                <w:highlight w:val="white"/>
              </w:rPr>
              <w:t>Appendices</w:t>
            </w:r>
          </w:hyperlink>
          <w:hyperlink w:anchor="_heading=h.1ksv4uv">
            <w:r w:rsidR="00EB5D02">
              <w:rPr>
                <w:rFonts w:ascii="Arial" w:eastAsia="Arial" w:hAnsi="Arial" w:cs="Arial"/>
                <w:color w:val="000000"/>
                <w:sz w:val="22"/>
                <w:szCs w:val="22"/>
              </w:rPr>
              <w:tab/>
              <w:t>12</w:t>
            </w:r>
          </w:hyperlink>
        </w:p>
        <w:p w:rsidR="00FE5B54" w:rsidRDefault="00EB5D02">
          <w:pPr>
            <w:spacing w:line="360" w:lineRule="auto"/>
          </w:pPr>
          <w:r>
            <w:fldChar w:fldCharType="end"/>
          </w:r>
        </w:p>
      </w:sdtContent>
    </w:sdt>
    <w:p w:rsidR="00FE5B54" w:rsidRDefault="00FE5B54">
      <w:pPr>
        <w:spacing w:line="360" w:lineRule="auto"/>
        <w:rPr>
          <w:rFonts w:ascii="Arial" w:eastAsia="Arial" w:hAnsi="Arial" w:cs="Arial"/>
          <w:sz w:val="22"/>
          <w:szCs w:val="22"/>
        </w:rPr>
      </w:pPr>
    </w:p>
    <w:p w:rsidR="00FE5B54" w:rsidRDefault="00EB5D02">
      <w:pPr>
        <w:spacing w:line="360" w:lineRule="auto"/>
        <w:jc w:val="left"/>
        <w:rPr>
          <w:rFonts w:ascii="Arial" w:eastAsia="Arial" w:hAnsi="Arial" w:cs="Arial"/>
          <w:b/>
          <w:sz w:val="22"/>
          <w:szCs w:val="22"/>
        </w:rPr>
      </w:pPr>
      <w:r>
        <w:br w:type="page"/>
      </w:r>
    </w:p>
    <w:p w:rsidR="00FE5B54" w:rsidRDefault="00EB5D02">
      <w:pPr>
        <w:pStyle w:val="Heading1"/>
        <w:spacing w:line="360" w:lineRule="auto"/>
        <w:rPr>
          <w:rFonts w:ascii="Arial" w:eastAsia="Arial" w:hAnsi="Arial" w:cs="Arial"/>
          <w:sz w:val="22"/>
          <w:szCs w:val="22"/>
        </w:rPr>
      </w:pPr>
      <w:bookmarkStart w:id="1" w:name="_heading=h.30j0zll" w:colFirst="0" w:colLast="0"/>
      <w:bookmarkEnd w:id="1"/>
      <w:r>
        <w:rPr>
          <w:rFonts w:ascii="Arial" w:eastAsia="Arial" w:hAnsi="Arial" w:cs="Arial"/>
          <w:sz w:val="22"/>
          <w:szCs w:val="22"/>
        </w:rPr>
        <w:lastRenderedPageBreak/>
        <w:t>Introduction </w:t>
      </w:r>
    </w:p>
    <w:p w:rsidR="00FE5B54" w:rsidRDefault="00EB5D02">
      <w:pPr>
        <w:spacing w:after="0" w:line="360" w:lineRule="auto"/>
        <w:rPr>
          <w:rFonts w:ascii="Arial" w:eastAsia="Arial" w:hAnsi="Arial" w:cs="Arial"/>
          <w:sz w:val="22"/>
          <w:szCs w:val="22"/>
        </w:rPr>
      </w:pPr>
      <w:r>
        <w:rPr>
          <w:rFonts w:ascii="Arial" w:eastAsia="Arial" w:hAnsi="Arial" w:cs="Arial"/>
          <w:color w:val="000000"/>
          <w:sz w:val="22"/>
          <w:szCs w:val="22"/>
        </w:rPr>
        <w:t>This formal report is concerned with the problems of staff shortage faced by the NHS due to a wide range of factors. The organisation has been found to be witnessing a shortage of over 100,000 staff in one of every eleven positions (Haddad and Toney-Butler, 2022). As nurses and other staff are the key care providers in healthcare, their shortage can create extreme stress on the system and affect the service provided by the system of health and social care. The aim of this study is to analyse the problems in health and social care and develop feasible solutions for addressing the issues currently experienced by the organisations. This study further evaluates the solutions individually using the technique of PMI analysis where the negative and positive attributes of the solutions are analysed along with their interest points.</w:t>
      </w:r>
    </w:p>
    <w:p w:rsidR="00FE5B54" w:rsidRDefault="00EB5D02">
      <w:pPr>
        <w:pStyle w:val="Heading1"/>
        <w:spacing w:line="360" w:lineRule="auto"/>
        <w:rPr>
          <w:rFonts w:ascii="Arial" w:eastAsia="Arial" w:hAnsi="Arial" w:cs="Arial"/>
          <w:sz w:val="22"/>
          <w:szCs w:val="22"/>
        </w:rPr>
      </w:pPr>
      <w:bookmarkStart w:id="2" w:name="_heading=h.1fob9te" w:colFirst="0" w:colLast="0"/>
      <w:bookmarkEnd w:id="2"/>
      <w:r>
        <w:rPr>
          <w:rFonts w:ascii="Arial" w:eastAsia="Arial" w:hAnsi="Arial" w:cs="Arial"/>
          <w:sz w:val="22"/>
          <w:szCs w:val="22"/>
        </w:rPr>
        <w:t>Planning on implementing the decisions to solve the complex problem</w:t>
      </w:r>
    </w:p>
    <w:p w:rsidR="00FE5B54" w:rsidRDefault="00EB5D02">
      <w:pPr>
        <w:pStyle w:val="Heading2"/>
        <w:spacing w:line="360" w:lineRule="auto"/>
        <w:rPr>
          <w:rFonts w:ascii="Arial" w:eastAsia="Arial" w:hAnsi="Arial" w:cs="Arial"/>
          <w:sz w:val="22"/>
          <w:szCs w:val="22"/>
        </w:rPr>
      </w:pPr>
      <w:bookmarkStart w:id="3" w:name="_heading=h.3znysh7" w:colFirst="0" w:colLast="0"/>
      <w:bookmarkEnd w:id="3"/>
      <w:r>
        <w:rPr>
          <w:rFonts w:ascii="Arial" w:eastAsia="Arial" w:hAnsi="Arial" w:cs="Arial"/>
          <w:sz w:val="22"/>
          <w:szCs w:val="22"/>
        </w:rPr>
        <w:t>The nature and impact of the employee-related complex problems and the organisations </w:t>
      </w:r>
    </w:p>
    <w:p w:rsidR="00FE5B54" w:rsidRDefault="00EB5D02">
      <w:pPr>
        <w:spacing w:after="0" w:line="360" w:lineRule="auto"/>
        <w:rPr>
          <w:rFonts w:ascii="Arial" w:eastAsia="Arial" w:hAnsi="Arial" w:cs="Arial"/>
          <w:sz w:val="22"/>
          <w:szCs w:val="22"/>
        </w:rPr>
      </w:pPr>
      <w:r>
        <w:rPr>
          <w:rFonts w:ascii="Arial" w:eastAsia="Arial" w:hAnsi="Arial" w:cs="Arial"/>
          <w:i/>
          <w:color w:val="000000"/>
          <w:sz w:val="22"/>
          <w:szCs w:val="22"/>
          <w:u w:val="single"/>
        </w:rPr>
        <w:t>Nature</w:t>
      </w:r>
    </w:p>
    <w:p w:rsidR="00FE5B54" w:rsidRDefault="00EB5D02">
      <w:pPr>
        <w:spacing w:after="0" w:line="360" w:lineRule="auto"/>
        <w:rPr>
          <w:rFonts w:ascii="Arial" w:eastAsia="Arial" w:hAnsi="Arial" w:cs="Arial"/>
          <w:sz w:val="22"/>
          <w:szCs w:val="22"/>
        </w:rPr>
      </w:pPr>
      <w:r>
        <w:rPr>
          <w:rFonts w:ascii="Arial" w:eastAsia="Arial" w:hAnsi="Arial" w:cs="Arial"/>
          <w:color w:val="000000"/>
          <w:sz w:val="22"/>
          <w:szCs w:val="22"/>
        </w:rPr>
        <w:t xml:space="preserve">Shortage of staff is one of the most critical challenges in healthcare as the whole service is dependent on the skills and productivity of the workforce (Quirk </w:t>
      </w:r>
      <w:r>
        <w:rPr>
          <w:rFonts w:ascii="Arial" w:eastAsia="Arial" w:hAnsi="Arial" w:cs="Arial"/>
          <w:i/>
          <w:color w:val="000000"/>
          <w:sz w:val="22"/>
          <w:szCs w:val="22"/>
        </w:rPr>
        <w:t>et al</w:t>
      </w:r>
      <w:r>
        <w:rPr>
          <w:rFonts w:ascii="Arial" w:eastAsia="Arial" w:hAnsi="Arial" w:cs="Arial"/>
          <w:color w:val="000000"/>
          <w:sz w:val="22"/>
          <w:szCs w:val="22"/>
        </w:rPr>
        <w:t>., 2018, p. 10). In the NHS and Proper Care staff, the shortage has been affecting the quality of the health system. Furthermore, the shortage of staff has been putting extra pressure on the available care providers declining the interest of existing and potential workers from remaining in or joining the healthcare workforce. </w:t>
      </w:r>
    </w:p>
    <w:p w:rsidR="00FE5B54" w:rsidRDefault="00EB5D02">
      <w:pPr>
        <w:spacing w:after="0" w:line="360" w:lineRule="auto"/>
        <w:rPr>
          <w:rFonts w:ascii="Arial" w:eastAsia="Arial" w:hAnsi="Arial" w:cs="Arial"/>
          <w:sz w:val="22"/>
          <w:szCs w:val="22"/>
        </w:rPr>
      </w:pPr>
      <w:r>
        <w:rPr>
          <w:rFonts w:ascii="Arial" w:eastAsia="Arial" w:hAnsi="Arial" w:cs="Arial"/>
          <w:i/>
          <w:color w:val="000000"/>
          <w:sz w:val="22"/>
          <w:szCs w:val="22"/>
          <w:u w:val="single"/>
        </w:rPr>
        <w:t>Impact</w:t>
      </w:r>
    </w:p>
    <w:p w:rsidR="00FE5B54" w:rsidRDefault="00EB5D02">
      <w:pPr>
        <w:spacing w:after="0" w:line="360" w:lineRule="auto"/>
        <w:rPr>
          <w:rFonts w:ascii="Arial" w:eastAsia="Arial" w:hAnsi="Arial" w:cs="Arial"/>
          <w:sz w:val="22"/>
          <w:szCs w:val="22"/>
        </w:rPr>
      </w:pPr>
      <w:r>
        <w:rPr>
          <w:rFonts w:ascii="Arial" w:eastAsia="Arial" w:hAnsi="Arial" w:cs="Arial"/>
          <w:color w:val="000000"/>
          <w:sz w:val="22"/>
          <w:szCs w:val="22"/>
        </w:rPr>
        <w:t xml:space="preserve">Constraints of staff have been reducing the capability of organisations like the NHS to cater to the huge number of patients that get admitted to the healthcare setting on a daily basis (Gray </w:t>
      </w:r>
      <w:r>
        <w:rPr>
          <w:rFonts w:ascii="Arial" w:eastAsia="Arial" w:hAnsi="Arial" w:cs="Arial"/>
          <w:i/>
          <w:color w:val="000000"/>
          <w:sz w:val="22"/>
          <w:szCs w:val="22"/>
        </w:rPr>
        <w:t>et al</w:t>
      </w:r>
      <w:r>
        <w:rPr>
          <w:rFonts w:ascii="Arial" w:eastAsia="Arial" w:hAnsi="Arial" w:cs="Arial"/>
          <w:color w:val="000000"/>
          <w:sz w:val="22"/>
          <w:szCs w:val="22"/>
        </w:rPr>
        <w:t>., 2018). Many patients have also been found to be on the waiting list. Therefore, the problem of staff shortage has been evidently increasing the rate of mortality and delay in patient care. Consequently, patients waiting to get treated for a long time have been deteriorating and even dying without care.</w:t>
      </w:r>
    </w:p>
    <w:p w:rsidR="00FE5B54" w:rsidRDefault="00EB5D02">
      <w:pPr>
        <w:pStyle w:val="Heading2"/>
        <w:spacing w:line="360" w:lineRule="auto"/>
        <w:rPr>
          <w:rFonts w:ascii="Arial" w:eastAsia="Arial" w:hAnsi="Arial" w:cs="Arial"/>
          <w:sz w:val="22"/>
          <w:szCs w:val="22"/>
        </w:rPr>
      </w:pPr>
      <w:bookmarkStart w:id="4" w:name="_heading=h.2et92p0" w:colFirst="0" w:colLast="0"/>
      <w:bookmarkEnd w:id="4"/>
      <w:r>
        <w:rPr>
          <w:rFonts w:ascii="Arial" w:eastAsia="Arial" w:hAnsi="Arial" w:cs="Arial"/>
          <w:sz w:val="22"/>
          <w:szCs w:val="22"/>
        </w:rPr>
        <w:t>PESTLE analysis identifies the macro-environmental factors leading to the complex problem </w:t>
      </w:r>
    </w:p>
    <w:p w:rsidR="00FE5B54" w:rsidRDefault="00EB5D02">
      <w:pPr>
        <w:spacing w:after="0" w:line="360" w:lineRule="auto"/>
        <w:rPr>
          <w:rFonts w:ascii="Arial" w:eastAsia="Arial" w:hAnsi="Arial" w:cs="Arial"/>
          <w:sz w:val="22"/>
          <w:szCs w:val="22"/>
        </w:rPr>
      </w:pPr>
      <w:r>
        <w:rPr>
          <w:rFonts w:ascii="Arial" w:eastAsia="Arial" w:hAnsi="Arial" w:cs="Arial"/>
          <w:i/>
          <w:color w:val="000000"/>
          <w:sz w:val="22"/>
          <w:szCs w:val="22"/>
        </w:rPr>
        <w:t xml:space="preserve">Political factors: - </w:t>
      </w:r>
      <w:r>
        <w:rPr>
          <w:rFonts w:ascii="Arial" w:eastAsia="Arial" w:hAnsi="Arial" w:cs="Arial"/>
          <w:color w:val="000000"/>
          <w:sz w:val="22"/>
          <w:szCs w:val="22"/>
        </w:rPr>
        <w:t>An increased net outflow of nurses from the NHS after Brexit has been deepening the staff shortage in the organisation. </w:t>
      </w:r>
    </w:p>
    <w:p w:rsidR="00FE5B54" w:rsidRDefault="00EB5D02">
      <w:pPr>
        <w:numPr>
          <w:ilvl w:val="0"/>
          <w:numId w:val="1"/>
        </w:num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The removal of the NHS bursary for attracting more professionals has been an unsuccessful effort by the government (Val </w:t>
      </w:r>
      <w:r>
        <w:rPr>
          <w:rFonts w:ascii="Arial" w:eastAsia="Arial" w:hAnsi="Arial" w:cs="Arial"/>
          <w:i/>
          <w:color w:val="000000"/>
          <w:sz w:val="22"/>
          <w:szCs w:val="22"/>
        </w:rPr>
        <w:t>et al</w:t>
      </w:r>
      <w:r>
        <w:rPr>
          <w:rFonts w:ascii="Arial" w:eastAsia="Arial" w:hAnsi="Arial" w:cs="Arial"/>
          <w:color w:val="000000"/>
          <w:sz w:val="22"/>
          <w:szCs w:val="22"/>
        </w:rPr>
        <w:t>., 2021).</w:t>
      </w:r>
    </w:p>
    <w:p w:rsidR="00FE5B54" w:rsidRDefault="00EB5D02">
      <w:pPr>
        <w:spacing w:after="0" w:line="360" w:lineRule="auto"/>
        <w:rPr>
          <w:rFonts w:ascii="Arial" w:eastAsia="Arial" w:hAnsi="Arial" w:cs="Arial"/>
          <w:sz w:val="22"/>
          <w:szCs w:val="22"/>
        </w:rPr>
      </w:pPr>
      <w:r>
        <w:rPr>
          <w:rFonts w:ascii="Arial" w:eastAsia="Arial" w:hAnsi="Arial" w:cs="Arial"/>
          <w:i/>
          <w:color w:val="000000"/>
          <w:sz w:val="22"/>
          <w:szCs w:val="22"/>
        </w:rPr>
        <w:t xml:space="preserve">Economic factors: - </w:t>
      </w:r>
      <w:r>
        <w:rPr>
          <w:rFonts w:ascii="Arial" w:eastAsia="Arial" w:hAnsi="Arial" w:cs="Arial"/>
          <w:color w:val="000000"/>
          <w:sz w:val="22"/>
          <w:szCs w:val="22"/>
        </w:rPr>
        <w:t>Healthcare organisations have been struggling with funds to afford more nurses.</w:t>
      </w:r>
    </w:p>
    <w:p w:rsidR="00FE5B54" w:rsidRDefault="00EB5D02">
      <w:pPr>
        <w:numPr>
          <w:ilvl w:val="0"/>
          <w:numId w:val="2"/>
        </w:num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Low wages have been decreasing the appeal of the sector (Heery </w:t>
      </w:r>
      <w:r>
        <w:rPr>
          <w:rFonts w:ascii="Arial" w:eastAsia="Arial" w:hAnsi="Arial" w:cs="Arial"/>
          <w:i/>
          <w:color w:val="000000"/>
          <w:sz w:val="22"/>
          <w:szCs w:val="22"/>
        </w:rPr>
        <w:t>et al</w:t>
      </w:r>
      <w:r>
        <w:rPr>
          <w:rFonts w:ascii="Arial" w:eastAsia="Arial" w:hAnsi="Arial" w:cs="Arial"/>
          <w:color w:val="000000"/>
          <w:sz w:val="22"/>
          <w:szCs w:val="22"/>
        </w:rPr>
        <w:t>., 2020, p. 397).</w:t>
      </w:r>
    </w:p>
    <w:p w:rsidR="00FE5B54" w:rsidRDefault="00EB5D02">
      <w:pPr>
        <w:numPr>
          <w:ilvl w:val="0"/>
          <w:numId w:val="2"/>
        </w:numPr>
        <w:spacing w:after="0" w:line="360" w:lineRule="auto"/>
        <w:rPr>
          <w:rFonts w:ascii="Arial" w:eastAsia="Arial" w:hAnsi="Arial" w:cs="Arial"/>
          <w:color w:val="000000"/>
          <w:sz w:val="22"/>
          <w:szCs w:val="22"/>
        </w:rPr>
      </w:pPr>
      <w:r>
        <w:rPr>
          <w:rFonts w:ascii="Arial" w:eastAsia="Arial" w:hAnsi="Arial" w:cs="Arial"/>
          <w:color w:val="000000"/>
          <w:sz w:val="22"/>
          <w:szCs w:val="22"/>
        </w:rPr>
        <w:lastRenderedPageBreak/>
        <w:t>The recessing economy has been leading to staff decline in the UK.</w:t>
      </w:r>
    </w:p>
    <w:p w:rsidR="00FE5B54" w:rsidRDefault="00EB5D02">
      <w:pPr>
        <w:spacing w:after="0" w:line="360" w:lineRule="auto"/>
        <w:rPr>
          <w:rFonts w:ascii="Arial" w:eastAsia="Arial" w:hAnsi="Arial" w:cs="Arial"/>
          <w:sz w:val="22"/>
          <w:szCs w:val="22"/>
        </w:rPr>
      </w:pPr>
      <w:r>
        <w:rPr>
          <w:rFonts w:ascii="Arial" w:eastAsia="Arial" w:hAnsi="Arial" w:cs="Arial"/>
          <w:i/>
          <w:color w:val="000000"/>
          <w:sz w:val="22"/>
          <w:szCs w:val="22"/>
        </w:rPr>
        <w:t xml:space="preserve">Social factors: </w:t>
      </w:r>
      <w:r>
        <w:rPr>
          <w:rFonts w:ascii="Arial" w:eastAsia="Arial" w:hAnsi="Arial" w:cs="Arial"/>
          <w:color w:val="000000"/>
          <w:sz w:val="22"/>
          <w:szCs w:val="22"/>
        </w:rPr>
        <w:t>- The aging population has been unable to produce an adequate number of young employees.</w:t>
      </w:r>
    </w:p>
    <w:p w:rsidR="00FE5B54" w:rsidRDefault="00EB5D02">
      <w:pPr>
        <w:spacing w:after="0" w:line="360" w:lineRule="auto"/>
        <w:rPr>
          <w:rFonts w:ascii="Arial" w:eastAsia="Arial" w:hAnsi="Arial" w:cs="Arial"/>
          <w:sz w:val="22"/>
          <w:szCs w:val="22"/>
        </w:rPr>
      </w:pPr>
      <w:r>
        <w:rPr>
          <w:rFonts w:ascii="Arial" w:eastAsia="Arial" w:hAnsi="Arial" w:cs="Arial"/>
          <w:i/>
          <w:color w:val="000000"/>
          <w:sz w:val="22"/>
          <w:szCs w:val="22"/>
        </w:rPr>
        <w:t xml:space="preserve">Technological factors: - </w:t>
      </w:r>
      <w:r>
        <w:rPr>
          <w:rFonts w:ascii="Arial" w:eastAsia="Arial" w:hAnsi="Arial" w:cs="Arial"/>
          <w:color w:val="000000"/>
          <w:sz w:val="22"/>
          <w:szCs w:val="22"/>
        </w:rPr>
        <w:t>A skill gap is evident in the handling of innovative technologies in the NHS (Castle-Clarke, 2018).</w:t>
      </w:r>
    </w:p>
    <w:p w:rsidR="00FE5B54" w:rsidRDefault="00EB5D02">
      <w:pPr>
        <w:spacing w:after="0" w:line="360" w:lineRule="auto"/>
        <w:rPr>
          <w:rFonts w:ascii="Arial" w:eastAsia="Arial" w:hAnsi="Arial" w:cs="Arial"/>
          <w:sz w:val="22"/>
          <w:szCs w:val="22"/>
        </w:rPr>
      </w:pPr>
      <w:r>
        <w:rPr>
          <w:rFonts w:ascii="Arial" w:eastAsia="Arial" w:hAnsi="Arial" w:cs="Arial"/>
          <w:i/>
          <w:color w:val="000000"/>
          <w:sz w:val="22"/>
          <w:szCs w:val="22"/>
        </w:rPr>
        <w:t xml:space="preserve">Legal factors: </w:t>
      </w:r>
      <w:r>
        <w:rPr>
          <w:rFonts w:ascii="Arial" w:eastAsia="Arial" w:hAnsi="Arial" w:cs="Arial"/>
          <w:color w:val="000000"/>
          <w:sz w:val="22"/>
          <w:szCs w:val="22"/>
        </w:rPr>
        <w:t>- There are legal complaints about the NHS recruiting staff on zero-hour contracts with low wages.</w:t>
      </w:r>
    </w:p>
    <w:p w:rsidR="00FE5B54" w:rsidRDefault="00EB5D02">
      <w:pPr>
        <w:spacing w:after="0" w:line="360" w:lineRule="auto"/>
        <w:rPr>
          <w:rFonts w:ascii="Arial" w:eastAsia="Arial" w:hAnsi="Arial" w:cs="Arial"/>
          <w:sz w:val="22"/>
          <w:szCs w:val="22"/>
        </w:rPr>
      </w:pPr>
      <w:r>
        <w:rPr>
          <w:rFonts w:ascii="Arial" w:eastAsia="Arial" w:hAnsi="Arial" w:cs="Arial"/>
          <w:i/>
          <w:color w:val="000000"/>
          <w:sz w:val="22"/>
          <w:szCs w:val="22"/>
        </w:rPr>
        <w:t>Environmental factors: - NHS</w:t>
      </w:r>
      <w:r>
        <w:rPr>
          <w:rFonts w:ascii="Arial" w:eastAsia="Arial" w:hAnsi="Arial" w:cs="Arial"/>
          <w:color w:val="000000"/>
          <w:sz w:val="22"/>
          <w:szCs w:val="22"/>
        </w:rPr>
        <w:t xml:space="preserve"> has a poor waste management system causing a huge medical waste criticised by communities.</w:t>
      </w:r>
    </w:p>
    <w:p w:rsidR="00FE5B54" w:rsidRDefault="00EB5D02">
      <w:pPr>
        <w:pStyle w:val="Heading2"/>
        <w:spacing w:line="360" w:lineRule="auto"/>
        <w:rPr>
          <w:rFonts w:ascii="Arial" w:eastAsia="Arial" w:hAnsi="Arial" w:cs="Arial"/>
          <w:sz w:val="22"/>
          <w:szCs w:val="22"/>
        </w:rPr>
      </w:pPr>
      <w:bookmarkStart w:id="5" w:name="_heading=h.tyjcwt" w:colFirst="0" w:colLast="0"/>
      <w:bookmarkEnd w:id="5"/>
      <w:r>
        <w:rPr>
          <w:rFonts w:ascii="Arial" w:eastAsia="Arial" w:hAnsi="Arial" w:cs="Arial"/>
          <w:sz w:val="22"/>
          <w:szCs w:val="22"/>
        </w:rPr>
        <w:t>A Fishbone Diagram analysing the cause-and-effect of the problem </w:t>
      </w:r>
    </w:p>
    <w:p w:rsidR="00FE5B54" w:rsidRDefault="00EB5D02">
      <w:pPr>
        <w:spacing w:after="0" w:line="360" w:lineRule="auto"/>
        <w:jc w:val="center"/>
        <w:rPr>
          <w:rFonts w:ascii="Arial" w:eastAsia="Arial" w:hAnsi="Arial" w:cs="Arial"/>
          <w:sz w:val="22"/>
          <w:szCs w:val="22"/>
        </w:rPr>
      </w:pPr>
      <w:r>
        <w:rPr>
          <w:rFonts w:ascii="Arial" w:eastAsia="Arial" w:hAnsi="Arial" w:cs="Arial"/>
          <w:b/>
          <w:noProof/>
          <w:color w:val="000000"/>
          <w:sz w:val="22"/>
          <w:szCs w:val="22"/>
          <w:lang w:val="en-IN"/>
        </w:rPr>
        <w:drawing>
          <wp:inline distT="0" distB="0" distL="0" distR="0">
            <wp:extent cx="3947160" cy="2339340"/>
            <wp:effectExtent l="0" t="0" r="0" b="0"/>
            <wp:docPr id="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947160" cy="2339340"/>
                    </a:xfrm>
                    <a:prstGeom prst="rect">
                      <a:avLst/>
                    </a:prstGeom>
                    <a:ln/>
                  </pic:spPr>
                </pic:pic>
              </a:graphicData>
            </a:graphic>
          </wp:inline>
        </w:drawing>
      </w:r>
    </w:p>
    <w:p w:rsidR="00FE5B54" w:rsidRDefault="00EB5D02">
      <w:pPr>
        <w:spacing w:after="0" w:line="360" w:lineRule="auto"/>
        <w:jc w:val="center"/>
        <w:rPr>
          <w:rFonts w:ascii="Arial" w:eastAsia="Arial" w:hAnsi="Arial" w:cs="Arial"/>
          <w:sz w:val="22"/>
          <w:szCs w:val="22"/>
        </w:rPr>
      </w:pPr>
      <w:r>
        <w:rPr>
          <w:rFonts w:ascii="Arial" w:eastAsia="Arial" w:hAnsi="Arial" w:cs="Arial"/>
          <w:b/>
          <w:color w:val="000000"/>
          <w:sz w:val="22"/>
          <w:szCs w:val="22"/>
        </w:rPr>
        <w:t>Figure 1: Fishbone Diagram for cause-effect analysis</w:t>
      </w:r>
    </w:p>
    <w:p w:rsidR="00FE5B54" w:rsidRDefault="00EB5D02">
      <w:pPr>
        <w:spacing w:after="0" w:line="360" w:lineRule="auto"/>
        <w:jc w:val="center"/>
        <w:rPr>
          <w:rFonts w:ascii="Arial" w:eastAsia="Arial" w:hAnsi="Arial" w:cs="Arial"/>
          <w:sz w:val="22"/>
          <w:szCs w:val="22"/>
        </w:rPr>
      </w:pPr>
      <w:r>
        <w:rPr>
          <w:rFonts w:ascii="Arial" w:eastAsia="Arial" w:hAnsi="Arial" w:cs="Arial"/>
          <w:i/>
          <w:color w:val="000000"/>
          <w:sz w:val="22"/>
          <w:szCs w:val="22"/>
        </w:rPr>
        <w:t>(Source: Developed by the author)</w:t>
      </w:r>
    </w:p>
    <w:p w:rsidR="00FE5B54" w:rsidRDefault="00EB5D02">
      <w:pPr>
        <w:spacing w:after="0" w:line="360" w:lineRule="auto"/>
        <w:rPr>
          <w:rFonts w:ascii="Arial" w:eastAsia="Arial" w:hAnsi="Arial" w:cs="Arial"/>
          <w:sz w:val="22"/>
          <w:szCs w:val="22"/>
        </w:rPr>
      </w:pPr>
      <w:r>
        <w:rPr>
          <w:rFonts w:ascii="Arial" w:eastAsia="Arial" w:hAnsi="Arial" w:cs="Arial"/>
          <w:color w:val="000000"/>
          <w:sz w:val="22"/>
          <w:szCs w:val="22"/>
        </w:rPr>
        <w:t>The fishbone diagram helps in analysing a situation by identifying the cause and effect relationships between variables (Kane and Kane, 2014). The above diagram has shown the potential causes leading to the shortage of staff in the NHS and the overall healthcare system of the UK. Despite the removal of bursaries in the NHS the percentage of students taking admission has lowered. Moreover, the courses have been found to be expensive which is unaffordable for many students and the training and courses are not completely funded creating difficulties for the organisation to execute them effectively. There are also problems related to equipment including a lack of innovative equipment, shortage of ambulances, poor organisation, and technical skill gaps making service delivery difficult. The hierarchy of the NHS keeps staff unengaged in the decision-making, reducing their commitment to the organisation. The low wages and extra pressure on staff have been making the job unattractive leading to turnover and constraints in the recruitment of new staff. Brexit is a major reason for the staff shortage in the NHS.</w:t>
      </w:r>
    </w:p>
    <w:p w:rsidR="00FE5B54" w:rsidRDefault="00FE5B54">
      <w:pPr>
        <w:spacing w:after="0" w:line="360" w:lineRule="auto"/>
        <w:jc w:val="left"/>
        <w:rPr>
          <w:rFonts w:ascii="Arial" w:eastAsia="Arial" w:hAnsi="Arial" w:cs="Arial"/>
          <w:sz w:val="22"/>
          <w:szCs w:val="22"/>
        </w:rPr>
      </w:pPr>
    </w:p>
    <w:p w:rsidR="00FE5B54" w:rsidRDefault="00EB5D02">
      <w:pPr>
        <w:pStyle w:val="Heading2"/>
        <w:spacing w:line="360" w:lineRule="auto"/>
        <w:rPr>
          <w:rFonts w:ascii="Arial" w:eastAsia="Arial" w:hAnsi="Arial" w:cs="Arial"/>
          <w:i w:val="0"/>
          <w:sz w:val="22"/>
          <w:szCs w:val="22"/>
        </w:rPr>
      </w:pPr>
      <w:bookmarkStart w:id="6" w:name="_heading=h.3dy6vkm" w:colFirst="0" w:colLast="0"/>
      <w:bookmarkEnd w:id="6"/>
      <w:r>
        <w:rPr>
          <w:rFonts w:ascii="Arial" w:eastAsia="Arial" w:hAnsi="Arial" w:cs="Arial"/>
          <w:i w:val="0"/>
          <w:sz w:val="22"/>
          <w:szCs w:val="22"/>
        </w:rPr>
        <w:lastRenderedPageBreak/>
        <w:t>Solutions (PMI Analyses)</w:t>
      </w:r>
    </w:p>
    <w:p w:rsidR="00FE5B54" w:rsidRDefault="00EB5D02">
      <w:pPr>
        <w:spacing w:after="0" w:line="360" w:lineRule="auto"/>
        <w:rPr>
          <w:rFonts w:ascii="Arial" w:eastAsia="Arial" w:hAnsi="Arial" w:cs="Arial"/>
          <w:sz w:val="22"/>
          <w:szCs w:val="22"/>
        </w:rPr>
      </w:pPr>
      <w:r>
        <w:rPr>
          <w:rFonts w:ascii="Arial" w:eastAsia="Arial" w:hAnsi="Arial" w:cs="Arial"/>
          <w:b/>
          <w:i/>
          <w:color w:val="000000"/>
          <w:sz w:val="22"/>
          <w:szCs w:val="22"/>
        </w:rPr>
        <w:t>Greater funding in the health system, by raising the income in healthcare </w:t>
      </w:r>
    </w:p>
    <w:p w:rsidR="00FE5B54" w:rsidRDefault="00EB5D02">
      <w:pPr>
        <w:spacing w:after="0" w:line="360" w:lineRule="auto"/>
        <w:rPr>
          <w:rFonts w:ascii="Arial" w:eastAsia="Arial" w:hAnsi="Arial" w:cs="Arial"/>
          <w:sz w:val="22"/>
          <w:szCs w:val="22"/>
        </w:rPr>
      </w:pPr>
      <w:r>
        <w:rPr>
          <w:rFonts w:ascii="Arial" w:eastAsia="Arial" w:hAnsi="Arial" w:cs="Arial"/>
          <w:i/>
          <w:color w:val="000000"/>
          <w:sz w:val="22"/>
          <w:szCs w:val="22"/>
          <w:u w:val="single"/>
        </w:rPr>
        <w:t>Plus</w:t>
      </w:r>
      <w:r>
        <w:rPr>
          <w:rFonts w:ascii="Arial" w:eastAsia="Arial" w:hAnsi="Arial" w:cs="Arial"/>
          <w:i/>
          <w:color w:val="000000"/>
          <w:sz w:val="22"/>
          <w:szCs w:val="22"/>
        </w:rPr>
        <w:t xml:space="preserve">: </w:t>
      </w:r>
      <w:r>
        <w:rPr>
          <w:rFonts w:ascii="Arial" w:eastAsia="Arial" w:hAnsi="Arial" w:cs="Arial"/>
          <w:color w:val="000000"/>
          <w:sz w:val="22"/>
          <w:szCs w:val="22"/>
        </w:rPr>
        <w:t>The key positive attribute of this solution is the scope of increasing the economies of scale for the NHS to enhance the capabilities of resources. An increase in funding can help the healthcare system provide standard wages to staff increasing the competitiveness of the national healthcare system. It has been found that private healthcare organisations provide greater wages compared to government settings. Furthermore, a key reason for staff shortage is also the low wage diminishing the attractiveness of the industry. Hence a higher fund can further improve the wage and interest in the organisation. </w:t>
      </w:r>
    </w:p>
    <w:p w:rsidR="00FE5B54" w:rsidRDefault="00EB5D02">
      <w:pPr>
        <w:spacing w:after="0" w:line="360" w:lineRule="auto"/>
        <w:rPr>
          <w:rFonts w:ascii="Arial" w:eastAsia="Arial" w:hAnsi="Arial" w:cs="Arial"/>
          <w:sz w:val="22"/>
          <w:szCs w:val="22"/>
        </w:rPr>
      </w:pPr>
      <w:r>
        <w:rPr>
          <w:rFonts w:ascii="Arial" w:eastAsia="Arial" w:hAnsi="Arial" w:cs="Arial"/>
          <w:i/>
          <w:color w:val="000000"/>
          <w:sz w:val="22"/>
          <w:szCs w:val="22"/>
          <w:u w:val="single"/>
        </w:rPr>
        <w:t>Minus</w:t>
      </w:r>
      <w:r>
        <w:rPr>
          <w:rFonts w:ascii="Arial" w:eastAsia="Arial" w:hAnsi="Arial" w:cs="Arial"/>
          <w:i/>
          <w:color w:val="000000"/>
          <w:sz w:val="22"/>
          <w:szCs w:val="22"/>
        </w:rPr>
        <w:t xml:space="preserve">: </w:t>
      </w:r>
      <w:r>
        <w:rPr>
          <w:rFonts w:ascii="Arial" w:eastAsia="Arial" w:hAnsi="Arial" w:cs="Arial"/>
          <w:color w:val="000000"/>
          <w:sz w:val="22"/>
          <w:szCs w:val="22"/>
        </w:rPr>
        <w:t>According to the opinion of Proctor, (2020), every solution has its upside and downside. The solution suggesting the increased funding implies the need for further investment into the sector. As the government is the key authority of the NHS providing the majority of the fund, therefore, it is the responsibility of the government to heighten the investment. The minus point of this solution is that the government requires more funds to be invested in the NHS.</w:t>
      </w:r>
    </w:p>
    <w:p w:rsidR="00FE5B54" w:rsidRDefault="00EB5D02">
      <w:pPr>
        <w:spacing w:after="0" w:line="360" w:lineRule="auto"/>
        <w:rPr>
          <w:rFonts w:ascii="Arial" w:eastAsia="Arial" w:hAnsi="Arial" w:cs="Arial"/>
          <w:sz w:val="22"/>
          <w:szCs w:val="22"/>
        </w:rPr>
      </w:pPr>
      <w:r>
        <w:rPr>
          <w:rFonts w:ascii="Arial" w:eastAsia="Arial" w:hAnsi="Arial" w:cs="Arial"/>
          <w:i/>
          <w:color w:val="000000"/>
          <w:sz w:val="22"/>
          <w:szCs w:val="22"/>
          <w:u w:val="single"/>
        </w:rPr>
        <w:t>Interesting</w:t>
      </w:r>
      <w:r>
        <w:rPr>
          <w:rFonts w:ascii="Arial" w:eastAsia="Arial" w:hAnsi="Arial" w:cs="Arial"/>
          <w:i/>
          <w:color w:val="000000"/>
          <w:sz w:val="22"/>
          <w:szCs w:val="22"/>
        </w:rPr>
        <w:t>:</w:t>
      </w:r>
      <w:r>
        <w:rPr>
          <w:rFonts w:ascii="Arial" w:eastAsia="Arial" w:hAnsi="Arial" w:cs="Arial"/>
          <w:color w:val="000000"/>
          <w:sz w:val="22"/>
          <w:szCs w:val="22"/>
        </w:rPr>
        <w:t xml:space="preserve"> This solution can help the NHS attract more employees by offering a standard wage. The organisation can revive the appeal of the job placements among potential employees by offering a competitive salary similar to other sectors.</w:t>
      </w:r>
    </w:p>
    <w:p w:rsidR="00FE5B54" w:rsidRDefault="00EB5D02">
      <w:pPr>
        <w:spacing w:after="0" w:line="360" w:lineRule="auto"/>
        <w:rPr>
          <w:rFonts w:ascii="Arial" w:eastAsia="Arial" w:hAnsi="Arial" w:cs="Arial"/>
          <w:sz w:val="22"/>
          <w:szCs w:val="22"/>
        </w:rPr>
      </w:pPr>
      <w:r>
        <w:rPr>
          <w:rFonts w:ascii="Arial" w:eastAsia="Arial" w:hAnsi="Arial" w:cs="Arial"/>
          <w:b/>
          <w:i/>
          <w:color w:val="000000"/>
          <w:sz w:val="22"/>
          <w:szCs w:val="22"/>
        </w:rPr>
        <w:t>Encouraging health students through scholarships, funding </w:t>
      </w:r>
    </w:p>
    <w:p w:rsidR="00FE5B54" w:rsidRDefault="00EB5D02">
      <w:pPr>
        <w:spacing w:after="0" w:line="360" w:lineRule="auto"/>
        <w:rPr>
          <w:rFonts w:ascii="Arial" w:eastAsia="Arial" w:hAnsi="Arial" w:cs="Arial"/>
          <w:sz w:val="22"/>
          <w:szCs w:val="22"/>
        </w:rPr>
      </w:pPr>
      <w:r>
        <w:rPr>
          <w:rFonts w:ascii="Arial" w:eastAsia="Arial" w:hAnsi="Arial" w:cs="Arial"/>
          <w:i/>
          <w:color w:val="000000"/>
          <w:sz w:val="22"/>
          <w:szCs w:val="22"/>
          <w:u w:val="single"/>
        </w:rPr>
        <w:t>Plus</w:t>
      </w:r>
      <w:r>
        <w:rPr>
          <w:rFonts w:ascii="Arial" w:eastAsia="Arial" w:hAnsi="Arial" w:cs="Arial"/>
          <w:i/>
          <w:color w:val="000000"/>
          <w:sz w:val="22"/>
          <w:szCs w:val="22"/>
        </w:rPr>
        <w:t xml:space="preserve">: </w:t>
      </w:r>
      <w:r>
        <w:rPr>
          <w:rFonts w:ascii="Arial" w:eastAsia="Arial" w:hAnsi="Arial" w:cs="Arial"/>
          <w:color w:val="000000"/>
          <w:sz w:val="22"/>
          <w:szCs w:val="22"/>
        </w:rPr>
        <w:t>A key cause of staff shortage in healthcare has been found to be the expensive courses and their unaffordability for many students. Hence this solution of fund provision and scholarship programmes can help students who are financially weaker to pursue health education. As a larger number of students take up health education leveraging the scholarship programmes and funding facilities the organisation can ensure more number of training staff in the next few years. It can benefit both organisations and individuals as the healthcare service is likely to gain more staff with adequate knowledge and skills while more individuals can find job opportunities. This solution is expected to enhance the workforce size and capabilities in the healthcare system including the NHS in the UK.</w:t>
      </w:r>
    </w:p>
    <w:p w:rsidR="00FE5B54" w:rsidRDefault="00EB5D02">
      <w:pPr>
        <w:spacing w:after="0" w:line="360" w:lineRule="auto"/>
        <w:rPr>
          <w:rFonts w:ascii="Arial" w:eastAsia="Arial" w:hAnsi="Arial" w:cs="Arial"/>
          <w:sz w:val="22"/>
          <w:szCs w:val="22"/>
        </w:rPr>
      </w:pPr>
      <w:r>
        <w:rPr>
          <w:rFonts w:ascii="Arial" w:eastAsia="Arial" w:hAnsi="Arial" w:cs="Arial"/>
          <w:i/>
          <w:color w:val="000000"/>
          <w:sz w:val="22"/>
          <w:szCs w:val="22"/>
          <w:u w:val="single"/>
        </w:rPr>
        <w:t>Minus</w:t>
      </w:r>
      <w:r>
        <w:rPr>
          <w:rFonts w:ascii="Arial" w:eastAsia="Arial" w:hAnsi="Arial" w:cs="Arial"/>
          <w:i/>
          <w:color w:val="000000"/>
          <w:sz w:val="22"/>
          <w:szCs w:val="22"/>
        </w:rPr>
        <w:t xml:space="preserve">: </w:t>
      </w:r>
      <w:r>
        <w:rPr>
          <w:rFonts w:ascii="Arial" w:eastAsia="Arial" w:hAnsi="Arial" w:cs="Arial"/>
          <w:color w:val="000000"/>
          <w:sz w:val="22"/>
          <w:szCs w:val="22"/>
        </w:rPr>
        <w:t>Scholarship programmes and fund facilities are likely to need more investment from the government as the NHS is governed by the central authority. Hence this solution can lead to additional expenses for the government. There is a prominent distinction between the healthcare sector and other sectors. Scholarship programmes are likely to challenge the current infrastructure of the healthcare education system.</w:t>
      </w:r>
    </w:p>
    <w:p w:rsidR="00FE5B54" w:rsidRDefault="00EB5D02">
      <w:pPr>
        <w:spacing w:after="0" w:line="360" w:lineRule="auto"/>
        <w:rPr>
          <w:rFonts w:ascii="Arial" w:eastAsia="Arial" w:hAnsi="Arial" w:cs="Arial"/>
          <w:sz w:val="22"/>
          <w:szCs w:val="22"/>
        </w:rPr>
      </w:pPr>
      <w:r>
        <w:rPr>
          <w:rFonts w:ascii="Arial" w:eastAsia="Arial" w:hAnsi="Arial" w:cs="Arial"/>
          <w:i/>
          <w:color w:val="000000"/>
          <w:sz w:val="22"/>
          <w:szCs w:val="22"/>
          <w:u w:val="single"/>
        </w:rPr>
        <w:t>Interesting</w:t>
      </w:r>
      <w:r>
        <w:rPr>
          <w:rFonts w:ascii="Arial" w:eastAsia="Arial" w:hAnsi="Arial" w:cs="Arial"/>
          <w:i/>
          <w:color w:val="000000"/>
          <w:sz w:val="22"/>
          <w:szCs w:val="22"/>
        </w:rPr>
        <w:t>:</w:t>
      </w:r>
      <w:r>
        <w:rPr>
          <w:rFonts w:ascii="Arial" w:eastAsia="Arial" w:hAnsi="Arial" w:cs="Arial"/>
          <w:color w:val="000000"/>
          <w:sz w:val="22"/>
          <w:szCs w:val="22"/>
        </w:rPr>
        <w:t xml:space="preserve"> As opined by </w:t>
      </w:r>
      <w:r w:rsidR="006352B1" w:rsidRPr="006352B1">
        <w:rPr>
          <w:rFonts w:ascii="Arial" w:eastAsia="Arial" w:hAnsi="Arial" w:cs="Arial"/>
          <w:color w:val="000000"/>
          <w:sz w:val="22"/>
          <w:szCs w:val="22"/>
        </w:rPr>
        <w:t xml:space="preserve">Houseworth, </w:t>
      </w:r>
      <w:r>
        <w:rPr>
          <w:rFonts w:ascii="Arial" w:eastAsia="Arial" w:hAnsi="Arial" w:cs="Arial"/>
          <w:color w:val="000000"/>
          <w:sz w:val="22"/>
          <w:szCs w:val="22"/>
        </w:rPr>
        <w:t>(</w:t>
      </w:r>
      <w:r w:rsidR="006352B1">
        <w:rPr>
          <w:rFonts w:ascii="Arial" w:eastAsia="Arial" w:hAnsi="Arial" w:cs="Arial"/>
          <w:color w:val="000000"/>
          <w:sz w:val="22"/>
          <w:szCs w:val="22"/>
        </w:rPr>
        <w:t>2020, p.193</w:t>
      </w:r>
      <w:r>
        <w:rPr>
          <w:rFonts w:ascii="Arial" w:eastAsia="Arial" w:hAnsi="Arial" w:cs="Arial"/>
          <w:color w:val="000000"/>
          <w:sz w:val="22"/>
          <w:szCs w:val="22"/>
        </w:rPr>
        <w:t>), an increase in the opportunity to access enhances the competition within a field. Therefore, the scholarship programmes and fund solution is likely to increase competition among learners in different courses. However, this solution can inevitably mitigate the problem of staff shortage for the organisation.</w:t>
      </w:r>
    </w:p>
    <w:p w:rsidR="00FE5B54" w:rsidRDefault="00FE5B54">
      <w:pPr>
        <w:spacing w:after="0" w:line="360" w:lineRule="auto"/>
        <w:jc w:val="left"/>
        <w:rPr>
          <w:rFonts w:ascii="Arial" w:eastAsia="Arial" w:hAnsi="Arial" w:cs="Arial"/>
          <w:sz w:val="22"/>
          <w:szCs w:val="22"/>
        </w:rPr>
      </w:pPr>
    </w:p>
    <w:p w:rsidR="00FE5B54" w:rsidRDefault="00EB5D02">
      <w:pPr>
        <w:spacing w:after="0" w:line="360" w:lineRule="auto"/>
        <w:rPr>
          <w:rFonts w:ascii="Arial" w:eastAsia="Arial" w:hAnsi="Arial" w:cs="Arial"/>
          <w:sz w:val="22"/>
          <w:szCs w:val="22"/>
        </w:rPr>
      </w:pPr>
      <w:r>
        <w:rPr>
          <w:rFonts w:ascii="Arial" w:eastAsia="Arial" w:hAnsi="Arial" w:cs="Arial"/>
          <w:b/>
          <w:i/>
          <w:color w:val="000000"/>
          <w:sz w:val="22"/>
          <w:szCs w:val="22"/>
        </w:rPr>
        <w:t>A stronger organisation - each department should have well-trained staff to carry out appropriate treatment of people </w:t>
      </w:r>
    </w:p>
    <w:p w:rsidR="00FE5B54" w:rsidRDefault="00EB5D02">
      <w:pPr>
        <w:spacing w:after="0" w:line="360" w:lineRule="auto"/>
        <w:rPr>
          <w:rFonts w:ascii="Arial" w:eastAsia="Arial" w:hAnsi="Arial" w:cs="Arial"/>
          <w:sz w:val="22"/>
          <w:szCs w:val="22"/>
        </w:rPr>
      </w:pPr>
      <w:r>
        <w:rPr>
          <w:rFonts w:ascii="Arial" w:eastAsia="Arial" w:hAnsi="Arial" w:cs="Arial"/>
          <w:i/>
          <w:color w:val="000000"/>
          <w:sz w:val="22"/>
          <w:szCs w:val="22"/>
          <w:u w:val="single"/>
        </w:rPr>
        <w:t>Plus</w:t>
      </w:r>
      <w:r>
        <w:rPr>
          <w:rFonts w:ascii="Arial" w:eastAsia="Arial" w:hAnsi="Arial" w:cs="Arial"/>
          <w:i/>
          <w:color w:val="000000"/>
          <w:sz w:val="22"/>
          <w:szCs w:val="22"/>
        </w:rPr>
        <w:t xml:space="preserve">: </w:t>
      </w:r>
      <w:r>
        <w:rPr>
          <w:rFonts w:ascii="Arial" w:eastAsia="Arial" w:hAnsi="Arial" w:cs="Arial"/>
          <w:color w:val="000000"/>
          <w:sz w:val="22"/>
          <w:szCs w:val="22"/>
        </w:rPr>
        <w:t>The main benefit of this strategy is the collective development of the organisational workforce. According to the postulation of Waters, (2022), healthcare staff need superior training and skills development opportunities to be capable of catering to the dynamic needs of patients in the sector. Through a stronger organisation and robust departmental training, the NHS can ensure that nurses and care providers have sufficient capabilities and expertise in their respective roles. Furthermore, smart workforce organisations can also aid in mitigating staff constraints in departments by distributing workers equally in every department.  </w:t>
      </w:r>
    </w:p>
    <w:p w:rsidR="00FE5B54" w:rsidRDefault="00EB5D02">
      <w:pPr>
        <w:spacing w:after="0" w:line="360" w:lineRule="auto"/>
        <w:rPr>
          <w:rFonts w:ascii="Arial" w:eastAsia="Arial" w:hAnsi="Arial" w:cs="Arial"/>
          <w:sz w:val="22"/>
          <w:szCs w:val="22"/>
        </w:rPr>
      </w:pPr>
      <w:r>
        <w:rPr>
          <w:rFonts w:ascii="Arial" w:eastAsia="Arial" w:hAnsi="Arial" w:cs="Arial"/>
          <w:i/>
          <w:color w:val="000000"/>
          <w:sz w:val="22"/>
          <w:szCs w:val="22"/>
          <w:u w:val="single"/>
        </w:rPr>
        <w:t>Minus</w:t>
      </w:r>
      <w:r>
        <w:rPr>
          <w:rFonts w:ascii="Arial" w:eastAsia="Arial" w:hAnsi="Arial" w:cs="Arial"/>
          <w:i/>
          <w:color w:val="000000"/>
          <w:sz w:val="22"/>
          <w:szCs w:val="22"/>
        </w:rPr>
        <w:t xml:space="preserve">: </w:t>
      </w:r>
      <w:r>
        <w:rPr>
          <w:rFonts w:ascii="Arial" w:eastAsia="Arial" w:hAnsi="Arial" w:cs="Arial"/>
          <w:color w:val="000000"/>
          <w:sz w:val="22"/>
          <w:szCs w:val="22"/>
        </w:rPr>
        <w:t>This solution requires a separate specialisation course within the organisation so that individuals can develop expertise in specific areas. Organisations of specific departmental training and learning programmes can be difficult to implement.</w:t>
      </w:r>
    </w:p>
    <w:p w:rsidR="000046C6" w:rsidRDefault="00EB5D02" w:rsidP="000046C6">
      <w:pPr>
        <w:spacing w:after="0" w:line="360" w:lineRule="auto"/>
        <w:rPr>
          <w:rFonts w:ascii="Arial" w:eastAsia="Arial" w:hAnsi="Arial" w:cs="Arial"/>
          <w:color w:val="000000"/>
          <w:sz w:val="22"/>
          <w:szCs w:val="22"/>
        </w:rPr>
      </w:pPr>
      <w:r>
        <w:rPr>
          <w:rFonts w:ascii="Arial" w:eastAsia="Arial" w:hAnsi="Arial" w:cs="Arial"/>
          <w:i/>
          <w:color w:val="000000"/>
          <w:sz w:val="22"/>
          <w:szCs w:val="22"/>
          <w:u w:val="single"/>
        </w:rPr>
        <w:t>Interesting:</w:t>
      </w:r>
      <w:r>
        <w:rPr>
          <w:rFonts w:ascii="Arial" w:eastAsia="Arial" w:hAnsi="Arial" w:cs="Arial"/>
          <w:i/>
          <w:color w:val="000000"/>
          <w:sz w:val="22"/>
          <w:szCs w:val="22"/>
        </w:rPr>
        <w:t xml:space="preserve"> </w:t>
      </w:r>
      <w:r>
        <w:rPr>
          <w:rFonts w:ascii="Arial" w:eastAsia="Arial" w:hAnsi="Arial" w:cs="Arial"/>
          <w:color w:val="000000"/>
          <w:sz w:val="22"/>
          <w:szCs w:val="22"/>
        </w:rPr>
        <w:t>As per the view of Waters, (2022), a clear and definite organisation of roles and responsibilities is beneficial for all institutions and enterprises. Hence, this solution can enhance the clarity of tasks for staff in every department.</w:t>
      </w:r>
      <w:bookmarkStart w:id="7" w:name="_heading=h.1t3h5sf" w:colFirst="0" w:colLast="0"/>
      <w:bookmarkEnd w:id="7"/>
    </w:p>
    <w:p w:rsidR="00FE5B54" w:rsidRPr="000046C6" w:rsidRDefault="00EB5D02" w:rsidP="000046C6">
      <w:pPr>
        <w:pStyle w:val="Heading1"/>
        <w:rPr>
          <w:rFonts w:ascii="Arial" w:eastAsia="Arial" w:hAnsi="Arial" w:cs="Arial"/>
          <w:sz w:val="22"/>
          <w:szCs w:val="22"/>
        </w:rPr>
      </w:pPr>
      <w:r w:rsidRPr="000046C6">
        <w:rPr>
          <w:rFonts w:ascii="Arial" w:eastAsia="Arial" w:hAnsi="Arial" w:cs="Arial"/>
          <w:sz w:val="22"/>
          <w:szCs w:val="22"/>
        </w:rPr>
        <w:t>Discussion on the success indicators to measure the effectiveness of these solutions </w:t>
      </w:r>
    </w:p>
    <w:p w:rsidR="00FE5B54" w:rsidRDefault="00EB5D02">
      <w:pPr>
        <w:pStyle w:val="Heading2"/>
        <w:spacing w:line="360" w:lineRule="auto"/>
        <w:rPr>
          <w:rFonts w:ascii="Arial" w:eastAsia="Arial" w:hAnsi="Arial" w:cs="Arial"/>
          <w:sz w:val="22"/>
          <w:szCs w:val="22"/>
        </w:rPr>
      </w:pPr>
      <w:bookmarkStart w:id="8" w:name="_heading=h.4d34og8" w:colFirst="0" w:colLast="0"/>
      <w:bookmarkEnd w:id="8"/>
      <w:r>
        <w:rPr>
          <w:rFonts w:ascii="Arial" w:eastAsia="Arial" w:hAnsi="Arial" w:cs="Arial"/>
          <w:sz w:val="22"/>
          <w:szCs w:val="22"/>
        </w:rPr>
        <w:t>Evaluation of the alternative solutions to absenteeism and the mitigation of the problems </w:t>
      </w:r>
    </w:p>
    <w:p w:rsidR="00FE5B54" w:rsidRDefault="00EB5D02">
      <w:pPr>
        <w:spacing w:after="0" w:line="360" w:lineRule="auto"/>
        <w:rPr>
          <w:rFonts w:ascii="Arial" w:eastAsia="Arial" w:hAnsi="Arial" w:cs="Arial"/>
          <w:sz w:val="22"/>
          <w:szCs w:val="22"/>
        </w:rPr>
      </w:pPr>
      <w:r>
        <w:rPr>
          <w:rFonts w:ascii="Arial" w:eastAsia="Arial" w:hAnsi="Arial" w:cs="Arial"/>
          <w:color w:val="000000"/>
          <w:sz w:val="22"/>
          <w:szCs w:val="22"/>
        </w:rPr>
        <w:t>The above fishbone diagram has listed key causes of staff shortage in the NHS. It has analysed the causes of the problem on three levels including students, equipment, and management. According to the PMI analysis, an increase in funding, organisation of departmental staff, and training, along with student empowerment through funding and scholarship programmes have been evaluated to be the most effective solutions for the problem of staff constraint in the National Health Service. The PMP analysis has analysed the solutions based on their plus points, minus points, and points of interest.</w:t>
      </w:r>
    </w:p>
    <w:p w:rsidR="00FE5B54" w:rsidRDefault="00EB5D02">
      <w:pPr>
        <w:spacing w:after="0" w:line="360" w:lineRule="auto"/>
        <w:rPr>
          <w:rFonts w:ascii="Arial" w:eastAsia="Arial" w:hAnsi="Arial" w:cs="Arial"/>
          <w:sz w:val="22"/>
          <w:szCs w:val="22"/>
        </w:rPr>
      </w:pPr>
      <w:r>
        <w:rPr>
          <w:rFonts w:ascii="Arial" w:eastAsia="Arial" w:hAnsi="Arial" w:cs="Arial"/>
          <w:color w:val="000000"/>
          <w:sz w:val="22"/>
          <w:szCs w:val="22"/>
        </w:rPr>
        <w:t xml:space="preserve">The developed solutions are effective in terms of addressing the high absenteeism in the organisation. As opined by Moscelli </w:t>
      </w:r>
      <w:r>
        <w:rPr>
          <w:rFonts w:ascii="Arial" w:eastAsia="Arial" w:hAnsi="Arial" w:cs="Arial"/>
          <w:i/>
          <w:color w:val="000000"/>
          <w:sz w:val="22"/>
          <w:szCs w:val="22"/>
        </w:rPr>
        <w:t>et al</w:t>
      </w:r>
      <w:r>
        <w:rPr>
          <w:rFonts w:ascii="Arial" w:eastAsia="Arial" w:hAnsi="Arial" w:cs="Arial"/>
          <w:color w:val="000000"/>
          <w:sz w:val="22"/>
          <w:szCs w:val="22"/>
        </w:rPr>
        <w:t>., (2022), a lack of motivation is the main reason for absenteeism in the workplace. The increased work pressure on existing staff has been leading to extreme exhaustion and dislike for the job. Moreover, the payment received by the staff is not justified by the amount of work they are delegated lowering their level of motivation. Therefore, increasing their wage by more funding in healthcare can improve their motivation while supportive programmes are likely to attract more students to fill the gaps in the workforce.</w:t>
      </w:r>
    </w:p>
    <w:p w:rsidR="00FE5B54" w:rsidRDefault="00FE5B54">
      <w:pPr>
        <w:spacing w:after="0" w:line="360" w:lineRule="auto"/>
        <w:jc w:val="left"/>
        <w:rPr>
          <w:rFonts w:ascii="Arial" w:eastAsia="Arial" w:hAnsi="Arial" w:cs="Arial"/>
          <w:sz w:val="22"/>
          <w:szCs w:val="22"/>
        </w:rPr>
      </w:pPr>
    </w:p>
    <w:p w:rsidR="00FE5B54" w:rsidRDefault="00EB5D02">
      <w:pPr>
        <w:pStyle w:val="Heading2"/>
        <w:spacing w:line="360" w:lineRule="auto"/>
        <w:rPr>
          <w:rFonts w:ascii="Arial" w:eastAsia="Arial" w:hAnsi="Arial" w:cs="Arial"/>
          <w:sz w:val="22"/>
          <w:szCs w:val="22"/>
        </w:rPr>
      </w:pPr>
      <w:bookmarkStart w:id="9" w:name="_heading=h.2s8eyo1" w:colFirst="0" w:colLast="0"/>
      <w:bookmarkEnd w:id="9"/>
      <w:r>
        <w:rPr>
          <w:rFonts w:ascii="Arial" w:eastAsia="Arial" w:hAnsi="Arial" w:cs="Arial"/>
          <w:sz w:val="22"/>
          <w:szCs w:val="22"/>
        </w:rPr>
        <w:t>Indicators for the effectiveness of the solutions</w:t>
      </w:r>
    </w:p>
    <w:p w:rsidR="00FE5B54" w:rsidRDefault="00EB5D02">
      <w:pPr>
        <w:spacing w:after="0" w:line="360" w:lineRule="auto"/>
        <w:rPr>
          <w:rFonts w:ascii="Arial" w:eastAsia="Arial" w:hAnsi="Arial" w:cs="Arial"/>
          <w:sz w:val="22"/>
          <w:szCs w:val="22"/>
        </w:rPr>
      </w:pPr>
      <w:r>
        <w:rPr>
          <w:rFonts w:ascii="Arial" w:eastAsia="Arial" w:hAnsi="Arial" w:cs="Arial"/>
          <w:i/>
          <w:color w:val="000000"/>
          <w:sz w:val="22"/>
          <w:szCs w:val="22"/>
          <w:u w:val="single"/>
        </w:rPr>
        <w:t>Staff satisfaction</w:t>
      </w:r>
      <w:r>
        <w:rPr>
          <w:rFonts w:ascii="Arial" w:eastAsia="Arial" w:hAnsi="Arial" w:cs="Arial"/>
          <w:i/>
          <w:color w:val="000000"/>
          <w:sz w:val="22"/>
          <w:szCs w:val="22"/>
        </w:rPr>
        <w:t xml:space="preserve">: </w:t>
      </w:r>
      <w:r>
        <w:rPr>
          <w:rFonts w:ascii="Arial" w:eastAsia="Arial" w:hAnsi="Arial" w:cs="Arial"/>
          <w:color w:val="000000"/>
          <w:sz w:val="22"/>
          <w:szCs w:val="22"/>
        </w:rPr>
        <w:t>The NHS must assess the satisfaction rate of its staff on a regular interval to measure the effectiveness of the plan. It can indicate whether the pressure on the staff has decreased or not as well as whether the salary paid by the employer justifies their work.</w:t>
      </w:r>
    </w:p>
    <w:p w:rsidR="00FE5B54" w:rsidRDefault="00EB5D02">
      <w:pPr>
        <w:spacing w:after="0" w:line="360" w:lineRule="auto"/>
        <w:rPr>
          <w:rFonts w:ascii="Arial" w:eastAsia="Arial" w:hAnsi="Arial" w:cs="Arial"/>
          <w:sz w:val="22"/>
          <w:szCs w:val="22"/>
        </w:rPr>
      </w:pPr>
      <w:r>
        <w:rPr>
          <w:rFonts w:ascii="Arial" w:eastAsia="Arial" w:hAnsi="Arial" w:cs="Arial"/>
          <w:i/>
          <w:color w:val="000000"/>
          <w:sz w:val="22"/>
          <w:szCs w:val="22"/>
          <w:u w:val="single"/>
        </w:rPr>
        <w:t>Staff turnover rate</w:t>
      </w:r>
      <w:r>
        <w:rPr>
          <w:rFonts w:ascii="Arial" w:eastAsia="Arial" w:hAnsi="Arial" w:cs="Arial"/>
          <w:i/>
          <w:color w:val="000000"/>
          <w:sz w:val="22"/>
          <w:szCs w:val="22"/>
        </w:rPr>
        <w:t xml:space="preserve">: </w:t>
      </w:r>
      <w:r>
        <w:rPr>
          <w:rFonts w:ascii="Arial" w:eastAsia="Arial" w:hAnsi="Arial" w:cs="Arial"/>
          <w:color w:val="000000"/>
          <w:sz w:val="22"/>
          <w:szCs w:val="22"/>
        </w:rPr>
        <w:t xml:space="preserve">According to the opinion of Houseworth </w:t>
      </w:r>
      <w:r>
        <w:rPr>
          <w:rFonts w:ascii="Arial" w:eastAsia="Arial" w:hAnsi="Arial" w:cs="Arial"/>
          <w:i/>
          <w:color w:val="000000"/>
          <w:sz w:val="22"/>
          <w:szCs w:val="22"/>
        </w:rPr>
        <w:t>et al</w:t>
      </w:r>
      <w:r>
        <w:rPr>
          <w:rFonts w:ascii="Arial" w:eastAsia="Arial" w:hAnsi="Arial" w:cs="Arial"/>
          <w:color w:val="000000"/>
          <w:sz w:val="22"/>
          <w:szCs w:val="22"/>
        </w:rPr>
        <w:t>., (2022, p. 197), the success of an employee development programme can be judged based on the rate of their turnover.  In the case the turnover of nurses in the NHS remains the same or increases in the next 1 or 2 years, it indicates that the plan has been a failure. On the other hand, a low turnover rate would indicate the effectiveness of the new plan.</w:t>
      </w:r>
    </w:p>
    <w:p w:rsidR="00FE5B54" w:rsidRDefault="00EB5D02">
      <w:pPr>
        <w:spacing w:after="0" w:line="360" w:lineRule="auto"/>
        <w:rPr>
          <w:rFonts w:ascii="Arial" w:eastAsia="Arial" w:hAnsi="Arial" w:cs="Arial"/>
          <w:sz w:val="22"/>
          <w:szCs w:val="22"/>
        </w:rPr>
      </w:pPr>
      <w:r>
        <w:rPr>
          <w:rFonts w:ascii="Arial" w:eastAsia="Arial" w:hAnsi="Arial" w:cs="Arial"/>
          <w:i/>
          <w:color w:val="000000"/>
          <w:sz w:val="22"/>
          <w:szCs w:val="22"/>
          <w:u w:val="single"/>
        </w:rPr>
        <w:t>The number of new staff</w:t>
      </w:r>
      <w:r>
        <w:rPr>
          <w:rFonts w:ascii="Arial" w:eastAsia="Arial" w:hAnsi="Arial" w:cs="Arial"/>
          <w:color w:val="000000"/>
          <w:sz w:val="22"/>
          <w:szCs w:val="22"/>
        </w:rPr>
        <w:t>: The key purpose of the solutions developed above is the mitigation of staff shortage and restoration of job attractiveness in the healthcare service of the NHS. Therefore, the number of new recruits can indicate the appeal of the job positions. A higher number will simply an improved attractiveness of the job offer.</w:t>
      </w:r>
    </w:p>
    <w:p w:rsidR="00FE5B54" w:rsidRDefault="00EB5D02">
      <w:pPr>
        <w:spacing w:after="0" w:line="360" w:lineRule="auto"/>
        <w:rPr>
          <w:rFonts w:ascii="Arial" w:eastAsia="Arial" w:hAnsi="Arial" w:cs="Arial"/>
          <w:sz w:val="22"/>
          <w:szCs w:val="22"/>
        </w:rPr>
      </w:pPr>
      <w:r>
        <w:rPr>
          <w:rFonts w:ascii="Arial" w:eastAsia="Arial" w:hAnsi="Arial" w:cs="Arial"/>
          <w:i/>
          <w:color w:val="000000"/>
          <w:sz w:val="22"/>
          <w:szCs w:val="22"/>
          <w:u w:val="single"/>
        </w:rPr>
        <w:t>Patient satisfaction rate</w:t>
      </w:r>
      <w:r>
        <w:rPr>
          <w:rFonts w:ascii="Arial" w:eastAsia="Arial" w:hAnsi="Arial" w:cs="Arial"/>
          <w:i/>
          <w:color w:val="000000"/>
          <w:sz w:val="22"/>
          <w:szCs w:val="22"/>
        </w:rPr>
        <w:t xml:space="preserve">: </w:t>
      </w:r>
      <w:r>
        <w:rPr>
          <w:rFonts w:ascii="Arial" w:eastAsia="Arial" w:hAnsi="Arial" w:cs="Arial"/>
          <w:color w:val="000000"/>
          <w:sz w:val="22"/>
          <w:szCs w:val="22"/>
        </w:rPr>
        <w:t>All organisations need to conduct patient surveys and take feedback from them to assess organisational performance and service quality (Sizmur and Raleigh, 2018, p. 24). Therefore, the NHS should ask patients for their feedback and survey them regarding service delivery and their experience within the organisation. It can indicate positive or negative changes in the workforce capabilities and delivery of services after the implementation of the plan.</w:t>
      </w:r>
    </w:p>
    <w:p w:rsidR="00FE5B54" w:rsidRDefault="00EB5D02">
      <w:pPr>
        <w:spacing w:after="0" w:line="360" w:lineRule="auto"/>
        <w:rPr>
          <w:rFonts w:ascii="Arial" w:eastAsia="Arial" w:hAnsi="Arial" w:cs="Arial"/>
          <w:color w:val="000000"/>
          <w:sz w:val="22"/>
          <w:szCs w:val="22"/>
        </w:rPr>
      </w:pPr>
      <w:r>
        <w:rPr>
          <w:rFonts w:ascii="Arial" w:eastAsia="Arial" w:hAnsi="Arial" w:cs="Arial"/>
          <w:i/>
          <w:color w:val="000000"/>
          <w:sz w:val="22"/>
          <w:szCs w:val="22"/>
          <w:u w:val="single"/>
        </w:rPr>
        <w:t>Waiting list of patients</w:t>
      </w:r>
      <w:r>
        <w:rPr>
          <w:rFonts w:ascii="Arial" w:eastAsia="Arial" w:hAnsi="Arial" w:cs="Arial"/>
          <w:i/>
          <w:color w:val="000000"/>
          <w:sz w:val="22"/>
          <w:szCs w:val="22"/>
        </w:rPr>
        <w:t xml:space="preserve">: </w:t>
      </w:r>
      <w:r>
        <w:rPr>
          <w:rFonts w:ascii="Arial" w:eastAsia="Arial" w:hAnsi="Arial" w:cs="Arial"/>
          <w:color w:val="000000"/>
          <w:sz w:val="22"/>
          <w:szCs w:val="22"/>
        </w:rPr>
        <w:t>At present, the patient waiting list in the NHS is high due to the shortage of staff and the inability of the patients. Therefore, the organisation should review and monitor the waiting lists after plan implementation to see the efficacy of the plan to cater to the needs of patients.</w:t>
      </w:r>
    </w:p>
    <w:p w:rsidR="00FE5B54" w:rsidRPr="000046C6" w:rsidRDefault="00EB5D02">
      <w:pPr>
        <w:spacing w:after="0" w:line="360" w:lineRule="auto"/>
        <w:rPr>
          <w:rFonts w:ascii="Arial" w:eastAsia="Arial" w:hAnsi="Arial" w:cs="Arial"/>
          <w:b/>
          <w:color w:val="FF0000"/>
          <w:sz w:val="22"/>
          <w:szCs w:val="22"/>
        </w:rPr>
      </w:pPr>
      <w:r>
        <w:rPr>
          <w:rFonts w:ascii="Arial" w:eastAsia="Arial" w:hAnsi="Arial" w:cs="Arial"/>
          <w:b/>
          <w:color w:val="FF0000"/>
          <w:sz w:val="22"/>
          <w:szCs w:val="22"/>
        </w:rPr>
        <w:t>Action Plan</w:t>
      </w:r>
    </w:p>
    <w:tbl>
      <w:tblPr>
        <w:tblStyle w:val="a"/>
        <w:tblW w:w="9015"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18"/>
        <w:gridCol w:w="1512"/>
        <w:gridCol w:w="1590"/>
        <w:gridCol w:w="1785"/>
        <w:gridCol w:w="1530"/>
        <w:gridCol w:w="1080"/>
      </w:tblGrid>
      <w:tr w:rsidR="00FE5B54" w:rsidTr="00072CA3">
        <w:tc>
          <w:tcPr>
            <w:tcW w:w="1518" w:type="dxa"/>
            <w:shd w:val="clear" w:color="auto" w:fill="auto"/>
            <w:tcMar>
              <w:top w:w="100" w:type="dxa"/>
              <w:left w:w="100" w:type="dxa"/>
              <w:bottom w:w="100" w:type="dxa"/>
              <w:right w:w="100" w:type="dxa"/>
            </w:tcMar>
          </w:tcPr>
          <w:p w:rsidR="00FE5B54" w:rsidRDefault="00EB5D02">
            <w:pPr>
              <w:widowControl w:val="0"/>
              <w:pBdr>
                <w:top w:val="nil"/>
                <w:left w:val="nil"/>
                <w:bottom w:val="nil"/>
                <w:right w:val="nil"/>
                <w:between w:val="nil"/>
              </w:pBdr>
              <w:spacing w:after="0" w:line="240" w:lineRule="auto"/>
              <w:jc w:val="left"/>
              <w:rPr>
                <w:rFonts w:ascii="Arial" w:eastAsia="Arial" w:hAnsi="Arial" w:cs="Arial"/>
                <w:b/>
                <w:color w:val="FF0000"/>
                <w:sz w:val="22"/>
                <w:szCs w:val="22"/>
              </w:rPr>
            </w:pPr>
            <w:r>
              <w:rPr>
                <w:rFonts w:ascii="Arial" w:eastAsia="Arial" w:hAnsi="Arial" w:cs="Arial"/>
                <w:b/>
                <w:color w:val="FF0000"/>
                <w:sz w:val="22"/>
                <w:szCs w:val="22"/>
              </w:rPr>
              <w:t>Objective</w:t>
            </w:r>
          </w:p>
        </w:tc>
        <w:tc>
          <w:tcPr>
            <w:tcW w:w="1512" w:type="dxa"/>
            <w:shd w:val="clear" w:color="auto" w:fill="auto"/>
            <w:tcMar>
              <w:top w:w="100" w:type="dxa"/>
              <w:left w:w="100" w:type="dxa"/>
              <w:bottom w:w="100" w:type="dxa"/>
              <w:right w:w="100" w:type="dxa"/>
            </w:tcMar>
          </w:tcPr>
          <w:p w:rsidR="00FE5B54" w:rsidRDefault="00EB5D02">
            <w:pPr>
              <w:widowControl w:val="0"/>
              <w:pBdr>
                <w:top w:val="nil"/>
                <w:left w:val="nil"/>
                <w:bottom w:val="nil"/>
                <w:right w:val="nil"/>
                <w:between w:val="nil"/>
              </w:pBdr>
              <w:spacing w:after="0" w:line="240" w:lineRule="auto"/>
              <w:jc w:val="left"/>
              <w:rPr>
                <w:rFonts w:ascii="Arial" w:eastAsia="Arial" w:hAnsi="Arial" w:cs="Arial"/>
                <w:b/>
                <w:color w:val="FF0000"/>
                <w:sz w:val="22"/>
                <w:szCs w:val="22"/>
              </w:rPr>
            </w:pPr>
            <w:r>
              <w:rPr>
                <w:rFonts w:ascii="Arial" w:eastAsia="Arial" w:hAnsi="Arial" w:cs="Arial"/>
                <w:b/>
                <w:color w:val="FF0000"/>
                <w:sz w:val="22"/>
                <w:szCs w:val="22"/>
              </w:rPr>
              <w:t>Specific</w:t>
            </w:r>
          </w:p>
        </w:tc>
        <w:tc>
          <w:tcPr>
            <w:tcW w:w="1590" w:type="dxa"/>
            <w:shd w:val="clear" w:color="auto" w:fill="auto"/>
            <w:tcMar>
              <w:top w:w="100" w:type="dxa"/>
              <w:left w:w="100" w:type="dxa"/>
              <w:bottom w:w="100" w:type="dxa"/>
              <w:right w:w="100" w:type="dxa"/>
            </w:tcMar>
          </w:tcPr>
          <w:p w:rsidR="00FE5B54" w:rsidRDefault="00EB5D02">
            <w:pPr>
              <w:widowControl w:val="0"/>
              <w:pBdr>
                <w:top w:val="nil"/>
                <w:left w:val="nil"/>
                <w:bottom w:val="nil"/>
                <w:right w:val="nil"/>
                <w:between w:val="nil"/>
              </w:pBdr>
              <w:spacing w:after="0" w:line="240" w:lineRule="auto"/>
              <w:jc w:val="left"/>
              <w:rPr>
                <w:rFonts w:ascii="Arial" w:eastAsia="Arial" w:hAnsi="Arial" w:cs="Arial"/>
                <w:b/>
                <w:color w:val="FF0000"/>
                <w:sz w:val="22"/>
                <w:szCs w:val="22"/>
              </w:rPr>
            </w:pPr>
            <w:r>
              <w:rPr>
                <w:rFonts w:ascii="Arial" w:eastAsia="Arial" w:hAnsi="Arial" w:cs="Arial"/>
                <w:b/>
                <w:color w:val="FF0000"/>
                <w:sz w:val="22"/>
                <w:szCs w:val="22"/>
              </w:rPr>
              <w:t>Measurable</w:t>
            </w:r>
          </w:p>
        </w:tc>
        <w:tc>
          <w:tcPr>
            <w:tcW w:w="1785" w:type="dxa"/>
            <w:shd w:val="clear" w:color="auto" w:fill="auto"/>
            <w:tcMar>
              <w:top w:w="100" w:type="dxa"/>
              <w:left w:w="100" w:type="dxa"/>
              <w:bottom w:w="100" w:type="dxa"/>
              <w:right w:w="100" w:type="dxa"/>
            </w:tcMar>
          </w:tcPr>
          <w:p w:rsidR="00FE5B54" w:rsidRDefault="00EB5D02">
            <w:pPr>
              <w:widowControl w:val="0"/>
              <w:pBdr>
                <w:top w:val="nil"/>
                <w:left w:val="nil"/>
                <w:bottom w:val="nil"/>
                <w:right w:val="nil"/>
                <w:between w:val="nil"/>
              </w:pBdr>
              <w:spacing w:after="0" w:line="240" w:lineRule="auto"/>
              <w:jc w:val="left"/>
              <w:rPr>
                <w:rFonts w:ascii="Arial" w:eastAsia="Arial" w:hAnsi="Arial" w:cs="Arial"/>
                <w:b/>
                <w:color w:val="FF0000"/>
                <w:sz w:val="22"/>
                <w:szCs w:val="22"/>
              </w:rPr>
            </w:pPr>
            <w:r>
              <w:rPr>
                <w:rFonts w:ascii="Arial" w:eastAsia="Arial" w:hAnsi="Arial" w:cs="Arial"/>
                <w:b/>
                <w:color w:val="FF0000"/>
                <w:sz w:val="22"/>
                <w:szCs w:val="22"/>
              </w:rPr>
              <w:t>Attainable</w:t>
            </w:r>
          </w:p>
        </w:tc>
        <w:tc>
          <w:tcPr>
            <w:tcW w:w="1530" w:type="dxa"/>
            <w:shd w:val="clear" w:color="auto" w:fill="auto"/>
            <w:tcMar>
              <w:top w:w="100" w:type="dxa"/>
              <w:left w:w="100" w:type="dxa"/>
              <w:bottom w:w="100" w:type="dxa"/>
              <w:right w:w="100" w:type="dxa"/>
            </w:tcMar>
          </w:tcPr>
          <w:p w:rsidR="00FE5B54" w:rsidRDefault="00EB5D02">
            <w:pPr>
              <w:widowControl w:val="0"/>
              <w:pBdr>
                <w:top w:val="nil"/>
                <w:left w:val="nil"/>
                <w:bottom w:val="nil"/>
                <w:right w:val="nil"/>
                <w:between w:val="nil"/>
              </w:pBdr>
              <w:spacing w:after="0" w:line="240" w:lineRule="auto"/>
              <w:jc w:val="left"/>
              <w:rPr>
                <w:rFonts w:ascii="Arial" w:eastAsia="Arial" w:hAnsi="Arial" w:cs="Arial"/>
                <w:b/>
                <w:color w:val="FF0000"/>
                <w:sz w:val="22"/>
                <w:szCs w:val="22"/>
              </w:rPr>
            </w:pPr>
            <w:r>
              <w:rPr>
                <w:rFonts w:ascii="Arial" w:eastAsia="Arial" w:hAnsi="Arial" w:cs="Arial"/>
                <w:b/>
                <w:color w:val="FF0000"/>
                <w:sz w:val="22"/>
                <w:szCs w:val="22"/>
              </w:rPr>
              <w:t>Realistic</w:t>
            </w:r>
          </w:p>
        </w:tc>
        <w:tc>
          <w:tcPr>
            <w:tcW w:w="1080" w:type="dxa"/>
            <w:shd w:val="clear" w:color="auto" w:fill="auto"/>
            <w:tcMar>
              <w:top w:w="100" w:type="dxa"/>
              <w:left w:w="100" w:type="dxa"/>
              <w:bottom w:w="100" w:type="dxa"/>
              <w:right w:w="100" w:type="dxa"/>
            </w:tcMar>
          </w:tcPr>
          <w:p w:rsidR="00FE5B54" w:rsidRDefault="00EB5D02">
            <w:pPr>
              <w:widowControl w:val="0"/>
              <w:pBdr>
                <w:top w:val="nil"/>
                <w:left w:val="nil"/>
                <w:bottom w:val="nil"/>
                <w:right w:val="nil"/>
                <w:between w:val="nil"/>
              </w:pBdr>
              <w:spacing w:after="0" w:line="240" w:lineRule="auto"/>
              <w:jc w:val="left"/>
              <w:rPr>
                <w:rFonts w:ascii="Arial" w:eastAsia="Arial" w:hAnsi="Arial" w:cs="Arial"/>
                <w:b/>
                <w:color w:val="FF0000"/>
                <w:sz w:val="22"/>
                <w:szCs w:val="22"/>
              </w:rPr>
            </w:pPr>
            <w:r>
              <w:rPr>
                <w:rFonts w:ascii="Arial" w:eastAsia="Arial" w:hAnsi="Arial" w:cs="Arial"/>
                <w:b/>
                <w:color w:val="FF0000"/>
                <w:sz w:val="22"/>
                <w:szCs w:val="22"/>
              </w:rPr>
              <w:t>Time Bound</w:t>
            </w:r>
          </w:p>
        </w:tc>
      </w:tr>
      <w:tr w:rsidR="00FE5B54" w:rsidTr="00072CA3">
        <w:tc>
          <w:tcPr>
            <w:tcW w:w="1518" w:type="dxa"/>
            <w:shd w:val="clear" w:color="auto" w:fill="auto"/>
            <w:tcMar>
              <w:top w:w="100" w:type="dxa"/>
              <w:left w:w="100" w:type="dxa"/>
              <w:bottom w:w="100" w:type="dxa"/>
              <w:right w:w="100" w:type="dxa"/>
            </w:tcMar>
          </w:tcPr>
          <w:p w:rsidR="00FE5B54" w:rsidRDefault="00EB5D02">
            <w:pPr>
              <w:widowControl w:val="0"/>
              <w:pBdr>
                <w:top w:val="nil"/>
                <w:left w:val="nil"/>
                <w:bottom w:val="nil"/>
                <w:right w:val="nil"/>
                <w:between w:val="nil"/>
              </w:pBdr>
              <w:spacing w:after="0" w:line="240" w:lineRule="auto"/>
              <w:jc w:val="left"/>
              <w:rPr>
                <w:rFonts w:ascii="Arial" w:eastAsia="Arial" w:hAnsi="Arial" w:cs="Arial"/>
                <w:b/>
                <w:color w:val="FF0000"/>
                <w:sz w:val="22"/>
                <w:szCs w:val="22"/>
              </w:rPr>
            </w:pPr>
            <w:r>
              <w:rPr>
                <w:rFonts w:ascii="Arial" w:eastAsia="Arial" w:hAnsi="Arial" w:cs="Arial"/>
                <w:b/>
                <w:color w:val="FF0000"/>
                <w:sz w:val="22"/>
                <w:szCs w:val="22"/>
              </w:rPr>
              <w:t xml:space="preserve">Employee engagement </w:t>
            </w:r>
          </w:p>
        </w:tc>
        <w:tc>
          <w:tcPr>
            <w:tcW w:w="1512" w:type="dxa"/>
            <w:shd w:val="clear" w:color="auto" w:fill="auto"/>
            <w:tcMar>
              <w:top w:w="100" w:type="dxa"/>
              <w:left w:w="100" w:type="dxa"/>
              <w:bottom w:w="100" w:type="dxa"/>
              <w:right w:w="100" w:type="dxa"/>
            </w:tcMar>
          </w:tcPr>
          <w:p w:rsidR="00FE5B54" w:rsidRDefault="00EB5D02">
            <w:pPr>
              <w:widowControl w:val="0"/>
              <w:pBdr>
                <w:top w:val="nil"/>
                <w:left w:val="nil"/>
                <w:bottom w:val="nil"/>
                <w:right w:val="nil"/>
                <w:between w:val="nil"/>
              </w:pBdr>
              <w:spacing w:after="0" w:line="360" w:lineRule="auto"/>
              <w:rPr>
                <w:rFonts w:ascii="Arial" w:eastAsia="Arial" w:hAnsi="Arial" w:cs="Arial"/>
                <w:color w:val="FF0000"/>
                <w:sz w:val="22"/>
                <w:szCs w:val="22"/>
              </w:rPr>
            </w:pPr>
            <w:r>
              <w:rPr>
                <w:rFonts w:ascii="Arial" w:eastAsia="Arial" w:hAnsi="Arial" w:cs="Arial"/>
                <w:color w:val="FF0000"/>
                <w:sz w:val="22"/>
                <w:szCs w:val="22"/>
              </w:rPr>
              <w:t xml:space="preserve">Employee engagement is needed to conceive more potentially engaged employees in the NHS who could commit their responsibility to favour better healthcare.  </w:t>
            </w:r>
          </w:p>
        </w:tc>
        <w:tc>
          <w:tcPr>
            <w:tcW w:w="1590" w:type="dxa"/>
            <w:shd w:val="clear" w:color="auto" w:fill="auto"/>
            <w:tcMar>
              <w:top w:w="100" w:type="dxa"/>
              <w:left w:w="100" w:type="dxa"/>
              <w:bottom w:w="100" w:type="dxa"/>
              <w:right w:w="100" w:type="dxa"/>
            </w:tcMar>
          </w:tcPr>
          <w:p w:rsidR="00FE5B54" w:rsidRDefault="00EB5D02">
            <w:pPr>
              <w:widowControl w:val="0"/>
              <w:pBdr>
                <w:top w:val="nil"/>
                <w:left w:val="nil"/>
                <w:bottom w:val="nil"/>
                <w:right w:val="nil"/>
                <w:between w:val="nil"/>
              </w:pBdr>
              <w:spacing w:after="0" w:line="360" w:lineRule="auto"/>
              <w:rPr>
                <w:rFonts w:ascii="Arial" w:eastAsia="Arial" w:hAnsi="Arial" w:cs="Arial"/>
                <w:color w:val="FF0000"/>
                <w:sz w:val="22"/>
                <w:szCs w:val="22"/>
              </w:rPr>
            </w:pPr>
            <w:r>
              <w:rPr>
                <w:rFonts w:ascii="Arial" w:eastAsia="Arial" w:hAnsi="Arial" w:cs="Arial"/>
                <w:color w:val="FF0000"/>
                <w:sz w:val="22"/>
                <w:szCs w:val="22"/>
              </w:rPr>
              <w:t xml:space="preserve">Employee engagement could be measured by raising socialness and tolerance factor among diverse staff who could merge their expertise to form a potential workforce. </w:t>
            </w:r>
          </w:p>
        </w:tc>
        <w:tc>
          <w:tcPr>
            <w:tcW w:w="1785" w:type="dxa"/>
            <w:shd w:val="clear" w:color="auto" w:fill="auto"/>
            <w:tcMar>
              <w:top w:w="100" w:type="dxa"/>
              <w:left w:w="100" w:type="dxa"/>
              <w:bottom w:w="100" w:type="dxa"/>
              <w:right w:w="100" w:type="dxa"/>
            </w:tcMar>
          </w:tcPr>
          <w:p w:rsidR="00FE5B54" w:rsidRDefault="00EB5D02">
            <w:pPr>
              <w:widowControl w:val="0"/>
              <w:pBdr>
                <w:top w:val="nil"/>
                <w:left w:val="nil"/>
                <w:bottom w:val="nil"/>
                <w:right w:val="nil"/>
                <w:between w:val="nil"/>
              </w:pBdr>
              <w:spacing w:after="0" w:line="360" w:lineRule="auto"/>
              <w:rPr>
                <w:rFonts w:ascii="Arial" w:eastAsia="Arial" w:hAnsi="Arial" w:cs="Arial"/>
                <w:color w:val="FF0000"/>
                <w:sz w:val="22"/>
                <w:szCs w:val="22"/>
              </w:rPr>
            </w:pPr>
            <w:r>
              <w:rPr>
                <w:rFonts w:ascii="Arial" w:eastAsia="Arial" w:hAnsi="Arial" w:cs="Arial"/>
                <w:color w:val="FF0000"/>
                <w:sz w:val="22"/>
                <w:szCs w:val="22"/>
              </w:rPr>
              <w:t xml:space="preserve">For employee engagement staff would be required to attain webinar sessions, training activities and group activities where they could mark each other's efficiency and raise engagement utility. </w:t>
            </w:r>
          </w:p>
        </w:tc>
        <w:tc>
          <w:tcPr>
            <w:tcW w:w="1530" w:type="dxa"/>
            <w:shd w:val="clear" w:color="auto" w:fill="auto"/>
            <w:tcMar>
              <w:top w:w="100" w:type="dxa"/>
              <w:left w:w="100" w:type="dxa"/>
              <w:bottom w:w="100" w:type="dxa"/>
              <w:right w:w="100" w:type="dxa"/>
            </w:tcMar>
          </w:tcPr>
          <w:p w:rsidR="00FE5B54" w:rsidRDefault="00EB5D02">
            <w:pPr>
              <w:widowControl w:val="0"/>
              <w:pBdr>
                <w:top w:val="nil"/>
                <w:left w:val="nil"/>
                <w:bottom w:val="nil"/>
                <w:right w:val="nil"/>
                <w:between w:val="nil"/>
              </w:pBdr>
              <w:spacing w:after="0" w:line="360" w:lineRule="auto"/>
              <w:rPr>
                <w:rFonts w:ascii="Arial" w:eastAsia="Arial" w:hAnsi="Arial" w:cs="Arial"/>
                <w:color w:val="FF0000"/>
                <w:sz w:val="22"/>
                <w:szCs w:val="22"/>
              </w:rPr>
            </w:pPr>
            <w:r>
              <w:rPr>
                <w:rFonts w:ascii="Arial" w:eastAsia="Arial" w:hAnsi="Arial" w:cs="Arial"/>
                <w:color w:val="FF0000"/>
                <w:sz w:val="22"/>
                <w:szCs w:val="22"/>
              </w:rPr>
              <w:t xml:space="preserve">Employee engagement helps in boosting the diversification factor at NHS and it would definitely raise staff towards a potentially advanced level where they could ensure their retention for completing duties at NHS.  </w:t>
            </w:r>
          </w:p>
        </w:tc>
        <w:tc>
          <w:tcPr>
            <w:tcW w:w="1080" w:type="dxa"/>
            <w:shd w:val="clear" w:color="auto" w:fill="auto"/>
            <w:tcMar>
              <w:top w:w="100" w:type="dxa"/>
              <w:left w:w="100" w:type="dxa"/>
              <w:bottom w:w="100" w:type="dxa"/>
              <w:right w:w="100" w:type="dxa"/>
            </w:tcMar>
          </w:tcPr>
          <w:p w:rsidR="00FE5B54" w:rsidRDefault="00EB5D02">
            <w:pPr>
              <w:widowControl w:val="0"/>
              <w:pBdr>
                <w:top w:val="nil"/>
                <w:left w:val="nil"/>
                <w:bottom w:val="nil"/>
                <w:right w:val="nil"/>
                <w:between w:val="nil"/>
              </w:pBdr>
              <w:spacing w:after="0" w:line="360" w:lineRule="auto"/>
              <w:rPr>
                <w:rFonts w:ascii="Arial" w:eastAsia="Arial" w:hAnsi="Arial" w:cs="Arial"/>
                <w:color w:val="FF0000"/>
                <w:sz w:val="22"/>
                <w:szCs w:val="22"/>
              </w:rPr>
            </w:pPr>
            <w:r>
              <w:rPr>
                <w:rFonts w:ascii="Arial" w:eastAsia="Arial" w:hAnsi="Arial" w:cs="Arial"/>
                <w:color w:val="FF0000"/>
                <w:sz w:val="22"/>
                <w:szCs w:val="22"/>
              </w:rPr>
              <w:t>3 months</w:t>
            </w:r>
          </w:p>
        </w:tc>
      </w:tr>
      <w:tr w:rsidR="00FE5B54" w:rsidTr="00072CA3">
        <w:tc>
          <w:tcPr>
            <w:tcW w:w="1518" w:type="dxa"/>
            <w:shd w:val="clear" w:color="auto" w:fill="auto"/>
            <w:tcMar>
              <w:top w:w="100" w:type="dxa"/>
              <w:left w:w="100" w:type="dxa"/>
              <w:bottom w:w="100" w:type="dxa"/>
              <w:right w:w="100" w:type="dxa"/>
            </w:tcMar>
          </w:tcPr>
          <w:p w:rsidR="00FE5B54" w:rsidRDefault="00EB5D02">
            <w:pPr>
              <w:widowControl w:val="0"/>
              <w:pBdr>
                <w:top w:val="nil"/>
                <w:left w:val="nil"/>
                <w:bottom w:val="nil"/>
                <w:right w:val="nil"/>
                <w:between w:val="nil"/>
              </w:pBdr>
              <w:spacing w:after="0" w:line="240" w:lineRule="auto"/>
              <w:jc w:val="left"/>
              <w:rPr>
                <w:rFonts w:ascii="Arial" w:eastAsia="Arial" w:hAnsi="Arial" w:cs="Arial"/>
                <w:b/>
                <w:color w:val="FF0000"/>
                <w:sz w:val="22"/>
                <w:szCs w:val="22"/>
              </w:rPr>
            </w:pPr>
            <w:r>
              <w:rPr>
                <w:rFonts w:ascii="Arial" w:eastAsia="Arial" w:hAnsi="Arial" w:cs="Arial"/>
                <w:b/>
                <w:color w:val="FF0000"/>
                <w:sz w:val="22"/>
                <w:szCs w:val="22"/>
              </w:rPr>
              <w:t xml:space="preserve">Staff   training </w:t>
            </w:r>
          </w:p>
        </w:tc>
        <w:tc>
          <w:tcPr>
            <w:tcW w:w="1512" w:type="dxa"/>
            <w:shd w:val="clear" w:color="auto" w:fill="auto"/>
            <w:tcMar>
              <w:top w:w="100" w:type="dxa"/>
              <w:left w:w="100" w:type="dxa"/>
              <w:bottom w:w="100" w:type="dxa"/>
              <w:right w:w="100" w:type="dxa"/>
            </w:tcMar>
          </w:tcPr>
          <w:p w:rsidR="00FE5B54" w:rsidRDefault="00EB5D02">
            <w:pPr>
              <w:widowControl w:val="0"/>
              <w:pBdr>
                <w:top w:val="nil"/>
                <w:left w:val="nil"/>
                <w:bottom w:val="nil"/>
                <w:right w:val="nil"/>
                <w:between w:val="nil"/>
              </w:pBdr>
              <w:spacing w:after="0" w:line="360" w:lineRule="auto"/>
              <w:rPr>
                <w:rFonts w:ascii="Arial" w:eastAsia="Arial" w:hAnsi="Arial" w:cs="Arial"/>
                <w:color w:val="FF0000"/>
                <w:sz w:val="22"/>
                <w:szCs w:val="22"/>
              </w:rPr>
            </w:pPr>
            <w:r>
              <w:rPr>
                <w:rFonts w:ascii="Arial" w:eastAsia="Arial" w:hAnsi="Arial" w:cs="Arial"/>
                <w:color w:val="FF0000"/>
                <w:sz w:val="22"/>
                <w:szCs w:val="22"/>
              </w:rPr>
              <w:t xml:space="preserve">Staff training at NHS is required to provide the patients with proper treatment which is needed highly to retain the trust on the staff at NHS. Additionally, training would provide the staff at NHS to experience the fulfilment of being a part of the most concerned healthcare institute in UK.   </w:t>
            </w:r>
          </w:p>
        </w:tc>
        <w:tc>
          <w:tcPr>
            <w:tcW w:w="1590" w:type="dxa"/>
            <w:shd w:val="clear" w:color="auto" w:fill="auto"/>
            <w:tcMar>
              <w:top w:w="100" w:type="dxa"/>
              <w:left w:w="100" w:type="dxa"/>
              <w:bottom w:w="100" w:type="dxa"/>
              <w:right w:w="100" w:type="dxa"/>
            </w:tcMar>
          </w:tcPr>
          <w:p w:rsidR="00FE5B54" w:rsidRDefault="00EB5D02">
            <w:pPr>
              <w:widowControl w:val="0"/>
              <w:pBdr>
                <w:top w:val="nil"/>
                <w:left w:val="nil"/>
                <w:bottom w:val="nil"/>
                <w:right w:val="nil"/>
                <w:between w:val="nil"/>
              </w:pBdr>
              <w:spacing w:after="0" w:line="360" w:lineRule="auto"/>
              <w:rPr>
                <w:rFonts w:ascii="Arial" w:eastAsia="Arial" w:hAnsi="Arial" w:cs="Arial"/>
                <w:color w:val="FF0000"/>
                <w:sz w:val="22"/>
                <w:szCs w:val="22"/>
              </w:rPr>
            </w:pPr>
            <w:r>
              <w:rPr>
                <w:rFonts w:ascii="Arial" w:eastAsia="Arial" w:hAnsi="Arial" w:cs="Arial"/>
                <w:color w:val="FF0000"/>
                <w:sz w:val="22"/>
                <w:szCs w:val="22"/>
              </w:rPr>
              <w:t xml:space="preserve">Staff training could contribute a level up in the staff potential and their acknowledgement regarding new technologies that could raise professional recognition of the NHS globally.  </w:t>
            </w:r>
          </w:p>
        </w:tc>
        <w:tc>
          <w:tcPr>
            <w:tcW w:w="1785" w:type="dxa"/>
            <w:shd w:val="clear" w:color="auto" w:fill="auto"/>
            <w:tcMar>
              <w:top w:w="100" w:type="dxa"/>
              <w:left w:w="100" w:type="dxa"/>
              <w:bottom w:w="100" w:type="dxa"/>
              <w:right w:w="100" w:type="dxa"/>
            </w:tcMar>
          </w:tcPr>
          <w:p w:rsidR="00FE5B54" w:rsidRDefault="00EB5D02">
            <w:pPr>
              <w:widowControl w:val="0"/>
              <w:pBdr>
                <w:top w:val="nil"/>
                <w:left w:val="nil"/>
                <w:bottom w:val="nil"/>
                <w:right w:val="nil"/>
                <w:between w:val="nil"/>
              </w:pBdr>
              <w:spacing w:after="0" w:line="360" w:lineRule="auto"/>
              <w:rPr>
                <w:rFonts w:ascii="Arial" w:eastAsia="Arial" w:hAnsi="Arial" w:cs="Arial"/>
                <w:color w:val="FF0000"/>
                <w:sz w:val="22"/>
                <w:szCs w:val="22"/>
              </w:rPr>
            </w:pPr>
            <w:r>
              <w:rPr>
                <w:rFonts w:ascii="Arial" w:eastAsia="Arial" w:hAnsi="Arial" w:cs="Arial"/>
                <w:color w:val="FF0000"/>
                <w:sz w:val="22"/>
                <w:szCs w:val="22"/>
              </w:rPr>
              <w:t xml:space="preserve">Staff training could help engage different medical staff </w:t>
            </w:r>
            <w:r w:rsidR="000046C6">
              <w:rPr>
                <w:rFonts w:ascii="Arial" w:eastAsia="Arial" w:hAnsi="Arial" w:cs="Arial"/>
                <w:color w:val="FF0000"/>
                <w:sz w:val="22"/>
                <w:szCs w:val="22"/>
              </w:rPr>
              <w:t>in group</w:t>
            </w:r>
            <w:r>
              <w:rPr>
                <w:rFonts w:ascii="Arial" w:eastAsia="Arial" w:hAnsi="Arial" w:cs="Arial"/>
                <w:color w:val="FF0000"/>
                <w:sz w:val="22"/>
                <w:szCs w:val="22"/>
              </w:rPr>
              <w:t xml:space="preserve"> projects that could help them identify their weaknesses and strengths and also they could earn an opportunity to learn through experts in the group.  </w:t>
            </w:r>
          </w:p>
        </w:tc>
        <w:tc>
          <w:tcPr>
            <w:tcW w:w="1530" w:type="dxa"/>
            <w:shd w:val="clear" w:color="auto" w:fill="auto"/>
            <w:tcMar>
              <w:top w:w="100" w:type="dxa"/>
              <w:left w:w="100" w:type="dxa"/>
              <w:bottom w:w="100" w:type="dxa"/>
              <w:right w:w="100" w:type="dxa"/>
            </w:tcMar>
          </w:tcPr>
          <w:p w:rsidR="00FE5B54" w:rsidRDefault="00EB5D02">
            <w:pPr>
              <w:widowControl w:val="0"/>
              <w:pBdr>
                <w:top w:val="nil"/>
                <w:left w:val="nil"/>
                <w:bottom w:val="nil"/>
                <w:right w:val="nil"/>
                <w:between w:val="nil"/>
              </w:pBdr>
              <w:spacing w:after="0" w:line="360" w:lineRule="auto"/>
              <w:rPr>
                <w:rFonts w:ascii="Arial" w:eastAsia="Arial" w:hAnsi="Arial" w:cs="Arial"/>
                <w:color w:val="FF0000"/>
                <w:sz w:val="22"/>
                <w:szCs w:val="22"/>
              </w:rPr>
            </w:pPr>
            <w:r>
              <w:rPr>
                <w:rFonts w:ascii="Arial" w:eastAsia="Arial" w:hAnsi="Arial" w:cs="Arial"/>
                <w:color w:val="FF0000"/>
                <w:sz w:val="22"/>
                <w:szCs w:val="22"/>
              </w:rPr>
              <w:t xml:space="preserve">Staff training possibly conducts healthy belongingness among healthcare staff and shares equal space at the NHS. Moreover, it could help them raise their potential towards healthcare duties that could possibly reduce patients’ issues at the NHS.    </w:t>
            </w:r>
          </w:p>
        </w:tc>
        <w:tc>
          <w:tcPr>
            <w:tcW w:w="1080" w:type="dxa"/>
            <w:shd w:val="clear" w:color="auto" w:fill="auto"/>
            <w:tcMar>
              <w:top w:w="100" w:type="dxa"/>
              <w:left w:w="100" w:type="dxa"/>
              <w:bottom w:w="100" w:type="dxa"/>
              <w:right w:w="100" w:type="dxa"/>
            </w:tcMar>
          </w:tcPr>
          <w:p w:rsidR="00FE5B54" w:rsidRDefault="00EB5D02">
            <w:pPr>
              <w:widowControl w:val="0"/>
              <w:pBdr>
                <w:top w:val="nil"/>
                <w:left w:val="nil"/>
                <w:bottom w:val="nil"/>
                <w:right w:val="nil"/>
                <w:between w:val="nil"/>
              </w:pBdr>
              <w:spacing w:after="0" w:line="360" w:lineRule="auto"/>
              <w:rPr>
                <w:rFonts w:ascii="Arial" w:eastAsia="Arial" w:hAnsi="Arial" w:cs="Arial"/>
                <w:color w:val="FF0000"/>
                <w:sz w:val="22"/>
                <w:szCs w:val="22"/>
              </w:rPr>
            </w:pPr>
            <w:r>
              <w:rPr>
                <w:rFonts w:ascii="Arial" w:eastAsia="Arial" w:hAnsi="Arial" w:cs="Arial"/>
                <w:color w:val="FF0000"/>
                <w:sz w:val="22"/>
                <w:szCs w:val="22"/>
              </w:rPr>
              <w:t>4 months</w:t>
            </w:r>
          </w:p>
        </w:tc>
      </w:tr>
    </w:tbl>
    <w:p w:rsidR="00FE5B54" w:rsidRDefault="00FE5B54">
      <w:pPr>
        <w:spacing w:after="0" w:line="360" w:lineRule="auto"/>
        <w:rPr>
          <w:rFonts w:ascii="Arial" w:eastAsia="Arial" w:hAnsi="Arial" w:cs="Arial"/>
          <w:sz w:val="22"/>
          <w:szCs w:val="22"/>
        </w:rPr>
      </w:pPr>
    </w:p>
    <w:p w:rsidR="00FE5B54" w:rsidRDefault="00EB5D02">
      <w:pPr>
        <w:pStyle w:val="Heading1"/>
        <w:spacing w:line="360" w:lineRule="auto"/>
        <w:rPr>
          <w:rFonts w:ascii="Arial" w:eastAsia="Arial" w:hAnsi="Arial" w:cs="Arial"/>
          <w:sz w:val="22"/>
          <w:szCs w:val="22"/>
        </w:rPr>
      </w:pPr>
      <w:bookmarkStart w:id="10" w:name="_heading=h.17dp8vu" w:colFirst="0" w:colLast="0"/>
      <w:bookmarkEnd w:id="10"/>
      <w:r>
        <w:rPr>
          <w:rFonts w:ascii="Arial" w:eastAsia="Arial" w:hAnsi="Arial" w:cs="Arial"/>
          <w:sz w:val="22"/>
          <w:szCs w:val="22"/>
        </w:rPr>
        <w:t>Conclusion </w:t>
      </w:r>
    </w:p>
    <w:p w:rsidR="00FE5B54" w:rsidRDefault="00EB5D02">
      <w:pPr>
        <w:spacing w:after="0" w:line="360" w:lineRule="auto"/>
        <w:rPr>
          <w:rFonts w:ascii="Arial" w:eastAsia="Arial" w:hAnsi="Arial" w:cs="Arial"/>
          <w:sz w:val="22"/>
          <w:szCs w:val="22"/>
        </w:rPr>
      </w:pPr>
      <w:r>
        <w:rPr>
          <w:rFonts w:ascii="Arial" w:eastAsia="Arial" w:hAnsi="Arial" w:cs="Arial"/>
          <w:color w:val="000000"/>
          <w:sz w:val="22"/>
          <w:szCs w:val="22"/>
        </w:rPr>
        <w:t>To conclude, the problems of the lack of staff in the NHS has been resulting from various causes. In the above study, the causes have been identified via the fishbone diagram with their direct and indirect effects resulting in the constraint of nurses in the organisation. Furthermore, a PMI analysis has been conducted to provide possible solutions to the identified challenges with the evaluation of the minus, plus, and interest points of each suggestion. Finally, the success indicators have been listed that can be used to measure the effectiveness of each plan after its implementation. </w:t>
      </w:r>
    </w:p>
    <w:p w:rsidR="00FE5B54" w:rsidRDefault="00EB5D02">
      <w:pPr>
        <w:spacing w:line="360" w:lineRule="auto"/>
        <w:jc w:val="left"/>
        <w:rPr>
          <w:rFonts w:ascii="Arial" w:eastAsia="Arial" w:hAnsi="Arial" w:cs="Arial"/>
          <w:b/>
          <w:sz w:val="22"/>
          <w:szCs w:val="22"/>
        </w:rPr>
      </w:pPr>
      <w:r>
        <w:br w:type="page"/>
      </w:r>
    </w:p>
    <w:p w:rsidR="00FE5B54" w:rsidRDefault="00EB5D02">
      <w:pPr>
        <w:pStyle w:val="Heading1"/>
        <w:spacing w:line="360" w:lineRule="auto"/>
        <w:rPr>
          <w:rFonts w:ascii="Arial" w:eastAsia="Arial" w:hAnsi="Arial" w:cs="Arial"/>
          <w:sz w:val="22"/>
          <w:szCs w:val="22"/>
        </w:rPr>
      </w:pPr>
      <w:bookmarkStart w:id="11" w:name="_heading=h.3rdcrjn" w:colFirst="0" w:colLast="0"/>
      <w:bookmarkEnd w:id="11"/>
      <w:r>
        <w:rPr>
          <w:rFonts w:ascii="Arial" w:eastAsia="Arial" w:hAnsi="Arial" w:cs="Arial"/>
          <w:sz w:val="22"/>
          <w:szCs w:val="22"/>
        </w:rPr>
        <w:t>References</w:t>
      </w:r>
    </w:p>
    <w:p w:rsidR="00FE5B54" w:rsidRDefault="00EB5D02">
      <w:pPr>
        <w:spacing w:before="240" w:after="240" w:line="360" w:lineRule="auto"/>
        <w:rPr>
          <w:rFonts w:ascii="Arial" w:eastAsia="Arial" w:hAnsi="Arial" w:cs="Arial"/>
          <w:sz w:val="22"/>
          <w:szCs w:val="22"/>
        </w:rPr>
      </w:pPr>
      <w:r>
        <w:rPr>
          <w:rFonts w:ascii="Arial" w:eastAsia="Arial" w:hAnsi="Arial" w:cs="Arial"/>
          <w:color w:val="222222"/>
          <w:sz w:val="22"/>
          <w:szCs w:val="22"/>
          <w:highlight w:val="white"/>
        </w:rPr>
        <w:t xml:space="preserve">Castle-Clarke, S., 2018. What will new technology mean for the NHS and its patients?. </w:t>
      </w:r>
      <w:hyperlink r:id="rId9">
        <w:r>
          <w:rPr>
            <w:rFonts w:ascii="Arial" w:eastAsia="Arial" w:hAnsi="Arial" w:cs="Arial"/>
            <w:color w:val="1155CC"/>
            <w:sz w:val="22"/>
            <w:szCs w:val="22"/>
            <w:highlight w:val="white"/>
            <w:u w:val="single"/>
          </w:rPr>
          <w:t>https://apo.org.au/node/205731?utm_source=APO-view&amp;utm_medium=more-like-this&amp;utm_campaign=resource-mlt</w:t>
        </w:r>
      </w:hyperlink>
    </w:p>
    <w:p w:rsidR="00FE5B54" w:rsidRDefault="00EB5D02">
      <w:pPr>
        <w:spacing w:after="0" w:line="360" w:lineRule="auto"/>
        <w:rPr>
          <w:rFonts w:ascii="Arial" w:eastAsia="Arial" w:hAnsi="Arial" w:cs="Arial"/>
          <w:sz w:val="22"/>
          <w:szCs w:val="22"/>
        </w:rPr>
      </w:pPr>
      <w:r>
        <w:rPr>
          <w:rFonts w:ascii="Arial" w:eastAsia="Arial" w:hAnsi="Arial" w:cs="Arial"/>
          <w:color w:val="000000"/>
          <w:sz w:val="22"/>
          <w:szCs w:val="22"/>
        </w:rPr>
        <w:t xml:space="preserve">CIPD., 2021. PESTLE Analysis. [online] CIPD. Available at: </w:t>
      </w:r>
      <w:hyperlink r:id="rId10">
        <w:r>
          <w:rPr>
            <w:rFonts w:ascii="Arial" w:eastAsia="Arial" w:hAnsi="Arial" w:cs="Arial"/>
            <w:color w:val="1155CC"/>
            <w:sz w:val="22"/>
            <w:szCs w:val="22"/>
            <w:u w:val="single"/>
          </w:rPr>
          <w:t>https://www.cipd.co.uk/knowledge/strategy/organisational-development/pestle-analysis-factsheet</w:t>
        </w:r>
      </w:hyperlink>
      <w:r>
        <w:rPr>
          <w:rFonts w:ascii="Arial" w:eastAsia="Arial" w:hAnsi="Arial" w:cs="Arial"/>
          <w:color w:val="000000"/>
          <w:sz w:val="22"/>
          <w:szCs w:val="22"/>
        </w:rPr>
        <w:t xml:space="preserve"> #gref. (Accessed date: 03/08/2022).</w:t>
      </w:r>
    </w:p>
    <w:p w:rsidR="00FE5B54" w:rsidRDefault="00EB5D02">
      <w:pPr>
        <w:spacing w:before="240" w:after="240" w:line="360" w:lineRule="auto"/>
        <w:rPr>
          <w:rFonts w:ascii="Arial" w:eastAsia="Arial" w:hAnsi="Arial" w:cs="Arial"/>
          <w:sz w:val="22"/>
          <w:szCs w:val="22"/>
        </w:rPr>
      </w:pPr>
      <w:bookmarkStart w:id="12" w:name="_heading=h.26in1rg" w:colFirst="0" w:colLast="0"/>
      <w:bookmarkEnd w:id="12"/>
      <w:r>
        <w:rPr>
          <w:rFonts w:ascii="Arial" w:eastAsia="Arial" w:hAnsi="Arial" w:cs="Arial"/>
          <w:color w:val="222222"/>
          <w:sz w:val="22"/>
          <w:szCs w:val="22"/>
          <w:highlight w:val="white"/>
        </w:rPr>
        <w:t xml:space="preserve">De Val, J., Sohal, G., Sarwar, A., Ahmed, H., Singh, I. and Coleman, J.J., 2021. Investigating the challenges and opportunities for medicines management in an NHS field hospital during the COVID-19 pandemic. </w:t>
      </w:r>
      <w:r>
        <w:rPr>
          <w:rFonts w:ascii="Arial" w:eastAsia="Arial" w:hAnsi="Arial" w:cs="Arial"/>
          <w:i/>
          <w:color w:val="222222"/>
          <w:sz w:val="22"/>
          <w:szCs w:val="22"/>
          <w:highlight w:val="white"/>
        </w:rPr>
        <w:t>European Journal of Hospital Pharmacy</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28</w:t>
      </w:r>
      <w:r>
        <w:rPr>
          <w:rFonts w:ascii="Arial" w:eastAsia="Arial" w:hAnsi="Arial" w:cs="Arial"/>
          <w:color w:val="222222"/>
          <w:sz w:val="22"/>
          <w:szCs w:val="22"/>
          <w:highlight w:val="white"/>
        </w:rPr>
        <w:t xml:space="preserve">(1), pp.10-15. </w:t>
      </w:r>
      <w:hyperlink r:id="rId11">
        <w:r>
          <w:rPr>
            <w:rFonts w:ascii="Arial" w:eastAsia="Arial" w:hAnsi="Arial" w:cs="Arial"/>
            <w:color w:val="1155CC"/>
            <w:sz w:val="22"/>
            <w:szCs w:val="22"/>
            <w:highlight w:val="white"/>
            <w:u w:val="single"/>
          </w:rPr>
          <w:t>https://ejhp.bmj.com/content/28/1/10.abstract</w:t>
        </w:r>
      </w:hyperlink>
    </w:p>
    <w:p w:rsidR="00FE5B54" w:rsidRDefault="00EB5D02">
      <w:pPr>
        <w:spacing w:before="240" w:after="240" w:line="360" w:lineRule="auto"/>
        <w:rPr>
          <w:rFonts w:ascii="Arial" w:eastAsia="Arial" w:hAnsi="Arial" w:cs="Arial"/>
          <w:sz w:val="22"/>
          <w:szCs w:val="22"/>
        </w:rPr>
      </w:pPr>
      <w:r>
        <w:rPr>
          <w:rFonts w:ascii="Arial" w:eastAsia="Arial" w:hAnsi="Arial" w:cs="Arial"/>
          <w:color w:val="222222"/>
          <w:sz w:val="22"/>
          <w:szCs w:val="22"/>
          <w:highlight w:val="white"/>
        </w:rPr>
        <w:t xml:space="preserve">Gray, K., Wilde, R. and Shutes, K., 2018. Enhancing nurse satisfaction: an exploration of specialty nurse shortage in a region of NHS England. </w:t>
      </w:r>
      <w:r>
        <w:rPr>
          <w:rFonts w:ascii="Arial" w:eastAsia="Arial" w:hAnsi="Arial" w:cs="Arial"/>
          <w:i/>
          <w:color w:val="222222"/>
          <w:sz w:val="22"/>
          <w:szCs w:val="22"/>
          <w:highlight w:val="white"/>
        </w:rPr>
        <w:t>Nursing Management</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25</w:t>
      </w:r>
      <w:r>
        <w:rPr>
          <w:rFonts w:ascii="Arial" w:eastAsia="Arial" w:hAnsi="Arial" w:cs="Arial"/>
          <w:color w:val="222222"/>
          <w:sz w:val="22"/>
          <w:szCs w:val="22"/>
          <w:highlight w:val="white"/>
        </w:rPr>
        <w:t xml:space="preserve">(1). </w:t>
      </w:r>
      <w:hyperlink r:id="rId12">
        <w:r>
          <w:rPr>
            <w:rFonts w:ascii="Arial" w:eastAsia="Arial" w:hAnsi="Arial" w:cs="Arial"/>
            <w:color w:val="1155CC"/>
            <w:sz w:val="22"/>
            <w:szCs w:val="22"/>
            <w:highlight w:val="white"/>
            <w:u w:val="single"/>
          </w:rPr>
          <w:t>https://journals.rcni.com/doi/aop-pdf/10.7748/nm.2018.e1695</w:t>
        </w:r>
      </w:hyperlink>
    </w:p>
    <w:p w:rsidR="00FE5B54" w:rsidRDefault="00EB5D02">
      <w:pPr>
        <w:spacing w:after="0" w:line="360" w:lineRule="auto"/>
        <w:rPr>
          <w:rFonts w:ascii="Arial" w:eastAsia="Arial" w:hAnsi="Arial" w:cs="Arial"/>
          <w:sz w:val="22"/>
          <w:szCs w:val="22"/>
        </w:rPr>
      </w:pPr>
      <w:r>
        <w:rPr>
          <w:rFonts w:ascii="Arial" w:eastAsia="Arial" w:hAnsi="Arial" w:cs="Arial"/>
          <w:color w:val="000000"/>
          <w:sz w:val="22"/>
          <w:szCs w:val="22"/>
        </w:rPr>
        <w:t>Haddad, L.M. and Toney-Butler, T.J., 2022. Nursing shortage. [online] NCBI. Available at: https://www.ncbi.nlm.nih.gov/books/NBK493175/. (Accessed date: 03/08/2022).</w:t>
      </w:r>
    </w:p>
    <w:p w:rsidR="00FE5B54" w:rsidRDefault="00EB5D02">
      <w:pPr>
        <w:spacing w:before="240" w:after="240" w:line="360" w:lineRule="auto"/>
        <w:rPr>
          <w:rFonts w:ascii="Arial" w:eastAsia="Arial" w:hAnsi="Arial" w:cs="Arial"/>
          <w:sz w:val="22"/>
          <w:szCs w:val="22"/>
        </w:rPr>
      </w:pPr>
      <w:r>
        <w:rPr>
          <w:rFonts w:ascii="Arial" w:eastAsia="Arial" w:hAnsi="Arial" w:cs="Arial"/>
          <w:color w:val="222222"/>
          <w:sz w:val="22"/>
          <w:szCs w:val="22"/>
          <w:highlight w:val="white"/>
        </w:rPr>
        <w:t xml:space="preserve">Heery, E., Hann, D. and Nash, D., 2020. Political devolution and employment relations in Great Britain: the case of the Living Wage. </w:t>
      </w:r>
      <w:r>
        <w:rPr>
          <w:rFonts w:ascii="Arial" w:eastAsia="Arial" w:hAnsi="Arial" w:cs="Arial"/>
          <w:i/>
          <w:color w:val="222222"/>
          <w:sz w:val="22"/>
          <w:szCs w:val="22"/>
          <w:highlight w:val="white"/>
        </w:rPr>
        <w:t>Industrial Relations Journal</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51</w:t>
      </w:r>
      <w:r>
        <w:rPr>
          <w:rFonts w:ascii="Arial" w:eastAsia="Arial" w:hAnsi="Arial" w:cs="Arial"/>
          <w:color w:val="222222"/>
          <w:sz w:val="22"/>
          <w:szCs w:val="22"/>
          <w:highlight w:val="white"/>
        </w:rPr>
        <w:t xml:space="preserve">(5), pp.391-409. </w:t>
      </w:r>
      <w:hyperlink r:id="rId13">
        <w:r>
          <w:rPr>
            <w:rFonts w:ascii="Arial" w:eastAsia="Arial" w:hAnsi="Arial" w:cs="Arial"/>
            <w:color w:val="1155CC"/>
            <w:sz w:val="22"/>
            <w:szCs w:val="22"/>
            <w:highlight w:val="white"/>
            <w:u w:val="single"/>
          </w:rPr>
          <w:t>https://onlinelibrary.wiley.com/doi/abs/10.1111/irj.12306</w:t>
        </w:r>
      </w:hyperlink>
    </w:p>
    <w:p w:rsidR="00FE5B54" w:rsidRDefault="00EB5D02">
      <w:pPr>
        <w:spacing w:before="240" w:after="240" w:line="360" w:lineRule="auto"/>
        <w:rPr>
          <w:rFonts w:ascii="Arial" w:eastAsia="Arial" w:hAnsi="Arial" w:cs="Arial"/>
          <w:sz w:val="22"/>
          <w:szCs w:val="22"/>
        </w:rPr>
      </w:pPr>
      <w:r>
        <w:rPr>
          <w:rFonts w:ascii="Arial" w:eastAsia="Arial" w:hAnsi="Arial" w:cs="Arial"/>
          <w:color w:val="222222"/>
          <w:sz w:val="22"/>
          <w:szCs w:val="22"/>
          <w:highlight w:val="white"/>
        </w:rPr>
        <w:t xml:space="preserve">Houseworth, J., Pettingell, S.L., Kramme, J.E., Tichá, R. and Hewitt, A.S., 2020. Predictors of annual and early separations among direct support professionals: National core indicators staff stability survey. </w:t>
      </w:r>
      <w:r>
        <w:rPr>
          <w:rFonts w:ascii="Arial" w:eastAsia="Arial" w:hAnsi="Arial" w:cs="Arial"/>
          <w:i/>
          <w:color w:val="222222"/>
          <w:sz w:val="22"/>
          <w:szCs w:val="22"/>
          <w:highlight w:val="white"/>
        </w:rPr>
        <w:t>Intellectual and developmental disabilities</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58</w:t>
      </w:r>
      <w:r>
        <w:rPr>
          <w:rFonts w:ascii="Arial" w:eastAsia="Arial" w:hAnsi="Arial" w:cs="Arial"/>
          <w:color w:val="222222"/>
          <w:sz w:val="22"/>
          <w:szCs w:val="22"/>
          <w:highlight w:val="white"/>
        </w:rPr>
        <w:t xml:space="preserve">(3), pp.192-207. </w:t>
      </w:r>
      <w:hyperlink r:id="rId14">
        <w:r>
          <w:rPr>
            <w:rFonts w:ascii="Arial" w:eastAsia="Arial" w:hAnsi="Arial" w:cs="Arial"/>
            <w:color w:val="1155CC"/>
            <w:sz w:val="22"/>
            <w:szCs w:val="22"/>
            <w:highlight w:val="white"/>
            <w:u w:val="single"/>
          </w:rPr>
          <w:t>https://meridian.allenpress.com/idd/article-abstract/58/3/192/436579</w:t>
        </w:r>
      </w:hyperlink>
    </w:p>
    <w:p w:rsidR="00FE5B54" w:rsidRDefault="00EB5D02">
      <w:pPr>
        <w:spacing w:before="400" w:after="120" w:line="360" w:lineRule="auto"/>
        <w:rPr>
          <w:rFonts w:ascii="Arial" w:eastAsia="Arial" w:hAnsi="Arial" w:cs="Arial"/>
          <w:b/>
          <w:sz w:val="22"/>
          <w:szCs w:val="22"/>
        </w:rPr>
      </w:pPr>
      <w:bookmarkStart w:id="13" w:name="_heading=h.lnxbz9" w:colFirst="0" w:colLast="0"/>
      <w:bookmarkEnd w:id="13"/>
      <w:r>
        <w:rPr>
          <w:rFonts w:ascii="Arial" w:eastAsia="Arial" w:hAnsi="Arial" w:cs="Arial"/>
          <w:color w:val="000000"/>
          <w:sz w:val="22"/>
          <w:szCs w:val="22"/>
          <w:highlight w:val="white"/>
        </w:rPr>
        <w:t xml:space="preserve">JD (n.d.). How To Use the PMI Technique to Think Better. [online] Available at: https://sourcesofinsight.com/avoid-the-intelligence-trap/. (Accessed date: </w:t>
      </w:r>
      <w:r>
        <w:rPr>
          <w:rFonts w:ascii="Arial" w:eastAsia="Arial" w:hAnsi="Arial" w:cs="Arial"/>
          <w:color w:val="000000"/>
          <w:sz w:val="22"/>
          <w:szCs w:val="22"/>
        </w:rPr>
        <w:t>03/08/2022</w:t>
      </w:r>
      <w:r>
        <w:rPr>
          <w:rFonts w:ascii="Arial" w:eastAsia="Arial" w:hAnsi="Arial" w:cs="Arial"/>
          <w:color w:val="000000"/>
          <w:sz w:val="22"/>
          <w:szCs w:val="22"/>
          <w:highlight w:val="white"/>
        </w:rPr>
        <w:t>).</w:t>
      </w:r>
    </w:p>
    <w:p w:rsidR="00FE5B54" w:rsidRDefault="00EB5D02">
      <w:pPr>
        <w:spacing w:before="400" w:after="120" w:line="360" w:lineRule="auto"/>
        <w:rPr>
          <w:rFonts w:ascii="Arial" w:eastAsia="Arial" w:hAnsi="Arial" w:cs="Arial"/>
          <w:b/>
          <w:sz w:val="22"/>
          <w:szCs w:val="22"/>
        </w:rPr>
      </w:pPr>
      <w:bookmarkStart w:id="14" w:name="_heading=h.35nkun2" w:colFirst="0" w:colLast="0"/>
      <w:bookmarkEnd w:id="14"/>
      <w:r>
        <w:rPr>
          <w:rFonts w:ascii="Arial" w:eastAsia="Arial" w:hAnsi="Arial" w:cs="Arial"/>
          <w:color w:val="000000"/>
          <w:sz w:val="22"/>
          <w:szCs w:val="22"/>
          <w:highlight w:val="white"/>
        </w:rPr>
        <w:t xml:space="preserve">Kane, R. and Kane, R., 2014. How to Use the Fishbone Tool for Root Cause Analysis. [online] Available at: https://www.cms.gov/medicare/provider-enrollment-and-certification/qapi/downloads/fishbonerevised.pdf. (Accessed date: </w:t>
      </w:r>
      <w:r>
        <w:rPr>
          <w:rFonts w:ascii="Arial" w:eastAsia="Arial" w:hAnsi="Arial" w:cs="Arial"/>
          <w:color w:val="000000"/>
          <w:sz w:val="22"/>
          <w:szCs w:val="22"/>
        </w:rPr>
        <w:t>03/08/2022</w:t>
      </w:r>
      <w:r>
        <w:rPr>
          <w:rFonts w:ascii="Arial" w:eastAsia="Arial" w:hAnsi="Arial" w:cs="Arial"/>
          <w:color w:val="000000"/>
          <w:sz w:val="22"/>
          <w:szCs w:val="22"/>
          <w:highlight w:val="white"/>
        </w:rPr>
        <w:t>).</w:t>
      </w:r>
    </w:p>
    <w:p w:rsidR="00FE5B54" w:rsidRDefault="00EB5D02">
      <w:pPr>
        <w:spacing w:before="240" w:after="240" w:line="360" w:lineRule="auto"/>
        <w:rPr>
          <w:rFonts w:ascii="Arial" w:eastAsia="Arial" w:hAnsi="Arial" w:cs="Arial"/>
          <w:sz w:val="22"/>
          <w:szCs w:val="22"/>
        </w:rPr>
      </w:pPr>
      <w:r>
        <w:rPr>
          <w:rFonts w:ascii="Arial" w:eastAsia="Arial" w:hAnsi="Arial" w:cs="Arial"/>
          <w:color w:val="222222"/>
          <w:sz w:val="22"/>
          <w:szCs w:val="22"/>
          <w:highlight w:val="white"/>
        </w:rPr>
        <w:t xml:space="preserve">Moscelli, G., Sayli, M. and Mello, M., 2022. Staff Engagement, Job Complementarity and Labour Supply: Evidence from the English NHS Hospital Workforce. </w:t>
      </w:r>
      <w:hyperlink r:id="rId15">
        <w:r>
          <w:rPr>
            <w:rFonts w:ascii="Arial" w:eastAsia="Arial" w:hAnsi="Arial" w:cs="Arial"/>
            <w:color w:val="1155CC"/>
            <w:sz w:val="22"/>
            <w:szCs w:val="22"/>
            <w:highlight w:val="white"/>
            <w:u w:val="single"/>
          </w:rPr>
          <w:t>https://papers.ssrn.com/sol3/papers.cfm?abstract_id=4114685</w:t>
        </w:r>
      </w:hyperlink>
    </w:p>
    <w:p w:rsidR="00FE5B54" w:rsidRDefault="00EB5D02">
      <w:pPr>
        <w:spacing w:before="240" w:after="240" w:line="360" w:lineRule="auto"/>
        <w:rPr>
          <w:rFonts w:ascii="Arial" w:eastAsia="Arial" w:hAnsi="Arial" w:cs="Arial"/>
          <w:sz w:val="22"/>
          <w:szCs w:val="22"/>
        </w:rPr>
      </w:pPr>
      <w:r>
        <w:rPr>
          <w:rFonts w:ascii="Arial" w:eastAsia="Arial" w:hAnsi="Arial" w:cs="Arial"/>
          <w:color w:val="222222"/>
          <w:sz w:val="22"/>
          <w:szCs w:val="22"/>
          <w:highlight w:val="white"/>
        </w:rPr>
        <w:t xml:space="preserve">Proctor, T., 2020. Creative problem-solving techniques, paradigm shift and team performance. </w:t>
      </w:r>
      <w:r>
        <w:rPr>
          <w:rFonts w:ascii="Arial" w:eastAsia="Arial" w:hAnsi="Arial" w:cs="Arial"/>
          <w:i/>
          <w:color w:val="222222"/>
          <w:sz w:val="22"/>
          <w:szCs w:val="22"/>
          <w:highlight w:val="white"/>
        </w:rPr>
        <w:t>Team Performance Management: An International Journal</w:t>
      </w:r>
      <w:r>
        <w:rPr>
          <w:rFonts w:ascii="Arial" w:eastAsia="Arial" w:hAnsi="Arial" w:cs="Arial"/>
          <w:color w:val="222222"/>
          <w:sz w:val="22"/>
          <w:szCs w:val="22"/>
          <w:highlight w:val="white"/>
        </w:rPr>
        <w:t xml:space="preserve">. </w:t>
      </w:r>
      <w:hyperlink r:id="rId16">
        <w:r>
          <w:rPr>
            <w:rFonts w:ascii="Arial" w:eastAsia="Arial" w:hAnsi="Arial" w:cs="Arial"/>
            <w:color w:val="1155CC"/>
            <w:sz w:val="22"/>
            <w:szCs w:val="22"/>
            <w:highlight w:val="white"/>
            <w:u w:val="single"/>
          </w:rPr>
          <w:t>https://www.emerald.com/insight/content/doi/10.1108/TPM-06-2020-0049/full/html</w:t>
        </w:r>
      </w:hyperlink>
    </w:p>
    <w:p w:rsidR="00FE5B54" w:rsidRDefault="00EB5D02">
      <w:pPr>
        <w:spacing w:before="240" w:after="240" w:line="360" w:lineRule="auto"/>
        <w:rPr>
          <w:rFonts w:ascii="Arial" w:eastAsia="Arial" w:hAnsi="Arial" w:cs="Arial"/>
          <w:sz w:val="22"/>
          <w:szCs w:val="22"/>
        </w:rPr>
      </w:pPr>
      <w:r>
        <w:rPr>
          <w:rFonts w:ascii="Arial" w:eastAsia="Arial" w:hAnsi="Arial" w:cs="Arial"/>
          <w:color w:val="222222"/>
          <w:sz w:val="22"/>
          <w:szCs w:val="22"/>
          <w:highlight w:val="white"/>
        </w:rPr>
        <w:t xml:space="preserve">Quirk, H., Crank, H., Carter, A., Leahy, H. and Copeland, R.J., 2018. Barriers and facilitators to implementing workplace health and wellbeing services in the NHS from the perspective of senior leaders and wellbeing practitioners: a qualitative study. </w:t>
      </w:r>
      <w:r>
        <w:rPr>
          <w:rFonts w:ascii="Arial" w:eastAsia="Arial" w:hAnsi="Arial" w:cs="Arial"/>
          <w:i/>
          <w:color w:val="222222"/>
          <w:sz w:val="22"/>
          <w:szCs w:val="22"/>
          <w:highlight w:val="white"/>
        </w:rPr>
        <w:t>BMC public health</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18</w:t>
      </w:r>
      <w:r>
        <w:rPr>
          <w:rFonts w:ascii="Arial" w:eastAsia="Arial" w:hAnsi="Arial" w:cs="Arial"/>
          <w:color w:val="222222"/>
          <w:sz w:val="22"/>
          <w:szCs w:val="22"/>
          <w:highlight w:val="white"/>
        </w:rPr>
        <w:t xml:space="preserve">(1), pp.1-14. </w:t>
      </w:r>
      <w:hyperlink r:id="rId17">
        <w:r>
          <w:rPr>
            <w:rFonts w:ascii="Arial" w:eastAsia="Arial" w:hAnsi="Arial" w:cs="Arial"/>
            <w:color w:val="1155CC"/>
            <w:sz w:val="22"/>
            <w:szCs w:val="22"/>
            <w:highlight w:val="white"/>
            <w:u w:val="single"/>
          </w:rPr>
          <w:t>https://bmcpublichealth.biomedcentral.com/articles/10.1186/s12889-018-6283-y</w:t>
        </w:r>
      </w:hyperlink>
    </w:p>
    <w:p w:rsidR="00FE5B54" w:rsidRDefault="00EB5D02">
      <w:pPr>
        <w:spacing w:before="240" w:after="240" w:line="360" w:lineRule="auto"/>
        <w:rPr>
          <w:rFonts w:ascii="Arial" w:eastAsia="Arial" w:hAnsi="Arial" w:cs="Arial"/>
          <w:sz w:val="22"/>
          <w:szCs w:val="22"/>
        </w:rPr>
      </w:pPr>
      <w:r>
        <w:rPr>
          <w:rFonts w:ascii="Arial" w:eastAsia="Arial" w:hAnsi="Arial" w:cs="Arial"/>
          <w:color w:val="222222"/>
          <w:sz w:val="22"/>
          <w:szCs w:val="22"/>
          <w:highlight w:val="white"/>
        </w:rPr>
        <w:t xml:space="preserve">Sizmur, S. and Raleigh, V., 2018. The risks to care quality and staff wellbeing of an NHS system under pressure. </w:t>
      </w:r>
      <w:r>
        <w:rPr>
          <w:rFonts w:ascii="Arial" w:eastAsia="Arial" w:hAnsi="Arial" w:cs="Arial"/>
          <w:i/>
          <w:color w:val="222222"/>
          <w:sz w:val="22"/>
          <w:szCs w:val="22"/>
          <w:highlight w:val="white"/>
        </w:rPr>
        <w:t>The King’s Fund: Oxford</w:t>
      </w:r>
      <w:r>
        <w:rPr>
          <w:rFonts w:ascii="Arial" w:eastAsia="Arial" w:hAnsi="Arial" w:cs="Arial"/>
          <w:color w:val="222222"/>
          <w:sz w:val="22"/>
          <w:szCs w:val="22"/>
          <w:highlight w:val="white"/>
        </w:rPr>
        <w:t xml:space="preserve">, p.24. </w:t>
      </w:r>
      <w:hyperlink r:id="rId18">
        <w:r>
          <w:rPr>
            <w:rFonts w:ascii="Arial" w:eastAsia="Arial" w:hAnsi="Arial" w:cs="Arial"/>
            <w:color w:val="1155CC"/>
            <w:sz w:val="22"/>
            <w:szCs w:val="22"/>
            <w:highlight w:val="white"/>
            <w:u w:val="single"/>
          </w:rPr>
          <w:t>https://www.patientlibrary.net/tempgen/171238.pdf</w:t>
        </w:r>
      </w:hyperlink>
    </w:p>
    <w:p w:rsidR="00FE5B54" w:rsidRDefault="00EB5D02">
      <w:pPr>
        <w:spacing w:before="240" w:after="240" w:line="360" w:lineRule="auto"/>
        <w:rPr>
          <w:rFonts w:ascii="Arial" w:eastAsia="Arial" w:hAnsi="Arial" w:cs="Arial"/>
          <w:sz w:val="22"/>
          <w:szCs w:val="22"/>
        </w:rPr>
      </w:pPr>
      <w:r>
        <w:rPr>
          <w:rFonts w:ascii="Arial" w:eastAsia="Arial" w:hAnsi="Arial" w:cs="Arial"/>
          <w:color w:val="222222"/>
          <w:sz w:val="22"/>
          <w:szCs w:val="22"/>
          <w:highlight w:val="white"/>
        </w:rPr>
        <w:t xml:space="preserve">Waters, A., 2022. NHS staff survey underlines need for national workforce strategy. </w:t>
      </w:r>
      <w:r>
        <w:rPr>
          <w:rFonts w:ascii="Arial" w:eastAsia="Arial" w:hAnsi="Arial" w:cs="Arial"/>
          <w:i/>
          <w:color w:val="222222"/>
          <w:sz w:val="22"/>
          <w:szCs w:val="22"/>
          <w:highlight w:val="white"/>
        </w:rPr>
        <w:t>BMJ: British Medical Journal (Online)</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377</w:t>
      </w:r>
      <w:r>
        <w:rPr>
          <w:rFonts w:ascii="Arial" w:eastAsia="Arial" w:hAnsi="Arial" w:cs="Arial"/>
          <w:color w:val="222222"/>
          <w:sz w:val="22"/>
          <w:szCs w:val="22"/>
          <w:highlight w:val="white"/>
        </w:rPr>
        <w:t xml:space="preserve">. </w:t>
      </w:r>
      <w:hyperlink r:id="rId19">
        <w:r>
          <w:rPr>
            <w:rFonts w:ascii="Arial" w:eastAsia="Arial" w:hAnsi="Arial" w:cs="Arial"/>
            <w:color w:val="1155CC"/>
            <w:sz w:val="22"/>
            <w:szCs w:val="22"/>
            <w:highlight w:val="white"/>
            <w:u w:val="single"/>
          </w:rPr>
          <w:t>https://search.proquest.com/openview/05e5666ee72f85d0e7032d09b522beb6/1?pq-origsite=gscholar&amp;cbl=2043523</w:t>
        </w:r>
      </w:hyperlink>
    </w:p>
    <w:p w:rsidR="00FE5B54" w:rsidRDefault="00EB5D02">
      <w:pPr>
        <w:spacing w:after="0" w:line="360" w:lineRule="auto"/>
        <w:rPr>
          <w:rFonts w:ascii="Arial" w:eastAsia="Arial" w:hAnsi="Arial" w:cs="Arial"/>
          <w:sz w:val="22"/>
          <w:szCs w:val="22"/>
        </w:rPr>
      </w:pPr>
      <w:r>
        <w:rPr>
          <w:rFonts w:ascii="Arial" w:eastAsia="Arial" w:hAnsi="Arial" w:cs="Arial"/>
          <w:color w:val="000000"/>
          <w:sz w:val="22"/>
          <w:szCs w:val="22"/>
        </w:rPr>
        <w:t>www.healthywa.wa.gov.au. (n.d.). Problem solving. [online] Available at: https://www.healthywa.wa.gov.au/Articles/N_R/Problem-solving. (Accessed date: 03/08/2022).</w:t>
      </w:r>
    </w:p>
    <w:p w:rsidR="00FE5B54" w:rsidRDefault="00EB5D02">
      <w:pPr>
        <w:spacing w:line="360" w:lineRule="auto"/>
        <w:jc w:val="left"/>
        <w:rPr>
          <w:rFonts w:ascii="Arial" w:eastAsia="Arial" w:hAnsi="Arial" w:cs="Arial"/>
          <w:b/>
          <w:sz w:val="22"/>
          <w:szCs w:val="22"/>
          <w:highlight w:val="white"/>
        </w:rPr>
      </w:pPr>
      <w:r>
        <w:br w:type="page"/>
      </w:r>
    </w:p>
    <w:p w:rsidR="00FE5B54" w:rsidRDefault="00EB5D02">
      <w:pPr>
        <w:pStyle w:val="Heading1"/>
        <w:spacing w:line="360" w:lineRule="auto"/>
        <w:rPr>
          <w:rFonts w:ascii="Arial" w:eastAsia="Arial" w:hAnsi="Arial" w:cs="Arial"/>
          <w:sz w:val="22"/>
          <w:szCs w:val="22"/>
        </w:rPr>
      </w:pPr>
      <w:bookmarkStart w:id="15" w:name="_heading=h.1ksv4uv" w:colFirst="0" w:colLast="0"/>
      <w:bookmarkEnd w:id="15"/>
      <w:r>
        <w:rPr>
          <w:rFonts w:ascii="Arial" w:eastAsia="Arial" w:hAnsi="Arial" w:cs="Arial"/>
          <w:sz w:val="22"/>
          <w:szCs w:val="22"/>
          <w:highlight w:val="white"/>
        </w:rPr>
        <w:t>Appendices</w:t>
      </w:r>
    </w:p>
    <w:p w:rsidR="00FE5B54" w:rsidRDefault="00EB5D02">
      <w:pPr>
        <w:spacing w:after="0" w:line="360" w:lineRule="auto"/>
        <w:rPr>
          <w:rFonts w:ascii="Arial" w:eastAsia="Arial" w:hAnsi="Arial" w:cs="Arial"/>
          <w:sz w:val="22"/>
          <w:szCs w:val="22"/>
        </w:rPr>
      </w:pPr>
      <w:r>
        <w:rPr>
          <w:rFonts w:ascii="Arial" w:eastAsia="Arial" w:hAnsi="Arial" w:cs="Arial"/>
          <w:b/>
          <w:i/>
          <w:color w:val="000000"/>
          <w:sz w:val="22"/>
          <w:szCs w:val="22"/>
        </w:rPr>
        <w:t>Appendix 1: Slide 1:</w:t>
      </w:r>
    </w:p>
    <w:p w:rsidR="00FE5B54" w:rsidRDefault="00EB5D02">
      <w:pPr>
        <w:spacing w:after="0" w:line="360" w:lineRule="auto"/>
        <w:rPr>
          <w:rFonts w:ascii="Arial" w:eastAsia="Arial" w:hAnsi="Arial" w:cs="Arial"/>
          <w:sz w:val="22"/>
          <w:szCs w:val="22"/>
        </w:rPr>
      </w:pPr>
      <w:r>
        <w:rPr>
          <w:rFonts w:ascii="Arial" w:eastAsia="Arial" w:hAnsi="Arial" w:cs="Arial"/>
          <w:noProof/>
          <w:color w:val="000000"/>
          <w:sz w:val="22"/>
          <w:szCs w:val="22"/>
          <w:lang w:val="en-IN"/>
        </w:rPr>
        <w:drawing>
          <wp:inline distT="0" distB="0" distL="0" distR="0">
            <wp:extent cx="5730240" cy="3238500"/>
            <wp:effectExtent l="0" t="0" r="0" b="0"/>
            <wp:docPr id="1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0"/>
                    <a:srcRect/>
                    <a:stretch>
                      <a:fillRect/>
                    </a:stretch>
                  </pic:blipFill>
                  <pic:spPr>
                    <a:xfrm>
                      <a:off x="0" y="0"/>
                      <a:ext cx="5730240" cy="3238500"/>
                    </a:xfrm>
                    <a:prstGeom prst="rect">
                      <a:avLst/>
                    </a:prstGeom>
                    <a:ln/>
                  </pic:spPr>
                </pic:pic>
              </a:graphicData>
            </a:graphic>
          </wp:inline>
        </w:drawing>
      </w:r>
    </w:p>
    <w:p w:rsidR="00FE5B54" w:rsidRDefault="00EB5D02">
      <w:pPr>
        <w:spacing w:after="0" w:line="360" w:lineRule="auto"/>
        <w:rPr>
          <w:rFonts w:ascii="Arial" w:eastAsia="Arial" w:hAnsi="Arial" w:cs="Arial"/>
          <w:sz w:val="22"/>
          <w:szCs w:val="22"/>
        </w:rPr>
      </w:pPr>
      <w:r>
        <w:rPr>
          <w:rFonts w:ascii="Arial" w:eastAsia="Arial" w:hAnsi="Arial" w:cs="Arial"/>
          <w:b/>
          <w:i/>
          <w:color w:val="000000"/>
          <w:sz w:val="22"/>
          <w:szCs w:val="22"/>
        </w:rPr>
        <w:t>Appendix 2: Slide 2:</w:t>
      </w:r>
    </w:p>
    <w:p w:rsidR="00FE5B54" w:rsidRDefault="00EB5D02">
      <w:pPr>
        <w:spacing w:after="0" w:line="360" w:lineRule="auto"/>
        <w:rPr>
          <w:rFonts w:ascii="Arial" w:eastAsia="Arial" w:hAnsi="Arial" w:cs="Arial"/>
          <w:sz w:val="22"/>
          <w:szCs w:val="22"/>
        </w:rPr>
      </w:pPr>
      <w:r>
        <w:rPr>
          <w:rFonts w:ascii="Arial" w:eastAsia="Arial" w:hAnsi="Arial" w:cs="Arial"/>
          <w:b/>
          <w:i/>
          <w:noProof/>
          <w:color w:val="000000"/>
          <w:sz w:val="22"/>
          <w:szCs w:val="22"/>
          <w:lang w:val="en-IN"/>
        </w:rPr>
        <w:drawing>
          <wp:inline distT="0" distB="0" distL="0" distR="0">
            <wp:extent cx="5730240" cy="3246120"/>
            <wp:effectExtent l="0" t="0" r="0" b="0"/>
            <wp:docPr id="1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1"/>
                    <a:srcRect/>
                    <a:stretch>
                      <a:fillRect/>
                    </a:stretch>
                  </pic:blipFill>
                  <pic:spPr>
                    <a:xfrm>
                      <a:off x="0" y="0"/>
                      <a:ext cx="5730240" cy="3246120"/>
                    </a:xfrm>
                    <a:prstGeom prst="rect">
                      <a:avLst/>
                    </a:prstGeom>
                    <a:ln/>
                  </pic:spPr>
                </pic:pic>
              </a:graphicData>
            </a:graphic>
          </wp:inline>
        </w:drawing>
      </w:r>
    </w:p>
    <w:p w:rsidR="00FE5B54" w:rsidRDefault="00EB5D02">
      <w:pPr>
        <w:spacing w:after="0" w:line="360" w:lineRule="auto"/>
        <w:rPr>
          <w:rFonts w:ascii="Arial" w:eastAsia="Arial" w:hAnsi="Arial" w:cs="Arial"/>
          <w:sz w:val="22"/>
          <w:szCs w:val="22"/>
        </w:rPr>
      </w:pPr>
      <w:r>
        <w:rPr>
          <w:rFonts w:ascii="Arial" w:eastAsia="Arial" w:hAnsi="Arial" w:cs="Arial"/>
          <w:b/>
          <w:i/>
          <w:color w:val="000000"/>
          <w:sz w:val="22"/>
          <w:szCs w:val="22"/>
        </w:rPr>
        <w:t>Appendix 3: Slide 3:</w:t>
      </w:r>
    </w:p>
    <w:p w:rsidR="00FE5B54" w:rsidRDefault="00EB5D02">
      <w:pPr>
        <w:spacing w:after="0" w:line="360" w:lineRule="auto"/>
        <w:rPr>
          <w:rFonts w:ascii="Arial" w:eastAsia="Arial" w:hAnsi="Arial" w:cs="Arial"/>
          <w:sz w:val="22"/>
          <w:szCs w:val="22"/>
        </w:rPr>
      </w:pPr>
      <w:r>
        <w:rPr>
          <w:rFonts w:ascii="Arial" w:eastAsia="Arial" w:hAnsi="Arial" w:cs="Arial"/>
          <w:b/>
          <w:i/>
          <w:noProof/>
          <w:color w:val="000000"/>
          <w:sz w:val="22"/>
          <w:szCs w:val="22"/>
          <w:lang w:val="en-IN"/>
        </w:rPr>
        <w:drawing>
          <wp:inline distT="0" distB="0" distL="0" distR="0">
            <wp:extent cx="5730240" cy="3276600"/>
            <wp:effectExtent l="0" t="0" r="0" b="0"/>
            <wp:docPr id="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2"/>
                    <a:srcRect/>
                    <a:stretch>
                      <a:fillRect/>
                    </a:stretch>
                  </pic:blipFill>
                  <pic:spPr>
                    <a:xfrm>
                      <a:off x="0" y="0"/>
                      <a:ext cx="5730240" cy="3276600"/>
                    </a:xfrm>
                    <a:prstGeom prst="rect">
                      <a:avLst/>
                    </a:prstGeom>
                    <a:ln/>
                  </pic:spPr>
                </pic:pic>
              </a:graphicData>
            </a:graphic>
          </wp:inline>
        </w:drawing>
      </w:r>
    </w:p>
    <w:p w:rsidR="00FE5B54" w:rsidRDefault="00EB5D02">
      <w:pPr>
        <w:spacing w:after="0" w:line="360" w:lineRule="auto"/>
        <w:rPr>
          <w:rFonts w:ascii="Arial" w:eastAsia="Arial" w:hAnsi="Arial" w:cs="Arial"/>
          <w:sz w:val="22"/>
          <w:szCs w:val="22"/>
        </w:rPr>
      </w:pPr>
      <w:r>
        <w:rPr>
          <w:rFonts w:ascii="Arial" w:eastAsia="Arial" w:hAnsi="Arial" w:cs="Arial"/>
          <w:b/>
          <w:i/>
          <w:color w:val="000000"/>
          <w:sz w:val="22"/>
          <w:szCs w:val="22"/>
        </w:rPr>
        <w:t>Appendix 4: Slide 4:</w:t>
      </w:r>
    </w:p>
    <w:p w:rsidR="00FE5B54" w:rsidRDefault="00EB5D02">
      <w:pPr>
        <w:spacing w:after="0" w:line="360" w:lineRule="auto"/>
        <w:rPr>
          <w:rFonts w:ascii="Arial" w:eastAsia="Arial" w:hAnsi="Arial" w:cs="Arial"/>
          <w:sz w:val="22"/>
          <w:szCs w:val="22"/>
        </w:rPr>
      </w:pPr>
      <w:r>
        <w:rPr>
          <w:rFonts w:ascii="Arial" w:eastAsia="Arial" w:hAnsi="Arial" w:cs="Arial"/>
          <w:b/>
          <w:i/>
          <w:noProof/>
          <w:color w:val="000000"/>
          <w:sz w:val="22"/>
          <w:szCs w:val="22"/>
          <w:lang w:val="en-IN"/>
        </w:rPr>
        <w:drawing>
          <wp:inline distT="0" distB="0" distL="0" distR="0">
            <wp:extent cx="5730240" cy="3238500"/>
            <wp:effectExtent l="0" t="0" r="0" b="0"/>
            <wp:docPr id="1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3"/>
                    <a:srcRect/>
                    <a:stretch>
                      <a:fillRect/>
                    </a:stretch>
                  </pic:blipFill>
                  <pic:spPr>
                    <a:xfrm>
                      <a:off x="0" y="0"/>
                      <a:ext cx="5730240" cy="3238500"/>
                    </a:xfrm>
                    <a:prstGeom prst="rect">
                      <a:avLst/>
                    </a:prstGeom>
                    <a:ln/>
                  </pic:spPr>
                </pic:pic>
              </a:graphicData>
            </a:graphic>
          </wp:inline>
        </w:drawing>
      </w:r>
    </w:p>
    <w:p w:rsidR="00FE5B54" w:rsidRDefault="00EB5D02">
      <w:pPr>
        <w:spacing w:after="0" w:line="360" w:lineRule="auto"/>
        <w:rPr>
          <w:rFonts w:ascii="Arial" w:eastAsia="Arial" w:hAnsi="Arial" w:cs="Arial"/>
          <w:sz w:val="22"/>
          <w:szCs w:val="22"/>
        </w:rPr>
      </w:pPr>
      <w:r>
        <w:rPr>
          <w:rFonts w:ascii="Arial" w:eastAsia="Arial" w:hAnsi="Arial" w:cs="Arial"/>
          <w:b/>
          <w:i/>
          <w:color w:val="000000"/>
          <w:sz w:val="22"/>
          <w:szCs w:val="22"/>
        </w:rPr>
        <w:t>Appendix 5: Slide 5:</w:t>
      </w:r>
    </w:p>
    <w:p w:rsidR="00FE5B54" w:rsidRDefault="00EB5D02">
      <w:pPr>
        <w:spacing w:after="0" w:line="360" w:lineRule="auto"/>
        <w:rPr>
          <w:rFonts w:ascii="Arial" w:eastAsia="Arial" w:hAnsi="Arial" w:cs="Arial"/>
          <w:sz w:val="22"/>
          <w:szCs w:val="22"/>
        </w:rPr>
      </w:pPr>
      <w:r>
        <w:rPr>
          <w:rFonts w:ascii="Arial" w:eastAsia="Arial" w:hAnsi="Arial" w:cs="Arial"/>
          <w:b/>
          <w:i/>
          <w:noProof/>
          <w:color w:val="000000"/>
          <w:sz w:val="22"/>
          <w:szCs w:val="22"/>
          <w:lang w:val="en-IN"/>
        </w:rPr>
        <w:drawing>
          <wp:inline distT="0" distB="0" distL="0" distR="0">
            <wp:extent cx="5730240" cy="3268980"/>
            <wp:effectExtent l="0" t="0" r="0" b="0"/>
            <wp:docPr id="2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4"/>
                    <a:srcRect/>
                    <a:stretch>
                      <a:fillRect/>
                    </a:stretch>
                  </pic:blipFill>
                  <pic:spPr>
                    <a:xfrm>
                      <a:off x="0" y="0"/>
                      <a:ext cx="5730240" cy="3268980"/>
                    </a:xfrm>
                    <a:prstGeom prst="rect">
                      <a:avLst/>
                    </a:prstGeom>
                    <a:ln/>
                  </pic:spPr>
                </pic:pic>
              </a:graphicData>
            </a:graphic>
          </wp:inline>
        </w:drawing>
      </w:r>
    </w:p>
    <w:p w:rsidR="00FE5B54" w:rsidRDefault="00EB5D02">
      <w:pPr>
        <w:spacing w:after="0" w:line="360" w:lineRule="auto"/>
        <w:rPr>
          <w:rFonts w:ascii="Arial" w:eastAsia="Arial" w:hAnsi="Arial" w:cs="Arial"/>
          <w:sz w:val="22"/>
          <w:szCs w:val="22"/>
        </w:rPr>
      </w:pPr>
      <w:r>
        <w:rPr>
          <w:rFonts w:ascii="Arial" w:eastAsia="Arial" w:hAnsi="Arial" w:cs="Arial"/>
          <w:b/>
          <w:i/>
          <w:color w:val="000000"/>
          <w:sz w:val="22"/>
          <w:szCs w:val="22"/>
        </w:rPr>
        <w:t>Appendix 6: Slide 6:</w:t>
      </w:r>
    </w:p>
    <w:p w:rsidR="00FE5B54" w:rsidRDefault="00EB5D02">
      <w:pPr>
        <w:spacing w:after="0" w:line="360" w:lineRule="auto"/>
        <w:rPr>
          <w:rFonts w:ascii="Arial" w:eastAsia="Arial" w:hAnsi="Arial" w:cs="Arial"/>
          <w:sz w:val="22"/>
          <w:szCs w:val="22"/>
        </w:rPr>
      </w:pPr>
      <w:r>
        <w:rPr>
          <w:rFonts w:ascii="Arial" w:eastAsia="Arial" w:hAnsi="Arial" w:cs="Arial"/>
          <w:b/>
          <w:i/>
          <w:noProof/>
          <w:color w:val="000000"/>
          <w:sz w:val="22"/>
          <w:szCs w:val="22"/>
          <w:lang w:val="en-IN"/>
        </w:rPr>
        <w:drawing>
          <wp:inline distT="0" distB="0" distL="0" distR="0">
            <wp:extent cx="5730240" cy="3246120"/>
            <wp:effectExtent l="0" t="0" r="0" b="0"/>
            <wp:docPr id="2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5"/>
                    <a:srcRect/>
                    <a:stretch>
                      <a:fillRect/>
                    </a:stretch>
                  </pic:blipFill>
                  <pic:spPr>
                    <a:xfrm>
                      <a:off x="0" y="0"/>
                      <a:ext cx="5730240" cy="3246120"/>
                    </a:xfrm>
                    <a:prstGeom prst="rect">
                      <a:avLst/>
                    </a:prstGeom>
                    <a:ln/>
                  </pic:spPr>
                </pic:pic>
              </a:graphicData>
            </a:graphic>
          </wp:inline>
        </w:drawing>
      </w:r>
    </w:p>
    <w:p w:rsidR="00FE5B54" w:rsidRDefault="00EB5D02">
      <w:pPr>
        <w:spacing w:after="0" w:line="360" w:lineRule="auto"/>
        <w:rPr>
          <w:rFonts w:ascii="Arial" w:eastAsia="Arial" w:hAnsi="Arial" w:cs="Arial"/>
          <w:sz w:val="22"/>
          <w:szCs w:val="22"/>
        </w:rPr>
      </w:pPr>
      <w:r>
        <w:rPr>
          <w:rFonts w:ascii="Arial" w:eastAsia="Arial" w:hAnsi="Arial" w:cs="Arial"/>
          <w:b/>
          <w:i/>
          <w:color w:val="000000"/>
          <w:sz w:val="22"/>
          <w:szCs w:val="22"/>
        </w:rPr>
        <w:t>Appendix 7: Slide 7:</w:t>
      </w:r>
    </w:p>
    <w:p w:rsidR="00FE5B54" w:rsidRDefault="00EB5D02">
      <w:pPr>
        <w:spacing w:after="0" w:line="360" w:lineRule="auto"/>
        <w:rPr>
          <w:rFonts w:ascii="Arial" w:eastAsia="Arial" w:hAnsi="Arial" w:cs="Arial"/>
          <w:sz w:val="22"/>
          <w:szCs w:val="22"/>
        </w:rPr>
      </w:pPr>
      <w:r>
        <w:rPr>
          <w:rFonts w:ascii="Arial" w:eastAsia="Arial" w:hAnsi="Arial" w:cs="Arial"/>
          <w:b/>
          <w:i/>
          <w:noProof/>
          <w:color w:val="000000"/>
          <w:sz w:val="22"/>
          <w:szCs w:val="22"/>
          <w:lang w:val="en-IN"/>
        </w:rPr>
        <w:drawing>
          <wp:inline distT="0" distB="0" distL="0" distR="0">
            <wp:extent cx="5730240" cy="3246120"/>
            <wp:effectExtent l="0" t="0" r="0" b="0"/>
            <wp:docPr id="2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6"/>
                    <a:srcRect/>
                    <a:stretch>
                      <a:fillRect/>
                    </a:stretch>
                  </pic:blipFill>
                  <pic:spPr>
                    <a:xfrm>
                      <a:off x="0" y="0"/>
                      <a:ext cx="5730240" cy="3246120"/>
                    </a:xfrm>
                    <a:prstGeom prst="rect">
                      <a:avLst/>
                    </a:prstGeom>
                    <a:ln/>
                  </pic:spPr>
                </pic:pic>
              </a:graphicData>
            </a:graphic>
          </wp:inline>
        </w:drawing>
      </w:r>
    </w:p>
    <w:p w:rsidR="00FE5B54" w:rsidRDefault="00EB5D02">
      <w:pPr>
        <w:spacing w:after="0" w:line="360" w:lineRule="auto"/>
        <w:rPr>
          <w:rFonts w:ascii="Arial" w:eastAsia="Arial" w:hAnsi="Arial" w:cs="Arial"/>
          <w:sz w:val="22"/>
          <w:szCs w:val="22"/>
        </w:rPr>
      </w:pPr>
      <w:r>
        <w:rPr>
          <w:rFonts w:ascii="Arial" w:eastAsia="Arial" w:hAnsi="Arial" w:cs="Arial"/>
          <w:b/>
          <w:i/>
          <w:color w:val="000000"/>
          <w:sz w:val="22"/>
          <w:szCs w:val="22"/>
        </w:rPr>
        <w:t>Appendix 8: Slide 8:</w:t>
      </w:r>
    </w:p>
    <w:p w:rsidR="00FE5B54" w:rsidRDefault="00EB5D02">
      <w:pPr>
        <w:spacing w:after="0" w:line="360" w:lineRule="auto"/>
        <w:rPr>
          <w:rFonts w:ascii="Arial" w:eastAsia="Arial" w:hAnsi="Arial" w:cs="Arial"/>
          <w:sz w:val="22"/>
          <w:szCs w:val="22"/>
        </w:rPr>
      </w:pPr>
      <w:r>
        <w:rPr>
          <w:rFonts w:ascii="Arial" w:eastAsia="Arial" w:hAnsi="Arial" w:cs="Arial"/>
          <w:b/>
          <w:i/>
          <w:noProof/>
          <w:color w:val="000000"/>
          <w:sz w:val="22"/>
          <w:szCs w:val="22"/>
          <w:lang w:val="en-IN"/>
        </w:rPr>
        <w:drawing>
          <wp:inline distT="0" distB="0" distL="0" distR="0">
            <wp:extent cx="5730240" cy="3246120"/>
            <wp:effectExtent l="0" t="0" r="0" b="0"/>
            <wp:docPr id="2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7"/>
                    <a:srcRect/>
                    <a:stretch>
                      <a:fillRect/>
                    </a:stretch>
                  </pic:blipFill>
                  <pic:spPr>
                    <a:xfrm>
                      <a:off x="0" y="0"/>
                      <a:ext cx="5730240" cy="3246120"/>
                    </a:xfrm>
                    <a:prstGeom prst="rect">
                      <a:avLst/>
                    </a:prstGeom>
                    <a:ln/>
                  </pic:spPr>
                </pic:pic>
              </a:graphicData>
            </a:graphic>
          </wp:inline>
        </w:drawing>
      </w:r>
    </w:p>
    <w:p w:rsidR="00FE5B54" w:rsidRDefault="00EB5D02">
      <w:pPr>
        <w:spacing w:after="0" w:line="360" w:lineRule="auto"/>
        <w:rPr>
          <w:rFonts w:ascii="Arial" w:eastAsia="Arial" w:hAnsi="Arial" w:cs="Arial"/>
          <w:sz w:val="22"/>
          <w:szCs w:val="22"/>
        </w:rPr>
      </w:pPr>
      <w:r>
        <w:rPr>
          <w:rFonts w:ascii="Arial" w:eastAsia="Arial" w:hAnsi="Arial" w:cs="Arial"/>
          <w:b/>
          <w:i/>
          <w:color w:val="000000"/>
          <w:sz w:val="22"/>
          <w:szCs w:val="22"/>
        </w:rPr>
        <w:t>Appendix 9: Slide 9:</w:t>
      </w:r>
    </w:p>
    <w:p w:rsidR="00FE5B54" w:rsidRDefault="00EB5D02">
      <w:pPr>
        <w:spacing w:after="0" w:line="360" w:lineRule="auto"/>
        <w:rPr>
          <w:rFonts w:ascii="Arial" w:eastAsia="Arial" w:hAnsi="Arial" w:cs="Arial"/>
          <w:sz w:val="22"/>
          <w:szCs w:val="22"/>
        </w:rPr>
      </w:pPr>
      <w:r>
        <w:rPr>
          <w:rFonts w:ascii="Arial" w:eastAsia="Arial" w:hAnsi="Arial" w:cs="Arial"/>
          <w:b/>
          <w:i/>
          <w:noProof/>
          <w:color w:val="000000"/>
          <w:sz w:val="22"/>
          <w:szCs w:val="22"/>
          <w:lang w:val="en-IN"/>
        </w:rPr>
        <w:drawing>
          <wp:inline distT="0" distB="0" distL="0" distR="0">
            <wp:extent cx="5730240" cy="3268980"/>
            <wp:effectExtent l="0" t="0" r="0" b="0"/>
            <wp:docPr id="2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8"/>
                    <a:srcRect/>
                    <a:stretch>
                      <a:fillRect/>
                    </a:stretch>
                  </pic:blipFill>
                  <pic:spPr>
                    <a:xfrm>
                      <a:off x="0" y="0"/>
                      <a:ext cx="5730240" cy="3268980"/>
                    </a:xfrm>
                    <a:prstGeom prst="rect">
                      <a:avLst/>
                    </a:prstGeom>
                    <a:ln/>
                  </pic:spPr>
                </pic:pic>
              </a:graphicData>
            </a:graphic>
          </wp:inline>
        </w:drawing>
      </w:r>
    </w:p>
    <w:p w:rsidR="00FE5B54" w:rsidRDefault="00EB5D02">
      <w:pPr>
        <w:spacing w:after="0" w:line="360" w:lineRule="auto"/>
        <w:rPr>
          <w:rFonts w:ascii="Arial" w:eastAsia="Arial" w:hAnsi="Arial" w:cs="Arial"/>
          <w:sz w:val="22"/>
          <w:szCs w:val="22"/>
        </w:rPr>
      </w:pPr>
      <w:r>
        <w:rPr>
          <w:rFonts w:ascii="Arial" w:eastAsia="Arial" w:hAnsi="Arial" w:cs="Arial"/>
          <w:b/>
          <w:i/>
          <w:color w:val="000000"/>
          <w:sz w:val="22"/>
          <w:szCs w:val="22"/>
        </w:rPr>
        <w:t>Appendix 10: Slide 10:</w:t>
      </w:r>
    </w:p>
    <w:p w:rsidR="00FE5B54" w:rsidRDefault="00EB5D02">
      <w:pPr>
        <w:spacing w:after="0" w:line="360" w:lineRule="auto"/>
        <w:rPr>
          <w:rFonts w:ascii="Arial" w:eastAsia="Arial" w:hAnsi="Arial" w:cs="Arial"/>
          <w:sz w:val="22"/>
          <w:szCs w:val="22"/>
        </w:rPr>
      </w:pPr>
      <w:r>
        <w:rPr>
          <w:rFonts w:ascii="Arial" w:eastAsia="Arial" w:hAnsi="Arial" w:cs="Arial"/>
          <w:b/>
          <w:i/>
          <w:noProof/>
          <w:color w:val="000000"/>
          <w:sz w:val="22"/>
          <w:szCs w:val="22"/>
          <w:lang w:val="en-IN"/>
        </w:rPr>
        <w:drawing>
          <wp:inline distT="0" distB="0" distL="0" distR="0">
            <wp:extent cx="5730240" cy="3276600"/>
            <wp:effectExtent l="0" t="0" r="0" b="0"/>
            <wp:docPr id="2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9"/>
                    <a:srcRect/>
                    <a:stretch>
                      <a:fillRect/>
                    </a:stretch>
                  </pic:blipFill>
                  <pic:spPr>
                    <a:xfrm>
                      <a:off x="0" y="0"/>
                      <a:ext cx="5730240" cy="3276600"/>
                    </a:xfrm>
                    <a:prstGeom prst="rect">
                      <a:avLst/>
                    </a:prstGeom>
                    <a:ln/>
                  </pic:spPr>
                </pic:pic>
              </a:graphicData>
            </a:graphic>
          </wp:inline>
        </w:drawing>
      </w:r>
    </w:p>
    <w:p w:rsidR="00FE5B54" w:rsidRDefault="00EB5D02">
      <w:pPr>
        <w:spacing w:after="0" w:line="360" w:lineRule="auto"/>
        <w:rPr>
          <w:rFonts w:ascii="Arial" w:eastAsia="Arial" w:hAnsi="Arial" w:cs="Arial"/>
          <w:sz w:val="22"/>
          <w:szCs w:val="22"/>
        </w:rPr>
      </w:pPr>
      <w:r>
        <w:rPr>
          <w:rFonts w:ascii="Arial" w:eastAsia="Arial" w:hAnsi="Arial" w:cs="Arial"/>
          <w:b/>
          <w:i/>
          <w:color w:val="000000"/>
          <w:sz w:val="22"/>
          <w:szCs w:val="22"/>
        </w:rPr>
        <w:t>Appendix 11: Slide 11:</w:t>
      </w:r>
    </w:p>
    <w:p w:rsidR="00FE5B54" w:rsidRDefault="00EB5D02">
      <w:pPr>
        <w:spacing w:after="0" w:line="360" w:lineRule="auto"/>
        <w:rPr>
          <w:rFonts w:ascii="Arial" w:eastAsia="Arial" w:hAnsi="Arial" w:cs="Arial"/>
          <w:sz w:val="22"/>
          <w:szCs w:val="22"/>
        </w:rPr>
      </w:pPr>
      <w:r>
        <w:rPr>
          <w:rFonts w:ascii="Arial" w:eastAsia="Arial" w:hAnsi="Arial" w:cs="Arial"/>
          <w:b/>
          <w:i/>
          <w:noProof/>
          <w:color w:val="000000"/>
          <w:sz w:val="22"/>
          <w:szCs w:val="22"/>
          <w:lang w:val="en-IN"/>
        </w:rPr>
        <w:drawing>
          <wp:inline distT="0" distB="0" distL="0" distR="0">
            <wp:extent cx="5730240" cy="3268980"/>
            <wp:effectExtent l="0" t="0" r="0" b="0"/>
            <wp:docPr id="2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0"/>
                    <a:srcRect/>
                    <a:stretch>
                      <a:fillRect/>
                    </a:stretch>
                  </pic:blipFill>
                  <pic:spPr>
                    <a:xfrm>
                      <a:off x="0" y="0"/>
                      <a:ext cx="5730240" cy="3268980"/>
                    </a:xfrm>
                    <a:prstGeom prst="rect">
                      <a:avLst/>
                    </a:prstGeom>
                    <a:ln/>
                  </pic:spPr>
                </pic:pic>
              </a:graphicData>
            </a:graphic>
          </wp:inline>
        </w:drawing>
      </w:r>
    </w:p>
    <w:p w:rsidR="00FE5B54" w:rsidRDefault="00EB5D02">
      <w:pPr>
        <w:spacing w:after="0" w:line="360" w:lineRule="auto"/>
        <w:rPr>
          <w:rFonts w:ascii="Arial" w:eastAsia="Arial" w:hAnsi="Arial" w:cs="Arial"/>
          <w:sz w:val="22"/>
          <w:szCs w:val="22"/>
        </w:rPr>
      </w:pPr>
      <w:r>
        <w:rPr>
          <w:rFonts w:ascii="Arial" w:eastAsia="Arial" w:hAnsi="Arial" w:cs="Arial"/>
          <w:b/>
          <w:i/>
          <w:color w:val="000000"/>
          <w:sz w:val="22"/>
          <w:szCs w:val="22"/>
        </w:rPr>
        <w:t>Appendix 12: Slide 12:</w:t>
      </w:r>
    </w:p>
    <w:p w:rsidR="00FE5B54" w:rsidRDefault="00EB5D02">
      <w:pPr>
        <w:spacing w:after="0" w:line="360" w:lineRule="auto"/>
        <w:rPr>
          <w:rFonts w:ascii="Arial" w:eastAsia="Arial" w:hAnsi="Arial" w:cs="Arial"/>
          <w:sz w:val="22"/>
          <w:szCs w:val="22"/>
        </w:rPr>
      </w:pPr>
      <w:r>
        <w:rPr>
          <w:rFonts w:ascii="Arial" w:eastAsia="Arial" w:hAnsi="Arial" w:cs="Arial"/>
          <w:b/>
          <w:noProof/>
          <w:color w:val="000000"/>
          <w:sz w:val="22"/>
          <w:szCs w:val="22"/>
          <w:lang w:val="en-IN"/>
        </w:rPr>
        <w:drawing>
          <wp:inline distT="0" distB="0" distL="0" distR="0">
            <wp:extent cx="5730240" cy="3246120"/>
            <wp:effectExtent l="0" t="0" r="0" b="0"/>
            <wp:docPr id="2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1"/>
                    <a:srcRect/>
                    <a:stretch>
                      <a:fillRect/>
                    </a:stretch>
                  </pic:blipFill>
                  <pic:spPr>
                    <a:xfrm>
                      <a:off x="0" y="0"/>
                      <a:ext cx="5730240" cy="3246120"/>
                    </a:xfrm>
                    <a:prstGeom prst="rect">
                      <a:avLst/>
                    </a:prstGeom>
                    <a:ln/>
                  </pic:spPr>
                </pic:pic>
              </a:graphicData>
            </a:graphic>
          </wp:inline>
        </w:drawing>
      </w:r>
    </w:p>
    <w:p w:rsidR="00FE5B54" w:rsidRDefault="00FE5B54">
      <w:pPr>
        <w:spacing w:line="360" w:lineRule="auto"/>
        <w:rPr>
          <w:rFonts w:ascii="Arial" w:eastAsia="Arial" w:hAnsi="Arial" w:cs="Arial"/>
          <w:sz w:val="22"/>
          <w:szCs w:val="22"/>
        </w:rPr>
      </w:pPr>
    </w:p>
    <w:sectPr w:rsidR="00FE5B54">
      <w:footerReference w:type="default" r:id="rId3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32122" w:rsidRDefault="00032122">
      <w:pPr>
        <w:spacing w:after="0" w:line="240" w:lineRule="auto"/>
      </w:pPr>
      <w:r>
        <w:separator/>
      </w:r>
    </w:p>
  </w:endnote>
  <w:endnote w:type="continuationSeparator" w:id="0">
    <w:p w:rsidR="00032122" w:rsidRDefault="000321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panose1 w:val="020B0502040504020204"/>
    <w:charset w:val="00"/>
    <w:family w:val="swiss"/>
    <w:pitch w:val="variable"/>
    <w:sig w:usb0="00000003" w:usb1="0200FDEE" w:usb2="03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E5B54" w:rsidRDefault="00EB5D02">
    <w:pPr>
      <w:pBdr>
        <w:top w:val="nil"/>
        <w:left w:val="nil"/>
        <w:bottom w:val="nil"/>
        <w:right w:val="nil"/>
        <w:between w:val="nil"/>
      </w:pBdr>
      <w:tabs>
        <w:tab w:val="center" w:pos="4513"/>
        <w:tab w:val="right" w:pos="9026"/>
      </w:tabs>
      <w:spacing w:after="0" w:line="240" w:lineRule="auto"/>
      <w:jc w:val="right"/>
      <w:rPr>
        <w:rFonts w:eastAsia="Times New Roman"/>
        <w:color w:val="000000"/>
      </w:rPr>
    </w:pPr>
    <w:r>
      <w:rPr>
        <w:rFonts w:eastAsia="Times New Roman"/>
        <w:color w:val="000000"/>
      </w:rPr>
      <w:fldChar w:fldCharType="begin"/>
    </w:r>
    <w:r>
      <w:rPr>
        <w:rFonts w:eastAsia="Times New Roman"/>
        <w:color w:val="000000"/>
      </w:rPr>
      <w:instrText>PAGE</w:instrText>
    </w:r>
    <w:r>
      <w:rPr>
        <w:rFonts w:eastAsia="Times New Roman"/>
        <w:color w:val="000000"/>
      </w:rPr>
      <w:fldChar w:fldCharType="separate"/>
    </w:r>
    <w:r w:rsidR="00072CA3">
      <w:rPr>
        <w:rFonts w:eastAsia="Times New Roman"/>
        <w:noProof/>
        <w:color w:val="000000"/>
      </w:rPr>
      <w:t>10</w:t>
    </w:r>
    <w:r>
      <w:rPr>
        <w:rFonts w:eastAsia="Times New Roman"/>
        <w:color w:val="000000"/>
      </w:rPr>
      <w:fldChar w:fldCharType="end"/>
    </w:r>
  </w:p>
  <w:p w:rsidR="00FE5B54" w:rsidRDefault="00FE5B54">
    <w:pPr>
      <w:pBdr>
        <w:top w:val="nil"/>
        <w:left w:val="nil"/>
        <w:bottom w:val="nil"/>
        <w:right w:val="nil"/>
        <w:between w:val="nil"/>
      </w:pBdr>
      <w:tabs>
        <w:tab w:val="center" w:pos="4513"/>
        <w:tab w:val="right" w:pos="9026"/>
      </w:tabs>
      <w:spacing w:after="0" w:line="240" w:lineRule="auto"/>
      <w:rPr>
        <w:rFonts w:eastAsia="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32122" w:rsidRDefault="00032122">
      <w:pPr>
        <w:spacing w:after="0" w:line="240" w:lineRule="auto"/>
      </w:pPr>
      <w:r>
        <w:separator/>
      </w:r>
    </w:p>
  </w:footnote>
  <w:footnote w:type="continuationSeparator" w:id="0">
    <w:p w:rsidR="00032122" w:rsidRDefault="000321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403381"/>
    <w:multiLevelType w:val="multilevel"/>
    <w:tmpl w:val="5608F20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684B5BF0"/>
    <w:multiLevelType w:val="multilevel"/>
    <w:tmpl w:val="959E50E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372072513">
    <w:abstractNumId w:val="1"/>
  </w:num>
  <w:num w:numId="2" w16cid:durableId="5596804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B54"/>
    <w:rsid w:val="000046C6"/>
    <w:rsid w:val="00032122"/>
    <w:rsid w:val="00072CA3"/>
    <w:rsid w:val="002072C6"/>
    <w:rsid w:val="00312C49"/>
    <w:rsid w:val="0037701C"/>
    <w:rsid w:val="004E41EB"/>
    <w:rsid w:val="006352B1"/>
    <w:rsid w:val="0068530F"/>
    <w:rsid w:val="006963A8"/>
    <w:rsid w:val="00816DB7"/>
    <w:rsid w:val="008B386D"/>
    <w:rsid w:val="009C459D"/>
    <w:rsid w:val="009E3CD7"/>
    <w:rsid w:val="00AA71FC"/>
    <w:rsid w:val="00AF2FAF"/>
    <w:rsid w:val="00BB7911"/>
    <w:rsid w:val="00C433C7"/>
    <w:rsid w:val="00CA348E"/>
    <w:rsid w:val="00CB014E"/>
    <w:rsid w:val="00E60486"/>
    <w:rsid w:val="00E774C2"/>
    <w:rsid w:val="00EB5D02"/>
    <w:rsid w:val="00EE786D"/>
    <w:rsid w:val="00FA4E27"/>
    <w:rsid w:val="00FE5B5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390F0"/>
  <w15:docId w15:val="{8C87A6A2-3D44-47F2-B0B7-6807D123E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after="160" w:line="25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F8F"/>
    <w:rPr>
      <w:rFonts w:eastAsiaTheme="minorEastAsia"/>
    </w:rPr>
  </w:style>
  <w:style w:type="paragraph" w:styleId="Heading1">
    <w:name w:val="heading 1"/>
    <w:basedOn w:val="Normal"/>
    <w:next w:val="Normal"/>
    <w:link w:val="Heading1Char"/>
    <w:uiPriority w:val="9"/>
    <w:qFormat/>
    <w:rsid w:val="004A4D5B"/>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4A4D5B"/>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semiHidden/>
    <w:unhideWhenUsed/>
    <w:qFormat/>
    <w:rsid w:val="00F54412"/>
    <w:pPr>
      <w:keepNext/>
      <w:keepLines/>
      <w:spacing w:before="40" w:after="0"/>
      <w:outlineLvl w:val="2"/>
    </w:pPr>
    <w:rPr>
      <w:rFonts w:eastAsiaTheme="majorEastAsia" w:cstheme="majorBidi"/>
      <w:b/>
      <w:i/>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73E5A"/>
    <w:pPr>
      <w:spacing w:before="120" w:after="120" w:line="480" w:lineRule="auto"/>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A73E5A"/>
    <w:rPr>
      <w:rFonts w:ascii="Times New Roman" w:eastAsiaTheme="majorEastAsia" w:hAnsi="Times New Roman" w:cstheme="majorBidi"/>
      <w:b/>
      <w:spacing w:val="-10"/>
      <w:kern w:val="28"/>
      <w:sz w:val="36"/>
      <w:szCs w:val="56"/>
      <w:u w:val="single"/>
    </w:rPr>
  </w:style>
  <w:style w:type="character" w:customStyle="1" w:styleId="Heading1Char">
    <w:name w:val="Heading 1 Char"/>
    <w:basedOn w:val="DefaultParagraphFont"/>
    <w:link w:val="Heading1"/>
    <w:uiPriority w:val="9"/>
    <w:rsid w:val="004A4D5B"/>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4A4D5B"/>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semiHidden/>
    <w:rsid w:val="00F54412"/>
    <w:rPr>
      <w:rFonts w:ascii="Times New Roman" w:eastAsiaTheme="majorEastAsia" w:hAnsi="Times New Roman" w:cstheme="majorBidi"/>
      <w:b/>
      <w:i/>
      <w:sz w:val="24"/>
      <w:szCs w:val="24"/>
    </w:rPr>
  </w:style>
  <w:style w:type="paragraph" w:styleId="NormalWeb">
    <w:name w:val="Normal (Web)"/>
    <w:basedOn w:val="Normal"/>
    <w:uiPriority w:val="99"/>
    <w:semiHidden/>
    <w:unhideWhenUsed/>
    <w:rsid w:val="00EF7DAB"/>
    <w:pPr>
      <w:spacing w:before="100" w:beforeAutospacing="1" w:after="100" w:afterAutospacing="1" w:line="240" w:lineRule="auto"/>
      <w:jc w:val="left"/>
    </w:pPr>
    <w:rPr>
      <w:rFonts w:eastAsia="Times New Roman"/>
      <w:lang w:val="en-IN"/>
    </w:rPr>
  </w:style>
  <w:style w:type="character" w:styleId="Hyperlink">
    <w:name w:val="Hyperlink"/>
    <w:basedOn w:val="DefaultParagraphFont"/>
    <w:uiPriority w:val="99"/>
    <w:unhideWhenUsed/>
    <w:rsid w:val="00EF7DAB"/>
    <w:rPr>
      <w:color w:val="0000FF"/>
      <w:u w:val="single"/>
    </w:rPr>
  </w:style>
  <w:style w:type="paragraph" w:styleId="Header">
    <w:name w:val="header"/>
    <w:basedOn w:val="Normal"/>
    <w:link w:val="HeaderChar"/>
    <w:uiPriority w:val="99"/>
    <w:unhideWhenUsed/>
    <w:rsid w:val="00EF7D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7DAB"/>
    <w:rPr>
      <w:rFonts w:ascii="Times New Roman" w:eastAsiaTheme="minorEastAsia" w:hAnsi="Times New Roman"/>
      <w:sz w:val="24"/>
      <w:lang w:val="en-GB" w:eastAsia="en-IN"/>
    </w:rPr>
  </w:style>
  <w:style w:type="paragraph" w:styleId="Footer">
    <w:name w:val="footer"/>
    <w:basedOn w:val="Normal"/>
    <w:link w:val="FooterChar"/>
    <w:uiPriority w:val="99"/>
    <w:unhideWhenUsed/>
    <w:rsid w:val="00EF7D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7DAB"/>
    <w:rPr>
      <w:rFonts w:ascii="Times New Roman" w:eastAsiaTheme="minorEastAsia" w:hAnsi="Times New Roman"/>
      <w:sz w:val="24"/>
      <w:lang w:val="en-GB" w:eastAsia="en-IN"/>
    </w:rPr>
  </w:style>
  <w:style w:type="paragraph" w:styleId="TOCHeading">
    <w:name w:val="TOC Heading"/>
    <w:basedOn w:val="Heading1"/>
    <w:next w:val="Normal"/>
    <w:uiPriority w:val="39"/>
    <w:unhideWhenUsed/>
    <w:qFormat/>
    <w:rsid w:val="00535C12"/>
    <w:pPr>
      <w:spacing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535C12"/>
    <w:pPr>
      <w:spacing w:after="100"/>
    </w:pPr>
  </w:style>
  <w:style w:type="paragraph" w:styleId="TOC2">
    <w:name w:val="toc 2"/>
    <w:basedOn w:val="Normal"/>
    <w:next w:val="Normal"/>
    <w:autoRedefine/>
    <w:uiPriority w:val="39"/>
    <w:unhideWhenUsed/>
    <w:rsid w:val="00535C12"/>
    <w:pPr>
      <w:spacing w:after="100"/>
      <w:ind w:left="240"/>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onlinelibrary.wiley.com/doi/abs/10.1111/irj.12306" TargetMode="External" /><Relationship Id="rId18" Type="http://schemas.openxmlformats.org/officeDocument/2006/relationships/hyperlink" Target="https://www.patientlibrary.net/tempgen/171238.pdf" TargetMode="External" /><Relationship Id="rId26" Type="http://schemas.openxmlformats.org/officeDocument/2006/relationships/image" Target="media/image8.png" /><Relationship Id="rId3" Type="http://schemas.openxmlformats.org/officeDocument/2006/relationships/styles" Target="styles.xml" /><Relationship Id="rId21" Type="http://schemas.openxmlformats.org/officeDocument/2006/relationships/image" Target="media/image3.png" /><Relationship Id="rId34"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hyperlink" Target="https://journals.rcni.com/doi/aop-pdf/10.7748/nm.2018.e1695" TargetMode="External" /><Relationship Id="rId17" Type="http://schemas.openxmlformats.org/officeDocument/2006/relationships/hyperlink" Target="https://bmcpublichealth.biomedcentral.com/articles/10.1186/s12889-018-6283-y" TargetMode="External" /><Relationship Id="rId25" Type="http://schemas.openxmlformats.org/officeDocument/2006/relationships/image" Target="media/image7.png" /><Relationship Id="rId33"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s://www.emerald.com/insight/content/doi/10.1108/TPM-06-2020-0049/full/html" TargetMode="External" /><Relationship Id="rId20" Type="http://schemas.openxmlformats.org/officeDocument/2006/relationships/image" Target="media/image2.png" /><Relationship Id="rId29" Type="http://schemas.openxmlformats.org/officeDocument/2006/relationships/image" Target="media/image11.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ejhp.bmj.com/content/28/1/10.abstract" TargetMode="External" /><Relationship Id="rId24" Type="http://schemas.openxmlformats.org/officeDocument/2006/relationships/image" Target="media/image6.png" /><Relationship Id="rId32"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hyperlink" Target="https://papers.ssrn.com/sol3/papers.cfm?abstract_id=4114685" TargetMode="External" /><Relationship Id="rId23" Type="http://schemas.openxmlformats.org/officeDocument/2006/relationships/image" Target="media/image5.png" /><Relationship Id="rId28" Type="http://schemas.openxmlformats.org/officeDocument/2006/relationships/image" Target="media/image10.png" /><Relationship Id="rId10" Type="http://schemas.openxmlformats.org/officeDocument/2006/relationships/hyperlink" Target="https://www.cipd.co.uk/knowledge/strategy/organisational-development/pestle-analysis-factsheet" TargetMode="External" /><Relationship Id="rId19" Type="http://schemas.openxmlformats.org/officeDocument/2006/relationships/hyperlink" Target="https://search.proquest.com/openview/05e5666ee72f85d0e7032d09b522beb6/1?pq-origsite=gscholar&amp;cbl=2043523" TargetMode="External" /><Relationship Id="rId31" Type="http://schemas.openxmlformats.org/officeDocument/2006/relationships/image" Target="media/image13.png" /><Relationship Id="rId4" Type="http://schemas.openxmlformats.org/officeDocument/2006/relationships/settings" Target="settings.xml" /><Relationship Id="rId9" Type="http://schemas.openxmlformats.org/officeDocument/2006/relationships/hyperlink" Target="https://apo.org.au/node/205731?utm_source=APO-view&amp;utm_medium=more-like-this&amp;utm_campaign=resource-mlt" TargetMode="External" /><Relationship Id="rId14" Type="http://schemas.openxmlformats.org/officeDocument/2006/relationships/hyperlink" Target="https://meridian.allenpress.com/idd/article-abstract/58/3/192/436579" TargetMode="External" /><Relationship Id="rId22" Type="http://schemas.openxmlformats.org/officeDocument/2006/relationships/image" Target="media/image4.png" /><Relationship Id="rId27" Type="http://schemas.openxmlformats.org/officeDocument/2006/relationships/image" Target="media/image9.png" /><Relationship Id="rId30" Type="http://schemas.openxmlformats.org/officeDocument/2006/relationships/image" Target="media/image1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plP08ixlLAdvb3gn+FEozSffgVg==">AMUW2mUL7T5BrBfwvVdTBdlycS7HvsDUGdLLP9TMrEcwBQ/+/VIZudcfmSku56gr9L26e7bsSpQha/3C6EtGZ2TV9NFW8azeAKfg3oDTdwAO1T7qT9Z/dsDu9FFbKkjyP0xU7so1uS3t8FDaFp36NpA8E53xtKIwnMb2qok5+1BO6bb8p9IJzEDLCtSGzSHg/Z6w67pCNH/2yJZXR/4c+7CZ1ID5jzr4SESvQuOTMqNZ5hn1liP8rwOqROyyJJGVWAEok7QImJ/PZI25E8oqdjg1Be5Lps/MVQrf5j9rjsyH6toVWh6A+zB9C5sgEt2gaJMgvL9l1As/eGiS+5AhG03TXqTVMHPxJ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3156</Words>
  <Characters>17990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pubali chakraborty</dc:creator>
  <cp:lastModifiedBy>myrela55@icloud.com</cp:lastModifiedBy>
  <cp:revision>2</cp:revision>
  <dcterms:created xsi:type="dcterms:W3CDTF">2022-08-13T22:01:00Z</dcterms:created>
  <dcterms:modified xsi:type="dcterms:W3CDTF">2022-08-13T22:01:00Z</dcterms:modified>
</cp:coreProperties>
</file>