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69CC" w14:textId="77777777" w:rsidR="00B86747" w:rsidRDefault="00B86747" w:rsidP="000F156B">
      <w:pPr>
        <w:tabs>
          <w:tab w:val="left" w:pos="3444"/>
        </w:tabs>
        <w:rPr>
          <w:b/>
          <w:bCs/>
          <w:sz w:val="72"/>
          <w:szCs w:val="56"/>
        </w:rPr>
      </w:pPr>
    </w:p>
    <w:p w14:paraId="36AE5A7F" w14:textId="64FCA4EB" w:rsidR="00B86747" w:rsidRDefault="007C4C9F" w:rsidP="00C45F28">
      <w:pPr>
        <w:tabs>
          <w:tab w:val="left" w:pos="3444"/>
        </w:tabs>
        <w:jc w:val="center"/>
        <w:rPr>
          <w:b/>
          <w:bCs/>
          <w:sz w:val="72"/>
          <w:szCs w:val="56"/>
        </w:rPr>
      </w:pPr>
      <w:r>
        <w:rPr>
          <w:noProof/>
        </w:rPr>
        <w:drawing>
          <wp:inline distT="0" distB="0" distL="0" distR="0" wp14:anchorId="6857FE80" wp14:editId="68C4E7C7">
            <wp:extent cx="3474720" cy="1310640"/>
            <wp:effectExtent l="0" t="0" r="0" b="3810"/>
            <wp:docPr id="1745199012"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310640"/>
                    </a:xfrm>
                    <a:prstGeom prst="rect">
                      <a:avLst/>
                    </a:prstGeom>
                    <a:noFill/>
                    <a:ln>
                      <a:noFill/>
                    </a:ln>
                  </pic:spPr>
                </pic:pic>
              </a:graphicData>
            </a:graphic>
          </wp:inline>
        </w:drawing>
      </w:r>
    </w:p>
    <w:p w14:paraId="1DA84888" w14:textId="77777777" w:rsidR="006C4276" w:rsidRDefault="006C4276" w:rsidP="000F156B">
      <w:pPr>
        <w:tabs>
          <w:tab w:val="left" w:pos="3444"/>
        </w:tabs>
        <w:rPr>
          <w:b/>
          <w:bCs/>
          <w:sz w:val="72"/>
          <w:szCs w:val="56"/>
        </w:rPr>
      </w:pPr>
    </w:p>
    <w:p w14:paraId="65756877" w14:textId="0C021E96" w:rsidR="003A3E0E" w:rsidRDefault="00B86747" w:rsidP="005429C3">
      <w:pPr>
        <w:tabs>
          <w:tab w:val="left" w:pos="3444"/>
        </w:tabs>
        <w:jc w:val="center"/>
        <w:rPr>
          <w:b/>
          <w:bCs/>
          <w:i/>
          <w:iCs/>
          <w:sz w:val="56"/>
          <w:szCs w:val="52"/>
        </w:rPr>
      </w:pPr>
      <w:r w:rsidRPr="00B86747">
        <w:rPr>
          <w:b/>
          <w:bCs/>
          <w:i/>
          <w:iCs/>
          <w:sz w:val="56"/>
          <w:szCs w:val="52"/>
        </w:rPr>
        <w:t>An</w:t>
      </w:r>
      <w:r w:rsidRPr="00B86747">
        <w:rPr>
          <w:sz w:val="56"/>
          <w:szCs w:val="52"/>
        </w:rPr>
        <w:t xml:space="preserve"> </w:t>
      </w:r>
      <w:r w:rsidRPr="00B86747">
        <w:rPr>
          <w:b/>
          <w:bCs/>
          <w:i/>
          <w:iCs/>
          <w:sz w:val="56"/>
          <w:szCs w:val="52"/>
        </w:rPr>
        <w:t>evaluation of exchange rate risk management for MNEs</w:t>
      </w:r>
    </w:p>
    <w:p w14:paraId="485C1431" w14:textId="05DF3D71" w:rsidR="005429C3" w:rsidRPr="005429C3" w:rsidRDefault="005429C3" w:rsidP="005429C3">
      <w:pPr>
        <w:tabs>
          <w:tab w:val="left" w:pos="3444"/>
        </w:tabs>
        <w:jc w:val="center"/>
        <w:rPr>
          <w:b/>
          <w:bCs/>
          <w:sz w:val="56"/>
          <w:szCs w:val="52"/>
        </w:rPr>
      </w:pPr>
      <w:r w:rsidRPr="005429C3">
        <w:rPr>
          <w:b/>
          <w:bCs/>
          <w:sz w:val="56"/>
          <w:szCs w:val="52"/>
        </w:rPr>
        <w:t xml:space="preserve">Student ID: </w:t>
      </w:r>
      <w:r w:rsidRPr="005429C3">
        <w:rPr>
          <w:b/>
          <w:bCs/>
          <w:sz w:val="56"/>
          <w:szCs w:val="52"/>
        </w:rPr>
        <w:t>2225797</w:t>
      </w:r>
    </w:p>
    <w:p w14:paraId="6044C827" w14:textId="0D04BD58" w:rsidR="005429C3" w:rsidRPr="005429C3" w:rsidRDefault="005429C3" w:rsidP="005429C3">
      <w:pPr>
        <w:tabs>
          <w:tab w:val="left" w:pos="3444"/>
        </w:tabs>
        <w:jc w:val="center"/>
        <w:rPr>
          <w:b/>
          <w:bCs/>
          <w:sz w:val="56"/>
          <w:szCs w:val="52"/>
        </w:rPr>
      </w:pPr>
      <w:r w:rsidRPr="005429C3">
        <w:rPr>
          <w:b/>
          <w:bCs/>
          <w:sz w:val="56"/>
          <w:szCs w:val="52"/>
        </w:rPr>
        <w:t>Student Name: Ruby</w:t>
      </w:r>
    </w:p>
    <w:p w14:paraId="03AAAF47" w14:textId="09E0900B" w:rsidR="005429C3" w:rsidRPr="005429C3" w:rsidRDefault="005429C3" w:rsidP="005429C3">
      <w:pPr>
        <w:tabs>
          <w:tab w:val="left" w:pos="3444"/>
        </w:tabs>
        <w:jc w:val="center"/>
        <w:rPr>
          <w:b/>
          <w:bCs/>
          <w:sz w:val="56"/>
          <w:szCs w:val="52"/>
        </w:rPr>
      </w:pPr>
      <w:r w:rsidRPr="005429C3">
        <w:rPr>
          <w:b/>
          <w:bCs/>
          <w:sz w:val="56"/>
          <w:szCs w:val="52"/>
        </w:rPr>
        <w:t>Supervisor</w:t>
      </w:r>
      <w:r w:rsidRPr="005429C3">
        <w:rPr>
          <w:b/>
          <w:bCs/>
          <w:sz w:val="56"/>
          <w:szCs w:val="52"/>
        </w:rPr>
        <w:t>:</w:t>
      </w:r>
      <w:r w:rsidRPr="005429C3">
        <w:rPr>
          <w:b/>
          <w:bCs/>
          <w:sz w:val="56"/>
          <w:szCs w:val="52"/>
        </w:rPr>
        <w:t xml:space="preserve"> Dr Hoang </w:t>
      </w:r>
      <w:r w:rsidRPr="005429C3">
        <w:rPr>
          <w:b/>
          <w:bCs/>
          <w:sz w:val="56"/>
          <w:szCs w:val="52"/>
        </w:rPr>
        <w:t>D</w:t>
      </w:r>
      <w:r w:rsidRPr="005429C3">
        <w:rPr>
          <w:b/>
          <w:bCs/>
          <w:sz w:val="56"/>
          <w:szCs w:val="52"/>
        </w:rPr>
        <w:t xml:space="preserve">ang </w:t>
      </w:r>
      <w:r w:rsidRPr="005429C3">
        <w:rPr>
          <w:b/>
          <w:bCs/>
          <w:sz w:val="56"/>
          <w:szCs w:val="52"/>
        </w:rPr>
        <w:t>N</w:t>
      </w:r>
      <w:r w:rsidRPr="005429C3">
        <w:rPr>
          <w:b/>
          <w:bCs/>
          <w:sz w:val="56"/>
          <w:szCs w:val="52"/>
        </w:rPr>
        <w:t>guyen</w:t>
      </w:r>
    </w:p>
    <w:p w14:paraId="737849C3" w14:textId="77777777" w:rsidR="003A3E0E" w:rsidRDefault="003A3E0E" w:rsidP="000F156B">
      <w:pPr>
        <w:rPr>
          <w:b/>
          <w:bCs/>
          <w:i/>
          <w:iCs/>
          <w:sz w:val="56"/>
          <w:szCs w:val="52"/>
        </w:rPr>
      </w:pPr>
      <w:r>
        <w:rPr>
          <w:b/>
          <w:bCs/>
          <w:i/>
          <w:iCs/>
          <w:sz w:val="56"/>
          <w:szCs w:val="52"/>
        </w:rPr>
        <w:br w:type="page"/>
      </w:r>
    </w:p>
    <w:p w14:paraId="09E118A4" w14:textId="28830D7F" w:rsidR="006976A4" w:rsidRDefault="006976A4" w:rsidP="000F156B">
      <w:pPr>
        <w:pStyle w:val="Heading1"/>
      </w:pPr>
      <w:bookmarkStart w:id="0" w:name="_Toc169370451"/>
      <w:r>
        <w:lastRenderedPageBreak/>
        <w:t>Abstract</w:t>
      </w:r>
      <w:bookmarkEnd w:id="0"/>
    </w:p>
    <w:p w14:paraId="43D22FA2" w14:textId="72952A6A" w:rsidR="009A43E7" w:rsidRPr="009A43E7" w:rsidRDefault="00D746C3" w:rsidP="009A43E7">
      <w:r w:rsidRPr="00E66E7E">
        <w:t xml:space="preserve">This dissertation assesses exchange rate risk management for MNEs and the huge potential impacts that exchange rate volatility presents to numerous international firms. The primary questions addressed are: What are the risks that MNEs </w:t>
      </w:r>
      <w:proofErr w:type="gramStart"/>
      <w:r w:rsidRPr="00E66E7E">
        <w:t>have to</w:t>
      </w:r>
      <w:proofErr w:type="gramEnd"/>
      <w:r w:rsidRPr="00E66E7E">
        <w:t xml:space="preserve"> deal with in exchange rate management? That is how these risks affect the performance of MNE? How can MNEs adopt efficient risk management measures? The study </w:t>
      </w:r>
      <w:proofErr w:type="gramStart"/>
      <w:r w:rsidRPr="00E66E7E">
        <w:t>review</w:t>
      </w:r>
      <w:proofErr w:type="gramEnd"/>
      <w:r w:rsidRPr="00E66E7E">
        <w:t xml:space="preserve"> the current literature and draw from current enterprise practices to establish that transaction, translation and economic risks are the major sources which heavily influence MNE’s financial viability and competitive advantage. Possible solutions that include hedging, natural hedging, diversification, and leveraging on advanced technology is also explored as a way of avoiding or dealing with these risks. The study emphasizes that MNEs need to adopt strong risk management solutions, adhere to legal requirements, and create long-term cooperation. In terms of method, the study is therefore embedded in the qualitative research tradition, with analysis based on theoretical and empirical sources. The analysis affirms that organisational risk managements should take a multiple method when addressing exchange rate risks. The areas that require future research include real-time applications of the advanced risk management, sector-based </w:t>
      </w:r>
      <w:proofErr w:type="gramStart"/>
      <w:r w:rsidRPr="00E66E7E">
        <w:t>analysis</w:t>
      </w:r>
      <w:proofErr w:type="gramEnd"/>
      <w:r w:rsidRPr="00E66E7E">
        <w:t xml:space="preserve"> and the impact of technologies. This paper has provided a holistic view with strategies that will help MNEs in managing the exchange rate risk and maintain steady growth and profitability.</w:t>
      </w:r>
    </w:p>
    <w:p w14:paraId="2A3B587C" w14:textId="77777777" w:rsidR="00D746C3" w:rsidRDefault="00D746C3" w:rsidP="000F156B">
      <w:pPr>
        <w:pStyle w:val="Heading1"/>
      </w:pPr>
    </w:p>
    <w:p w14:paraId="5201795E" w14:textId="77777777" w:rsidR="00D5008D" w:rsidRDefault="00D746C3" w:rsidP="00D5008D">
      <w:r>
        <w:br w:type="column"/>
      </w:r>
    </w:p>
    <w:sdt>
      <w:sdtPr>
        <w:rPr>
          <w:rFonts w:eastAsiaTheme="minorHAnsi" w:cstheme="minorBidi"/>
          <w:b w:val="0"/>
          <w:bCs w:val="0"/>
          <w:sz w:val="24"/>
          <w:szCs w:val="22"/>
          <w:lang w:val="en-GB"/>
        </w:rPr>
        <w:id w:val="1362172677"/>
        <w:docPartObj>
          <w:docPartGallery w:val="Table of Contents"/>
          <w:docPartUnique/>
        </w:docPartObj>
      </w:sdtPr>
      <w:sdtEndPr>
        <w:rPr>
          <w:noProof/>
        </w:rPr>
      </w:sdtEndPr>
      <w:sdtContent>
        <w:p w14:paraId="1D99F207" w14:textId="7D89C008" w:rsidR="00D5008D" w:rsidRDefault="00D5008D">
          <w:pPr>
            <w:pStyle w:val="TOCHeading"/>
          </w:pPr>
          <w:r>
            <w:t>Table of Contents</w:t>
          </w:r>
        </w:p>
        <w:p w14:paraId="666A4D22" w14:textId="3D453E04" w:rsidR="00D30E52" w:rsidRDefault="00D5008D">
          <w:pPr>
            <w:pStyle w:val="TOC1"/>
            <w:tabs>
              <w:tab w:val="right" w:leader="dot" w:pos="9350"/>
            </w:tabs>
            <w:rPr>
              <w:rFonts w:asciiTheme="minorHAnsi" w:eastAsiaTheme="minorEastAsia" w:hAnsiTheme="minorHAnsi"/>
              <w:noProof/>
              <w:kern w:val="2"/>
              <w:szCs w:val="21"/>
              <w:lang w:val="en-IN" w:eastAsia="en-IN" w:bidi="hi-IN"/>
              <w14:ligatures w14:val="standardContextual"/>
            </w:rPr>
          </w:pPr>
          <w:r>
            <w:fldChar w:fldCharType="begin"/>
          </w:r>
          <w:r>
            <w:instrText xml:space="preserve"> TOC \o "1-3" \h \z \u </w:instrText>
          </w:r>
          <w:r>
            <w:fldChar w:fldCharType="separate"/>
          </w:r>
          <w:hyperlink w:anchor="_Toc169370451" w:history="1">
            <w:r w:rsidR="00D30E52" w:rsidRPr="008265C7">
              <w:rPr>
                <w:rStyle w:val="Hyperlink"/>
                <w:noProof/>
              </w:rPr>
              <w:t>Abstract</w:t>
            </w:r>
            <w:r w:rsidR="00D30E52">
              <w:rPr>
                <w:noProof/>
                <w:webHidden/>
              </w:rPr>
              <w:tab/>
            </w:r>
            <w:r w:rsidR="00D30E52">
              <w:rPr>
                <w:noProof/>
                <w:webHidden/>
              </w:rPr>
              <w:fldChar w:fldCharType="begin"/>
            </w:r>
            <w:r w:rsidR="00D30E52">
              <w:rPr>
                <w:noProof/>
                <w:webHidden/>
              </w:rPr>
              <w:instrText xml:space="preserve"> PAGEREF _Toc169370451 \h </w:instrText>
            </w:r>
            <w:r w:rsidR="00D30E52">
              <w:rPr>
                <w:noProof/>
                <w:webHidden/>
              </w:rPr>
            </w:r>
            <w:r w:rsidR="00D30E52">
              <w:rPr>
                <w:noProof/>
                <w:webHidden/>
              </w:rPr>
              <w:fldChar w:fldCharType="separate"/>
            </w:r>
            <w:r w:rsidR="00D30E52">
              <w:rPr>
                <w:noProof/>
                <w:webHidden/>
              </w:rPr>
              <w:t>2</w:t>
            </w:r>
            <w:r w:rsidR="00D30E52">
              <w:rPr>
                <w:noProof/>
                <w:webHidden/>
              </w:rPr>
              <w:fldChar w:fldCharType="end"/>
            </w:r>
          </w:hyperlink>
        </w:p>
        <w:p w14:paraId="171E04E5" w14:textId="7C325FA8"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2" w:history="1">
            <w:r w:rsidR="00D30E52" w:rsidRPr="008265C7">
              <w:rPr>
                <w:rStyle w:val="Hyperlink"/>
                <w:noProof/>
              </w:rPr>
              <w:t>Chapter 1: Introduction</w:t>
            </w:r>
            <w:r w:rsidR="00D30E52">
              <w:rPr>
                <w:noProof/>
                <w:webHidden/>
              </w:rPr>
              <w:tab/>
            </w:r>
            <w:r w:rsidR="00D30E52">
              <w:rPr>
                <w:noProof/>
                <w:webHidden/>
              </w:rPr>
              <w:fldChar w:fldCharType="begin"/>
            </w:r>
            <w:r w:rsidR="00D30E52">
              <w:rPr>
                <w:noProof/>
                <w:webHidden/>
              </w:rPr>
              <w:instrText xml:space="preserve"> PAGEREF _Toc169370452 \h </w:instrText>
            </w:r>
            <w:r w:rsidR="00D30E52">
              <w:rPr>
                <w:noProof/>
                <w:webHidden/>
              </w:rPr>
            </w:r>
            <w:r w:rsidR="00D30E52">
              <w:rPr>
                <w:noProof/>
                <w:webHidden/>
              </w:rPr>
              <w:fldChar w:fldCharType="separate"/>
            </w:r>
            <w:r w:rsidR="00D30E52">
              <w:rPr>
                <w:noProof/>
                <w:webHidden/>
              </w:rPr>
              <w:t>5</w:t>
            </w:r>
            <w:r w:rsidR="00D30E52">
              <w:rPr>
                <w:noProof/>
                <w:webHidden/>
              </w:rPr>
              <w:fldChar w:fldCharType="end"/>
            </w:r>
          </w:hyperlink>
        </w:p>
        <w:p w14:paraId="75AE7C1C" w14:textId="2CEA0235"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3" w:history="1">
            <w:r w:rsidR="00D30E52" w:rsidRPr="008265C7">
              <w:rPr>
                <w:rStyle w:val="Hyperlink"/>
                <w:noProof/>
              </w:rPr>
              <w:t>Research Background</w:t>
            </w:r>
            <w:r w:rsidR="00D30E52">
              <w:rPr>
                <w:noProof/>
                <w:webHidden/>
              </w:rPr>
              <w:tab/>
            </w:r>
            <w:r w:rsidR="00D30E52">
              <w:rPr>
                <w:noProof/>
                <w:webHidden/>
              </w:rPr>
              <w:fldChar w:fldCharType="begin"/>
            </w:r>
            <w:r w:rsidR="00D30E52">
              <w:rPr>
                <w:noProof/>
                <w:webHidden/>
              </w:rPr>
              <w:instrText xml:space="preserve"> PAGEREF _Toc169370453 \h </w:instrText>
            </w:r>
            <w:r w:rsidR="00D30E52">
              <w:rPr>
                <w:noProof/>
                <w:webHidden/>
              </w:rPr>
            </w:r>
            <w:r w:rsidR="00D30E52">
              <w:rPr>
                <w:noProof/>
                <w:webHidden/>
              </w:rPr>
              <w:fldChar w:fldCharType="separate"/>
            </w:r>
            <w:r w:rsidR="00D30E52">
              <w:rPr>
                <w:noProof/>
                <w:webHidden/>
              </w:rPr>
              <w:t>5</w:t>
            </w:r>
            <w:r w:rsidR="00D30E52">
              <w:rPr>
                <w:noProof/>
                <w:webHidden/>
              </w:rPr>
              <w:fldChar w:fldCharType="end"/>
            </w:r>
          </w:hyperlink>
        </w:p>
        <w:p w14:paraId="41DC43D8" w14:textId="61B02420"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4" w:history="1">
            <w:r w:rsidR="00D30E52" w:rsidRPr="008265C7">
              <w:rPr>
                <w:rStyle w:val="Hyperlink"/>
                <w:noProof/>
              </w:rPr>
              <w:t>Research Aim</w:t>
            </w:r>
            <w:r w:rsidR="00D30E52">
              <w:rPr>
                <w:noProof/>
                <w:webHidden/>
              </w:rPr>
              <w:tab/>
            </w:r>
            <w:r w:rsidR="00D30E52">
              <w:rPr>
                <w:noProof/>
                <w:webHidden/>
              </w:rPr>
              <w:fldChar w:fldCharType="begin"/>
            </w:r>
            <w:r w:rsidR="00D30E52">
              <w:rPr>
                <w:noProof/>
                <w:webHidden/>
              </w:rPr>
              <w:instrText xml:space="preserve"> PAGEREF _Toc169370454 \h </w:instrText>
            </w:r>
            <w:r w:rsidR="00D30E52">
              <w:rPr>
                <w:noProof/>
                <w:webHidden/>
              </w:rPr>
            </w:r>
            <w:r w:rsidR="00D30E52">
              <w:rPr>
                <w:noProof/>
                <w:webHidden/>
              </w:rPr>
              <w:fldChar w:fldCharType="separate"/>
            </w:r>
            <w:r w:rsidR="00D30E52">
              <w:rPr>
                <w:noProof/>
                <w:webHidden/>
              </w:rPr>
              <w:t>7</w:t>
            </w:r>
            <w:r w:rsidR="00D30E52">
              <w:rPr>
                <w:noProof/>
                <w:webHidden/>
              </w:rPr>
              <w:fldChar w:fldCharType="end"/>
            </w:r>
          </w:hyperlink>
        </w:p>
        <w:p w14:paraId="3A23911B" w14:textId="4652C64B"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5" w:history="1">
            <w:r w:rsidR="00D30E52" w:rsidRPr="008265C7">
              <w:rPr>
                <w:rStyle w:val="Hyperlink"/>
                <w:noProof/>
              </w:rPr>
              <w:t>Research Objectives</w:t>
            </w:r>
            <w:r w:rsidR="00D30E52">
              <w:rPr>
                <w:noProof/>
                <w:webHidden/>
              </w:rPr>
              <w:tab/>
            </w:r>
            <w:r w:rsidR="00D30E52">
              <w:rPr>
                <w:noProof/>
                <w:webHidden/>
              </w:rPr>
              <w:fldChar w:fldCharType="begin"/>
            </w:r>
            <w:r w:rsidR="00D30E52">
              <w:rPr>
                <w:noProof/>
                <w:webHidden/>
              </w:rPr>
              <w:instrText xml:space="preserve"> PAGEREF _Toc169370455 \h </w:instrText>
            </w:r>
            <w:r w:rsidR="00D30E52">
              <w:rPr>
                <w:noProof/>
                <w:webHidden/>
              </w:rPr>
            </w:r>
            <w:r w:rsidR="00D30E52">
              <w:rPr>
                <w:noProof/>
                <w:webHidden/>
              </w:rPr>
              <w:fldChar w:fldCharType="separate"/>
            </w:r>
            <w:r w:rsidR="00D30E52">
              <w:rPr>
                <w:noProof/>
                <w:webHidden/>
              </w:rPr>
              <w:t>7</w:t>
            </w:r>
            <w:r w:rsidR="00D30E52">
              <w:rPr>
                <w:noProof/>
                <w:webHidden/>
              </w:rPr>
              <w:fldChar w:fldCharType="end"/>
            </w:r>
          </w:hyperlink>
        </w:p>
        <w:p w14:paraId="01829845" w14:textId="79836C2C"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6" w:history="1">
            <w:r w:rsidR="00D30E52" w:rsidRPr="008265C7">
              <w:rPr>
                <w:rStyle w:val="Hyperlink"/>
                <w:noProof/>
              </w:rPr>
              <w:t>Research Questions</w:t>
            </w:r>
            <w:r w:rsidR="00D30E52">
              <w:rPr>
                <w:noProof/>
                <w:webHidden/>
              </w:rPr>
              <w:tab/>
            </w:r>
            <w:r w:rsidR="00D30E52">
              <w:rPr>
                <w:noProof/>
                <w:webHidden/>
              </w:rPr>
              <w:fldChar w:fldCharType="begin"/>
            </w:r>
            <w:r w:rsidR="00D30E52">
              <w:rPr>
                <w:noProof/>
                <w:webHidden/>
              </w:rPr>
              <w:instrText xml:space="preserve"> PAGEREF _Toc169370456 \h </w:instrText>
            </w:r>
            <w:r w:rsidR="00D30E52">
              <w:rPr>
                <w:noProof/>
                <w:webHidden/>
              </w:rPr>
            </w:r>
            <w:r w:rsidR="00D30E52">
              <w:rPr>
                <w:noProof/>
                <w:webHidden/>
              </w:rPr>
              <w:fldChar w:fldCharType="separate"/>
            </w:r>
            <w:r w:rsidR="00D30E52">
              <w:rPr>
                <w:noProof/>
                <w:webHidden/>
              </w:rPr>
              <w:t>8</w:t>
            </w:r>
            <w:r w:rsidR="00D30E52">
              <w:rPr>
                <w:noProof/>
                <w:webHidden/>
              </w:rPr>
              <w:fldChar w:fldCharType="end"/>
            </w:r>
          </w:hyperlink>
        </w:p>
        <w:p w14:paraId="0A185248" w14:textId="5E148F4A"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7" w:history="1">
            <w:r w:rsidR="00D30E52" w:rsidRPr="008265C7">
              <w:rPr>
                <w:rStyle w:val="Hyperlink"/>
                <w:noProof/>
              </w:rPr>
              <w:t>Justification of the Research</w:t>
            </w:r>
            <w:r w:rsidR="00D30E52">
              <w:rPr>
                <w:noProof/>
                <w:webHidden/>
              </w:rPr>
              <w:tab/>
            </w:r>
            <w:r w:rsidR="00D30E52">
              <w:rPr>
                <w:noProof/>
                <w:webHidden/>
              </w:rPr>
              <w:fldChar w:fldCharType="begin"/>
            </w:r>
            <w:r w:rsidR="00D30E52">
              <w:rPr>
                <w:noProof/>
                <w:webHidden/>
              </w:rPr>
              <w:instrText xml:space="preserve"> PAGEREF _Toc169370457 \h </w:instrText>
            </w:r>
            <w:r w:rsidR="00D30E52">
              <w:rPr>
                <w:noProof/>
                <w:webHidden/>
              </w:rPr>
            </w:r>
            <w:r w:rsidR="00D30E52">
              <w:rPr>
                <w:noProof/>
                <w:webHidden/>
              </w:rPr>
              <w:fldChar w:fldCharType="separate"/>
            </w:r>
            <w:r w:rsidR="00D30E52">
              <w:rPr>
                <w:noProof/>
                <w:webHidden/>
              </w:rPr>
              <w:t>8</w:t>
            </w:r>
            <w:r w:rsidR="00D30E52">
              <w:rPr>
                <w:noProof/>
                <w:webHidden/>
              </w:rPr>
              <w:fldChar w:fldCharType="end"/>
            </w:r>
          </w:hyperlink>
        </w:p>
        <w:p w14:paraId="62194502" w14:textId="69436E0B"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8" w:history="1">
            <w:r w:rsidR="00D30E52" w:rsidRPr="008265C7">
              <w:rPr>
                <w:rStyle w:val="Hyperlink"/>
                <w:noProof/>
              </w:rPr>
              <w:t>Research Significance</w:t>
            </w:r>
            <w:r w:rsidR="00D30E52">
              <w:rPr>
                <w:noProof/>
                <w:webHidden/>
              </w:rPr>
              <w:tab/>
            </w:r>
            <w:r w:rsidR="00D30E52">
              <w:rPr>
                <w:noProof/>
                <w:webHidden/>
              </w:rPr>
              <w:fldChar w:fldCharType="begin"/>
            </w:r>
            <w:r w:rsidR="00D30E52">
              <w:rPr>
                <w:noProof/>
                <w:webHidden/>
              </w:rPr>
              <w:instrText xml:space="preserve"> PAGEREF _Toc169370458 \h </w:instrText>
            </w:r>
            <w:r w:rsidR="00D30E52">
              <w:rPr>
                <w:noProof/>
                <w:webHidden/>
              </w:rPr>
            </w:r>
            <w:r w:rsidR="00D30E52">
              <w:rPr>
                <w:noProof/>
                <w:webHidden/>
              </w:rPr>
              <w:fldChar w:fldCharType="separate"/>
            </w:r>
            <w:r w:rsidR="00D30E52">
              <w:rPr>
                <w:noProof/>
                <w:webHidden/>
              </w:rPr>
              <w:t>9</w:t>
            </w:r>
            <w:r w:rsidR="00D30E52">
              <w:rPr>
                <w:noProof/>
                <w:webHidden/>
              </w:rPr>
              <w:fldChar w:fldCharType="end"/>
            </w:r>
          </w:hyperlink>
        </w:p>
        <w:p w14:paraId="7E79538C" w14:textId="210FE267"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59" w:history="1">
            <w:r w:rsidR="00D30E52" w:rsidRPr="008265C7">
              <w:rPr>
                <w:rStyle w:val="Hyperlink"/>
                <w:noProof/>
              </w:rPr>
              <w:t>Research Rationale</w:t>
            </w:r>
            <w:r w:rsidR="00D30E52">
              <w:rPr>
                <w:noProof/>
                <w:webHidden/>
              </w:rPr>
              <w:tab/>
            </w:r>
            <w:r w:rsidR="00D30E52">
              <w:rPr>
                <w:noProof/>
                <w:webHidden/>
              </w:rPr>
              <w:fldChar w:fldCharType="begin"/>
            </w:r>
            <w:r w:rsidR="00D30E52">
              <w:rPr>
                <w:noProof/>
                <w:webHidden/>
              </w:rPr>
              <w:instrText xml:space="preserve"> PAGEREF _Toc169370459 \h </w:instrText>
            </w:r>
            <w:r w:rsidR="00D30E52">
              <w:rPr>
                <w:noProof/>
                <w:webHidden/>
              </w:rPr>
            </w:r>
            <w:r w:rsidR="00D30E52">
              <w:rPr>
                <w:noProof/>
                <w:webHidden/>
              </w:rPr>
              <w:fldChar w:fldCharType="separate"/>
            </w:r>
            <w:r w:rsidR="00D30E52">
              <w:rPr>
                <w:noProof/>
                <w:webHidden/>
              </w:rPr>
              <w:t>10</w:t>
            </w:r>
            <w:r w:rsidR="00D30E52">
              <w:rPr>
                <w:noProof/>
                <w:webHidden/>
              </w:rPr>
              <w:fldChar w:fldCharType="end"/>
            </w:r>
          </w:hyperlink>
        </w:p>
        <w:p w14:paraId="0F872716" w14:textId="34384D35"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0" w:history="1">
            <w:r w:rsidR="00D30E52" w:rsidRPr="008265C7">
              <w:rPr>
                <w:rStyle w:val="Hyperlink"/>
                <w:noProof/>
              </w:rPr>
              <w:t>Chapter 2: Literature Review</w:t>
            </w:r>
            <w:r w:rsidR="00D30E52">
              <w:rPr>
                <w:noProof/>
                <w:webHidden/>
              </w:rPr>
              <w:tab/>
            </w:r>
            <w:r w:rsidR="00D30E52">
              <w:rPr>
                <w:noProof/>
                <w:webHidden/>
              </w:rPr>
              <w:fldChar w:fldCharType="begin"/>
            </w:r>
            <w:r w:rsidR="00D30E52">
              <w:rPr>
                <w:noProof/>
                <w:webHidden/>
              </w:rPr>
              <w:instrText xml:space="preserve"> PAGEREF _Toc169370460 \h </w:instrText>
            </w:r>
            <w:r w:rsidR="00D30E52">
              <w:rPr>
                <w:noProof/>
                <w:webHidden/>
              </w:rPr>
            </w:r>
            <w:r w:rsidR="00D30E52">
              <w:rPr>
                <w:noProof/>
                <w:webHidden/>
              </w:rPr>
              <w:fldChar w:fldCharType="separate"/>
            </w:r>
            <w:r w:rsidR="00D30E52">
              <w:rPr>
                <w:noProof/>
                <w:webHidden/>
              </w:rPr>
              <w:t>12</w:t>
            </w:r>
            <w:r w:rsidR="00D30E52">
              <w:rPr>
                <w:noProof/>
                <w:webHidden/>
              </w:rPr>
              <w:fldChar w:fldCharType="end"/>
            </w:r>
          </w:hyperlink>
        </w:p>
        <w:p w14:paraId="4EF328F8" w14:textId="7A72453B"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1" w:history="1">
            <w:r w:rsidR="00D30E52" w:rsidRPr="008265C7">
              <w:rPr>
                <w:rStyle w:val="Hyperlink"/>
                <w:noProof/>
              </w:rPr>
              <w:t>Exchange Rates Risks</w:t>
            </w:r>
            <w:r w:rsidR="00D30E52">
              <w:rPr>
                <w:noProof/>
                <w:webHidden/>
              </w:rPr>
              <w:tab/>
            </w:r>
            <w:r w:rsidR="00D30E52">
              <w:rPr>
                <w:noProof/>
                <w:webHidden/>
              </w:rPr>
              <w:fldChar w:fldCharType="begin"/>
            </w:r>
            <w:r w:rsidR="00D30E52">
              <w:rPr>
                <w:noProof/>
                <w:webHidden/>
              </w:rPr>
              <w:instrText xml:space="preserve"> PAGEREF _Toc169370461 \h </w:instrText>
            </w:r>
            <w:r w:rsidR="00D30E52">
              <w:rPr>
                <w:noProof/>
                <w:webHidden/>
              </w:rPr>
            </w:r>
            <w:r w:rsidR="00D30E52">
              <w:rPr>
                <w:noProof/>
                <w:webHidden/>
              </w:rPr>
              <w:fldChar w:fldCharType="separate"/>
            </w:r>
            <w:r w:rsidR="00D30E52">
              <w:rPr>
                <w:noProof/>
                <w:webHidden/>
              </w:rPr>
              <w:t>12</w:t>
            </w:r>
            <w:r w:rsidR="00D30E52">
              <w:rPr>
                <w:noProof/>
                <w:webHidden/>
              </w:rPr>
              <w:fldChar w:fldCharType="end"/>
            </w:r>
          </w:hyperlink>
        </w:p>
        <w:p w14:paraId="617791DA" w14:textId="1A12DD14"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2" w:history="1">
            <w:r w:rsidR="00D30E52" w:rsidRPr="008265C7">
              <w:rPr>
                <w:rStyle w:val="Hyperlink"/>
                <w:noProof/>
              </w:rPr>
              <w:t>Importance of Exchange Rates management risks for MNEs</w:t>
            </w:r>
            <w:r w:rsidR="00D30E52">
              <w:rPr>
                <w:noProof/>
                <w:webHidden/>
              </w:rPr>
              <w:tab/>
            </w:r>
            <w:r w:rsidR="00D30E52">
              <w:rPr>
                <w:noProof/>
                <w:webHidden/>
              </w:rPr>
              <w:fldChar w:fldCharType="begin"/>
            </w:r>
            <w:r w:rsidR="00D30E52">
              <w:rPr>
                <w:noProof/>
                <w:webHidden/>
              </w:rPr>
              <w:instrText xml:space="preserve"> PAGEREF _Toc169370462 \h </w:instrText>
            </w:r>
            <w:r w:rsidR="00D30E52">
              <w:rPr>
                <w:noProof/>
                <w:webHidden/>
              </w:rPr>
            </w:r>
            <w:r w:rsidR="00D30E52">
              <w:rPr>
                <w:noProof/>
                <w:webHidden/>
              </w:rPr>
              <w:fldChar w:fldCharType="separate"/>
            </w:r>
            <w:r w:rsidR="00D30E52">
              <w:rPr>
                <w:noProof/>
                <w:webHidden/>
              </w:rPr>
              <w:t>13</w:t>
            </w:r>
            <w:r w:rsidR="00D30E52">
              <w:rPr>
                <w:noProof/>
                <w:webHidden/>
              </w:rPr>
              <w:fldChar w:fldCharType="end"/>
            </w:r>
          </w:hyperlink>
        </w:p>
        <w:p w14:paraId="43233748" w14:textId="70434577"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3" w:history="1">
            <w:r w:rsidR="00D30E52" w:rsidRPr="008265C7">
              <w:rPr>
                <w:rStyle w:val="Hyperlink"/>
                <w:noProof/>
              </w:rPr>
              <w:t>Global Economic factors affecting Exchange Rate</w:t>
            </w:r>
            <w:r w:rsidR="00D30E52">
              <w:rPr>
                <w:noProof/>
                <w:webHidden/>
              </w:rPr>
              <w:tab/>
            </w:r>
            <w:r w:rsidR="00D30E52">
              <w:rPr>
                <w:noProof/>
                <w:webHidden/>
              </w:rPr>
              <w:fldChar w:fldCharType="begin"/>
            </w:r>
            <w:r w:rsidR="00D30E52">
              <w:rPr>
                <w:noProof/>
                <w:webHidden/>
              </w:rPr>
              <w:instrText xml:space="preserve"> PAGEREF _Toc169370463 \h </w:instrText>
            </w:r>
            <w:r w:rsidR="00D30E52">
              <w:rPr>
                <w:noProof/>
                <w:webHidden/>
              </w:rPr>
            </w:r>
            <w:r w:rsidR="00D30E52">
              <w:rPr>
                <w:noProof/>
                <w:webHidden/>
              </w:rPr>
              <w:fldChar w:fldCharType="separate"/>
            </w:r>
            <w:r w:rsidR="00D30E52">
              <w:rPr>
                <w:noProof/>
                <w:webHidden/>
              </w:rPr>
              <w:t>15</w:t>
            </w:r>
            <w:r w:rsidR="00D30E52">
              <w:rPr>
                <w:noProof/>
                <w:webHidden/>
              </w:rPr>
              <w:fldChar w:fldCharType="end"/>
            </w:r>
          </w:hyperlink>
        </w:p>
        <w:p w14:paraId="390C8BE4" w14:textId="0B3273C1"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4" w:history="1">
            <w:r w:rsidR="00D30E52" w:rsidRPr="008265C7">
              <w:rPr>
                <w:rStyle w:val="Hyperlink"/>
                <w:noProof/>
              </w:rPr>
              <w:t>Geopolitical Events influencing Exchange Rate</w:t>
            </w:r>
            <w:r w:rsidR="00D30E52">
              <w:rPr>
                <w:noProof/>
                <w:webHidden/>
              </w:rPr>
              <w:tab/>
            </w:r>
            <w:r w:rsidR="00D30E52">
              <w:rPr>
                <w:noProof/>
                <w:webHidden/>
              </w:rPr>
              <w:fldChar w:fldCharType="begin"/>
            </w:r>
            <w:r w:rsidR="00D30E52">
              <w:rPr>
                <w:noProof/>
                <w:webHidden/>
              </w:rPr>
              <w:instrText xml:space="preserve"> PAGEREF _Toc169370464 \h </w:instrText>
            </w:r>
            <w:r w:rsidR="00D30E52">
              <w:rPr>
                <w:noProof/>
                <w:webHidden/>
              </w:rPr>
            </w:r>
            <w:r w:rsidR="00D30E52">
              <w:rPr>
                <w:noProof/>
                <w:webHidden/>
              </w:rPr>
              <w:fldChar w:fldCharType="separate"/>
            </w:r>
            <w:r w:rsidR="00D30E52">
              <w:rPr>
                <w:noProof/>
                <w:webHidden/>
              </w:rPr>
              <w:t>17</w:t>
            </w:r>
            <w:r w:rsidR="00D30E52">
              <w:rPr>
                <w:noProof/>
                <w:webHidden/>
              </w:rPr>
              <w:fldChar w:fldCharType="end"/>
            </w:r>
          </w:hyperlink>
        </w:p>
        <w:p w14:paraId="315F6F4A" w14:textId="57622258"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5" w:history="1">
            <w:r w:rsidR="00D30E52" w:rsidRPr="008265C7">
              <w:rPr>
                <w:rStyle w:val="Hyperlink"/>
                <w:noProof/>
              </w:rPr>
              <w:t>Exchange Rates Risks affecting performance of MNEs</w:t>
            </w:r>
            <w:r w:rsidR="00D30E52">
              <w:rPr>
                <w:noProof/>
                <w:webHidden/>
              </w:rPr>
              <w:tab/>
            </w:r>
            <w:r w:rsidR="00D30E52">
              <w:rPr>
                <w:noProof/>
                <w:webHidden/>
              </w:rPr>
              <w:fldChar w:fldCharType="begin"/>
            </w:r>
            <w:r w:rsidR="00D30E52">
              <w:rPr>
                <w:noProof/>
                <w:webHidden/>
              </w:rPr>
              <w:instrText xml:space="preserve"> PAGEREF _Toc169370465 \h </w:instrText>
            </w:r>
            <w:r w:rsidR="00D30E52">
              <w:rPr>
                <w:noProof/>
                <w:webHidden/>
              </w:rPr>
            </w:r>
            <w:r w:rsidR="00D30E52">
              <w:rPr>
                <w:noProof/>
                <w:webHidden/>
              </w:rPr>
              <w:fldChar w:fldCharType="separate"/>
            </w:r>
            <w:r w:rsidR="00D30E52">
              <w:rPr>
                <w:noProof/>
                <w:webHidden/>
              </w:rPr>
              <w:t>19</w:t>
            </w:r>
            <w:r w:rsidR="00D30E52">
              <w:rPr>
                <w:noProof/>
                <w:webHidden/>
              </w:rPr>
              <w:fldChar w:fldCharType="end"/>
            </w:r>
          </w:hyperlink>
        </w:p>
        <w:p w14:paraId="353D2BF8" w14:textId="470E07F0"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6" w:history="1">
            <w:r w:rsidR="00D30E52" w:rsidRPr="008265C7">
              <w:rPr>
                <w:rStyle w:val="Hyperlink"/>
                <w:noProof/>
              </w:rPr>
              <w:t>Strategies for MNEs to manage Exchange Rates Risks</w:t>
            </w:r>
            <w:r w:rsidR="00D30E52">
              <w:rPr>
                <w:noProof/>
                <w:webHidden/>
              </w:rPr>
              <w:tab/>
            </w:r>
            <w:r w:rsidR="00D30E52">
              <w:rPr>
                <w:noProof/>
                <w:webHidden/>
              </w:rPr>
              <w:fldChar w:fldCharType="begin"/>
            </w:r>
            <w:r w:rsidR="00D30E52">
              <w:rPr>
                <w:noProof/>
                <w:webHidden/>
              </w:rPr>
              <w:instrText xml:space="preserve"> PAGEREF _Toc169370466 \h </w:instrText>
            </w:r>
            <w:r w:rsidR="00D30E52">
              <w:rPr>
                <w:noProof/>
                <w:webHidden/>
              </w:rPr>
            </w:r>
            <w:r w:rsidR="00D30E52">
              <w:rPr>
                <w:noProof/>
                <w:webHidden/>
              </w:rPr>
              <w:fldChar w:fldCharType="separate"/>
            </w:r>
            <w:r w:rsidR="00D30E52">
              <w:rPr>
                <w:noProof/>
                <w:webHidden/>
              </w:rPr>
              <w:t>20</w:t>
            </w:r>
            <w:r w:rsidR="00D30E52">
              <w:rPr>
                <w:noProof/>
                <w:webHidden/>
              </w:rPr>
              <w:fldChar w:fldCharType="end"/>
            </w:r>
          </w:hyperlink>
        </w:p>
        <w:p w14:paraId="06CCAAE1" w14:textId="0B94E7DE"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7" w:history="1">
            <w:r w:rsidR="00D30E52" w:rsidRPr="008265C7">
              <w:rPr>
                <w:rStyle w:val="Hyperlink"/>
                <w:noProof/>
              </w:rPr>
              <w:t>Literature Gap</w:t>
            </w:r>
            <w:r w:rsidR="00D30E52">
              <w:rPr>
                <w:noProof/>
                <w:webHidden/>
              </w:rPr>
              <w:tab/>
            </w:r>
            <w:r w:rsidR="00D30E52">
              <w:rPr>
                <w:noProof/>
                <w:webHidden/>
              </w:rPr>
              <w:fldChar w:fldCharType="begin"/>
            </w:r>
            <w:r w:rsidR="00D30E52">
              <w:rPr>
                <w:noProof/>
                <w:webHidden/>
              </w:rPr>
              <w:instrText xml:space="preserve"> PAGEREF _Toc169370467 \h </w:instrText>
            </w:r>
            <w:r w:rsidR="00D30E52">
              <w:rPr>
                <w:noProof/>
                <w:webHidden/>
              </w:rPr>
            </w:r>
            <w:r w:rsidR="00D30E52">
              <w:rPr>
                <w:noProof/>
                <w:webHidden/>
              </w:rPr>
              <w:fldChar w:fldCharType="separate"/>
            </w:r>
            <w:r w:rsidR="00D30E52">
              <w:rPr>
                <w:noProof/>
                <w:webHidden/>
              </w:rPr>
              <w:t>21</w:t>
            </w:r>
            <w:r w:rsidR="00D30E52">
              <w:rPr>
                <w:noProof/>
                <w:webHidden/>
              </w:rPr>
              <w:fldChar w:fldCharType="end"/>
            </w:r>
          </w:hyperlink>
        </w:p>
        <w:p w14:paraId="74C42EC9" w14:textId="3890E761"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8" w:history="1">
            <w:r w:rsidR="00D30E52" w:rsidRPr="008265C7">
              <w:rPr>
                <w:rStyle w:val="Hyperlink"/>
                <w:noProof/>
              </w:rPr>
              <w:t>Chapter 3: Research Methodology</w:t>
            </w:r>
            <w:r w:rsidR="00D30E52">
              <w:rPr>
                <w:noProof/>
                <w:webHidden/>
              </w:rPr>
              <w:tab/>
            </w:r>
            <w:r w:rsidR="00D30E52">
              <w:rPr>
                <w:noProof/>
                <w:webHidden/>
              </w:rPr>
              <w:fldChar w:fldCharType="begin"/>
            </w:r>
            <w:r w:rsidR="00D30E52">
              <w:rPr>
                <w:noProof/>
                <w:webHidden/>
              </w:rPr>
              <w:instrText xml:space="preserve"> PAGEREF _Toc169370468 \h </w:instrText>
            </w:r>
            <w:r w:rsidR="00D30E52">
              <w:rPr>
                <w:noProof/>
                <w:webHidden/>
              </w:rPr>
            </w:r>
            <w:r w:rsidR="00D30E52">
              <w:rPr>
                <w:noProof/>
                <w:webHidden/>
              </w:rPr>
              <w:fldChar w:fldCharType="separate"/>
            </w:r>
            <w:r w:rsidR="00D30E52">
              <w:rPr>
                <w:noProof/>
                <w:webHidden/>
              </w:rPr>
              <w:t>23</w:t>
            </w:r>
            <w:r w:rsidR="00D30E52">
              <w:rPr>
                <w:noProof/>
                <w:webHidden/>
              </w:rPr>
              <w:fldChar w:fldCharType="end"/>
            </w:r>
          </w:hyperlink>
        </w:p>
        <w:p w14:paraId="2543C5F0" w14:textId="1243B966"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69" w:history="1">
            <w:r w:rsidR="00D30E52" w:rsidRPr="008265C7">
              <w:rPr>
                <w:rStyle w:val="Hyperlink"/>
                <w:noProof/>
              </w:rPr>
              <w:t>Research Philosophy</w:t>
            </w:r>
            <w:r w:rsidR="00D30E52">
              <w:rPr>
                <w:noProof/>
                <w:webHidden/>
              </w:rPr>
              <w:tab/>
            </w:r>
            <w:r w:rsidR="00D30E52">
              <w:rPr>
                <w:noProof/>
                <w:webHidden/>
              </w:rPr>
              <w:fldChar w:fldCharType="begin"/>
            </w:r>
            <w:r w:rsidR="00D30E52">
              <w:rPr>
                <w:noProof/>
                <w:webHidden/>
              </w:rPr>
              <w:instrText xml:space="preserve"> PAGEREF _Toc169370469 \h </w:instrText>
            </w:r>
            <w:r w:rsidR="00D30E52">
              <w:rPr>
                <w:noProof/>
                <w:webHidden/>
              </w:rPr>
            </w:r>
            <w:r w:rsidR="00D30E52">
              <w:rPr>
                <w:noProof/>
                <w:webHidden/>
              </w:rPr>
              <w:fldChar w:fldCharType="separate"/>
            </w:r>
            <w:r w:rsidR="00D30E52">
              <w:rPr>
                <w:noProof/>
                <w:webHidden/>
              </w:rPr>
              <w:t>24</w:t>
            </w:r>
            <w:r w:rsidR="00D30E52">
              <w:rPr>
                <w:noProof/>
                <w:webHidden/>
              </w:rPr>
              <w:fldChar w:fldCharType="end"/>
            </w:r>
          </w:hyperlink>
        </w:p>
        <w:p w14:paraId="340D57D6" w14:textId="103A99C3"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0" w:history="1">
            <w:r w:rsidR="00D30E52" w:rsidRPr="008265C7">
              <w:rPr>
                <w:rStyle w:val="Hyperlink"/>
                <w:noProof/>
              </w:rPr>
              <w:t>Research Approach</w:t>
            </w:r>
            <w:r w:rsidR="00D30E52">
              <w:rPr>
                <w:noProof/>
                <w:webHidden/>
              </w:rPr>
              <w:tab/>
            </w:r>
            <w:r w:rsidR="00D30E52">
              <w:rPr>
                <w:noProof/>
                <w:webHidden/>
              </w:rPr>
              <w:fldChar w:fldCharType="begin"/>
            </w:r>
            <w:r w:rsidR="00D30E52">
              <w:rPr>
                <w:noProof/>
                <w:webHidden/>
              </w:rPr>
              <w:instrText xml:space="preserve"> PAGEREF _Toc169370470 \h </w:instrText>
            </w:r>
            <w:r w:rsidR="00D30E52">
              <w:rPr>
                <w:noProof/>
                <w:webHidden/>
              </w:rPr>
            </w:r>
            <w:r w:rsidR="00D30E52">
              <w:rPr>
                <w:noProof/>
                <w:webHidden/>
              </w:rPr>
              <w:fldChar w:fldCharType="separate"/>
            </w:r>
            <w:r w:rsidR="00D30E52">
              <w:rPr>
                <w:noProof/>
                <w:webHidden/>
              </w:rPr>
              <w:t>25</w:t>
            </w:r>
            <w:r w:rsidR="00D30E52">
              <w:rPr>
                <w:noProof/>
                <w:webHidden/>
              </w:rPr>
              <w:fldChar w:fldCharType="end"/>
            </w:r>
          </w:hyperlink>
        </w:p>
        <w:p w14:paraId="7EEF89CD" w14:textId="1CA064CA"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1" w:history="1">
            <w:r w:rsidR="00D30E52" w:rsidRPr="008265C7">
              <w:rPr>
                <w:rStyle w:val="Hyperlink"/>
                <w:noProof/>
              </w:rPr>
              <w:t>Research Strategy</w:t>
            </w:r>
            <w:r w:rsidR="00D30E52">
              <w:rPr>
                <w:noProof/>
                <w:webHidden/>
              </w:rPr>
              <w:tab/>
            </w:r>
            <w:r w:rsidR="00D30E52">
              <w:rPr>
                <w:noProof/>
                <w:webHidden/>
              </w:rPr>
              <w:fldChar w:fldCharType="begin"/>
            </w:r>
            <w:r w:rsidR="00D30E52">
              <w:rPr>
                <w:noProof/>
                <w:webHidden/>
              </w:rPr>
              <w:instrText xml:space="preserve"> PAGEREF _Toc169370471 \h </w:instrText>
            </w:r>
            <w:r w:rsidR="00D30E52">
              <w:rPr>
                <w:noProof/>
                <w:webHidden/>
              </w:rPr>
            </w:r>
            <w:r w:rsidR="00D30E52">
              <w:rPr>
                <w:noProof/>
                <w:webHidden/>
              </w:rPr>
              <w:fldChar w:fldCharType="separate"/>
            </w:r>
            <w:r w:rsidR="00D30E52">
              <w:rPr>
                <w:noProof/>
                <w:webHidden/>
              </w:rPr>
              <w:t>26</w:t>
            </w:r>
            <w:r w:rsidR="00D30E52">
              <w:rPr>
                <w:noProof/>
                <w:webHidden/>
              </w:rPr>
              <w:fldChar w:fldCharType="end"/>
            </w:r>
          </w:hyperlink>
        </w:p>
        <w:p w14:paraId="46866E3D" w14:textId="6093C020"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2" w:history="1">
            <w:r w:rsidR="00D30E52" w:rsidRPr="008265C7">
              <w:rPr>
                <w:rStyle w:val="Hyperlink"/>
                <w:noProof/>
              </w:rPr>
              <w:t>Research Choices</w:t>
            </w:r>
            <w:r w:rsidR="00D30E52">
              <w:rPr>
                <w:noProof/>
                <w:webHidden/>
              </w:rPr>
              <w:tab/>
            </w:r>
            <w:r w:rsidR="00D30E52">
              <w:rPr>
                <w:noProof/>
                <w:webHidden/>
              </w:rPr>
              <w:fldChar w:fldCharType="begin"/>
            </w:r>
            <w:r w:rsidR="00D30E52">
              <w:rPr>
                <w:noProof/>
                <w:webHidden/>
              </w:rPr>
              <w:instrText xml:space="preserve"> PAGEREF _Toc169370472 \h </w:instrText>
            </w:r>
            <w:r w:rsidR="00D30E52">
              <w:rPr>
                <w:noProof/>
                <w:webHidden/>
              </w:rPr>
            </w:r>
            <w:r w:rsidR="00D30E52">
              <w:rPr>
                <w:noProof/>
                <w:webHidden/>
              </w:rPr>
              <w:fldChar w:fldCharType="separate"/>
            </w:r>
            <w:r w:rsidR="00D30E52">
              <w:rPr>
                <w:noProof/>
                <w:webHidden/>
              </w:rPr>
              <w:t>27</w:t>
            </w:r>
            <w:r w:rsidR="00D30E52">
              <w:rPr>
                <w:noProof/>
                <w:webHidden/>
              </w:rPr>
              <w:fldChar w:fldCharType="end"/>
            </w:r>
          </w:hyperlink>
        </w:p>
        <w:p w14:paraId="2E40023D" w14:textId="57491DDA"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3" w:history="1">
            <w:r w:rsidR="00D30E52" w:rsidRPr="008265C7">
              <w:rPr>
                <w:rStyle w:val="Hyperlink"/>
                <w:noProof/>
              </w:rPr>
              <w:t>Time Horizon</w:t>
            </w:r>
            <w:r w:rsidR="00D30E52">
              <w:rPr>
                <w:noProof/>
                <w:webHidden/>
              </w:rPr>
              <w:tab/>
            </w:r>
            <w:r w:rsidR="00D30E52">
              <w:rPr>
                <w:noProof/>
                <w:webHidden/>
              </w:rPr>
              <w:fldChar w:fldCharType="begin"/>
            </w:r>
            <w:r w:rsidR="00D30E52">
              <w:rPr>
                <w:noProof/>
                <w:webHidden/>
              </w:rPr>
              <w:instrText xml:space="preserve"> PAGEREF _Toc169370473 \h </w:instrText>
            </w:r>
            <w:r w:rsidR="00D30E52">
              <w:rPr>
                <w:noProof/>
                <w:webHidden/>
              </w:rPr>
            </w:r>
            <w:r w:rsidR="00D30E52">
              <w:rPr>
                <w:noProof/>
                <w:webHidden/>
              </w:rPr>
              <w:fldChar w:fldCharType="separate"/>
            </w:r>
            <w:r w:rsidR="00D30E52">
              <w:rPr>
                <w:noProof/>
                <w:webHidden/>
              </w:rPr>
              <w:t>27</w:t>
            </w:r>
            <w:r w:rsidR="00D30E52">
              <w:rPr>
                <w:noProof/>
                <w:webHidden/>
              </w:rPr>
              <w:fldChar w:fldCharType="end"/>
            </w:r>
          </w:hyperlink>
        </w:p>
        <w:p w14:paraId="68A29D19" w14:textId="6E51FB8E"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4" w:history="1">
            <w:r w:rsidR="00D30E52" w:rsidRPr="008265C7">
              <w:rPr>
                <w:rStyle w:val="Hyperlink"/>
                <w:noProof/>
              </w:rPr>
              <w:t>Techniques and Procedures</w:t>
            </w:r>
            <w:r w:rsidR="00D30E52">
              <w:rPr>
                <w:noProof/>
                <w:webHidden/>
              </w:rPr>
              <w:tab/>
            </w:r>
            <w:r w:rsidR="00D30E52">
              <w:rPr>
                <w:noProof/>
                <w:webHidden/>
              </w:rPr>
              <w:fldChar w:fldCharType="begin"/>
            </w:r>
            <w:r w:rsidR="00D30E52">
              <w:rPr>
                <w:noProof/>
                <w:webHidden/>
              </w:rPr>
              <w:instrText xml:space="preserve"> PAGEREF _Toc169370474 \h </w:instrText>
            </w:r>
            <w:r w:rsidR="00D30E52">
              <w:rPr>
                <w:noProof/>
                <w:webHidden/>
              </w:rPr>
            </w:r>
            <w:r w:rsidR="00D30E52">
              <w:rPr>
                <w:noProof/>
                <w:webHidden/>
              </w:rPr>
              <w:fldChar w:fldCharType="separate"/>
            </w:r>
            <w:r w:rsidR="00D30E52">
              <w:rPr>
                <w:noProof/>
                <w:webHidden/>
              </w:rPr>
              <w:t>28</w:t>
            </w:r>
            <w:r w:rsidR="00D30E52">
              <w:rPr>
                <w:noProof/>
                <w:webHidden/>
              </w:rPr>
              <w:fldChar w:fldCharType="end"/>
            </w:r>
          </w:hyperlink>
        </w:p>
        <w:p w14:paraId="4171B81A" w14:textId="1F8AFD55"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5" w:history="1">
            <w:r w:rsidR="00D30E52" w:rsidRPr="008265C7">
              <w:rPr>
                <w:rStyle w:val="Hyperlink"/>
                <w:noProof/>
              </w:rPr>
              <w:t>Chapter 4: Analysis and Findings</w:t>
            </w:r>
            <w:r w:rsidR="00D30E52">
              <w:rPr>
                <w:noProof/>
                <w:webHidden/>
              </w:rPr>
              <w:tab/>
            </w:r>
            <w:r w:rsidR="00D30E52">
              <w:rPr>
                <w:noProof/>
                <w:webHidden/>
              </w:rPr>
              <w:fldChar w:fldCharType="begin"/>
            </w:r>
            <w:r w:rsidR="00D30E52">
              <w:rPr>
                <w:noProof/>
                <w:webHidden/>
              </w:rPr>
              <w:instrText xml:space="preserve"> PAGEREF _Toc169370475 \h </w:instrText>
            </w:r>
            <w:r w:rsidR="00D30E52">
              <w:rPr>
                <w:noProof/>
                <w:webHidden/>
              </w:rPr>
            </w:r>
            <w:r w:rsidR="00D30E52">
              <w:rPr>
                <w:noProof/>
                <w:webHidden/>
              </w:rPr>
              <w:fldChar w:fldCharType="separate"/>
            </w:r>
            <w:r w:rsidR="00D30E52">
              <w:rPr>
                <w:noProof/>
                <w:webHidden/>
              </w:rPr>
              <w:t>31</w:t>
            </w:r>
            <w:r w:rsidR="00D30E52">
              <w:rPr>
                <w:noProof/>
                <w:webHidden/>
              </w:rPr>
              <w:fldChar w:fldCharType="end"/>
            </w:r>
          </w:hyperlink>
        </w:p>
        <w:p w14:paraId="42B08620" w14:textId="50D79517"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6" w:history="1">
            <w:r w:rsidR="00D30E52" w:rsidRPr="008265C7">
              <w:rPr>
                <w:rStyle w:val="Hyperlink"/>
                <w:noProof/>
              </w:rPr>
              <w:t>Theme 1: The Risks of Exchange Rate Management for MNEs</w:t>
            </w:r>
            <w:r w:rsidR="00D30E52">
              <w:rPr>
                <w:noProof/>
                <w:webHidden/>
              </w:rPr>
              <w:tab/>
            </w:r>
            <w:r w:rsidR="00D30E52">
              <w:rPr>
                <w:noProof/>
                <w:webHidden/>
              </w:rPr>
              <w:fldChar w:fldCharType="begin"/>
            </w:r>
            <w:r w:rsidR="00D30E52">
              <w:rPr>
                <w:noProof/>
                <w:webHidden/>
              </w:rPr>
              <w:instrText xml:space="preserve"> PAGEREF _Toc169370476 \h </w:instrText>
            </w:r>
            <w:r w:rsidR="00D30E52">
              <w:rPr>
                <w:noProof/>
                <w:webHidden/>
              </w:rPr>
            </w:r>
            <w:r w:rsidR="00D30E52">
              <w:rPr>
                <w:noProof/>
                <w:webHidden/>
              </w:rPr>
              <w:fldChar w:fldCharType="separate"/>
            </w:r>
            <w:r w:rsidR="00D30E52">
              <w:rPr>
                <w:noProof/>
                <w:webHidden/>
              </w:rPr>
              <w:t>31</w:t>
            </w:r>
            <w:r w:rsidR="00D30E52">
              <w:rPr>
                <w:noProof/>
                <w:webHidden/>
              </w:rPr>
              <w:fldChar w:fldCharType="end"/>
            </w:r>
          </w:hyperlink>
        </w:p>
        <w:p w14:paraId="09165AD0" w14:textId="3AF969E9"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7" w:history="1">
            <w:r w:rsidR="00D30E52" w:rsidRPr="008265C7">
              <w:rPr>
                <w:rStyle w:val="Hyperlink"/>
                <w:noProof/>
              </w:rPr>
              <w:t>Theme 2: Exchange Rate Risks Impact on MNEs Performance</w:t>
            </w:r>
            <w:r w:rsidR="00D30E52">
              <w:rPr>
                <w:noProof/>
                <w:webHidden/>
              </w:rPr>
              <w:tab/>
            </w:r>
            <w:r w:rsidR="00D30E52">
              <w:rPr>
                <w:noProof/>
                <w:webHidden/>
              </w:rPr>
              <w:fldChar w:fldCharType="begin"/>
            </w:r>
            <w:r w:rsidR="00D30E52">
              <w:rPr>
                <w:noProof/>
                <w:webHidden/>
              </w:rPr>
              <w:instrText xml:space="preserve"> PAGEREF _Toc169370477 \h </w:instrText>
            </w:r>
            <w:r w:rsidR="00D30E52">
              <w:rPr>
                <w:noProof/>
                <w:webHidden/>
              </w:rPr>
            </w:r>
            <w:r w:rsidR="00D30E52">
              <w:rPr>
                <w:noProof/>
                <w:webHidden/>
              </w:rPr>
              <w:fldChar w:fldCharType="separate"/>
            </w:r>
            <w:r w:rsidR="00D30E52">
              <w:rPr>
                <w:noProof/>
                <w:webHidden/>
              </w:rPr>
              <w:t>33</w:t>
            </w:r>
            <w:r w:rsidR="00D30E52">
              <w:rPr>
                <w:noProof/>
                <w:webHidden/>
              </w:rPr>
              <w:fldChar w:fldCharType="end"/>
            </w:r>
          </w:hyperlink>
        </w:p>
        <w:p w14:paraId="39A6813B" w14:textId="309FD785"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8" w:history="1">
            <w:r w:rsidR="00D30E52" w:rsidRPr="008265C7">
              <w:rPr>
                <w:rStyle w:val="Hyperlink"/>
                <w:noProof/>
                <w:lang w:val="en-IN"/>
              </w:rPr>
              <w:t>Chapter 5: Discussion</w:t>
            </w:r>
            <w:r w:rsidR="00D30E52">
              <w:rPr>
                <w:noProof/>
                <w:webHidden/>
              </w:rPr>
              <w:tab/>
            </w:r>
            <w:r w:rsidR="00D30E52">
              <w:rPr>
                <w:noProof/>
                <w:webHidden/>
              </w:rPr>
              <w:fldChar w:fldCharType="begin"/>
            </w:r>
            <w:r w:rsidR="00D30E52">
              <w:rPr>
                <w:noProof/>
                <w:webHidden/>
              </w:rPr>
              <w:instrText xml:space="preserve"> PAGEREF _Toc169370478 \h </w:instrText>
            </w:r>
            <w:r w:rsidR="00D30E52">
              <w:rPr>
                <w:noProof/>
                <w:webHidden/>
              </w:rPr>
            </w:r>
            <w:r w:rsidR="00D30E52">
              <w:rPr>
                <w:noProof/>
                <w:webHidden/>
              </w:rPr>
              <w:fldChar w:fldCharType="separate"/>
            </w:r>
            <w:r w:rsidR="00D30E52">
              <w:rPr>
                <w:noProof/>
                <w:webHidden/>
              </w:rPr>
              <w:t>36</w:t>
            </w:r>
            <w:r w:rsidR="00D30E52">
              <w:rPr>
                <w:noProof/>
                <w:webHidden/>
              </w:rPr>
              <w:fldChar w:fldCharType="end"/>
            </w:r>
          </w:hyperlink>
        </w:p>
        <w:p w14:paraId="43B87998" w14:textId="432CC7DE"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79" w:history="1">
            <w:r w:rsidR="00D30E52" w:rsidRPr="008265C7">
              <w:rPr>
                <w:rStyle w:val="Hyperlink"/>
                <w:noProof/>
              </w:rPr>
              <w:t>What are the risks faced by MNEs in managing the exchange rates?</w:t>
            </w:r>
            <w:r w:rsidR="00D30E52">
              <w:rPr>
                <w:noProof/>
                <w:webHidden/>
              </w:rPr>
              <w:tab/>
            </w:r>
            <w:r w:rsidR="00D30E52">
              <w:rPr>
                <w:noProof/>
                <w:webHidden/>
              </w:rPr>
              <w:fldChar w:fldCharType="begin"/>
            </w:r>
            <w:r w:rsidR="00D30E52">
              <w:rPr>
                <w:noProof/>
                <w:webHidden/>
              </w:rPr>
              <w:instrText xml:space="preserve"> PAGEREF _Toc169370479 \h </w:instrText>
            </w:r>
            <w:r w:rsidR="00D30E52">
              <w:rPr>
                <w:noProof/>
                <w:webHidden/>
              </w:rPr>
            </w:r>
            <w:r w:rsidR="00D30E52">
              <w:rPr>
                <w:noProof/>
                <w:webHidden/>
              </w:rPr>
              <w:fldChar w:fldCharType="separate"/>
            </w:r>
            <w:r w:rsidR="00D30E52">
              <w:rPr>
                <w:noProof/>
                <w:webHidden/>
              </w:rPr>
              <w:t>36</w:t>
            </w:r>
            <w:r w:rsidR="00D30E52">
              <w:rPr>
                <w:noProof/>
                <w:webHidden/>
              </w:rPr>
              <w:fldChar w:fldCharType="end"/>
            </w:r>
          </w:hyperlink>
        </w:p>
        <w:p w14:paraId="171D88CC" w14:textId="65749FB4"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0" w:history="1">
            <w:r w:rsidR="00D30E52" w:rsidRPr="008265C7">
              <w:rPr>
                <w:rStyle w:val="Hyperlink"/>
                <w:noProof/>
              </w:rPr>
              <w:t>What are the impacts of risks of exchange rates on the performance of MNEs?</w:t>
            </w:r>
            <w:r w:rsidR="00D30E52">
              <w:rPr>
                <w:noProof/>
                <w:webHidden/>
              </w:rPr>
              <w:tab/>
            </w:r>
            <w:r w:rsidR="00D30E52">
              <w:rPr>
                <w:noProof/>
                <w:webHidden/>
              </w:rPr>
              <w:fldChar w:fldCharType="begin"/>
            </w:r>
            <w:r w:rsidR="00D30E52">
              <w:rPr>
                <w:noProof/>
                <w:webHidden/>
              </w:rPr>
              <w:instrText xml:space="preserve"> PAGEREF _Toc169370480 \h </w:instrText>
            </w:r>
            <w:r w:rsidR="00D30E52">
              <w:rPr>
                <w:noProof/>
                <w:webHidden/>
              </w:rPr>
            </w:r>
            <w:r w:rsidR="00D30E52">
              <w:rPr>
                <w:noProof/>
                <w:webHidden/>
              </w:rPr>
              <w:fldChar w:fldCharType="separate"/>
            </w:r>
            <w:r w:rsidR="00D30E52">
              <w:rPr>
                <w:noProof/>
                <w:webHidden/>
              </w:rPr>
              <w:t>38</w:t>
            </w:r>
            <w:r w:rsidR="00D30E52">
              <w:rPr>
                <w:noProof/>
                <w:webHidden/>
              </w:rPr>
              <w:fldChar w:fldCharType="end"/>
            </w:r>
          </w:hyperlink>
        </w:p>
        <w:p w14:paraId="6315C603" w14:textId="14428C9C"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1" w:history="1">
            <w:r w:rsidR="00D30E52" w:rsidRPr="008265C7">
              <w:rPr>
                <w:rStyle w:val="Hyperlink"/>
                <w:noProof/>
              </w:rPr>
              <w:t>What are the effective risk management strategies for MNEs to manage their exchange rates risks?</w:t>
            </w:r>
            <w:r w:rsidR="00D30E52">
              <w:rPr>
                <w:noProof/>
                <w:webHidden/>
              </w:rPr>
              <w:tab/>
            </w:r>
            <w:r w:rsidR="00D30E52">
              <w:rPr>
                <w:noProof/>
                <w:webHidden/>
              </w:rPr>
              <w:fldChar w:fldCharType="begin"/>
            </w:r>
            <w:r w:rsidR="00D30E52">
              <w:rPr>
                <w:noProof/>
                <w:webHidden/>
              </w:rPr>
              <w:instrText xml:space="preserve"> PAGEREF _Toc169370481 \h </w:instrText>
            </w:r>
            <w:r w:rsidR="00D30E52">
              <w:rPr>
                <w:noProof/>
                <w:webHidden/>
              </w:rPr>
            </w:r>
            <w:r w:rsidR="00D30E52">
              <w:rPr>
                <w:noProof/>
                <w:webHidden/>
              </w:rPr>
              <w:fldChar w:fldCharType="separate"/>
            </w:r>
            <w:r w:rsidR="00D30E52">
              <w:rPr>
                <w:noProof/>
                <w:webHidden/>
              </w:rPr>
              <w:t>39</w:t>
            </w:r>
            <w:r w:rsidR="00D30E52">
              <w:rPr>
                <w:noProof/>
                <w:webHidden/>
              </w:rPr>
              <w:fldChar w:fldCharType="end"/>
            </w:r>
          </w:hyperlink>
        </w:p>
        <w:p w14:paraId="555A3B01" w14:textId="009A599E" w:rsidR="00D30E52" w:rsidRDefault="000977FA">
          <w:pPr>
            <w:pStyle w:val="TOC2"/>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2" w:history="1">
            <w:r w:rsidR="00D30E52" w:rsidRPr="008265C7">
              <w:rPr>
                <w:rStyle w:val="Hyperlink"/>
                <w:noProof/>
              </w:rPr>
              <w:t>Conclusion</w:t>
            </w:r>
            <w:r w:rsidR="00D30E52">
              <w:rPr>
                <w:noProof/>
                <w:webHidden/>
              </w:rPr>
              <w:tab/>
            </w:r>
            <w:r w:rsidR="00D30E52">
              <w:rPr>
                <w:noProof/>
                <w:webHidden/>
              </w:rPr>
              <w:fldChar w:fldCharType="begin"/>
            </w:r>
            <w:r w:rsidR="00D30E52">
              <w:rPr>
                <w:noProof/>
                <w:webHidden/>
              </w:rPr>
              <w:instrText xml:space="preserve"> PAGEREF _Toc169370482 \h </w:instrText>
            </w:r>
            <w:r w:rsidR="00D30E52">
              <w:rPr>
                <w:noProof/>
                <w:webHidden/>
              </w:rPr>
            </w:r>
            <w:r w:rsidR="00D30E52">
              <w:rPr>
                <w:noProof/>
                <w:webHidden/>
              </w:rPr>
              <w:fldChar w:fldCharType="separate"/>
            </w:r>
            <w:r w:rsidR="00D30E52">
              <w:rPr>
                <w:noProof/>
                <w:webHidden/>
              </w:rPr>
              <w:t>41</w:t>
            </w:r>
            <w:r w:rsidR="00D30E52">
              <w:rPr>
                <w:noProof/>
                <w:webHidden/>
              </w:rPr>
              <w:fldChar w:fldCharType="end"/>
            </w:r>
          </w:hyperlink>
        </w:p>
        <w:p w14:paraId="01966E02" w14:textId="3D7F64B0"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3" w:history="1">
            <w:r w:rsidR="00D30E52" w:rsidRPr="008265C7">
              <w:rPr>
                <w:rStyle w:val="Hyperlink"/>
                <w:rFonts w:eastAsia="Times New Roman"/>
                <w:noProof/>
                <w:lang w:val="en-IN" w:eastAsia="en-GB"/>
              </w:rPr>
              <w:t>Chapter 6: Conclusion</w:t>
            </w:r>
            <w:r w:rsidR="00D30E52">
              <w:rPr>
                <w:noProof/>
                <w:webHidden/>
              </w:rPr>
              <w:tab/>
            </w:r>
            <w:r w:rsidR="00D30E52">
              <w:rPr>
                <w:noProof/>
                <w:webHidden/>
              </w:rPr>
              <w:fldChar w:fldCharType="begin"/>
            </w:r>
            <w:r w:rsidR="00D30E52">
              <w:rPr>
                <w:noProof/>
                <w:webHidden/>
              </w:rPr>
              <w:instrText xml:space="preserve"> PAGEREF _Toc169370483 \h </w:instrText>
            </w:r>
            <w:r w:rsidR="00D30E52">
              <w:rPr>
                <w:noProof/>
                <w:webHidden/>
              </w:rPr>
            </w:r>
            <w:r w:rsidR="00D30E52">
              <w:rPr>
                <w:noProof/>
                <w:webHidden/>
              </w:rPr>
              <w:fldChar w:fldCharType="separate"/>
            </w:r>
            <w:r w:rsidR="00D30E52">
              <w:rPr>
                <w:noProof/>
                <w:webHidden/>
              </w:rPr>
              <w:t>43</w:t>
            </w:r>
            <w:r w:rsidR="00D30E52">
              <w:rPr>
                <w:noProof/>
                <w:webHidden/>
              </w:rPr>
              <w:fldChar w:fldCharType="end"/>
            </w:r>
          </w:hyperlink>
        </w:p>
        <w:p w14:paraId="0306F1A3" w14:textId="3559DF34"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4" w:history="1">
            <w:r w:rsidR="00D30E52" w:rsidRPr="008265C7">
              <w:rPr>
                <w:rStyle w:val="Hyperlink"/>
                <w:rFonts w:eastAsia="Times New Roman"/>
                <w:noProof/>
                <w:lang w:val="en-IN" w:eastAsia="en-GB"/>
              </w:rPr>
              <w:t>Chapter 7: Recommendations</w:t>
            </w:r>
            <w:r w:rsidR="00D30E52">
              <w:rPr>
                <w:noProof/>
                <w:webHidden/>
              </w:rPr>
              <w:tab/>
            </w:r>
            <w:r w:rsidR="00D30E52">
              <w:rPr>
                <w:noProof/>
                <w:webHidden/>
              </w:rPr>
              <w:fldChar w:fldCharType="begin"/>
            </w:r>
            <w:r w:rsidR="00D30E52">
              <w:rPr>
                <w:noProof/>
                <w:webHidden/>
              </w:rPr>
              <w:instrText xml:space="preserve"> PAGEREF _Toc169370484 \h </w:instrText>
            </w:r>
            <w:r w:rsidR="00D30E52">
              <w:rPr>
                <w:noProof/>
                <w:webHidden/>
              </w:rPr>
            </w:r>
            <w:r w:rsidR="00D30E52">
              <w:rPr>
                <w:noProof/>
                <w:webHidden/>
              </w:rPr>
              <w:fldChar w:fldCharType="separate"/>
            </w:r>
            <w:r w:rsidR="00D30E52">
              <w:rPr>
                <w:noProof/>
                <w:webHidden/>
              </w:rPr>
              <w:t>45</w:t>
            </w:r>
            <w:r w:rsidR="00D30E52">
              <w:rPr>
                <w:noProof/>
                <w:webHidden/>
              </w:rPr>
              <w:fldChar w:fldCharType="end"/>
            </w:r>
          </w:hyperlink>
        </w:p>
        <w:p w14:paraId="3C70A274" w14:textId="6597D709" w:rsidR="00D30E52" w:rsidRDefault="000977FA">
          <w:pPr>
            <w:pStyle w:val="TOC1"/>
            <w:tabs>
              <w:tab w:val="right" w:leader="dot" w:pos="9350"/>
            </w:tabs>
            <w:rPr>
              <w:rFonts w:asciiTheme="minorHAnsi" w:eastAsiaTheme="minorEastAsia" w:hAnsiTheme="minorHAnsi"/>
              <w:noProof/>
              <w:kern w:val="2"/>
              <w:szCs w:val="21"/>
              <w:lang w:val="en-IN" w:eastAsia="en-IN" w:bidi="hi-IN"/>
              <w14:ligatures w14:val="standardContextual"/>
            </w:rPr>
          </w:pPr>
          <w:hyperlink w:anchor="_Toc169370485" w:history="1">
            <w:r w:rsidR="00D30E52" w:rsidRPr="008265C7">
              <w:rPr>
                <w:rStyle w:val="Hyperlink"/>
                <w:noProof/>
              </w:rPr>
              <w:t>References</w:t>
            </w:r>
            <w:r w:rsidR="00D30E52">
              <w:rPr>
                <w:noProof/>
                <w:webHidden/>
              </w:rPr>
              <w:tab/>
            </w:r>
            <w:r w:rsidR="00D30E52">
              <w:rPr>
                <w:noProof/>
                <w:webHidden/>
              </w:rPr>
              <w:fldChar w:fldCharType="begin"/>
            </w:r>
            <w:r w:rsidR="00D30E52">
              <w:rPr>
                <w:noProof/>
                <w:webHidden/>
              </w:rPr>
              <w:instrText xml:space="preserve"> PAGEREF _Toc169370485 \h </w:instrText>
            </w:r>
            <w:r w:rsidR="00D30E52">
              <w:rPr>
                <w:noProof/>
                <w:webHidden/>
              </w:rPr>
            </w:r>
            <w:r w:rsidR="00D30E52">
              <w:rPr>
                <w:noProof/>
                <w:webHidden/>
              </w:rPr>
              <w:fldChar w:fldCharType="separate"/>
            </w:r>
            <w:r w:rsidR="00D30E52">
              <w:rPr>
                <w:noProof/>
                <w:webHidden/>
              </w:rPr>
              <w:t>48</w:t>
            </w:r>
            <w:r w:rsidR="00D30E52">
              <w:rPr>
                <w:noProof/>
                <w:webHidden/>
              </w:rPr>
              <w:fldChar w:fldCharType="end"/>
            </w:r>
          </w:hyperlink>
        </w:p>
        <w:p w14:paraId="35E6B915" w14:textId="48150FDF" w:rsidR="00D5008D" w:rsidRDefault="00D5008D">
          <w:r>
            <w:rPr>
              <w:b/>
              <w:bCs/>
              <w:noProof/>
            </w:rPr>
            <w:fldChar w:fldCharType="end"/>
          </w:r>
        </w:p>
      </w:sdtContent>
    </w:sdt>
    <w:p w14:paraId="4FA88AED" w14:textId="7CAE9E72" w:rsidR="00D5008D" w:rsidRDefault="00D5008D" w:rsidP="00D5008D"/>
    <w:p w14:paraId="3D03169D" w14:textId="0FE697D8" w:rsidR="0000113C" w:rsidRDefault="00D5008D" w:rsidP="000F156B">
      <w:pPr>
        <w:pStyle w:val="Heading1"/>
      </w:pPr>
      <w:r>
        <w:br w:type="column"/>
      </w:r>
      <w:bookmarkStart w:id="1" w:name="_Toc169370452"/>
      <w:r w:rsidR="00F047EE">
        <w:lastRenderedPageBreak/>
        <w:t>Chapter 1: Introduction</w:t>
      </w:r>
      <w:bookmarkEnd w:id="1"/>
    </w:p>
    <w:p w14:paraId="7C6E9470" w14:textId="1C8A5D7A" w:rsidR="00F047EE" w:rsidRDefault="00F047EE" w:rsidP="000F156B">
      <w:pPr>
        <w:pStyle w:val="Heading2"/>
      </w:pPr>
      <w:bookmarkStart w:id="2" w:name="_Toc169370453"/>
      <w:r>
        <w:t>Research Background</w:t>
      </w:r>
      <w:bookmarkEnd w:id="2"/>
    </w:p>
    <w:p w14:paraId="433D4635" w14:textId="096C7975" w:rsidR="0041488F" w:rsidRDefault="0041488F" w:rsidP="000F156B">
      <w:r>
        <w:t>Exchange rate risk refers to the unavoidable risk related to foreign investment which is faced by the organisations operating at various international locations. The main cause of the exchange rate risk is the fluctuations in the local currency of a company as compared to the currency of the foreign location in which a company is also operating. The risks of exchange rate are not avoidable completely but there are some techniques which can mitigate the risk. The aim of this dissertation is to investigate the management of exchange rate risks that are mainly encountered by the multinational enterprises (MNEs). The main kinds of risks that multinational enterprises are exposed to are transaction exposure, economic and operating exposure and translation exposure that are generally caused by the volatility of currency</w:t>
      </w:r>
      <w:r w:rsidR="00FB1CC9">
        <w:t xml:space="preserve"> (He, </w:t>
      </w:r>
      <w:proofErr w:type="gramStart"/>
      <w:r w:rsidR="00FB1CC9">
        <w:t>Wang</w:t>
      </w:r>
      <w:proofErr w:type="gramEnd"/>
      <w:r w:rsidR="00FB1CC9">
        <w:t xml:space="preserve"> and Yu, 2023)</w:t>
      </w:r>
      <w:r>
        <w:t xml:space="preserve">. The market has become highly competitive and globalisation as well as international transactions of the businesses have become very common. Therefore, the risks of exchange rate not only affect the businesses and multinational companies that operate in the international locations but also highly impacts the small as well as medium sized businesses. This dissertation will analyse the kinds of risks faced by MNEs and will also state some measures to mitigate these risks. The transaction exposure is a kind of risk that arises from the impact of the fluctuations of the exchange rate on the obligations of the company related to receiving and making payments in foreign currency. These risks are easily mitigated because they have a nature of extremely short term and medium term. The translation exposure is another kind of risk arising from the fluctuations in a currency on the consolidated financial statements of a company specially when the company has some foreign subsidiaries. The best example of the multinational enterprises facing translation exposure risks are Amazon, Google and Tesco and other companies as they </w:t>
      </w:r>
      <w:proofErr w:type="gramStart"/>
      <w:r>
        <w:t>have to</w:t>
      </w:r>
      <w:proofErr w:type="gramEnd"/>
      <w:r>
        <w:t xml:space="preserve"> face this exposure for a particularly longer term because of its nature. The last kind of risk that is generally faced by the organisations operating at different international locations are economic exposure or operating exposure</w:t>
      </w:r>
      <w:r w:rsidR="007D7884">
        <w:t xml:space="preserve"> (</w:t>
      </w:r>
      <w:r w:rsidR="006F5700">
        <w:t>Han, 2021</w:t>
      </w:r>
      <w:r w:rsidR="007D7884">
        <w:t>)</w:t>
      </w:r>
      <w:r>
        <w:t xml:space="preserve">. This is a risk which is comparatively lesser than the other two but is one of the most significant risks. The reason behind generation of this risk is the unexpected fluctuations in the currency on the future cash flows as well as market value of the company because of which it has a longer impact. This impact is substantial because the changes in the exchange rate is unanticipated and highly affects the competitive position of the company even if it is not operating </w:t>
      </w:r>
      <w:r>
        <w:lastRenderedPageBreak/>
        <w:t xml:space="preserve">as well as selling the products overseas. For example, a manufacturing furniture company based in U.S., sells the furniture to local </w:t>
      </w:r>
      <w:proofErr w:type="gramStart"/>
      <w:r>
        <w:t>customers</w:t>
      </w:r>
      <w:proofErr w:type="gramEnd"/>
      <w:r>
        <w:t xml:space="preserve"> and takes imports from Europe and Asia at a cheaper price because the value of dollar is quite high as compared to the other two countries and that is why the company has gained competitive position in the market.</w:t>
      </w:r>
    </w:p>
    <w:p w14:paraId="7C9F0169" w14:textId="0E203180" w:rsidR="00F6553E" w:rsidRDefault="00F6553E" w:rsidP="000F156B">
      <w:r w:rsidRPr="00F6553E">
        <w:rPr>
          <w:noProof/>
        </w:rPr>
        <w:drawing>
          <wp:inline distT="0" distB="0" distL="0" distR="0" wp14:anchorId="0417C010" wp14:editId="32908EEE">
            <wp:extent cx="5943600" cy="3881755"/>
            <wp:effectExtent l="0" t="0" r="0" b="4445"/>
            <wp:docPr id="53121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213234" name=""/>
                    <pic:cNvPicPr/>
                  </pic:nvPicPr>
                  <pic:blipFill>
                    <a:blip r:embed="rId9"/>
                    <a:stretch>
                      <a:fillRect/>
                    </a:stretch>
                  </pic:blipFill>
                  <pic:spPr>
                    <a:xfrm>
                      <a:off x="0" y="0"/>
                      <a:ext cx="5943600" cy="3881755"/>
                    </a:xfrm>
                    <a:prstGeom prst="rect">
                      <a:avLst/>
                    </a:prstGeom>
                  </pic:spPr>
                </pic:pic>
              </a:graphicData>
            </a:graphic>
          </wp:inline>
        </w:drawing>
      </w:r>
    </w:p>
    <w:p w14:paraId="0EAB61E1" w14:textId="30FE8B61" w:rsidR="00F6553E" w:rsidRDefault="00F6553E" w:rsidP="000F156B">
      <w:r>
        <w:t>Figure 1: Financial Instruments Risks</w:t>
      </w:r>
    </w:p>
    <w:p w14:paraId="668A6B27" w14:textId="3F3289D3" w:rsidR="00F6553E" w:rsidRDefault="00F6553E" w:rsidP="000F156B">
      <w:r>
        <w:t>(Source: Statista, 2024)</w:t>
      </w:r>
    </w:p>
    <w:p w14:paraId="476F192C" w14:textId="0C257718" w:rsidR="00FD41B6" w:rsidRDefault="00FD41B6" w:rsidP="000F156B">
      <w:r w:rsidRPr="00712633">
        <w:t xml:space="preserve">The above figure illustrates a bar graph, which shows the focal financial risks according to the respondents’ perception. These findings depict clients’ perception of risks based on the following questions, where mean options show the following findings: the most significant financial risk is the debt with 79% of respondents followed by inflation at 70%, economic downturn and asset bubble bursts at 69% respectively. Regarding inadequate public infrastructures and services 53% of them have considered it as risk while regarding unemployment only 40% have said that it is a risk. Deficiencies in an essential utility (38%), no employment chance (37%), persistent medical </w:t>
      </w:r>
      <w:r w:rsidRPr="00712633">
        <w:lastRenderedPageBreak/>
        <w:t>issues (35%), and problems with a vital supply chain (33%) are also considered critical. These findings suggest the existence of myriad financial risks that affect global economies.</w:t>
      </w:r>
    </w:p>
    <w:p w14:paraId="38CD1DBD" w14:textId="0B1AFB5A" w:rsidR="00F6553E" w:rsidRPr="0008417E" w:rsidRDefault="0066711F" w:rsidP="000F156B">
      <w:r>
        <w:t>The major foreign exchange risks that are faced by the multinational organisations are risks related to financial instruments. In 2023, the major risk of financial instrument</w:t>
      </w:r>
      <w:r w:rsidR="006666AF">
        <w:t>s</w:t>
      </w:r>
      <w:r>
        <w:t xml:space="preserve"> all over the world was debt. </w:t>
      </w:r>
      <w:r w:rsidR="00AC1BE0">
        <w:t xml:space="preserve">Almost 40% </w:t>
      </w:r>
      <w:r w:rsidR="006666AF">
        <w:t xml:space="preserve">of </w:t>
      </w:r>
      <w:r w:rsidR="00AC1BE0">
        <w:t>i</w:t>
      </w:r>
      <w:r w:rsidR="00BD5DF2">
        <w:t xml:space="preserve">nternational organisations and private businesses </w:t>
      </w:r>
      <w:r w:rsidR="001B6886">
        <w:t xml:space="preserve">were highly concerned with the risk of inflation. </w:t>
      </w:r>
      <w:r w:rsidR="00A837BE">
        <w:t xml:space="preserve">Around 29% businesses stated that these risks also </w:t>
      </w:r>
      <w:r w:rsidR="00A62983">
        <w:t>impact</w:t>
      </w:r>
      <w:r w:rsidR="00A837BE">
        <w:t xml:space="preserve"> the overall processes as well as infrastructure</w:t>
      </w:r>
      <w:r w:rsidR="006666AF">
        <w:t xml:space="preserve"> (Statista, 2024)</w:t>
      </w:r>
      <w:r w:rsidR="00A837BE">
        <w:t>.</w:t>
      </w:r>
      <w:r w:rsidR="00D77618">
        <w:t xml:space="preserve"> It is quite important to properly understand</w:t>
      </w:r>
      <w:r w:rsidR="00D64C58">
        <w:t xml:space="preserve"> the risks related to foreign exchange.</w:t>
      </w:r>
      <w:r w:rsidR="00AC025B">
        <w:t xml:space="preserve"> The exchange rate risk is the kind of risk which highly impacts the financial position as well as performance of a business because of the changes in the currencies.</w:t>
      </w:r>
      <w:r w:rsidR="00205956">
        <w:t xml:space="preserve"> This research will focus on managing the risks of exchange rate. The measurement as well as management of the exchange rate risks are highly important to reduce the vulnerabilities of the multinational organisations from major movements in the exchange rates.</w:t>
      </w:r>
      <w:r w:rsidR="006535E3">
        <w:t xml:space="preserve"> This analysis helps the organisations to mitigate the risks which can adversely affect the value of their assets and their profit margins as well.</w:t>
      </w:r>
      <w:r w:rsidR="007B2332">
        <w:t xml:space="preserve"> Some effective strategies of risk management will also be described in the literature review section of the desert station to manage the risks of exchange rate for the multinational companies. The evaluation of geopolitical events and global economic factors which impact the exchange rate risks will also be done so that multinational companies do not face any kind of exchange rate risk and if they face then they have mitigation strategies.</w:t>
      </w:r>
      <w:r w:rsidR="005336D6">
        <w:t xml:space="preserve"> The section of research methodology </w:t>
      </w:r>
      <w:r w:rsidR="009E1D37">
        <w:t>will also describe various methods that are going to be used in the research to conduct it properly and generate more reliable as well as accurate outcomes. The limitations and recommendations related to the research will also be discussed in this dissertation.</w:t>
      </w:r>
    </w:p>
    <w:p w14:paraId="0208CBA1" w14:textId="3A2F95D0" w:rsidR="00F047EE" w:rsidRDefault="00F047EE" w:rsidP="000F156B">
      <w:pPr>
        <w:pStyle w:val="Heading2"/>
      </w:pPr>
      <w:bookmarkStart w:id="3" w:name="_Toc169370454"/>
      <w:r>
        <w:t>Research Aim</w:t>
      </w:r>
      <w:bookmarkEnd w:id="3"/>
    </w:p>
    <w:p w14:paraId="64750B0A" w14:textId="78212D51" w:rsidR="008F6BEC" w:rsidRPr="008F6BEC" w:rsidRDefault="008F6BEC" w:rsidP="000F156B">
      <w:r w:rsidRPr="008F6BEC">
        <w:t>T</w:t>
      </w:r>
      <w:r>
        <w:t>he aim of this research is t</w:t>
      </w:r>
      <w:r w:rsidRPr="008F6BEC">
        <w:t>o evaluate the management of exchange rates risks faced by Multinational Enterprises</w:t>
      </w:r>
    </w:p>
    <w:p w14:paraId="7ADC75A0" w14:textId="3C718F6D" w:rsidR="00F047EE" w:rsidRDefault="00F047EE" w:rsidP="000F156B">
      <w:pPr>
        <w:pStyle w:val="Heading2"/>
      </w:pPr>
      <w:bookmarkStart w:id="4" w:name="_Toc169370455"/>
      <w:r>
        <w:t>Research Objectives</w:t>
      </w:r>
      <w:bookmarkEnd w:id="4"/>
    </w:p>
    <w:p w14:paraId="13396D2B" w14:textId="023230C5" w:rsidR="008F6BEC" w:rsidRDefault="008F6BEC" w:rsidP="000F156B">
      <w:pPr>
        <w:rPr>
          <w:b/>
          <w:bCs/>
        </w:rPr>
      </w:pPr>
      <w:r>
        <w:rPr>
          <w:b/>
          <w:bCs/>
        </w:rPr>
        <w:t>Objectives:</w:t>
      </w:r>
    </w:p>
    <w:p w14:paraId="66552C46" w14:textId="77777777" w:rsidR="008F6BEC" w:rsidRPr="008F6BEC" w:rsidRDefault="008F6BEC" w:rsidP="000F156B">
      <w:pPr>
        <w:pStyle w:val="ListParagraph"/>
        <w:numPr>
          <w:ilvl w:val="0"/>
          <w:numId w:val="15"/>
        </w:numPr>
      </w:pPr>
      <w:r w:rsidRPr="008F6BEC">
        <w:t>To analyse the risks faced by MNEs in managing the exchange rates.</w:t>
      </w:r>
    </w:p>
    <w:p w14:paraId="6C906865" w14:textId="2F6A4B31" w:rsidR="008F6BEC" w:rsidRPr="008F6BEC" w:rsidRDefault="008F6BEC" w:rsidP="000F156B">
      <w:pPr>
        <w:pStyle w:val="ListParagraph"/>
        <w:numPr>
          <w:ilvl w:val="0"/>
          <w:numId w:val="15"/>
        </w:numPr>
      </w:pPr>
      <w:r w:rsidRPr="008F6BEC">
        <w:t>To examine the impact of risks of exchange rates on the performance of MNEs.</w:t>
      </w:r>
    </w:p>
    <w:p w14:paraId="13AB8438" w14:textId="1A543F77" w:rsidR="008F6BEC" w:rsidRPr="008F6BEC" w:rsidRDefault="008F6BEC" w:rsidP="000F156B">
      <w:pPr>
        <w:pStyle w:val="ListParagraph"/>
        <w:numPr>
          <w:ilvl w:val="0"/>
          <w:numId w:val="15"/>
        </w:numPr>
      </w:pPr>
      <w:r w:rsidRPr="008F6BEC">
        <w:lastRenderedPageBreak/>
        <w:t>To create effective risk management strategies for MNEs to manage their exchange rates</w:t>
      </w:r>
      <w:r>
        <w:t xml:space="preserve"> </w:t>
      </w:r>
      <w:r w:rsidRPr="008F6BEC">
        <w:t>risks.</w:t>
      </w:r>
    </w:p>
    <w:p w14:paraId="43183AC5" w14:textId="2305E297" w:rsidR="00F047EE" w:rsidRDefault="00F047EE" w:rsidP="000F156B">
      <w:pPr>
        <w:pStyle w:val="Heading2"/>
      </w:pPr>
      <w:bookmarkStart w:id="5" w:name="_Toc169370456"/>
      <w:r>
        <w:t>Research Questions</w:t>
      </w:r>
      <w:bookmarkEnd w:id="5"/>
    </w:p>
    <w:p w14:paraId="5DD5395A" w14:textId="0D77AF3B" w:rsidR="008D0A46" w:rsidRDefault="008D0A46" w:rsidP="000F156B">
      <w:pPr>
        <w:pStyle w:val="ListParagraph"/>
        <w:numPr>
          <w:ilvl w:val="0"/>
          <w:numId w:val="16"/>
        </w:numPr>
      </w:pPr>
      <w:r>
        <w:t>What are the risks faced by MNEs in managing the exchange rates?</w:t>
      </w:r>
    </w:p>
    <w:p w14:paraId="5806113A" w14:textId="70149E04" w:rsidR="008D0A46" w:rsidRDefault="008D0A46" w:rsidP="000F156B">
      <w:pPr>
        <w:pStyle w:val="ListParagraph"/>
        <w:numPr>
          <w:ilvl w:val="0"/>
          <w:numId w:val="16"/>
        </w:numPr>
      </w:pPr>
      <w:r>
        <w:t>Examine the impact of risks of exchange rates on the performance of MNEs.</w:t>
      </w:r>
    </w:p>
    <w:p w14:paraId="714AA888" w14:textId="3C49D795" w:rsidR="008D0A46" w:rsidRDefault="008D0A46" w:rsidP="000F156B">
      <w:pPr>
        <w:pStyle w:val="ListParagraph"/>
        <w:numPr>
          <w:ilvl w:val="0"/>
          <w:numId w:val="16"/>
        </w:numPr>
      </w:pPr>
      <w:r>
        <w:t>What are the effective risk management strategies for MNEs to manage their exchange rates risks?</w:t>
      </w:r>
    </w:p>
    <w:p w14:paraId="2D3569A7" w14:textId="76DFD8AD" w:rsidR="00F047EE" w:rsidRDefault="00100C97" w:rsidP="000F156B">
      <w:pPr>
        <w:pStyle w:val="Heading2"/>
      </w:pPr>
      <w:bookmarkStart w:id="6" w:name="_Toc169370457"/>
      <w:r>
        <w:t xml:space="preserve">Justification of the </w:t>
      </w:r>
      <w:r w:rsidR="00F047EE">
        <w:t>Research</w:t>
      </w:r>
      <w:bookmarkEnd w:id="6"/>
    </w:p>
    <w:p w14:paraId="31FAF494" w14:textId="5C33D2BC" w:rsidR="00672D8F" w:rsidRDefault="00672D8F" w:rsidP="000F156B">
      <w:r>
        <w:t xml:space="preserve">The multinational enterprises </w:t>
      </w:r>
      <w:proofErr w:type="gramStart"/>
      <w:r>
        <w:t>have to</w:t>
      </w:r>
      <w:proofErr w:type="gramEnd"/>
      <w:r>
        <w:t xml:space="preserve"> operate in international locations with diverse markets all across the world that exposes them to different kinds of risks including the fluctuations within the exchange rates. The risks related to exchange rate arise from the changes in the value of the currencies that are related to each other and impact the profitability, financial </w:t>
      </w:r>
      <w:proofErr w:type="gramStart"/>
      <w:r>
        <w:t>stability</w:t>
      </w:r>
      <w:proofErr w:type="gramEnd"/>
      <w:r>
        <w:t xml:space="preserve"> and the competitiveness of the multinational enterprise</w:t>
      </w:r>
      <w:r w:rsidR="00E41A5D">
        <w:t>s</w:t>
      </w:r>
      <w:r>
        <w:t xml:space="preserve">. Effective maintenance of the risks of exchange rate is highly essential for the multinational enterprises to minimise the potential losses that an organisation can face </w:t>
      </w:r>
      <w:proofErr w:type="gramStart"/>
      <w:r>
        <w:t>and also</w:t>
      </w:r>
      <w:proofErr w:type="gramEnd"/>
      <w:r>
        <w:t xml:space="preserve"> ensure sustainability within their operations. The aim of this research is to analyse the mitigation strategies that a multinational enterprise can use to minimise the risks of exchange rate and manage its effectiveness as well. The justification of the research is based on its activities, research objectives as well as the research methodologies. The findings that are going to be obtained from this research will offer valuable insights about the practices as well as strategies that the multinational enterprises can use to mitigate the exchange rate risks. This information obtained from the findings is also beneficial for the business managers and other financial executives working in the multinational forms to develop effective strategies of risk management. This research is going to contribute </w:t>
      </w:r>
      <w:proofErr w:type="gramStart"/>
      <w:r>
        <w:t>in</w:t>
      </w:r>
      <w:proofErr w:type="gramEnd"/>
      <w:r>
        <w:t xml:space="preserve"> providing a proper knowledge on the management of exchange rate risks by providing a complete analysis on various kinds of strategies that can be employed by the multinational companies. This research will also assist in determining gaps in the existing literature and will also suggest different areas for conducting future research. The fluctuations in the exchange rate significantly impact the entire global economy in which the company and its subsidiaries are performing. Proper understanding on the management of exchange rate risks for the MNEs helps in formulating proper policies to promote growth as well as economic stability. The research findings will also be used by the managers of the companies </w:t>
      </w:r>
      <w:r>
        <w:lastRenderedPageBreak/>
        <w:t xml:space="preserve">to improve their practises of risk management and enhance the entire competitiveness in the international market. The objectives of this research show the justification and accuracy in the research because these objectives involve a proper analysis on different kinds of exchange rates risks and their management. These will also examine the influence of these risks on the overall performance of MNEs. Effective strategies </w:t>
      </w:r>
      <w:r w:rsidR="00CB0D92">
        <w:t xml:space="preserve">such as hedging strategies </w:t>
      </w:r>
      <w:r>
        <w:t xml:space="preserve">of risk management </w:t>
      </w:r>
      <w:r w:rsidR="00E626A4">
        <w:t xml:space="preserve">and foreign debt management </w:t>
      </w:r>
      <w:r>
        <w:t>are also going to be created in this research for MNEs to manage the risks of foreign exchange</w:t>
      </w:r>
      <w:r w:rsidR="00CB0D92">
        <w:t xml:space="preserve"> (</w:t>
      </w:r>
      <w:r w:rsidR="00CB0D92">
        <w:rPr>
          <w:shd w:val="clear" w:color="auto" w:fill="FFFFFF"/>
        </w:rPr>
        <w:t xml:space="preserve">Kim </w:t>
      </w:r>
      <w:r w:rsidR="00CB0D92">
        <w:rPr>
          <w:i/>
          <w:iCs/>
          <w:shd w:val="clear" w:color="auto" w:fill="FFFFFF"/>
        </w:rPr>
        <w:t>et al</w:t>
      </w:r>
      <w:r w:rsidR="00CB0D92">
        <w:rPr>
          <w:shd w:val="clear" w:color="auto" w:fill="FFFFFF"/>
        </w:rPr>
        <w:t>, 2020</w:t>
      </w:r>
      <w:r w:rsidR="00CB0D92">
        <w:t>)</w:t>
      </w:r>
      <w:r>
        <w:t>. The evaluation of global economic factors as well as geopolitical events and their influence on the exchange rate risks for MNEs will also be done. The use of qualitative data will help in analysing relevant information from the topic and data collection through secondary methods will also maintain its authenticity. Therefore, the aim of this research highly justifies the need of analysing risk management strategies for the multinational enterprises for the risks faced by them related to foreign exchange.</w:t>
      </w:r>
    </w:p>
    <w:p w14:paraId="541698BF" w14:textId="1B063406" w:rsidR="00F047EE" w:rsidRDefault="00F047EE" w:rsidP="000F156B">
      <w:pPr>
        <w:pStyle w:val="Heading2"/>
      </w:pPr>
      <w:bookmarkStart w:id="7" w:name="_Toc169370458"/>
      <w:r>
        <w:t>Research Significance</w:t>
      </w:r>
      <w:bookmarkEnd w:id="7"/>
    </w:p>
    <w:p w14:paraId="4A428D0F" w14:textId="3B010CE9" w:rsidR="00D66D66" w:rsidRDefault="00D66D66" w:rsidP="000F156B">
      <w:r>
        <w:t xml:space="preserve">A crucial aspect in the operations as well as processes of the multinational enterprises is their risk management strategy. The management of risks related to exchange rate has long term implications on the financial performance as well as strategic processes of decision making of the company. This research is highly important for multinational enterprises to understand the kinds of risks impacting their financial performance and create robust risk management strategies. This analysis is highly important to examine the effectiveness of their existing methods of managing risks </w:t>
      </w:r>
      <w:proofErr w:type="gramStart"/>
      <w:r>
        <w:t>and also</w:t>
      </w:r>
      <w:proofErr w:type="gramEnd"/>
      <w:r>
        <w:t xml:space="preserve"> identify different improvement areas that are constantly impacting their performance</w:t>
      </w:r>
      <w:r w:rsidR="00E626A4">
        <w:t xml:space="preserve"> such as foreign direct investment</w:t>
      </w:r>
      <w:r w:rsidR="007D7884">
        <w:t xml:space="preserve"> (</w:t>
      </w:r>
      <w:r w:rsidR="00105286">
        <w:rPr>
          <w:shd w:val="clear" w:color="auto" w:fill="FFFFFF"/>
        </w:rPr>
        <w:t xml:space="preserve">Lily </w:t>
      </w:r>
      <w:r w:rsidR="00105286">
        <w:rPr>
          <w:i/>
          <w:iCs/>
          <w:shd w:val="clear" w:color="auto" w:fill="FFFFFF"/>
        </w:rPr>
        <w:t>et al</w:t>
      </w:r>
      <w:r w:rsidR="00105286">
        <w:rPr>
          <w:shd w:val="clear" w:color="auto" w:fill="FFFFFF"/>
        </w:rPr>
        <w:t>, 2020</w:t>
      </w:r>
      <w:r w:rsidR="007D7884">
        <w:t>)</w:t>
      </w:r>
      <w:r>
        <w:t>. These strategies will basically help the multinational enterprises to create the best practices related to the management of international finances and their performances. The significance of this research also includes the achievement of all the research objectives and contribute towards providing critical knowledge on the management of exchange rate risks for the multinational enterprises. The findings obtained from this research will not only improve the academic understanding of the readers but will also provide some practical recommendations to the multinational companies to improve their existing strategies of managing exchange rate risks and improve their overall processes as well as operations. This research will help MNEs to reduce the complex factors of the global markets that affect their performance and improve their ways to handle the risks of foreign exchange.</w:t>
      </w:r>
      <w:r w:rsidR="00B71B45">
        <w:t xml:space="preserve"> Therefore</w:t>
      </w:r>
      <w:r w:rsidR="007D7884">
        <w:t>,</w:t>
      </w:r>
      <w:r w:rsidR="00B71B45">
        <w:t xml:space="preserve"> </w:t>
      </w:r>
      <w:r w:rsidR="00B71B45">
        <w:lastRenderedPageBreak/>
        <w:t>it is essential for MNEs to minimise foreign exchange risks to gain competitive advantage in the international business environment.</w:t>
      </w:r>
    </w:p>
    <w:p w14:paraId="248C9D03" w14:textId="3339302D" w:rsidR="00F047EE" w:rsidRDefault="00F047EE" w:rsidP="000F156B">
      <w:pPr>
        <w:pStyle w:val="Heading2"/>
      </w:pPr>
      <w:bookmarkStart w:id="8" w:name="_Toc169370459"/>
      <w:r>
        <w:t>Research Rationale</w:t>
      </w:r>
      <w:bookmarkEnd w:id="8"/>
    </w:p>
    <w:p w14:paraId="1053C230" w14:textId="67AA4423" w:rsidR="00291BF4" w:rsidRPr="00291BF4" w:rsidRDefault="00461EAC" w:rsidP="000F156B">
      <w:r>
        <w:t>The management of exchange rate risk is a very important component for the overall success and financial gains of the (MNEs) multinational enterprises operating in international markets. The expansion of the operations of multinational organisations internationally makes their exposure with the fluctuations in the currency rates significantly influences their financial performance, value creation and competitive abilities. Hence, proper understanding about the nature of different kinds of exchange rate risks helps the multinational companies to develop effective risk management strategies and gain sustainability as well as long term profitability and success. This research has an aim to investigate all the important problems faced by the multinational enterprises at the time of evaluating the risks of exchange rate and for creating strategies for managing all these risks. The objectives of this research include examination of different types of risks and their nature to develop important insights and minimise the challenges related to foreign exchange risks. Proper analysis on the impact of fluctuations of exchange rate on the financial performance indicators like shareholder value, profitability and revenue of the company helps them to create robust strategies. The analysis of various information in this research will properly identify the impact of the foreign exchange risks on the competitive financial position of the multinational companies</w:t>
      </w:r>
      <w:r w:rsidR="00895F0A">
        <w:t xml:space="preserve"> </w:t>
      </w:r>
      <w:r w:rsidR="00AA7C24">
        <w:t xml:space="preserve">and their management of political risk and international tasks </w:t>
      </w:r>
      <w:r w:rsidR="00895F0A">
        <w:t xml:space="preserve">(Ali </w:t>
      </w:r>
      <w:r w:rsidR="00895F0A">
        <w:rPr>
          <w:i/>
          <w:iCs/>
        </w:rPr>
        <w:t>et al</w:t>
      </w:r>
      <w:r w:rsidR="00895F0A">
        <w:t>, 2021)</w:t>
      </w:r>
      <w:r>
        <w:t>. This research has an objective to develop actionable and practical strategies for the companies to mitigate the risks of foreign exchange. These strategies also include financial analysis, operational strategies and hedging techniques for mitigating the influence of fluctuations of the exchange rate on the overall financial performance of the international companies. The valuation of different global economic factors as well as geopolitical events provides a wider analysis on the factors of the macroeconomic environment in which the multinational enterprises are operating. These external environment factors include inflation, interest rates and other geopolitical events as well. Proper understanding about these factors and their influence on the company's performance helps in creating proper strategies of risk mitigation.</w:t>
      </w:r>
      <w:r w:rsidR="00291BF4">
        <w:rPr>
          <w:b/>
          <w:bCs/>
        </w:rPr>
        <w:br w:type="page"/>
      </w:r>
    </w:p>
    <w:p w14:paraId="725124C7" w14:textId="1494176F" w:rsidR="00923F08" w:rsidRPr="00923F08" w:rsidRDefault="00923F08" w:rsidP="000F156B">
      <w:pPr>
        <w:rPr>
          <w:b/>
          <w:bCs/>
        </w:rPr>
      </w:pPr>
      <w:r w:rsidRPr="00923F08">
        <w:rPr>
          <w:b/>
          <w:bCs/>
        </w:rPr>
        <w:lastRenderedPageBreak/>
        <w:t>Outline of Dissertation:</w:t>
      </w:r>
    </w:p>
    <w:p w14:paraId="406DBD09" w14:textId="4F885983" w:rsidR="00F6553E" w:rsidRDefault="00923F08" w:rsidP="000F156B">
      <w:r>
        <w:rPr>
          <w:b/>
          <w:bCs/>
          <w:noProof/>
        </w:rPr>
        <w:drawing>
          <wp:inline distT="0" distB="0" distL="0" distR="0" wp14:anchorId="617D57F7" wp14:editId="56D85BA6">
            <wp:extent cx="5913120" cy="3261360"/>
            <wp:effectExtent l="0" t="12700" r="17780" b="2540"/>
            <wp:docPr id="131298566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A568E37" w14:textId="77777777" w:rsidR="004079D8" w:rsidRDefault="004079D8" w:rsidP="000F156B">
      <w:pPr>
        <w:rPr>
          <w:rFonts w:eastAsiaTheme="majorEastAsia" w:cstheme="majorBidi"/>
          <w:b/>
          <w:bCs/>
          <w:sz w:val="28"/>
          <w:szCs w:val="28"/>
        </w:rPr>
      </w:pPr>
      <w:r>
        <w:br w:type="page"/>
      </w:r>
    </w:p>
    <w:p w14:paraId="57A475D0" w14:textId="1FDCF2AD" w:rsidR="00A91F9B" w:rsidRDefault="00A91F9B" w:rsidP="000F156B">
      <w:pPr>
        <w:pStyle w:val="Heading1"/>
      </w:pPr>
      <w:bookmarkStart w:id="9" w:name="_Toc169370460"/>
      <w:r>
        <w:lastRenderedPageBreak/>
        <w:t>Chapter 2: Literature Review</w:t>
      </w:r>
      <w:bookmarkEnd w:id="9"/>
    </w:p>
    <w:p w14:paraId="1FD94D5F" w14:textId="10588218" w:rsidR="003A16BC" w:rsidRDefault="00F60210" w:rsidP="000F156B">
      <w:pPr>
        <w:pStyle w:val="Heading2"/>
      </w:pPr>
      <w:bookmarkStart w:id="10" w:name="_Toc169370461"/>
      <w:r>
        <w:t>Exchange Rat</w:t>
      </w:r>
      <w:r w:rsidR="00845613">
        <w:t>es</w:t>
      </w:r>
      <w:r w:rsidR="00F94281">
        <w:t xml:space="preserve"> Risks</w:t>
      </w:r>
      <w:bookmarkEnd w:id="10"/>
    </w:p>
    <w:p w14:paraId="5A324647" w14:textId="0DC11047" w:rsidR="00DD1234" w:rsidRDefault="00DD1234" w:rsidP="00DD1234">
      <w:r>
        <w:t>An exchange rate is an important component of international finance and plays a considerable role in the economic operations of countries and MNEs. They show the relationship between two currencies in terms of conversion and are vital in international business and commerce activities. Exchange rates are likely to change because of the speculation in the foreign exchange markets, difference in inflation, relative interest rate and other economic factors.</w:t>
      </w:r>
      <w:r w:rsidR="00881CAD">
        <w:t xml:space="preserve"> </w:t>
      </w:r>
      <w:proofErr w:type="spellStart"/>
      <w:r>
        <w:t>Auboin</w:t>
      </w:r>
      <w:proofErr w:type="spellEnd"/>
      <w:r>
        <w:t xml:space="preserve"> and </w:t>
      </w:r>
      <w:proofErr w:type="spellStart"/>
      <w:r>
        <w:t>Ruta</w:t>
      </w:r>
      <w:proofErr w:type="spellEnd"/>
      <w:r>
        <w:t xml:space="preserve"> (2013) give a synthesis of the literature on exchange rates and trade with emphasis on how volatility affects trade. They talk about how exchange rates can be volatile and affect the trade costs thus becoming a factor that influences </w:t>
      </w:r>
      <w:r w:rsidR="00DE6C46">
        <w:t>exporters</w:t>
      </w:r>
      <w:r>
        <w:t xml:space="preserve"> and importers’ decisions. It is widely established that some firms manage exchange rate risk, while others may decide to take it as a part of the risk strategy due to factors such as the size of the firm and structure of the market.</w:t>
      </w:r>
    </w:p>
    <w:p w14:paraId="1CB8059B" w14:textId="4BC468F2" w:rsidR="00DD1234" w:rsidRDefault="00DD1234" w:rsidP="00DD1234">
      <w:r>
        <w:t xml:space="preserve">In assessing theoretical frameworks for exchange rates in the context of risk, </w:t>
      </w:r>
      <w:proofErr w:type="gramStart"/>
      <w:r>
        <w:t>Obstfeld</w:t>
      </w:r>
      <w:proofErr w:type="gramEnd"/>
      <w:r>
        <w:t xml:space="preserve"> and Rogoff (2003) provide a comprehensive exploration of the subject. It stresses that exchange rates depend upon the relative risk factors of countries and political steadiness and economical outcomes of the countries are these vital risk factors. Their work focuses on the field of exchange rate indicating that they are not only supply and demand prices, but also bear relation to the macroeconomic policies and conditions.</w:t>
      </w:r>
      <w:r w:rsidR="00881CAD">
        <w:t xml:space="preserve"> </w:t>
      </w:r>
      <w:proofErr w:type="spellStart"/>
      <w:r>
        <w:t>Mouna</w:t>
      </w:r>
      <w:proofErr w:type="spellEnd"/>
      <w:r>
        <w:t xml:space="preserve"> and Anis (2016) discuss exchange rate risk and its impact on financial stock returns during the financial crises. By applying the framework of AGARCH-M, they examine how those interrelated risks operate and influence the financial markets. Based on their research they found that exchange risk </w:t>
      </w:r>
      <w:proofErr w:type="gramStart"/>
      <w:r>
        <w:t>affect</w:t>
      </w:r>
      <w:proofErr w:type="gramEnd"/>
      <w:r>
        <w:t xml:space="preserve"> stock return in a great deal especially during the period of economic turmoil hence the need to manage exchange risks as a way of achieving financial stability.</w:t>
      </w:r>
    </w:p>
    <w:p w14:paraId="72955407" w14:textId="5A21E607" w:rsidR="00DD1234" w:rsidRDefault="00DD1234" w:rsidP="00DD1234">
      <w:r>
        <w:t xml:space="preserve">Williamson (2009) gives a descriptive background to exchange rate economics where the author takes his readers through a variety of models and theories that are used to understand exchange rates. He highlights the fact that while the main previous models derive from the interest differentials and economic fundamentals, recent theories use some elements of </w:t>
      </w:r>
      <w:proofErr w:type="spellStart"/>
      <w:r>
        <w:t>behavioral</w:t>
      </w:r>
      <w:proofErr w:type="spellEnd"/>
      <w:r>
        <w:t xml:space="preserve"> finance to explain the sometimes </w:t>
      </w:r>
      <w:r w:rsidR="00F94281">
        <w:t>‘</w:t>
      </w:r>
      <w:r>
        <w:t xml:space="preserve">irrational behaviour’ of clients. Williamson’s analysis shows that exchange rate determination is a very definite phenomenon and </w:t>
      </w:r>
      <w:proofErr w:type="gramStart"/>
      <w:r>
        <w:t>in order to</w:t>
      </w:r>
      <w:proofErr w:type="gramEnd"/>
      <w:r>
        <w:t xml:space="preserve"> model it one needs to </w:t>
      </w:r>
      <w:r>
        <w:lastRenderedPageBreak/>
        <w:t>include many factors into equation.</w:t>
      </w:r>
      <w:r w:rsidR="00EA23E3">
        <w:t xml:space="preserve"> </w:t>
      </w:r>
      <w:proofErr w:type="spellStart"/>
      <w:r>
        <w:t>Arvi</w:t>
      </w:r>
      <w:proofErr w:type="spellEnd"/>
      <w:r w:rsidR="00EA23E3">
        <w:t xml:space="preserve"> et al.</w:t>
      </w:r>
      <w:r>
        <w:t xml:space="preserve"> (2023), for instance, analyse the Covid factor influencing exchange risks for MNEs’ in emerging market economies. </w:t>
      </w:r>
      <w:proofErr w:type="spellStart"/>
      <w:r>
        <w:t>MVaR</w:t>
      </w:r>
      <w:proofErr w:type="spellEnd"/>
      <w:r>
        <w:t xml:space="preserve"> model is used by Their study to quantify conceivable losses </w:t>
      </w:r>
      <w:proofErr w:type="gramStart"/>
      <w:r>
        <w:t>in the course of</w:t>
      </w:r>
      <w:proofErr w:type="gramEnd"/>
      <w:r>
        <w:t xml:space="preserve"> the pandemic disaster. They establish that the pandemic affected the exchange risk in one way or another and that this resulted to heightened risks for the MNEs. Their research raises awareness on effective risk management techniques that can be applied to minimize the effect of such global volatilities on Exchange rate risks.</w:t>
      </w:r>
    </w:p>
    <w:p w14:paraId="6873F3F1" w14:textId="366914D3" w:rsidR="00DD1234" w:rsidRDefault="00DD1234" w:rsidP="00DD1234">
      <w:proofErr w:type="spellStart"/>
      <w:r>
        <w:t>Avdjiev</w:t>
      </w:r>
      <w:proofErr w:type="spellEnd"/>
      <w:r>
        <w:t xml:space="preserve"> et al. (2019) examine the dependence on the exchange rate of the US dollar as a global shock. They noted that </w:t>
      </w:r>
      <w:proofErr w:type="gramStart"/>
      <w:r>
        <w:t>due to the fact that</w:t>
      </w:r>
      <w:proofErr w:type="gramEnd"/>
      <w:r>
        <w:t xml:space="preserve"> most of the world addresses its financial needs through US dollars, it can be posited that an up or down movement of the dollar can affect investment and exportation around the world. Their work demonstrates that usually a stronger dollar is viewed as a sign of tighter financial conditions internationally, these will have more impact on EMs. This shows how global financial markets are linked and the importance of the US dollar exchange rate in world economical balance.</w:t>
      </w:r>
      <w:r w:rsidR="00EA23E3">
        <w:t xml:space="preserve"> </w:t>
      </w:r>
      <w:r>
        <w:t xml:space="preserve">In the papers by De Grauwe and Grimaldi (2018), the authors attempt to explain movements in the exchange rates which is in the </w:t>
      </w:r>
      <w:proofErr w:type="spellStart"/>
      <w:r>
        <w:t>behavioral</w:t>
      </w:r>
      <w:proofErr w:type="spellEnd"/>
      <w:r>
        <w:t xml:space="preserve"> finance line of thought. They put forward a system whereby the agents have several forecasting </w:t>
      </w:r>
      <w:proofErr w:type="gramStart"/>
      <w:r>
        <w:t>rules</w:t>
      </w:r>
      <w:proofErr w:type="gramEnd"/>
      <w:r>
        <w:t xml:space="preserve"> and they alternately employ each of them depending on the returns it yields. This model can produce many types of dynamic </w:t>
      </w:r>
      <w:proofErr w:type="spellStart"/>
      <w:r>
        <w:t>behavior</w:t>
      </w:r>
      <w:proofErr w:type="spellEnd"/>
      <w:r>
        <w:t xml:space="preserve"> such as formation of bubbles and crashes of the foreign exchanges, which </w:t>
      </w:r>
      <w:proofErr w:type="gramStart"/>
      <w:r>
        <w:t>actually exist</w:t>
      </w:r>
      <w:proofErr w:type="gramEnd"/>
      <w:r>
        <w:t xml:space="preserve"> in the market. This they recommend </w:t>
      </w:r>
      <w:r w:rsidR="005429C3">
        <w:t>about</w:t>
      </w:r>
      <w:r>
        <w:t xml:space="preserve"> the psychological and </w:t>
      </w:r>
      <w:proofErr w:type="spellStart"/>
      <w:r>
        <w:t>behavioral</w:t>
      </w:r>
      <w:proofErr w:type="spellEnd"/>
      <w:r>
        <w:t xml:space="preserve"> matters that affect players within the foreign exchange marketplace.</w:t>
      </w:r>
    </w:p>
    <w:p w14:paraId="5289E470" w14:textId="7E3F91A8" w:rsidR="00845613" w:rsidRPr="00845613" w:rsidRDefault="00DD1234" w:rsidP="00845613">
      <w:r>
        <w:t xml:space="preserve">Thus, it can be concluded that exchange rates are one of the pillars of the global financial system that are determined by numerous factors including sound macroeconomic fundamentals but also </w:t>
      </w:r>
      <w:proofErr w:type="spellStart"/>
      <w:r>
        <w:t>behavioral</w:t>
      </w:r>
      <w:proofErr w:type="spellEnd"/>
      <w:r>
        <w:t xml:space="preserve"> factors. Hence, theoretical literature demonstrates that the exchange rate behaviour is predetermined with unpredictable patterns and is a significant concern for firms and organizations involved in the international markets. This awareness is vital to enabling MNEs avoid the volatility associated with exchange rates as they formulate their strategies.</w:t>
      </w:r>
    </w:p>
    <w:p w14:paraId="2E01BF87" w14:textId="61E12366" w:rsidR="00394F6F" w:rsidRDefault="00394F6F" w:rsidP="000F156B">
      <w:pPr>
        <w:pStyle w:val="Heading2"/>
      </w:pPr>
      <w:bookmarkStart w:id="11" w:name="_Toc169370462"/>
      <w:r>
        <w:t xml:space="preserve">Exchange </w:t>
      </w:r>
      <w:r w:rsidR="00757C2A">
        <w:t>R</w:t>
      </w:r>
      <w:r>
        <w:t>ates management risks for MNEs</w:t>
      </w:r>
      <w:bookmarkEnd w:id="11"/>
    </w:p>
    <w:p w14:paraId="558626E4" w14:textId="03920D96" w:rsidR="00990FC9" w:rsidRDefault="00990FC9" w:rsidP="000F156B">
      <w:r>
        <w:t xml:space="preserve">The effective management of exchange rates risks is essential for the Multinational Enterprises. </w:t>
      </w:r>
      <w:r w:rsidR="005C4E62">
        <w:t>T</w:t>
      </w:r>
      <w:r>
        <w:t>he turnover in the markets of global foreign exchange reached to $7.5 trillion per day in 2022</w:t>
      </w:r>
      <w:r w:rsidR="005C4E62">
        <w:t xml:space="preserve"> (</w:t>
      </w:r>
      <w:proofErr w:type="spellStart"/>
      <w:r w:rsidR="005C4E62">
        <w:t>Drehmann</w:t>
      </w:r>
      <w:proofErr w:type="spellEnd"/>
      <w:r w:rsidR="005C4E62">
        <w:t xml:space="preserve"> and </w:t>
      </w:r>
      <w:proofErr w:type="spellStart"/>
      <w:r w:rsidR="005C4E62">
        <w:t>Sushko</w:t>
      </w:r>
      <w:proofErr w:type="spellEnd"/>
      <w:r w:rsidR="005C4E62">
        <w:t>, 2022)</w:t>
      </w:r>
      <w:r>
        <w:t xml:space="preserve">. This means the market has become highly volatile that increases </w:t>
      </w:r>
      <w:r>
        <w:lastRenderedPageBreak/>
        <w:t>the need of managing risks. Managing risks of exchange rate for MNEs based in the United Kingdom is needed because of volatility as well as impact of the fluctuations of currency on the operations competitiveness of the companies in international markets. Exchange rate risk management is essential for MNEs of the UK specifically due to the influence of fluctuations of currency on their profitability. The fluctuations in the foreign exchange rates significantly impacts the foreign expenses and foreign revenues of the company into the base currency</w:t>
      </w:r>
      <w:r w:rsidR="001C6B29">
        <w:t xml:space="preserve"> (</w:t>
      </w:r>
      <w:r w:rsidR="001C6B29" w:rsidRPr="001C6B29">
        <w:rPr>
          <w:lang w:val="en-IN" w:eastAsia="en-GB"/>
        </w:rPr>
        <w:t>Khan, 2014</w:t>
      </w:r>
      <w:r w:rsidR="001C6B29">
        <w:rPr>
          <w:lang w:val="en-IN" w:eastAsia="en-GB"/>
        </w:rPr>
        <w:t>)</w:t>
      </w:r>
      <w:r>
        <w:t>. For example, when the rate of pounds strengthens against the currencies, the profits generated in the foreign currencies show less worth of pounds that reduce the profitability of the company. On the other hand, the weaker value of pounds has the potential to improve the profitability by enhancing the value of pounds of foreign earnings.</w:t>
      </w:r>
    </w:p>
    <w:p w14:paraId="41A99A2C" w14:textId="71CB0ACF" w:rsidR="00990FC9" w:rsidRDefault="00260AE9" w:rsidP="000F156B">
      <w:r>
        <w:t>Furthermore, the fluctuations in the exchange rates are important to manage the cost structure of MNEs of the UK. These fluctuations impact the cost structure</w:t>
      </w:r>
      <w:r w:rsidR="00B777C8">
        <w:t>,</w:t>
      </w:r>
      <w:r>
        <w:t xml:space="preserve"> </w:t>
      </w:r>
      <w:r w:rsidR="00B777C8">
        <w:t>such as costs related to labour, inputs and raw materials that are purchased in the foreign currencies, of the companies operating abroad.</w:t>
      </w:r>
      <w:r w:rsidR="001B34B5">
        <w:t xml:space="preserve"> A stronger value of the currencies can decrease the </w:t>
      </w:r>
      <w:r w:rsidR="005F55E0">
        <w:t>import costs and a weaker value of the currencies can enhance the costs of import</w:t>
      </w:r>
      <w:r w:rsidR="001C6B29">
        <w:t xml:space="preserve"> (</w:t>
      </w:r>
      <w:proofErr w:type="spellStart"/>
      <w:r w:rsidR="001C6B29" w:rsidRPr="001C6B29">
        <w:rPr>
          <w:shd w:val="clear" w:color="auto" w:fill="FFFFFF"/>
          <w:lang w:val="en-IN"/>
        </w:rPr>
        <w:t>Taarup-Esbensen</w:t>
      </w:r>
      <w:proofErr w:type="spellEnd"/>
      <w:r w:rsidR="001C6B29" w:rsidRPr="001C6B29">
        <w:rPr>
          <w:shd w:val="clear" w:color="auto" w:fill="FFFFFF"/>
          <w:lang w:val="en-IN"/>
        </w:rPr>
        <w:t>, 2018</w:t>
      </w:r>
      <w:r w:rsidR="001C6B29">
        <w:rPr>
          <w:shd w:val="clear" w:color="auto" w:fill="FFFFFF"/>
          <w:lang w:val="en-IN"/>
        </w:rPr>
        <w:t>)</w:t>
      </w:r>
      <w:r w:rsidR="005F55E0">
        <w:t xml:space="preserve">. This affects the overall competitiveness of the MNEs operating in global markets </w:t>
      </w:r>
      <w:r w:rsidR="006D503A">
        <w:t>and either decreases or increases the costs.</w:t>
      </w:r>
      <w:r w:rsidR="00971152">
        <w:t xml:space="preserve"> </w:t>
      </w:r>
      <w:r w:rsidR="005C4E62">
        <w:t>T</w:t>
      </w:r>
      <w:r w:rsidR="00971152">
        <w:t>he volatility in the exchange rates can provide some uncertainties in the cash flows for the MNEs operating in various sectors of the United Kingdom</w:t>
      </w:r>
      <w:r w:rsidR="004364D5">
        <w:t xml:space="preserve"> that impacts the economic growth of the country as well</w:t>
      </w:r>
      <w:r w:rsidR="005C4E62">
        <w:t xml:space="preserve"> (</w:t>
      </w:r>
      <w:proofErr w:type="spellStart"/>
      <w:r w:rsidR="005C4E62">
        <w:t>Morina</w:t>
      </w:r>
      <w:proofErr w:type="spellEnd"/>
      <w:r w:rsidR="005C4E62">
        <w:t xml:space="preserve"> </w:t>
      </w:r>
      <w:r w:rsidR="005C4E62">
        <w:rPr>
          <w:i/>
          <w:iCs/>
        </w:rPr>
        <w:t>et al</w:t>
      </w:r>
      <w:r w:rsidR="005C4E62">
        <w:t>, 2020)</w:t>
      </w:r>
      <w:r w:rsidR="00971152">
        <w:t>.</w:t>
      </w:r>
      <w:r w:rsidR="009E3CC0">
        <w:t xml:space="preserve"> Fluctuations taking place in the rates of exchange highly impacts the amount as well as timing over both cash outflows and inflows. This creates challenges for the organisations to strategically plan their investments, payments of dividends and repayments of debts.</w:t>
      </w:r>
      <w:r w:rsidR="00FE6C2C">
        <w:t xml:space="preserve"> This kind of uncertainty also enhance</w:t>
      </w:r>
      <w:r w:rsidR="00D6433D">
        <w:t>s</w:t>
      </w:r>
      <w:r w:rsidR="00FE6C2C">
        <w:t xml:space="preserve"> the foreign exchange risk for multinational enterprises especially</w:t>
      </w:r>
      <w:r w:rsidR="00D6433D">
        <w:t xml:space="preserve"> for</w:t>
      </w:r>
      <w:r w:rsidR="00FE6C2C">
        <w:t xml:space="preserve"> those companies that significantly have international operations and processes.</w:t>
      </w:r>
    </w:p>
    <w:p w14:paraId="1D2D1A5E" w14:textId="43E4DD09" w:rsidR="004753A5" w:rsidRDefault="004753A5" w:rsidP="000F156B">
      <w:r>
        <w:t xml:space="preserve">The importance of managing exchange rate risks for multinational firms also lies in different kinds of mitigation strategies. Properly understanding the concepts of exchange rate risks provides some management strategies so that all these risks are properly </w:t>
      </w:r>
      <w:r w:rsidR="0034324C">
        <w:t>mitigated,</w:t>
      </w:r>
      <w:r>
        <w:t xml:space="preserve"> and these international companies can work with more profitability and improve the overall brand reputation in both the local as well as international markets.</w:t>
      </w:r>
      <w:r w:rsidR="00D12706">
        <w:t xml:space="preserve"> The fluctuations in the exchange rate risks are mitigated by different strategies such as diversification and natural hedging strategies</w:t>
      </w:r>
      <w:r w:rsidR="002A1F25">
        <w:t xml:space="preserve"> (</w:t>
      </w:r>
      <w:r w:rsidR="002A1F25" w:rsidRPr="002A1F25">
        <w:t xml:space="preserve">Bergman and </w:t>
      </w:r>
      <w:proofErr w:type="spellStart"/>
      <w:r w:rsidR="002A1F25" w:rsidRPr="002A1F25">
        <w:t>Rosén</w:t>
      </w:r>
      <w:proofErr w:type="spellEnd"/>
      <w:r w:rsidR="002A1F25" w:rsidRPr="002A1F25">
        <w:t xml:space="preserve">, </w:t>
      </w:r>
      <w:r w:rsidR="002A1F25" w:rsidRPr="002A1F25">
        <w:lastRenderedPageBreak/>
        <w:t>2021</w:t>
      </w:r>
      <w:r w:rsidR="002A1F25">
        <w:t>)</w:t>
      </w:r>
      <w:r w:rsidR="00D12706">
        <w:t>.</w:t>
      </w:r>
      <w:r w:rsidR="00DF1FFF">
        <w:t xml:space="preserve"> These strategies are essential to maintain the profitability of the multinational companies because one of the major impacts of exchange rate risks on the multinational company is the effect on profitability. The depreciation within the local currency against the currency of the base country of the international </w:t>
      </w:r>
      <w:r w:rsidR="00B7353B">
        <w:t>o</w:t>
      </w:r>
      <w:r w:rsidR="00DF1FFF">
        <w:t>rganisation</w:t>
      </w:r>
      <w:r w:rsidR="00B7353B">
        <w:t>s</w:t>
      </w:r>
      <w:r w:rsidR="00DF1FFF">
        <w:t xml:space="preserve"> which operate in different countries </w:t>
      </w:r>
      <w:r w:rsidR="00B7353B">
        <w:t>faces</w:t>
      </w:r>
      <w:r w:rsidR="00DF1FFF">
        <w:t xml:space="preserve"> decreasing prof</w:t>
      </w:r>
      <w:r w:rsidR="00B7353B">
        <w:t>its</w:t>
      </w:r>
      <w:r w:rsidR="00DF1FFF">
        <w:t>.</w:t>
      </w:r>
      <w:r w:rsidR="00A629AE">
        <w:t xml:space="preserve"> The fluctuations within the rates of foreign currency affects the sourcing costs, production costs and selling costs of the international businesses.</w:t>
      </w:r>
      <w:r w:rsidR="002871AF">
        <w:t xml:space="preserve"> Th</w:t>
      </w:r>
      <w:r w:rsidR="001F5575">
        <w:t xml:space="preserve">e cost structure </w:t>
      </w:r>
      <w:r w:rsidR="00F437DA">
        <w:t>as well as</w:t>
      </w:r>
      <w:r w:rsidR="001F5575">
        <w:t xml:space="preserve"> supplier relationships</w:t>
      </w:r>
      <w:r w:rsidR="002871AF">
        <w:t xml:space="preserve"> highly impact the competitiveness of </w:t>
      </w:r>
      <w:r w:rsidR="001F5575">
        <w:t>the organisations in the global markets.</w:t>
      </w:r>
    </w:p>
    <w:p w14:paraId="60DCD3D5" w14:textId="401CF1EB" w:rsidR="00C355C3" w:rsidRDefault="00C355C3" w:rsidP="000F156B">
      <w:r>
        <w:t xml:space="preserve">The volatility within the rates of foreign exchange leads to extreme uncertainty in the cash flows for multinational companies. The major challenges involved in this volatility are the strategic planning related to repayments, </w:t>
      </w:r>
      <w:proofErr w:type="gramStart"/>
      <w:r>
        <w:t>debts</w:t>
      </w:r>
      <w:proofErr w:type="gramEnd"/>
      <w:r>
        <w:t xml:space="preserve"> and investments. The understanding of Exchange rate risk management helps the company to manage the volatility of exchange risk that leads to uncertainty in the profitability of MNEs. The companies also </w:t>
      </w:r>
      <w:proofErr w:type="gramStart"/>
      <w:r>
        <w:t>have to</w:t>
      </w:r>
      <w:proofErr w:type="gramEnd"/>
      <w:r>
        <w:t xml:space="preserve"> translate their financial statements into the foreign currencies for the foreign subsidiaries. Stronger base country currency makes the exports quite expensive and weaker base country currency make the imports expensive. The usage of financial instruments by multinational companies such as options, </w:t>
      </w:r>
      <w:proofErr w:type="gramStart"/>
      <w:r>
        <w:t>swaps</w:t>
      </w:r>
      <w:proofErr w:type="gramEnd"/>
      <w:r>
        <w:t xml:space="preserve"> and forward contracts to hedge the risks of exchange rate has increased because of the increasing risks. </w:t>
      </w:r>
      <w:r w:rsidR="00E20212">
        <w:t>T</w:t>
      </w:r>
      <w:r>
        <w:t xml:space="preserve">he hedging instruments </w:t>
      </w:r>
      <w:r w:rsidR="004364D5">
        <w:t xml:space="preserve">forecast exchange rate volatility that </w:t>
      </w:r>
      <w:r>
        <w:t>enhance the costs for the company and finances as well as the financial position of the companies get impacted from this</w:t>
      </w:r>
      <w:r w:rsidR="00E20212">
        <w:t xml:space="preserve"> (You and Liu, 2020)</w:t>
      </w:r>
      <w:r>
        <w:t>. Therefore, effective management of the risks related to exchange rate is highly crucial for multinational businesses operating in the United Kingdom and having subsidiaries and branches in other countries. The management related to exchange rate risks ensure stability in the operations of the companies at both national and international regions.</w:t>
      </w:r>
    </w:p>
    <w:p w14:paraId="0EE87450" w14:textId="0EC03B2B" w:rsidR="00D96787" w:rsidRDefault="0034324C" w:rsidP="000F156B">
      <w:pPr>
        <w:pStyle w:val="Heading2"/>
      </w:pPr>
      <w:bookmarkStart w:id="12" w:name="_Toc169370463"/>
      <w:r>
        <w:t>Impact of</w:t>
      </w:r>
      <w:r w:rsidR="00D96787">
        <w:t xml:space="preserve"> Exchange Rate</w:t>
      </w:r>
      <w:bookmarkEnd w:id="12"/>
      <w:r>
        <w:t>s on MNEs</w:t>
      </w:r>
    </w:p>
    <w:p w14:paraId="33A90CFA" w14:textId="20001FC1" w:rsidR="00E52998" w:rsidRPr="003717A3" w:rsidRDefault="00E52998" w:rsidP="000F156B">
      <w:pPr>
        <w:rPr>
          <w:rFonts w:eastAsia="Times New Roman" w:cs="Times New Roman"/>
          <w:szCs w:val="24"/>
          <w:lang w:val="en-IN" w:eastAsia="en-GB"/>
        </w:rPr>
      </w:pPr>
      <w:r>
        <w:t>Exchange rates are highly essential in maintaining the profitability as well as operational efficiency of the multinational companies of the United Kingdom. Exchange rates affect the costs related to exports as well as imports, the value of foreign investments and competitiveness in the global markets. The global economic factors highly affect the exchange rates which causes fluctuations and provides risks to the multinational enterprises. There is a relationship between interest rates, a global economic factor, as well as exchange rates</w:t>
      </w:r>
      <w:r w:rsidR="003717A3">
        <w:t xml:space="preserve"> as per (</w:t>
      </w:r>
      <w:r w:rsidR="003717A3" w:rsidRPr="003717A3">
        <w:rPr>
          <w:lang w:val="en-IN"/>
        </w:rPr>
        <w:t>Keynes, 1936)</w:t>
      </w:r>
      <w:r w:rsidR="003717A3">
        <w:rPr>
          <w:lang w:val="en-IN"/>
        </w:rPr>
        <w:t xml:space="preserve">, as per </w:t>
      </w:r>
      <w:r w:rsidR="003717A3" w:rsidRPr="003717A3">
        <w:rPr>
          <w:rFonts w:eastAsia="Times New Roman" w:cs="Times New Roman"/>
          <w:szCs w:val="24"/>
          <w:lang w:val="en-IN" w:eastAsia="en-GB"/>
        </w:rPr>
        <w:t xml:space="preserve">Keynesian economics suggests that interest rates, set by a country's central bank, influence the flow of capital </w:t>
      </w:r>
      <w:r w:rsidR="003717A3" w:rsidRPr="003717A3">
        <w:rPr>
          <w:rFonts w:eastAsia="Times New Roman" w:cs="Times New Roman"/>
          <w:szCs w:val="24"/>
          <w:lang w:val="en-IN" w:eastAsia="en-GB"/>
        </w:rPr>
        <w:lastRenderedPageBreak/>
        <w:t>between countries. Higher interest rates attract foreign capital, leading to an appreciation of the domestic currency.</w:t>
      </w:r>
      <w:r w:rsidR="003717A3">
        <w:rPr>
          <w:rFonts w:eastAsia="Times New Roman" w:cs="Times New Roman"/>
          <w:szCs w:val="24"/>
          <w:lang w:val="en-IN" w:eastAsia="en-GB"/>
        </w:rPr>
        <w:t xml:space="preserve"> </w:t>
      </w:r>
      <w:r>
        <w:t>Dress rates are the important determinant of the exchange rates because higher rates of interest attract foreign investors who are looking for higher return on investments that leads to enhancing the demand for the currency of the country and appreciation in the value. The Bank of England enhanced the interest rate to 5.25% because of the inflation of the United Kingdom and this rate is the highest in 15 years</w:t>
      </w:r>
      <w:r w:rsidR="00E20212">
        <w:t xml:space="preserve"> (The Economic Times 2023)</w:t>
      </w:r>
      <w:r>
        <w:t>. The increase in rates of interest strengthened the value of (GBP) British Pound against various currencies such as (EUR) Euro and (USD) US Dollar. On the other hand, lower rates of interest appreciate the value of the currency and the investors look for higher returns somewhere else. For the multinational firms of the United Kingdom, interest rates in the main markets such as the Eurozone and US significantly impact their operations and affect their investment decisions, borrowing costs and competitiveness in the markets where they export products and services.</w:t>
      </w:r>
    </w:p>
    <w:p w14:paraId="77639F8B" w14:textId="0541012A" w:rsidR="00E52998" w:rsidRDefault="00E52998" w:rsidP="000F156B">
      <w:r>
        <w:t xml:space="preserve">Inflation rates are one of the major factors of the global economy that plays a crucial role in fluctuating the exchange rates. Countries which have significantly lower rates of inflation experience appreciation within the currency value because the buying power of the currency enhances as compared to other countries. </w:t>
      </w:r>
      <w:r w:rsidR="00F141A7">
        <w:t>T</w:t>
      </w:r>
      <w:r>
        <w:t>he Consumer Prices Index of the United Kingdom has increased in April 2023 by 1.2% that has enhanced the overall inflation of the country</w:t>
      </w:r>
      <w:r w:rsidR="00F141A7">
        <w:t xml:space="preserve"> (The Office for National Statistics, 2023)</w:t>
      </w:r>
      <w:r>
        <w:t>. Because of this reason, the value of the currency of British pounds used within the countries has enhanced. The companies which have higher rates of inflation see depreciation in the value of the currency which impacts the operations of the multinational enterprises operating under those areas. The multinational enterprises of the United Kingdom face inflation rates that impact their competitiveness regarding exports as well as the prices of imported services and products that further affects their performance and profitability. The economic indicators of the country such as employment rates, consumer spending and gross domestic product growth influence the rates of exchange. Strong performance of the economy is because of the increase in gross domestic product along with strong consumer spending and lower rates of unemployment. This is quite essential to attract the foreign investors and bring appreciations within the value of the currency. Weakness in the economic indicators provides depreciation within the value of the currency</w:t>
      </w:r>
      <w:r w:rsidR="00DE6C46">
        <w:t xml:space="preserve"> (</w:t>
      </w:r>
      <w:proofErr w:type="spellStart"/>
      <w:r w:rsidR="00DE6C46" w:rsidRPr="00DE6C46">
        <w:rPr>
          <w:lang w:val="en-IN" w:eastAsia="en-GB"/>
        </w:rPr>
        <w:t>Eun</w:t>
      </w:r>
      <w:proofErr w:type="spellEnd"/>
      <w:r w:rsidR="00DE6C46" w:rsidRPr="00DE6C46">
        <w:rPr>
          <w:lang w:val="en-IN" w:eastAsia="en-GB"/>
        </w:rPr>
        <w:t xml:space="preserve"> </w:t>
      </w:r>
      <w:r w:rsidR="00DE6C46">
        <w:rPr>
          <w:lang w:val="en-IN" w:eastAsia="en-GB"/>
        </w:rPr>
        <w:t>and</w:t>
      </w:r>
      <w:r w:rsidR="00DE6C46" w:rsidRPr="00DE6C46">
        <w:rPr>
          <w:lang w:val="en-IN" w:eastAsia="en-GB"/>
        </w:rPr>
        <w:t xml:space="preserve"> Resnick, 2018)</w:t>
      </w:r>
      <w:r>
        <w:t xml:space="preserve">. The multinational businesses operating in the UK </w:t>
      </w:r>
      <w:proofErr w:type="gramStart"/>
      <w:r>
        <w:t>have to</w:t>
      </w:r>
      <w:proofErr w:type="gramEnd"/>
      <w:r>
        <w:t xml:space="preserve"> monitor the economic indicators effectively in the important markets to assess the conditions of the market and create informed decisions for their businesses.</w:t>
      </w:r>
    </w:p>
    <w:p w14:paraId="43EC97B3" w14:textId="7638F438" w:rsidR="00E52998" w:rsidRDefault="00E52998" w:rsidP="000F156B">
      <w:r>
        <w:lastRenderedPageBreak/>
        <w:t>Political stability as well as economic performance are the crucial factors which impact exchange rates. Countries such as the United Kingdom, the United States and Europe have stable governments and strong performance of the economy which are highly essential to attract more foreign investors and bring appreciation in the value of their currency. On the contrary, instability in the political environment and uncertainty in the economy leads to depreciation in the value of the currency because investors do not look for the countries which have an uncertain economic environment</w:t>
      </w:r>
      <w:r w:rsidR="00DE6C46">
        <w:t xml:space="preserve"> (</w:t>
      </w:r>
      <w:r w:rsidR="00DE6C46" w:rsidRPr="00DE6C46">
        <w:t>Hill</w:t>
      </w:r>
      <w:r w:rsidR="00DE6C46">
        <w:t xml:space="preserve"> and</w:t>
      </w:r>
      <w:r w:rsidR="00DE6C46" w:rsidRPr="00DE6C46">
        <w:t xml:space="preserve"> </w:t>
      </w:r>
      <w:proofErr w:type="spellStart"/>
      <w:r w:rsidR="00DE6C46" w:rsidRPr="00DE6C46">
        <w:t>Hult</w:t>
      </w:r>
      <w:proofErr w:type="spellEnd"/>
      <w:r w:rsidR="00DE6C46" w:rsidRPr="00DE6C46">
        <w:t>, 2019)</w:t>
      </w:r>
      <w:r>
        <w:t>.</w:t>
      </w:r>
      <w:r w:rsidR="00150B67">
        <w:t xml:space="preserve"> T</w:t>
      </w:r>
      <w:r>
        <w:t xml:space="preserve">he international businesses of the United Kingdom </w:t>
      </w:r>
      <w:proofErr w:type="gramStart"/>
      <w:r>
        <w:t>have to</w:t>
      </w:r>
      <w:proofErr w:type="gramEnd"/>
      <w:r>
        <w:t xml:space="preserve"> properly research the </w:t>
      </w:r>
      <w:r w:rsidR="008F5100">
        <w:t xml:space="preserve">economic </w:t>
      </w:r>
      <w:r>
        <w:t>developments in the markets in which they are operating so that operational impacts get decreased and their investment decisions do not get affected</w:t>
      </w:r>
      <w:r w:rsidR="00150B67">
        <w:t xml:space="preserve"> (Zhou </w:t>
      </w:r>
      <w:r w:rsidR="00150B67">
        <w:rPr>
          <w:i/>
          <w:iCs/>
        </w:rPr>
        <w:t>et al</w:t>
      </w:r>
      <w:r w:rsidR="00150B67">
        <w:t>, 2020)</w:t>
      </w:r>
      <w:r>
        <w:t>. The debt taken by the government of the country highly impacts the rates of exchange. Countries in which government debt has higher levels struggle to attract the foreign investments and their currency is also less valued as compared to countries which have less debt. The appreciation in the value of any country’s currency is based on lower levels of debt taken by the government. The proper analysis of debt levels of government in the key markets are essential for the international firms of the United Kingdom to create the investment decisions and strategies for managing exchange rates risks</w:t>
      </w:r>
      <w:r w:rsidR="00994B99">
        <w:t xml:space="preserve"> (</w:t>
      </w:r>
      <w:proofErr w:type="spellStart"/>
      <w:r w:rsidR="00994B99" w:rsidRPr="00994B99">
        <w:rPr>
          <w:shd w:val="clear" w:color="auto" w:fill="FFFFFF"/>
          <w:lang w:val="en-IN"/>
        </w:rPr>
        <w:t>Auboin</w:t>
      </w:r>
      <w:proofErr w:type="spellEnd"/>
      <w:r w:rsidR="00994B99" w:rsidRPr="00994B99">
        <w:rPr>
          <w:shd w:val="clear" w:color="auto" w:fill="FFFFFF"/>
          <w:lang w:val="en-IN"/>
        </w:rPr>
        <w:t xml:space="preserve"> and </w:t>
      </w:r>
      <w:proofErr w:type="spellStart"/>
      <w:r w:rsidR="00994B99" w:rsidRPr="00994B99">
        <w:rPr>
          <w:shd w:val="clear" w:color="auto" w:fill="FFFFFF"/>
          <w:lang w:val="en-IN"/>
        </w:rPr>
        <w:t>Ruta</w:t>
      </w:r>
      <w:proofErr w:type="spellEnd"/>
      <w:r w:rsidR="00994B99" w:rsidRPr="00994B99">
        <w:rPr>
          <w:shd w:val="clear" w:color="auto" w:fill="FFFFFF"/>
          <w:lang w:val="en-IN"/>
        </w:rPr>
        <w:t>, 2013</w:t>
      </w:r>
      <w:r w:rsidR="00994B99">
        <w:rPr>
          <w:shd w:val="clear" w:color="auto" w:fill="FFFFFF"/>
          <w:lang w:val="en-IN"/>
        </w:rPr>
        <w:t>)</w:t>
      </w:r>
      <w:r>
        <w:t>. Therefore, global economic factors are essential to be considered by the MNEs because these bring fluctuations in exchange rates that impact the profitability and competitiveness of the MNEs.</w:t>
      </w:r>
    </w:p>
    <w:p w14:paraId="1CABCCF8" w14:textId="400DFADC" w:rsidR="00D96787" w:rsidRDefault="00D96787" w:rsidP="000F156B">
      <w:pPr>
        <w:pStyle w:val="Heading2"/>
      </w:pPr>
      <w:bookmarkStart w:id="13" w:name="_Toc169370464"/>
      <w:r>
        <w:t>Geopolitical Events influencing Exchange Rate</w:t>
      </w:r>
      <w:bookmarkEnd w:id="13"/>
    </w:p>
    <w:p w14:paraId="1FDB7A4B" w14:textId="6C42D09D" w:rsidR="008052F7" w:rsidRDefault="008052F7" w:rsidP="000F156B">
      <w:r>
        <w:t xml:space="preserve">Geopolitical events are important in shaping the strategies for managing the exchange rates for the multinational enterprises of the United Kingdom. These events have a crucial influence on the currencies’ value that affects the operations, </w:t>
      </w:r>
      <w:proofErr w:type="gramStart"/>
      <w:r>
        <w:t>profitability</w:t>
      </w:r>
      <w:proofErr w:type="gramEnd"/>
      <w:r>
        <w:t xml:space="preserve"> and investments of MNEs. </w:t>
      </w:r>
      <w:r w:rsidR="00150B67">
        <w:t>O</w:t>
      </w:r>
      <w:r>
        <w:t>ne of the major geopolitical events in the United Kingdom that has impacted the operations of MNEs in the UK is Brexit</w:t>
      </w:r>
      <w:r w:rsidR="00BF73EF">
        <w:t xml:space="preserve"> (</w:t>
      </w:r>
      <w:proofErr w:type="spellStart"/>
      <w:r w:rsidR="00BF73EF" w:rsidRPr="00D96EF4">
        <w:t>Salisu</w:t>
      </w:r>
      <w:proofErr w:type="spellEnd"/>
      <w:r w:rsidR="00BF73EF" w:rsidRPr="00D96EF4">
        <w:t xml:space="preserve">, </w:t>
      </w:r>
      <w:proofErr w:type="spellStart"/>
      <w:r w:rsidR="00BF73EF" w:rsidRPr="00D96EF4">
        <w:t>Cuñado</w:t>
      </w:r>
      <w:proofErr w:type="spellEnd"/>
      <w:r w:rsidR="00BF73EF" w:rsidRPr="00D96EF4">
        <w:t xml:space="preserve"> and Gupta</w:t>
      </w:r>
      <w:r w:rsidR="00BF73EF">
        <w:t>,</w:t>
      </w:r>
      <w:r w:rsidR="00BF73EF" w:rsidRPr="00D96EF4">
        <w:t xml:space="preserve"> </w:t>
      </w:r>
      <w:r w:rsidR="00BF73EF">
        <w:t>2022)</w:t>
      </w:r>
      <w:r>
        <w:t xml:space="preserve">. The United Kingdom has voted to exit the European Union in 2016 that has brought volatility in the worth of the British Pound. Brexit has also caused some uncertainties in negotiations, economic relationships and trade agreements between the European Union as well as the United Kingdom which has impacted the exchange rate as well. The outcomes of this decision of the United Kingdom have made the value of British pounds extremely lowest. This decline in the pound had significantly impacted the operations as well as investments of the multinational enterprises of the United Kingdom which are working in </w:t>
      </w:r>
      <w:r>
        <w:lastRenderedPageBreak/>
        <w:t>different countries. Another geopolitical event that has taken place was trade wars, specially between the US and China that has impacted the rates of foreign currencies</w:t>
      </w:r>
      <w:r w:rsidR="00994B99">
        <w:t xml:space="preserve"> (</w:t>
      </w:r>
      <w:r w:rsidR="00994B99" w:rsidRPr="001C6B29">
        <w:rPr>
          <w:shd w:val="clear" w:color="auto" w:fill="FFFFFF"/>
          <w:lang w:val="en-IN"/>
        </w:rPr>
        <w:t>Lessard, 2019</w:t>
      </w:r>
      <w:r w:rsidR="00994B99">
        <w:rPr>
          <w:shd w:val="clear" w:color="auto" w:fill="FFFFFF"/>
          <w:lang w:val="en-IN"/>
        </w:rPr>
        <w:t>)</w:t>
      </w:r>
      <w:r>
        <w:t>. This has also imposed various trade barriers as well as tariffs for the enterprises and has disrupted supply chains that has further enhanced costs for operating and provided currency fluctuations. The volatility in the currency of the US dollars and Chinese Yuan has posed trade negotiations and tariffs that have fluctuated the exchange rate and exposure of multinational enterprises of the United Kingdom in these markets.</w:t>
      </w:r>
    </w:p>
    <w:p w14:paraId="41EF4FD6" w14:textId="4F2BE64D" w:rsidR="008052F7" w:rsidRDefault="008052F7" w:rsidP="000F156B">
      <w:r>
        <w:t xml:space="preserve">The political environment of the United Kingdom is very unstable and not only in this country but the major economies of the world face political instability that highly impacts the rates of exchange. </w:t>
      </w:r>
      <w:r w:rsidR="00386ADD">
        <w:t>T</w:t>
      </w:r>
      <w:r>
        <w:t xml:space="preserve">he major events leading to instability in the political environment are elections, geopolitical stresses and changes in the state or government. These events bring uncertainty in the industries as well as markets and affect the overall value of almost every kind of currency. The general elections of the United Kingdom and negotiations with the European Union has provided volatility in the exchange rate of the British Pound. This uncertainty has provided negative outcomes and led to fluctuation of the currency against major countries which has impacted the entire operations and profitability of the enterprises operating in the industries of the United Kingdom. Natural disasters as well as pandemics such as Covid- 19 are also the major geopolitical events that directly impact the exchange rates and provide risks of exchange rates to MNEs. The major impacts of these events on the international enterprises are disruption in supply chains, impact on the economic activity and changes in the investors and </w:t>
      </w:r>
      <w:proofErr w:type="gramStart"/>
      <w:r>
        <w:t>all of</w:t>
      </w:r>
      <w:proofErr w:type="gramEnd"/>
      <w:r>
        <w:t xml:space="preserve"> these directly impacts the values of currencies. </w:t>
      </w:r>
      <w:r w:rsidR="00711064">
        <w:t>C</w:t>
      </w:r>
      <w:r w:rsidRPr="00386ADD">
        <w:t>orona</w:t>
      </w:r>
      <w:r w:rsidR="00386ADD">
        <w:t xml:space="preserve"> </w:t>
      </w:r>
      <w:r w:rsidRPr="00386ADD">
        <w:t>virus</w:t>
      </w:r>
      <w:r>
        <w:t xml:space="preserve"> pandemic has declined the value of British Pound against different currencies such as the EUR and the USD</w:t>
      </w:r>
      <w:r w:rsidR="00BF73EF">
        <w:t xml:space="preserve"> (Feng </w:t>
      </w:r>
      <w:r w:rsidR="00BF73EF">
        <w:rPr>
          <w:i/>
          <w:iCs/>
        </w:rPr>
        <w:t xml:space="preserve">et </w:t>
      </w:r>
      <w:r w:rsidR="00BF73EF" w:rsidRPr="00386ADD">
        <w:t>al</w:t>
      </w:r>
      <w:r w:rsidR="00BF73EF">
        <w:t>, 2021)</w:t>
      </w:r>
      <w:r>
        <w:t>. Pandemic has had an economic impact including travel restrictions as well as lockdowns which have declined the activities as well as confidence of investors towards the economy of the United Kingdom and brought depreciation in the value of the British Pound.</w:t>
      </w:r>
    </w:p>
    <w:p w14:paraId="14D68E40" w14:textId="31041785" w:rsidR="008052F7" w:rsidRPr="0052587E" w:rsidRDefault="008052F7" w:rsidP="000F156B">
      <w:pPr>
        <w:rPr>
          <w:lang w:val="en-IN"/>
        </w:rPr>
      </w:pPr>
      <w:r>
        <w:t xml:space="preserve">The monetary policies, changes in the interest rates and fluctuations in the inflation as well as recession also impacts the rates of exchange for the country and provide exchange rate risks to all the organisations operating within the country. Monetary policy changes by the Bank of England impacts the foreign exchange rates. The decisions related to interest rates and other programmes affects the confidence of investors towards the organisations of the country </w:t>
      </w:r>
      <w:proofErr w:type="gramStart"/>
      <w:r>
        <w:t>and also</w:t>
      </w:r>
      <w:proofErr w:type="gramEnd"/>
      <w:r>
        <w:t xml:space="preserve"> changes </w:t>
      </w:r>
      <w:r>
        <w:lastRenderedPageBreak/>
        <w:t xml:space="preserve">inflation and recession measures. </w:t>
      </w:r>
      <w:r w:rsidR="006D484D">
        <w:t>T</w:t>
      </w:r>
      <w:r>
        <w:t>he decision of the Bank of England to cut the rates of interest with respect to the impact of the coronavirus pandemic on the economy has depreciated the value of the British Pound</w:t>
      </w:r>
      <w:r w:rsidR="006D484D">
        <w:t xml:space="preserve"> (</w:t>
      </w:r>
      <w:proofErr w:type="spellStart"/>
      <w:r w:rsidR="006D484D" w:rsidRPr="00291BF4">
        <w:t>Arvi</w:t>
      </w:r>
      <w:proofErr w:type="spellEnd"/>
      <w:r w:rsidR="006D484D" w:rsidRPr="00291BF4">
        <w:t xml:space="preserve">, </w:t>
      </w:r>
      <w:proofErr w:type="spellStart"/>
      <w:r w:rsidR="006D484D" w:rsidRPr="00291BF4">
        <w:t>Manakyan</w:t>
      </w:r>
      <w:proofErr w:type="spellEnd"/>
      <w:r w:rsidR="006D484D" w:rsidRPr="00291BF4">
        <w:t xml:space="preserve"> and </w:t>
      </w:r>
      <w:proofErr w:type="spellStart"/>
      <w:r w:rsidR="006D484D" w:rsidRPr="00291BF4">
        <w:t>Khazeh</w:t>
      </w:r>
      <w:proofErr w:type="spellEnd"/>
      <w:r w:rsidR="006D484D" w:rsidRPr="00291BF4">
        <w:t xml:space="preserve">, </w:t>
      </w:r>
      <w:r w:rsidR="006D484D">
        <w:t>2023)</w:t>
      </w:r>
      <w:r>
        <w:t xml:space="preserve">. The lower rates of interest have decreased the attractiveness of investors as well towards the United Kingdom and its businesses and declined the overall economic value of the country. </w:t>
      </w:r>
      <w:r w:rsidR="0052587E" w:rsidRPr="0052587E">
        <w:rPr>
          <w:lang w:val="en-IN"/>
        </w:rPr>
        <w:t xml:space="preserve">The relationship between interest rates and exchange rates is a critical aspect of international finance, influencing global trade, investment, and economic stability. </w:t>
      </w:r>
    </w:p>
    <w:p w14:paraId="66E1B1B7" w14:textId="5CDD974F" w:rsidR="00394F6F" w:rsidRDefault="00757C2A" w:rsidP="000F156B">
      <w:pPr>
        <w:pStyle w:val="Heading2"/>
      </w:pPr>
      <w:bookmarkStart w:id="14" w:name="_Toc169370465"/>
      <w:r>
        <w:t>E</w:t>
      </w:r>
      <w:r w:rsidR="00394F6F">
        <w:t xml:space="preserve">xchange </w:t>
      </w:r>
      <w:r>
        <w:t>R</w:t>
      </w:r>
      <w:r w:rsidR="00394F6F">
        <w:t xml:space="preserve">ates </w:t>
      </w:r>
      <w:r>
        <w:t>R</w:t>
      </w:r>
      <w:r w:rsidR="00394F6F">
        <w:t>isks</w:t>
      </w:r>
      <w:r>
        <w:t xml:space="preserve"> affecting performance of MNEs</w:t>
      </w:r>
      <w:bookmarkEnd w:id="14"/>
    </w:p>
    <w:p w14:paraId="08FE56BF" w14:textId="48839DAE" w:rsidR="00565037" w:rsidRPr="0052587E" w:rsidRDefault="00565037" w:rsidP="000F156B">
      <w:pPr>
        <w:rPr>
          <w:lang w:val="en-IN"/>
        </w:rPr>
      </w:pPr>
      <w:r>
        <w:t xml:space="preserve">The overall performance of the multinational enterprises is highly affected by the risks of exchange </w:t>
      </w:r>
      <w:r w:rsidR="00994B99">
        <w:t>rates,</w:t>
      </w:r>
      <w:r>
        <w:t xml:space="preserve"> and these are the crucial concerns for the enterprises operating under the industries of the United Kingdom. The United Kingdom is positioned as one of the leading countries in the world regarding top businesses and for the profitable as well as stable economy. </w:t>
      </w:r>
      <w:r w:rsidR="00BC3C45">
        <w:t>F</w:t>
      </w:r>
      <w:r>
        <w:t xml:space="preserve">luctuations within the rates of foreign exchange significantly </w:t>
      </w:r>
      <w:r w:rsidR="005F0C2B">
        <w:t xml:space="preserve">investigates the </w:t>
      </w:r>
      <w:r w:rsidR="00BC3C45">
        <w:t>affects the</w:t>
      </w:r>
      <w:r>
        <w:t xml:space="preserve"> competitiveness of the multinational enterprises and impacts their financial position in the market as well</w:t>
      </w:r>
      <w:r w:rsidR="00BC3C45">
        <w:t xml:space="preserve"> </w:t>
      </w:r>
      <w:r w:rsidR="00BC3C45" w:rsidRPr="001C1DB7">
        <w:t xml:space="preserve">Warren, </w:t>
      </w:r>
      <w:proofErr w:type="spellStart"/>
      <w:r w:rsidR="00BC3C45" w:rsidRPr="001C1DB7">
        <w:t>Seetanah</w:t>
      </w:r>
      <w:proofErr w:type="spellEnd"/>
      <w:r w:rsidR="00BC3C45" w:rsidRPr="001C1DB7">
        <w:t xml:space="preserve"> and </w:t>
      </w:r>
      <w:proofErr w:type="spellStart"/>
      <w:r w:rsidR="00BC3C45" w:rsidRPr="001C1DB7">
        <w:t>Sookia</w:t>
      </w:r>
      <w:proofErr w:type="spellEnd"/>
      <w:r w:rsidR="00BC3C45" w:rsidRPr="001C1DB7">
        <w:t>,</w:t>
      </w:r>
      <w:r w:rsidR="00BC3C45">
        <w:t xml:space="preserve"> (2023)</w:t>
      </w:r>
      <w:r>
        <w:t xml:space="preserve">. </w:t>
      </w:r>
      <w:r w:rsidR="0052587E" w:rsidRPr="0052587E">
        <w:rPr>
          <w:lang w:val="en-IN"/>
        </w:rPr>
        <w:t>The four major kinds of exchange rate risks impacting Multinational Enterprises (MNEs) are transaction exposure, translation exposure, economic exposure, and strategic exposure, as discussed by scholars such as Jeff Madura, and Alan Shapiro</w:t>
      </w:r>
      <w:r w:rsidR="0052587E">
        <w:rPr>
          <w:lang w:val="en-IN"/>
        </w:rPr>
        <w:t xml:space="preserve"> (</w:t>
      </w:r>
      <w:r w:rsidR="0052587E" w:rsidRPr="0052587E">
        <w:rPr>
          <w:lang w:val="en-IN"/>
        </w:rPr>
        <w:t>Shapiro, 2014). Transaction exposure affects a company's cash flows and profitability due to currency fluctuations in financial obligations. Translation exposure impacts reported earnings and equity when consolidating financial statements from foreign subsidiaries. Economic exposure influences long-term cash flows and market value by altering competitive dynamics and operating costs Strategic exposure affects long-term planning and investment decisions based on anticipated currency movements. Understanding and managing these risks is essential for MNEs to enhance financial stability and competitive positioning in the global market.</w:t>
      </w:r>
      <w:r w:rsidR="0052587E">
        <w:rPr>
          <w:lang w:val="en-IN"/>
        </w:rPr>
        <w:t xml:space="preserve"> </w:t>
      </w:r>
      <w:r>
        <w:t>These risks directly and indirectly provide a negative impact on the profitability of the organisations which have operations in different countries because of the subsidiaries and their branches.</w:t>
      </w:r>
    </w:p>
    <w:p w14:paraId="20529416" w14:textId="597EFBB0" w:rsidR="00565037" w:rsidRDefault="00565037" w:rsidP="000F156B">
      <w:r>
        <w:t xml:space="preserve">The risk of transaction exposure generates when potential losses and potential gains are faced by the multinational businesses because of the fluctuations in the rates of exchange at the times of settling different transactions. For the MNE based in the United Kingdom, a strong value of pound can reduce the value of foreign sales when it is converted back to the base value whereas the </w:t>
      </w:r>
      <w:r>
        <w:lastRenderedPageBreak/>
        <w:t xml:space="preserve">weaker value of pound enhances the costs related to imports. </w:t>
      </w:r>
      <w:r w:rsidR="00BC3C45">
        <w:t>T</w:t>
      </w:r>
      <w:r>
        <w:t>he trade in products deficit has broadened by £1.4 billion to £49.9 billion in 2023. The trade in services has shown a surplus by £4.8 billion to £34.9 billion</w:t>
      </w:r>
      <w:r w:rsidR="00CC219D">
        <w:t xml:space="preserve"> (Office for National Statistics, 2023)</w:t>
      </w:r>
      <w:r>
        <w:t xml:space="preserve">. The trade deficit of the products has impacted the exchange rate and enhanced the costs of products import. For instance, a clothing retailer of the United Kingdom imports products from China. If the value of British pound decreases and the Chinese Yuan remains </w:t>
      </w:r>
      <w:proofErr w:type="gramStart"/>
      <w:r>
        <w:t>same</w:t>
      </w:r>
      <w:proofErr w:type="gramEnd"/>
      <w:r>
        <w:t xml:space="preserve"> then the costs related to import the garments will enhance that will reduce the profit margins of the UK based retailer unless they accordingly adjust the prices</w:t>
      </w:r>
    </w:p>
    <w:p w14:paraId="5F8E06BE" w14:textId="1D00C698" w:rsidR="006C667C" w:rsidRPr="00C44DA1" w:rsidRDefault="00565037" w:rsidP="000F156B">
      <w:pPr>
        <w:rPr>
          <w:lang w:val="en-IN"/>
        </w:rPr>
      </w:pPr>
      <w:r>
        <w:t xml:space="preserve">Translation exposure risk happens when the financial statements of foreign subsidiaries are consolidated by MNEs into the currency of the parent company. The fluctuations in exchange rate can either provide losses or provide gains to the MNEs when they face translation exposure </w:t>
      </w:r>
      <w:proofErr w:type="gramStart"/>
      <w:r>
        <w:t>risk</w:t>
      </w:r>
      <w:proofErr w:type="gramEnd"/>
      <w:r>
        <w:t xml:space="preserve"> and this impacts their financial health. Brexit has depreciated the value of the pound and provided significant losses for the multinational enterprises operating with foreign countries and based in the United Kingdom.</w:t>
      </w:r>
      <w:r w:rsidR="008A218D">
        <w:t xml:space="preserve"> T</w:t>
      </w:r>
      <w:r w:rsidR="006C667C">
        <w:t>here is an example of translation risk faced by the United Kingdom based pharmaceutical firm that has its subsidiary companies in the Eurozone. This company has seen the decrease in the value of profits obtained from euros when translated into the currency of the UK, that is the pound if the value of the pound string as compared to the euro.</w:t>
      </w:r>
      <w:r w:rsidR="008A218D">
        <w:t xml:space="preserve"> </w:t>
      </w:r>
      <w:r w:rsidR="006C667C">
        <w:t xml:space="preserve">Economic exposure is the risk that happens when the fluctuations within the rates of exchange impact the competitive performance of the multinational businesses in the international market. </w:t>
      </w:r>
      <w:r w:rsidR="00CD66A7">
        <w:t xml:space="preserve">A </w:t>
      </w:r>
      <w:r w:rsidR="006C667C">
        <w:t>stronger value of the pound makes the exports of the United Kingdom more expensive and leads to decreased competitiveness</w:t>
      </w:r>
      <w:r w:rsidR="009A34C3">
        <w:t xml:space="preserve"> and this the major cause of exchange rate volatility</w:t>
      </w:r>
      <w:r w:rsidR="00CC219D">
        <w:t xml:space="preserve"> (</w:t>
      </w:r>
      <w:proofErr w:type="spellStart"/>
      <w:r w:rsidR="00CC219D" w:rsidRPr="00291BF4">
        <w:t>Umoru</w:t>
      </w:r>
      <w:proofErr w:type="spellEnd"/>
      <w:r w:rsidR="00CC219D" w:rsidRPr="00291BF4">
        <w:t>,</w:t>
      </w:r>
      <w:r w:rsidR="00CC219D">
        <w:t xml:space="preserve"> </w:t>
      </w:r>
      <w:proofErr w:type="spellStart"/>
      <w:r w:rsidR="00CC219D" w:rsidRPr="00291BF4">
        <w:t>Akpoviroro</w:t>
      </w:r>
      <w:proofErr w:type="spellEnd"/>
      <w:r w:rsidR="00CC219D" w:rsidRPr="00291BF4">
        <w:t xml:space="preserve"> and Effiong, </w:t>
      </w:r>
      <w:r w:rsidR="00CC219D">
        <w:t>2023)</w:t>
      </w:r>
      <w:r w:rsidR="006C667C">
        <w:t xml:space="preserve">. The weaker value of the pound provides benefits to exporters but also enhances the overall cost of imports. The volatility of exchange rate is an important concern for the exporters of the UK because it provides them challenges and affects their profitability as well as overall performance. The depreciation within the value of the British Pound enhances the costs related to imported components for the UK based international companies and hence, </w:t>
      </w:r>
      <w:proofErr w:type="gramStart"/>
      <w:r w:rsidR="006C667C">
        <w:t>this offsets</w:t>
      </w:r>
      <w:proofErr w:type="gramEnd"/>
      <w:r w:rsidR="006C667C">
        <w:t xml:space="preserve"> the advantages of higher revenues from exports.</w:t>
      </w:r>
      <w:r w:rsidR="00496301">
        <w:t xml:space="preserve"> </w:t>
      </w:r>
      <w:r w:rsidR="006C667C">
        <w:t>One of the major kinds of exchange rate risks that impact the overall performance of MNEs based in the UK is the strategic exposure risk. The changes in the exchange rate impacts the decisions made by MNEs for their strategies as well. The major decisions that are impacted by strategic exposure risk are pricing strategies, sourcing of various inputs and location of the manufacturing facilities</w:t>
      </w:r>
      <w:r w:rsidR="00C44DA1">
        <w:t xml:space="preserve"> (</w:t>
      </w:r>
      <w:proofErr w:type="spellStart"/>
      <w:r w:rsidR="00C44DA1" w:rsidRPr="00C44DA1">
        <w:rPr>
          <w:lang w:val="en-IN"/>
        </w:rPr>
        <w:t>Eiteman</w:t>
      </w:r>
      <w:proofErr w:type="spellEnd"/>
      <w:r w:rsidR="00C44DA1" w:rsidRPr="00C44DA1">
        <w:rPr>
          <w:lang w:val="en-IN"/>
        </w:rPr>
        <w:t xml:space="preserve">, Stonehill </w:t>
      </w:r>
      <w:r w:rsidR="00C44DA1">
        <w:rPr>
          <w:lang w:val="en-IN"/>
        </w:rPr>
        <w:t>and</w:t>
      </w:r>
      <w:r w:rsidR="00C44DA1" w:rsidRPr="00C44DA1">
        <w:rPr>
          <w:lang w:val="en-IN"/>
        </w:rPr>
        <w:t xml:space="preserve"> Moffett, 2016)</w:t>
      </w:r>
      <w:r w:rsidR="006C667C">
        <w:t xml:space="preserve">. </w:t>
      </w:r>
      <w:r w:rsidR="006C667C">
        <w:lastRenderedPageBreak/>
        <w:t xml:space="preserve">Multinational businesses </w:t>
      </w:r>
      <w:proofErr w:type="gramStart"/>
      <w:r w:rsidR="006C667C">
        <w:t>have to</w:t>
      </w:r>
      <w:proofErr w:type="gramEnd"/>
      <w:r w:rsidR="006C667C">
        <w:t xml:space="preserve"> consider all these factors for mitigating the associated risk obtained from the volatility of the rates of foreign exchange. When a technology company based in the UK </w:t>
      </w:r>
      <w:proofErr w:type="gramStart"/>
      <w:r w:rsidR="006C667C">
        <w:t>has to</w:t>
      </w:r>
      <w:proofErr w:type="gramEnd"/>
      <w:r w:rsidR="006C667C">
        <w:t xml:space="preserve"> choose components for sourcing from different countries then they will choose them in a way so that their exposure risk related to exchange rate can decrease. Therefore, the risks of exchange rate highly impact the competitiveness as well as the performance of MNEs of the UK because these risks are quite complex and require effective strategies of risk management.</w:t>
      </w:r>
    </w:p>
    <w:p w14:paraId="5BAB05B5" w14:textId="0C47C2F2" w:rsidR="001659EC" w:rsidRDefault="00757C2A" w:rsidP="000F156B">
      <w:pPr>
        <w:pStyle w:val="Heading2"/>
      </w:pPr>
      <w:bookmarkStart w:id="15" w:name="_Toc169370466"/>
      <w:r>
        <w:t>Strategies for MNEs to manage Exchange Rates Risks</w:t>
      </w:r>
      <w:bookmarkEnd w:id="15"/>
    </w:p>
    <w:p w14:paraId="6438174A" w14:textId="7B312FFE" w:rsidR="007D702F" w:rsidRDefault="004121FD" w:rsidP="000F156B">
      <w:r>
        <w:t xml:space="preserve">The management of risks related to exchange rate is a significant concern faced by the multinational companies located in the United Kingdom because of the uncertainty in the markets of currency and changes in the foreign exchange rates. </w:t>
      </w:r>
      <w:r w:rsidR="00D72263">
        <w:t>F</w:t>
      </w:r>
      <w:r w:rsidR="00354672">
        <w:t xml:space="preserve">luctuations in the rates of exchange </w:t>
      </w:r>
      <w:r w:rsidR="009F6EE2">
        <w:t xml:space="preserve">and sovereign risks </w:t>
      </w:r>
      <w:r w:rsidR="00354672">
        <w:t>impacts the overall profitability and competitiveness as well as cash flows of the companies of the United Kingdom in the international market</w:t>
      </w:r>
      <w:r w:rsidR="008C5488">
        <w:t xml:space="preserve"> (Della Corte </w:t>
      </w:r>
      <w:r w:rsidR="008C5488">
        <w:rPr>
          <w:i/>
          <w:iCs/>
        </w:rPr>
        <w:t>et al</w:t>
      </w:r>
      <w:r w:rsidR="008C5488">
        <w:t>, 2022)</w:t>
      </w:r>
      <w:r w:rsidR="00354672">
        <w:t>. The effective management of these risks requires various strategies for the multinational enterprises to be employed within their business to improve their stability as well as protect them against the movements of the currencies.</w:t>
      </w:r>
      <w:r w:rsidR="00196354">
        <w:t xml:space="preserve"> One of the important strategies that multinational enterprises can use is natural hedging strategy. This strategy includes matching costs as well as revenues in the similar currency. For example, the UK based organisation which exports products to another country and incurs expenses in dollars for all the raw materials</w:t>
      </w:r>
      <w:r w:rsidR="00994B99">
        <w:t xml:space="preserve"> (</w:t>
      </w:r>
      <w:r w:rsidR="00994B99" w:rsidRPr="00994B99">
        <w:rPr>
          <w:shd w:val="clear" w:color="auto" w:fill="FFFFFF"/>
          <w:lang w:val="en-IN"/>
        </w:rPr>
        <w:t>Khan, 2016</w:t>
      </w:r>
      <w:r w:rsidR="00994B99">
        <w:rPr>
          <w:shd w:val="clear" w:color="auto" w:fill="FFFFFF"/>
          <w:lang w:val="en-IN"/>
        </w:rPr>
        <w:t>)</w:t>
      </w:r>
      <w:r w:rsidR="00196354">
        <w:t>.</w:t>
      </w:r>
      <w:r w:rsidR="00813528">
        <w:t xml:space="preserve"> The company can invoice all the exports in dollars and by this way they can hedge the exposure of currency naturally because any fluctuations in the exchange rate will provide a balanced influence on both the revenues as well as the costs.</w:t>
      </w:r>
    </w:p>
    <w:p w14:paraId="42644BA5" w14:textId="30F220E1" w:rsidR="00EA23E3" w:rsidRDefault="00EA23E3" w:rsidP="000862D1">
      <w:pPr>
        <w:pStyle w:val="Heading2"/>
      </w:pPr>
      <w:bookmarkStart w:id="16" w:name="_Toc169370467"/>
      <w:r>
        <w:t>Literature Gap</w:t>
      </w:r>
      <w:bookmarkEnd w:id="16"/>
    </w:p>
    <w:p w14:paraId="47F7E4E3" w14:textId="28EA2D43" w:rsidR="000862D1" w:rsidRDefault="000862D1" w:rsidP="000862D1">
      <w:r>
        <w:t xml:space="preserve">Scholars and researchers have discussed extensively the different forms of exchange rate risks and their consequences on MNEs in the review of the literature. However, there are some gaps that have been identified and remained untouched to some extent. First, although the previous literatures offer a broad yet profound </w:t>
      </w:r>
      <w:proofErr w:type="spellStart"/>
      <w:r>
        <w:t>qualititative</w:t>
      </w:r>
      <w:proofErr w:type="spellEnd"/>
      <w:r>
        <w:t xml:space="preserve">/quantitative analysis of the impacts of exchange rate volatility and misalignments on trade and financial performance, there is a paucity of cogent investigation into the real- life implementation of sophisticated risk mitigation techniques for different economic </w:t>
      </w:r>
      <w:r w:rsidR="00994B99">
        <w:t>environments,</w:t>
      </w:r>
      <w:r>
        <w:t xml:space="preserve"> especially the emerging markets. Most of the works like that of </w:t>
      </w:r>
      <w:proofErr w:type="spellStart"/>
      <w:r>
        <w:t>Auboin</w:t>
      </w:r>
      <w:proofErr w:type="spellEnd"/>
      <w:r>
        <w:t xml:space="preserve"> and </w:t>
      </w:r>
      <w:proofErr w:type="spellStart"/>
      <w:r>
        <w:t>Ruta</w:t>
      </w:r>
      <w:proofErr w:type="spellEnd"/>
      <w:r>
        <w:t xml:space="preserve"> (2013) and Obstfeld and Rogoff (2003) strengthened the theory and general </w:t>
      </w:r>
      <w:r>
        <w:lastRenderedPageBreak/>
        <w:t xml:space="preserve">effects but fail to explicate the strategic issues and measures in the fluctuating markets. Furthermore, the literature also focuses on the concepts of hedging and natural hedging, although more research has been conducted to investigate the actual efficiency of these strategies based on industries and markets. For instance, even though the effects of hedging on stock returns, particularly </w:t>
      </w:r>
      <w:proofErr w:type="gramStart"/>
      <w:r>
        <w:t>in the course of</w:t>
      </w:r>
      <w:proofErr w:type="gramEnd"/>
      <w:r>
        <w:t xml:space="preserve"> emergent crises were illuminated by Williamson (2009) and </w:t>
      </w:r>
      <w:proofErr w:type="spellStart"/>
      <w:r>
        <w:t>Mouna</w:t>
      </w:r>
      <w:proofErr w:type="spellEnd"/>
      <w:r>
        <w:t xml:space="preserve"> and Anis (2016), the exact consequences and the best practice for MNEs in different sectors remain unanalysed. An emphasis is on sector-specific research that would offer relevant information for the </w:t>
      </w:r>
      <w:proofErr w:type="gramStart"/>
      <w:r>
        <w:t>particular industries</w:t>
      </w:r>
      <w:proofErr w:type="gramEnd"/>
      <w:r>
        <w:t xml:space="preserve"> and their risk environments and processes.</w:t>
      </w:r>
    </w:p>
    <w:p w14:paraId="0C14AF89" w14:textId="77777777" w:rsidR="000862D1" w:rsidRDefault="000862D1" w:rsidP="000862D1">
      <w:r>
        <w:t xml:space="preserve">The two areas, however, present another significant gap in the literature by having a very narrow focus on the incorporation of technological advancements in exchange rate risk management. It is recognized that application of advanced analytics and artificial intelligence in forecasting and managing of risks is possible, as noted by Della Corte et al. (2022), however, the literature lacks empirical research on </w:t>
      </w:r>
      <w:proofErr w:type="spellStart"/>
      <w:r>
        <w:t>organistional</w:t>
      </w:r>
      <w:proofErr w:type="spellEnd"/>
      <w:r>
        <w:t xml:space="preserve"> realisation of these technologies. Filling this research gap can offer MNEs useful recommendations for the application of technology for stronger risk management. Moreover, while researchers have examined how factors including the most recent economic shock like Covid-19 affect exchange rate risks, there is a knowledge gap on how such shocks affect the risks and/or how exchange rate risk management has advanced over </w:t>
      </w:r>
      <w:proofErr w:type="gramStart"/>
      <w:r>
        <w:t>time .</w:t>
      </w:r>
      <w:proofErr w:type="gramEnd"/>
      <w:r>
        <w:t xml:space="preserve"> These investigations could help to provide important information about the possibilities of MNEs when long-term economic instability is concerned.</w:t>
      </w:r>
    </w:p>
    <w:p w14:paraId="109ED0CC" w14:textId="77777777" w:rsidR="000862D1" w:rsidRDefault="000862D1" w:rsidP="000862D1">
      <w:r>
        <w:t xml:space="preserve">Also, the regulatory and compliance issues of exchange risk management are typically discussed but not critically reviewed in the literature. Contractor et al. (2020) mentioned regulation briefly, although, to the presently identified gap, there are no broad studies that would explain the varied regulatory issues MNEs encounter in various geographic locations and how the </w:t>
      </w:r>
      <w:proofErr w:type="gramStart"/>
      <w:r>
        <w:t>aforementioned influence</w:t>
      </w:r>
      <w:proofErr w:type="gramEnd"/>
      <w:r>
        <w:t xml:space="preserve"> their risk management framework. It is crucial to enhance one’s knowledge of the interconnections between regulations and risks management to create consistent, legal, and efficient strategies. In conclusion, although the existing literature has established a rich body of knowledge, filling these gaps through appropriate empirical studies, the analysis of risks at the sector level, and the application of the advanced technologies will greatly contribute to the effective assessment and management of exchange rate risks for MNEs.</w:t>
      </w:r>
    </w:p>
    <w:p w14:paraId="70D97444" w14:textId="77777777" w:rsidR="00EA23E3" w:rsidRPr="007D702F" w:rsidRDefault="00EA23E3" w:rsidP="000F156B"/>
    <w:p w14:paraId="61881901" w14:textId="7E03C8CD" w:rsidR="001659EC" w:rsidRDefault="001659EC" w:rsidP="000F156B">
      <w:pPr>
        <w:pStyle w:val="Heading1"/>
      </w:pPr>
      <w:bookmarkStart w:id="17" w:name="_Toc169370468"/>
      <w:r>
        <w:lastRenderedPageBreak/>
        <w:t>Chapter 3: Research Methodology</w:t>
      </w:r>
      <w:bookmarkEnd w:id="17"/>
    </w:p>
    <w:p w14:paraId="5537EDEC" w14:textId="171507EE" w:rsidR="00265418" w:rsidRPr="00265418" w:rsidRDefault="00265418" w:rsidP="00265418">
      <w:pPr>
        <w:spacing w:after="0" w:line="240" w:lineRule="auto"/>
        <w:jc w:val="left"/>
        <w:rPr>
          <w:rFonts w:eastAsia="Times New Roman" w:cs="Times New Roman"/>
          <w:szCs w:val="24"/>
          <w:lang w:val="en-IN" w:eastAsia="en-GB"/>
        </w:rPr>
      </w:pPr>
      <w:r w:rsidRPr="00265418">
        <w:rPr>
          <w:rFonts w:eastAsia="Times New Roman" w:cs="Times New Roman"/>
          <w:szCs w:val="24"/>
          <w:lang w:val="en-IN" w:eastAsia="en-GB"/>
        </w:rPr>
        <w:fldChar w:fldCharType="begin"/>
      </w:r>
      <w:r w:rsidRPr="00265418">
        <w:rPr>
          <w:rFonts w:eastAsia="Times New Roman" w:cs="Times New Roman"/>
          <w:szCs w:val="24"/>
          <w:lang w:val="en-IN" w:eastAsia="en-GB"/>
        </w:rPr>
        <w:instrText xml:space="preserve"> INCLUDEPICTURE "/var/folders/g0/x11pqddn1jsgrg0vzns3_6t00000gn/T/com.microsoft.Word/WebArchiveCopyPasteTempFiles/Res-onion-page0001-e1598524272693.jpg" \* MERGEFORMATINET </w:instrText>
      </w:r>
      <w:r w:rsidRPr="00265418">
        <w:rPr>
          <w:rFonts w:eastAsia="Times New Roman" w:cs="Times New Roman"/>
          <w:szCs w:val="24"/>
          <w:lang w:val="en-IN" w:eastAsia="en-GB"/>
        </w:rPr>
        <w:fldChar w:fldCharType="separate"/>
      </w:r>
      <w:r w:rsidRPr="00265418">
        <w:rPr>
          <w:rFonts w:eastAsia="Times New Roman" w:cs="Times New Roman"/>
          <w:noProof/>
          <w:szCs w:val="24"/>
          <w:lang w:val="en-IN" w:eastAsia="en-GB"/>
        </w:rPr>
        <w:drawing>
          <wp:inline distT="0" distB="0" distL="0" distR="0" wp14:anchorId="3D50862B" wp14:editId="10CCACFC">
            <wp:extent cx="5943600" cy="4199890"/>
            <wp:effectExtent l="0" t="0" r="0" b="3810"/>
            <wp:docPr id="1" name="Picture 1" descr="Blog 132-Research Onion: A Systematic Approach to Desig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132-Research Onion: A Systematic Approach to Designing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199890"/>
                    </a:xfrm>
                    <a:prstGeom prst="rect">
                      <a:avLst/>
                    </a:prstGeom>
                    <a:noFill/>
                    <a:ln>
                      <a:noFill/>
                    </a:ln>
                  </pic:spPr>
                </pic:pic>
              </a:graphicData>
            </a:graphic>
          </wp:inline>
        </w:drawing>
      </w:r>
      <w:r w:rsidRPr="00265418">
        <w:rPr>
          <w:rFonts w:eastAsia="Times New Roman" w:cs="Times New Roman"/>
          <w:szCs w:val="24"/>
          <w:lang w:val="en-IN" w:eastAsia="en-GB"/>
        </w:rPr>
        <w:fldChar w:fldCharType="end"/>
      </w:r>
    </w:p>
    <w:p w14:paraId="3B291792" w14:textId="0FB30264" w:rsidR="00C75673" w:rsidRDefault="00C75673" w:rsidP="000F156B">
      <w:pPr>
        <w:pStyle w:val="Normal1"/>
        <w:keepNext/>
        <w:spacing w:line="360" w:lineRule="auto"/>
        <w:jc w:val="both"/>
      </w:pPr>
    </w:p>
    <w:p w14:paraId="327A0BD7" w14:textId="77777777" w:rsidR="00C75673" w:rsidRDefault="00C75673" w:rsidP="000F156B">
      <w:pPr>
        <w:rPr>
          <w:rFonts w:cs="Times New Roman"/>
          <w:szCs w:val="24"/>
        </w:rPr>
      </w:pPr>
      <w:r w:rsidRPr="00973BF7">
        <w:rPr>
          <w:rFonts w:cs="Times New Roman"/>
          <w:szCs w:val="24"/>
        </w:rPr>
        <w:t xml:space="preserve">Figure </w:t>
      </w:r>
      <w:r w:rsidRPr="00973BF7">
        <w:rPr>
          <w:rFonts w:cs="Times New Roman"/>
          <w:szCs w:val="24"/>
        </w:rPr>
        <w:fldChar w:fldCharType="begin"/>
      </w:r>
      <w:r w:rsidRPr="00973BF7">
        <w:rPr>
          <w:rFonts w:cs="Times New Roman"/>
          <w:szCs w:val="24"/>
        </w:rPr>
        <w:instrText xml:space="preserve"> SEQ Figure \* ARABIC </w:instrText>
      </w:r>
      <w:r w:rsidRPr="00973BF7">
        <w:rPr>
          <w:rFonts w:cs="Times New Roman"/>
          <w:szCs w:val="24"/>
        </w:rPr>
        <w:fldChar w:fldCharType="separate"/>
      </w:r>
      <w:r w:rsidRPr="00973BF7">
        <w:rPr>
          <w:rFonts w:cs="Times New Roman"/>
          <w:noProof/>
          <w:szCs w:val="24"/>
        </w:rPr>
        <w:t>1</w:t>
      </w:r>
      <w:r w:rsidRPr="00973BF7">
        <w:rPr>
          <w:rFonts w:cs="Times New Roman"/>
          <w:szCs w:val="24"/>
        </w:rPr>
        <w:fldChar w:fldCharType="end"/>
      </w:r>
      <w:r w:rsidRPr="00973BF7">
        <w:rPr>
          <w:rFonts w:cs="Times New Roman"/>
          <w:szCs w:val="24"/>
        </w:rPr>
        <w:t>: Research Onion</w:t>
      </w:r>
    </w:p>
    <w:p w14:paraId="0F24FBBE" w14:textId="77777777" w:rsidR="00C75673" w:rsidRPr="00973BF7" w:rsidRDefault="00C75673" w:rsidP="000F156B">
      <w:pPr>
        <w:rPr>
          <w:rFonts w:cs="Times New Roman"/>
          <w:szCs w:val="24"/>
        </w:rPr>
      </w:pPr>
      <w:r>
        <w:rPr>
          <w:rFonts w:cs="Times New Roman"/>
          <w:szCs w:val="24"/>
        </w:rPr>
        <w:t xml:space="preserve">(Source: Saunders </w:t>
      </w:r>
      <w:r>
        <w:rPr>
          <w:rFonts w:cs="Times New Roman"/>
          <w:i/>
          <w:iCs/>
          <w:szCs w:val="24"/>
        </w:rPr>
        <w:t>et al</w:t>
      </w:r>
      <w:r>
        <w:rPr>
          <w:rFonts w:cs="Times New Roman"/>
          <w:szCs w:val="24"/>
        </w:rPr>
        <w:t>, 2009)</w:t>
      </w:r>
    </w:p>
    <w:p w14:paraId="6C6A0AB1" w14:textId="44E8E101" w:rsidR="00C75673" w:rsidRPr="00C75673" w:rsidRDefault="00A31E42" w:rsidP="000F156B">
      <w:r>
        <w:t xml:space="preserve">This research methodology has been carried out by the “Research Onion” method. </w:t>
      </w:r>
      <w:r w:rsidR="00614E28">
        <w:t>The research onion is a conceptual process created by Saunders.</w:t>
      </w:r>
      <w:r w:rsidR="00D139B4">
        <w:t xml:space="preserve"> This framework helps the researchers to understand about different stages or layers required in conducting </w:t>
      </w:r>
      <w:r w:rsidR="00A7221A">
        <w:t>research</w:t>
      </w:r>
      <w:r w:rsidR="00D139B4">
        <w:t xml:space="preserve"> effectively.</w:t>
      </w:r>
      <w:r w:rsidR="00A7221A">
        <w:t xml:space="preserve"> Research methodology is an effective stage for ensuring the overall success and positive outcomes from the research.</w:t>
      </w:r>
      <w:r>
        <w:t xml:space="preserve"> Each layer in the research onion shows various aspects within the processes of research </w:t>
      </w:r>
      <w:proofErr w:type="gramStart"/>
      <w:r>
        <w:t>and also</w:t>
      </w:r>
      <w:proofErr w:type="gramEnd"/>
      <w:r>
        <w:t xml:space="preserve"> provide assumptions to collect as well as analyse data. The description of stages of the research onion are described as follows:</w:t>
      </w:r>
    </w:p>
    <w:p w14:paraId="7FDD7CB6" w14:textId="2CD7A3CD" w:rsidR="001659EC" w:rsidRDefault="001659EC" w:rsidP="000F156B">
      <w:pPr>
        <w:pStyle w:val="Heading2"/>
      </w:pPr>
      <w:bookmarkStart w:id="18" w:name="_Toc169370469"/>
      <w:r>
        <w:lastRenderedPageBreak/>
        <w:t>Research</w:t>
      </w:r>
      <w:r w:rsidR="0069047E">
        <w:t xml:space="preserve"> Philosophy</w:t>
      </w:r>
      <w:bookmarkEnd w:id="18"/>
    </w:p>
    <w:p w14:paraId="58B0A099" w14:textId="31F524BF" w:rsidR="007637D6" w:rsidRPr="002B7665" w:rsidRDefault="007637D6" w:rsidP="000F156B">
      <w:pPr>
        <w:rPr>
          <w:lang w:val="en-IN"/>
        </w:rPr>
      </w:pPr>
      <w:r>
        <w:t xml:space="preserve">Research philosophy is the first layer in the research onion. This stage shows the beliefs of researchers regarding the acquisition of knowledge for the purpose of conducting research study and about the nature of knowledge as well. Research philosophy is the base of the research study because it states the set of beliefs on which the research is built on. The two points of views used for describing research philosophy are ontology and epistemology. Ontology is how and what we understand means what </w:t>
      </w:r>
      <w:r w:rsidR="002B7665">
        <w:t>the nature of knowledge is</w:t>
      </w:r>
      <w:r>
        <w:t xml:space="preserve"> and how we will understand this nature</w:t>
      </w:r>
      <w:r w:rsidR="002E41B7">
        <w:t xml:space="preserve"> </w:t>
      </w:r>
      <w:r w:rsidR="003C018C">
        <w:t>(</w:t>
      </w:r>
      <w:r w:rsidR="003C018C" w:rsidRPr="003C018C">
        <w:t>Al-</w:t>
      </w:r>
      <w:proofErr w:type="spellStart"/>
      <w:r w:rsidR="003C018C" w:rsidRPr="003C018C">
        <w:t>Ababneh</w:t>
      </w:r>
      <w:proofErr w:type="spellEnd"/>
      <w:r w:rsidR="003C018C" w:rsidRPr="003C018C">
        <w:t xml:space="preserve">, </w:t>
      </w:r>
      <w:r w:rsidR="003C018C">
        <w:t>2020)</w:t>
      </w:r>
      <w:r>
        <w:t xml:space="preserve">. Epistemology states how to obtain knowledge and understand various processes in the research. Basically, research philosophy is highly essential to generate assumptions and create the foundation of a research study. The major research philosophies that are used within a research study are positivism, pragmatism and interpretivism. The researchers understand the knowledge that is going to be understood objectively and do not include personal opinions and viewpoints in the positivism research philosophy. The entire knowledge obtained from this method is based on observation and measurement and is not based on the reasonings provided by human beings. The second type of research philosophy is the interpretivism philosophy that focuses on the impact that cultural as well as social factors have on individuals. This philosophy highly emphasises on ideas and thoughts of people and the researchers also generate the holistic opinions of the participants as well as their meanings, </w:t>
      </w:r>
      <w:proofErr w:type="gramStart"/>
      <w:r>
        <w:t>thoughts</w:t>
      </w:r>
      <w:proofErr w:type="gramEnd"/>
      <w:r>
        <w:t xml:space="preserve"> and action</w:t>
      </w:r>
      <w:r w:rsidR="002B7665">
        <w:t>s (</w:t>
      </w:r>
      <w:r w:rsidR="002B7665" w:rsidRPr="002B7665">
        <w:rPr>
          <w:lang w:val="en-IN"/>
        </w:rPr>
        <w:t xml:space="preserve">Bryman </w:t>
      </w:r>
      <w:r w:rsidR="002B7665">
        <w:rPr>
          <w:lang w:val="en-IN"/>
        </w:rPr>
        <w:t>and</w:t>
      </w:r>
      <w:r w:rsidR="002B7665" w:rsidRPr="002B7665">
        <w:rPr>
          <w:lang w:val="en-IN"/>
        </w:rPr>
        <w:t xml:space="preserve"> Bell, 2015)</w:t>
      </w:r>
      <w:r>
        <w:t>. Pragmatism is another kind of research philosophy that describes the significance of using the potential tools for investigating a study. The aim of pragmatism philosophy is to conduct the research from a practical opinion where knowledge is constantly interpreted and questioned and is not at all fixed.</w:t>
      </w:r>
    </w:p>
    <w:p w14:paraId="0B0DECBF" w14:textId="195F8552" w:rsidR="007637D6" w:rsidRPr="00A665EB" w:rsidRDefault="007637D6" w:rsidP="000F156B">
      <w:pPr>
        <w:rPr>
          <w:lang w:val="en-IN"/>
        </w:rPr>
      </w:pPr>
      <w:proofErr w:type="gramStart"/>
      <w:r>
        <w:t>For the purpose of</w:t>
      </w:r>
      <w:proofErr w:type="gramEnd"/>
      <w:r>
        <w:t xml:space="preserve"> this research, the researchers have utilised interpretivism research philosophy. Interpretivism philosophy of research is essential to understand the phenomena from the opinions of </w:t>
      </w:r>
      <w:r w:rsidR="00B32B0A">
        <w:t>people</w:t>
      </w:r>
      <w:r>
        <w:t xml:space="preserve"> who are </w:t>
      </w:r>
      <w:proofErr w:type="gramStart"/>
      <w:r>
        <w:t>actually experiencing</w:t>
      </w:r>
      <w:proofErr w:type="gramEnd"/>
      <w:r>
        <w:t xml:space="preserve"> those situations</w:t>
      </w:r>
      <w:r w:rsidR="00A665EB">
        <w:t xml:space="preserve"> (</w:t>
      </w:r>
      <w:r w:rsidR="00A665EB" w:rsidRPr="00A665EB">
        <w:rPr>
          <w:lang w:val="en-IN"/>
        </w:rPr>
        <w:t>Creswell, 2013)</w:t>
      </w:r>
      <w:r>
        <w:t>. It is dependent on the context provided by the individuals and suits well with qualitative research</w:t>
      </w:r>
      <w:r w:rsidR="00D23396">
        <w:t xml:space="preserve"> (Newman and Gough, 2020)</w:t>
      </w:r>
      <w:r>
        <w:t xml:space="preserve">. The topic of the research is quite complex because the researchers have </w:t>
      </w:r>
      <w:proofErr w:type="gramStart"/>
      <w:r>
        <w:t>actually analysed</w:t>
      </w:r>
      <w:proofErr w:type="gramEnd"/>
      <w:r>
        <w:t xml:space="preserve"> the multinational enterprises and hence, this philosophy will help the researchers to </w:t>
      </w:r>
      <w:r w:rsidR="00B32B0A">
        <w:t>study</w:t>
      </w:r>
      <w:r>
        <w:t xml:space="preserve"> the </w:t>
      </w:r>
      <w:proofErr w:type="spellStart"/>
      <w:r>
        <w:t>behavior</w:t>
      </w:r>
      <w:proofErr w:type="spellEnd"/>
      <w:r>
        <w:t xml:space="preserve">, experiences and beliefs </w:t>
      </w:r>
      <w:r w:rsidR="00D62ED3">
        <w:t>through analysing the data related to the</w:t>
      </w:r>
      <w:r>
        <w:t xml:space="preserve"> exchange rate risks </w:t>
      </w:r>
      <w:r w:rsidR="000320CB">
        <w:t>faced by</w:t>
      </w:r>
      <w:r>
        <w:t xml:space="preserve"> the multinational companies. The study focuses on shaping the entire process of research </w:t>
      </w:r>
      <w:r>
        <w:lastRenderedPageBreak/>
        <w:t>by helping the researchers to recognize biases, perspectives and experiences related to the study. Therefore, the interpretivism research philosophy is effective to generate positive outcomes from the research.</w:t>
      </w:r>
    </w:p>
    <w:p w14:paraId="373A04A9" w14:textId="2AA8DF11" w:rsidR="001659EC" w:rsidRDefault="001659EC" w:rsidP="000F156B">
      <w:pPr>
        <w:pStyle w:val="Heading2"/>
      </w:pPr>
      <w:bookmarkStart w:id="19" w:name="_Toc169370470"/>
      <w:r>
        <w:t>Research Approach</w:t>
      </w:r>
      <w:bookmarkEnd w:id="19"/>
    </w:p>
    <w:p w14:paraId="266D14EB" w14:textId="0C221975" w:rsidR="00BD258C" w:rsidRDefault="00BD258C" w:rsidP="000F156B">
      <w:r>
        <w:t xml:space="preserve">Research approach refers to the processes that are utilised by the researchers in the research to conduct it effectively and generate positive as well as accurate outcomes. Inductive, </w:t>
      </w:r>
      <w:proofErr w:type="gramStart"/>
      <w:r>
        <w:t>abductive</w:t>
      </w:r>
      <w:proofErr w:type="gramEnd"/>
      <w:r>
        <w:t xml:space="preserve"> and deductive are the three kinds of research approaches that are widely used in conducting a research study</w:t>
      </w:r>
      <w:r w:rsidR="00D23396">
        <w:t xml:space="preserve"> (</w:t>
      </w:r>
      <w:proofErr w:type="spellStart"/>
      <w:r w:rsidR="00D23396" w:rsidRPr="00D23396">
        <w:t>Zawacki</w:t>
      </w:r>
      <w:proofErr w:type="spellEnd"/>
      <w:r w:rsidR="00D23396" w:rsidRPr="00D23396">
        <w:t>-Richter</w:t>
      </w:r>
      <w:r w:rsidR="00D23396">
        <w:t xml:space="preserve"> </w:t>
      </w:r>
      <w:r w:rsidR="00D23396">
        <w:rPr>
          <w:i/>
          <w:iCs/>
        </w:rPr>
        <w:t>et al</w:t>
      </w:r>
      <w:r w:rsidR="00D23396">
        <w:t>, 2020)</w:t>
      </w:r>
      <w:r>
        <w:t xml:space="preserve">. It is important for clearly identifying the research approaches because it helps the researchers to inform their decisions for collecting and analysing data as well. Research approach basically describes all the processes needed for systematically collecting the data, organising the </w:t>
      </w:r>
      <w:proofErr w:type="gramStart"/>
      <w:r>
        <w:t>data</w:t>
      </w:r>
      <w:proofErr w:type="gramEnd"/>
      <w:r>
        <w:t xml:space="preserve"> and also analysing the information that is relevant with the topic of the research. Abductive approach is a research approach that gives the explanations regarding the observations that are generated through using both inductive approaches as well as deductive approaches. Deductive approach of research starts with creation of a theory and then the testing of different observations as well as the data that has been collected for conducting the study</w:t>
      </w:r>
      <w:r w:rsidR="00C44DA1">
        <w:t xml:space="preserve"> (Thomas, 2003)</w:t>
      </w:r>
      <w:r>
        <w:t>. Inductive research approach is a kind of research approach that develops different theories that are based on specific observations as well as data.</w:t>
      </w:r>
    </w:p>
    <w:p w14:paraId="41C853B6" w14:textId="5778D720" w:rsidR="00BD258C" w:rsidRDefault="00BD258C" w:rsidP="000F156B">
      <w:r>
        <w:t>Inductive research has been used by the researchers to conduct this research methodology. Inductive research approach includes specific observations regarding the phenomenon and then creates theories and generalisations. This approach is highly beneficial to conduct secondary research and the related processes because it includes proper analysis of the information and data relevant with the research topic</w:t>
      </w:r>
      <w:r w:rsidR="00D23396">
        <w:t xml:space="preserve"> (Newman and Gough, 2020)</w:t>
      </w:r>
      <w:r>
        <w:t xml:space="preserve">. Inductive research helps the researchers for exploring a phenomenon in depth with the help of reviewing existing data </w:t>
      </w:r>
      <w:proofErr w:type="gramStart"/>
      <w:r>
        <w:t>and also</w:t>
      </w:r>
      <w:proofErr w:type="gramEnd"/>
      <w:r>
        <w:t xml:space="preserve"> help in generating new theory on the basis of the data. Inductive approach provides proper understanding about the topic of the research because it examines a variety of perspectives as well as sources. Inductive research helps in developing concepts and theories that are relied on the themes and patterns identified in the literature. This approach has provided flexibility to the researchers to involve new ideas and insights within their study. Researchers have also saved time to collect data and with this approach they have focused more on interpreting and analysing the </w:t>
      </w:r>
      <w:r>
        <w:lastRenderedPageBreak/>
        <w:t>data effectively. Therefore, an inductive approach is helpful to conduct this study because it has helped in saving the time of the researchers and providing positive outcomes of the study.</w:t>
      </w:r>
    </w:p>
    <w:p w14:paraId="420412A8" w14:textId="72F1DA58" w:rsidR="001659EC" w:rsidRDefault="001659EC" w:rsidP="000F156B">
      <w:pPr>
        <w:pStyle w:val="Heading2"/>
      </w:pPr>
      <w:bookmarkStart w:id="20" w:name="_Toc169370471"/>
      <w:r>
        <w:t xml:space="preserve">Research </w:t>
      </w:r>
      <w:r w:rsidR="0069047E">
        <w:t>Strategy</w:t>
      </w:r>
      <w:bookmarkEnd w:id="20"/>
    </w:p>
    <w:p w14:paraId="5D154A39" w14:textId="0EE5642D" w:rsidR="0045004D" w:rsidRDefault="001A7303" w:rsidP="000F156B">
      <w:r>
        <w:t>Research strategy refers to the entire plan of different methods as well as strategies used to carry out the research study. Selecting the type of data is the first and foremost research strategy that is needed to be considered. Quantitative</w:t>
      </w:r>
      <w:r w:rsidR="00D501B1">
        <w:t>,</w:t>
      </w:r>
      <w:r>
        <w:t xml:space="preserve"> </w:t>
      </w:r>
      <w:proofErr w:type="gramStart"/>
      <w:r>
        <w:t>mixed</w:t>
      </w:r>
      <w:proofErr w:type="gramEnd"/>
      <w:r>
        <w:t xml:space="preserve"> and quantitative are the three types of data that are generally used to conduct the research study.</w:t>
      </w:r>
      <w:r w:rsidR="00D501B1">
        <w:t xml:space="preserve"> Qualitative data shows all the information that do not contain any number and only contain non numerical information and data</w:t>
      </w:r>
      <w:r w:rsidR="007D702F">
        <w:t xml:space="preserve"> (</w:t>
      </w:r>
      <w:r w:rsidR="002E41B7">
        <w:t>Pandey and Pandey, 2021</w:t>
      </w:r>
      <w:r w:rsidR="007D702F">
        <w:t>)</w:t>
      </w:r>
      <w:r w:rsidR="00D501B1">
        <w:t>. Quantitative data includes only numerical data and numerical information related to the research topic. Mixed method basically uses both quantitative along with qualitative data in conducting the research.</w:t>
      </w:r>
      <w:r w:rsidR="0098331F">
        <w:t xml:space="preserve"> Research strategy also involves the usage of case study, exploratory and descriptive research kinds. Case study approach in host the detailed description regarding the topics of the research to generate insights and outcomes</w:t>
      </w:r>
      <w:r w:rsidR="002B7665">
        <w:t xml:space="preserve"> (</w:t>
      </w:r>
      <w:r w:rsidR="002B7665" w:rsidRPr="002B7665">
        <w:rPr>
          <w:lang w:val="en-IN" w:eastAsia="en-GB"/>
        </w:rPr>
        <w:t>Kumar, 2014)</w:t>
      </w:r>
      <w:r w:rsidR="0098331F">
        <w:t>. Exploratory approach in the research methodology investigates all the research questions in depth and generally has qualitative nature.</w:t>
      </w:r>
      <w:r w:rsidR="00DE4F2A">
        <w:t xml:space="preserve"> Descriptive research explains the current phenomena by showing different characteristics of the phenomenon and population.</w:t>
      </w:r>
    </w:p>
    <w:p w14:paraId="2BA9BA8D" w14:textId="0F40B22D" w:rsidR="00D501B1" w:rsidRPr="0045004D" w:rsidRDefault="00D501B1" w:rsidP="000F156B">
      <w:proofErr w:type="gramStart"/>
      <w:r>
        <w:t>For the purpose of</w:t>
      </w:r>
      <w:proofErr w:type="gramEnd"/>
      <w:r>
        <w:t xml:space="preserve"> completing this research the researchers have utilised qualitative data. Qualitative data is essential to bring accuracy as well as reliability in the research processes because it allows the researchers to understand all the expressions in depth and generate deep knowledge from the data.</w:t>
      </w:r>
      <w:r w:rsidR="00DE4F2A">
        <w:t xml:space="preserve"> Qualitative research provides detailed as well as rich data that is essential to generate insights. Qualitative research is also very flexible and permits the researchers to apply their own approach </w:t>
      </w:r>
      <w:proofErr w:type="gramStart"/>
      <w:r w:rsidR="00DE4F2A">
        <w:t>on the basis of</w:t>
      </w:r>
      <w:proofErr w:type="gramEnd"/>
      <w:r w:rsidR="00DE4F2A">
        <w:t xml:space="preserve"> the generated findings. This flexibility is highly important while conducting the research by using secondary data because in this data the researchers utilise existing sources as well as sets of data and hence adaptability and flexibility are needed.</w:t>
      </w:r>
      <w:r w:rsidR="000F6AA5">
        <w:t xml:space="preserve"> Qualitative method has helped the researchers to interpret all the information effectively and generate meaningful conclusions from the information. Along with the qualitative research method the researchers have used exploratory research for conducting this study. Exploratory research ha</w:t>
      </w:r>
      <w:r w:rsidR="00654AA5">
        <w:t>s</w:t>
      </w:r>
      <w:r w:rsidR="000F6AA5">
        <w:t xml:space="preserve"> enhanced the familiarity of the researchers with the research topic and provided broad understanding that has saved time </w:t>
      </w:r>
      <w:r w:rsidR="00BD258C">
        <w:t>for</w:t>
      </w:r>
      <w:r w:rsidR="000F6AA5">
        <w:t xml:space="preserve"> the researchers to conduct the study as well</w:t>
      </w:r>
      <w:r w:rsidR="007D702F">
        <w:t xml:space="preserve"> (</w:t>
      </w:r>
      <w:proofErr w:type="spellStart"/>
      <w:r w:rsidR="004F6F86" w:rsidRPr="004F6F86">
        <w:t>Thambinathan</w:t>
      </w:r>
      <w:proofErr w:type="spellEnd"/>
      <w:r w:rsidR="004F6F86" w:rsidRPr="004F6F86">
        <w:t xml:space="preserve"> and Kinsella,</w:t>
      </w:r>
      <w:r w:rsidR="004F6F86">
        <w:t xml:space="preserve"> 2021</w:t>
      </w:r>
      <w:r w:rsidR="007D702F">
        <w:t>)</w:t>
      </w:r>
      <w:r w:rsidR="000F6AA5">
        <w:t xml:space="preserve">. Exploratory research is also useful to generate new </w:t>
      </w:r>
      <w:proofErr w:type="gramStart"/>
      <w:r w:rsidR="000F6AA5">
        <w:t>ideas</w:t>
      </w:r>
      <w:proofErr w:type="gramEnd"/>
      <w:r w:rsidR="000F6AA5">
        <w:t xml:space="preserve"> and this has held researchers to use new </w:t>
      </w:r>
      <w:r w:rsidR="000F6AA5">
        <w:lastRenderedPageBreak/>
        <w:t>perspectives while conducting this research.</w:t>
      </w:r>
      <w:r w:rsidR="00654AA5">
        <w:t xml:space="preserve"> Exploratory research has also informed the design for all the research methodologies that are going to be used within the research study. Hence both qualitative as well as exploratory research approaches are beneficial for this study because these have provided a deep understanding on the topic.</w:t>
      </w:r>
    </w:p>
    <w:p w14:paraId="57AAAB4E" w14:textId="118407BD" w:rsidR="001659EC" w:rsidRDefault="009966CB" w:rsidP="000F156B">
      <w:pPr>
        <w:pStyle w:val="Heading2"/>
      </w:pPr>
      <w:bookmarkStart w:id="21" w:name="_Toc169370472"/>
      <w:r>
        <w:t xml:space="preserve">Research </w:t>
      </w:r>
      <w:r w:rsidR="0069047E">
        <w:t>Choices</w:t>
      </w:r>
      <w:bookmarkEnd w:id="21"/>
    </w:p>
    <w:p w14:paraId="146623BB" w14:textId="5B86B853" w:rsidR="00E467DE" w:rsidRDefault="00E467DE" w:rsidP="000F156B">
      <w:r>
        <w:t xml:space="preserve">Research choices is another stage within the research onion. This layer decides different kinds of data types such as quantitative and qualitative that are going to be used in the research methods. The three kinds of research choices are multi method, mixed </w:t>
      </w:r>
      <w:proofErr w:type="gramStart"/>
      <w:r>
        <w:t>method</w:t>
      </w:r>
      <w:proofErr w:type="gramEnd"/>
      <w:r>
        <w:t xml:space="preserve"> and mono method. Using mixed methods within the research states that the researchers have used both qualitative as well as quantitative methods of research in the study</w:t>
      </w:r>
      <w:r w:rsidR="007D702F">
        <w:t xml:space="preserve"> (</w:t>
      </w:r>
      <w:r w:rsidR="00FC65AC">
        <w:t>Priya, 2021</w:t>
      </w:r>
      <w:r w:rsidR="007D702F">
        <w:t>)</w:t>
      </w:r>
      <w:r>
        <w:t xml:space="preserve">. Mono method is the approach in which only one kind of data either quantitative or qualitative, is used for conducting the entire research study. Multi method is a type of research choice in which a variety of approaches are </w:t>
      </w:r>
      <w:proofErr w:type="gramStart"/>
      <w:r>
        <w:t>used</w:t>
      </w:r>
      <w:proofErr w:type="gramEnd"/>
      <w:r>
        <w:t xml:space="preserve"> and these approaches are either quantitative or qualitative or both or one or more qualitative and quantitative approaches. This research requires proper analysis of the </w:t>
      </w:r>
      <w:r w:rsidR="00CA6E93">
        <w:t xml:space="preserve">online </w:t>
      </w:r>
      <w:r w:rsidR="002B7665">
        <w:t>databases,</w:t>
      </w:r>
      <w:r>
        <w:t xml:space="preserve"> and the use of qualitative research has been done. Therefore, it is quite important to select the method which brings clarity in the processes and helps the researchers to conduct the entire research with more effectiveness.</w:t>
      </w:r>
    </w:p>
    <w:p w14:paraId="2D7587CA" w14:textId="1306585F" w:rsidR="00E467DE" w:rsidRDefault="00E467DE" w:rsidP="000F156B">
      <w:r>
        <w:t xml:space="preserve">For this research study, the mono-method has been used by the researchers. This approach is used because it is easy to </w:t>
      </w:r>
      <w:r w:rsidR="002659AD">
        <w:t>analyse the resources obtained from online sources</w:t>
      </w:r>
      <w:r>
        <w:t xml:space="preserve"> through a qualitative approach. The use of a single method of research has simplified the entire process and made it easier for the researchers to understand, collect and analyse the data. Researchers have also ensured the reliability and consistency of collected data which has improved the validity of the findings </w:t>
      </w:r>
      <w:proofErr w:type="gramStart"/>
      <w:r>
        <w:t>and also</w:t>
      </w:r>
      <w:proofErr w:type="gramEnd"/>
      <w:r>
        <w:t xml:space="preserve"> enhanced the quality of the outcomes</w:t>
      </w:r>
      <w:r w:rsidR="007D702F">
        <w:t xml:space="preserve"> (</w:t>
      </w:r>
      <w:r w:rsidR="00FC65AC" w:rsidRPr="00FC65AC">
        <w:t xml:space="preserve">Jahja, </w:t>
      </w:r>
      <w:proofErr w:type="spellStart"/>
      <w:r w:rsidR="00FC65AC" w:rsidRPr="00FC65AC">
        <w:t>Ramalu</w:t>
      </w:r>
      <w:proofErr w:type="spellEnd"/>
      <w:r w:rsidR="00FC65AC" w:rsidRPr="00FC65AC">
        <w:t xml:space="preserve"> and </w:t>
      </w:r>
      <w:proofErr w:type="spellStart"/>
      <w:r w:rsidR="00FC65AC" w:rsidRPr="00FC65AC">
        <w:t>Razimi</w:t>
      </w:r>
      <w:proofErr w:type="spellEnd"/>
      <w:r w:rsidR="00FC65AC" w:rsidRPr="00FC65AC">
        <w:t>,</w:t>
      </w:r>
      <w:r w:rsidR="00FC65AC">
        <w:t xml:space="preserve"> 2021</w:t>
      </w:r>
      <w:r w:rsidR="007D702F">
        <w:t>)</w:t>
      </w:r>
      <w:r>
        <w:t xml:space="preserve">. Mono method used in the research is a </w:t>
      </w:r>
      <w:proofErr w:type="gramStart"/>
      <w:r>
        <w:t>cost effective</w:t>
      </w:r>
      <w:proofErr w:type="gramEnd"/>
      <w:r>
        <w:t xml:space="preserve"> method as compared to the use of multiple methods because it needs fewer resources and consumes less time. This is advantageous for the researchers because they </w:t>
      </w:r>
      <w:proofErr w:type="gramStart"/>
      <w:r>
        <w:t>have to</w:t>
      </w:r>
      <w:proofErr w:type="gramEnd"/>
      <w:r>
        <w:t xml:space="preserve"> face limited time constraints and budgets constraints. The researchers have highly focused on bringing analysis on the aspect of the research study so that detailed findings and </w:t>
      </w:r>
      <w:proofErr w:type="gramStart"/>
      <w:r>
        <w:t>in depth</w:t>
      </w:r>
      <w:proofErr w:type="gramEnd"/>
      <w:r>
        <w:t xml:space="preserve"> outcomes have been analysed and drawn from the study.</w:t>
      </w:r>
    </w:p>
    <w:p w14:paraId="0D709197" w14:textId="1DF08CDC" w:rsidR="0069047E" w:rsidRDefault="0069047E" w:rsidP="000F156B">
      <w:pPr>
        <w:pStyle w:val="Heading2"/>
      </w:pPr>
      <w:bookmarkStart w:id="22" w:name="_Toc169370473"/>
      <w:r>
        <w:lastRenderedPageBreak/>
        <w:t>Time Horizon</w:t>
      </w:r>
      <w:bookmarkEnd w:id="22"/>
    </w:p>
    <w:p w14:paraId="0D3E406D" w14:textId="0A15212D" w:rsidR="0099164A" w:rsidRDefault="0099164A" w:rsidP="000F156B">
      <w:r>
        <w:t xml:space="preserve">The stage of time horizon in the research onion describes the points in time taken by the researchers to gather the data. Cross sectional time horizons and longitudinal time horizons are the two kinds of time horizons proposed by Saunders in the research onion. The cross </w:t>
      </w:r>
      <w:proofErr w:type="spellStart"/>
      <w:r>
        <w:t>sesh</w:t>
      </w:r>
      <w:proofErr w:type="spellEnd"/>
      <w:r>
        <w:t xml:space="preserve"> null method describes the collection of data at a single point from the sample population and specific group or from the journals as well as databases. This method basically provides the population at a particular point of time. This method is used for understanding the existing characteristics and state of the population or situation used within the study. In this method, researchers prefer to gather data from a sample population at a specific time by using observations, </w:t>
      </w:r>
      <w:proofErr w:type="gramStart"/>
      <w:r>
        <w:t>interviews</w:t>
      </w:r>
      <w:proofErr w:type="gramEnd"/>
      <w:r>
        <w:t xml:space="preserve"> or surveys. This method is also useful for analysing numerical data and not mainly qualitative data. Longitudinal method includes data collection over a longer time</w:t>
      </w:r>
      <w:r w:rsidR="007D702F">
        <w:t xml:space="preserve"> </w:t>
      </w:r>
      <w:r w:rsidR="003C018C">
        <w:t>(Nayak and Singh, 2021)</w:t>
      </w:r>
      <w:r>
        <w:t xml:space="preserve">. That allows researchers to observe all the developments and changes taken place over </w:t>
      </w:r>
      <w:proofErr w:type="gramStart"/>
      <w:r>
        <w:t>a period of time</w:t>
      </w:r>
      <w:proofErr w:type="gramEnd"/>
      <w:r>
        <w:t>. This approach is helpful to understand the changes in variables and development in the trends that are going to impact the research study. Researchers basically collect the data from the same sources repeatedly in this method to understand the changes in the data over different periods.</w:t>
      </w:r>
    </w:p>
    <w:p w14:paraId="283A40E8" w14:textId="74FDCC49" w:rsidR="0099164A" w:rsidRDefault="0099164A" w:rsidP="000F156B">
      <w:r>
        <w:t>The longitudinal time horizon has been used by researchers within this study that has involved the collection as well as analysis of information over a longer period. This method has helped the researchers to analyse all the changes occurring within the information over time. The researchers have also obtained valuable insights that they have applied in the research to maintain its validity and reliability</w:t>
      </w:r>
      <w:r w:rsidR="007D702F">
        <w:t xml:space="preserve"> (</w:t>
      </w:r>
      <w:r w:rsidR="00157908">
        <w:t>Suri, 2020</w:t>
      </w:r>
      <w:r w:rsidR="007D702F">
        <w:t>)</w:t>
      </w:r>
      <w:r>
        <w:t xml:space="preserve">. Consistent tracking over the changes in the data have helped the researcher to decide any changes or areas of improvements within the research study. This method also provides valuable evidence to the researchers </w:t>
      </w:r>
      <w:proofErr w:type="gramStart"/>
      <w:r>
        <w:t>and also</w:t>
      </w:r>
      <w:proofErr w:type="gramEnd"/>
      <w:r>
        <w:t xml:space="preserve"> analyse complex information available in the data. Therefore, this approach has helped in drawing valuable outcomes from the research study.</w:t>
      </w:r>
    </w:p>
    <w:p w14:paraId="4FC7E04B" w14:textId="52666A51" w:rsidR="0069047E" w:rsidRDefault="0069047E" w:rsidP="000F156B">
      <w:pPr>
        <w:pStyle w:val="Heading2"/>
      </w:pPr>
      <w:bookmarkStart w:id="23" w:name="_Toc169370474"/>
      <w:r>
        <w:t>Techniques and Procedures</w:t>
      </w:r>
      <w:bookmarkEnd w:id="23"/>
    </w:p>
    <w:p w14:paraId="7EF319B7" w14:textId="009A7FC9" w:rsidR="007733D2" w:rsidRPr="00A665EB" w:rsidRDefault="007733D2" w:rsidP="000F156B">
      <w:pPr>
        <w:rPr>
          <w:lang w:val="en-IN"/>
        </w:rPr>
      </w:pPr>
      <w:r>
        <w:t>Techniques and procedures aimed at research onion describes the way of collecting data as well as analysing the data and the strategies of sampling. Data collection process includes a primary method and a secondary method to collect data for the research study</w:t>
      </w:r>
      <w:r w:rsidR="00093478">
        <w:t xml:space="preserve"> (</w:t>
      </w:r>
      <w:r w:rsidR="002E41B7">
        <w:t>Nayak and Singh, 2021</w:t>
      </w:r>
      <w:r w:rsidR="00093478">
        <w:t>)</w:t>
      </w:r>
      <w:r>
        <w:t xml:space="preserve">. Primary data is the </w:t>
      </w:r>
      <w:proofErr w:type="gramStart"/>
      <w:r>
        <w:t>first hand</w:t>
      </w:r>
      <w:proofErr w:type="gramEnd"/>
      <w:r>
        <w:t xml:space="preserve"> data collected by the researchers through surveys, observations or interviews by directly asking questions from the sample population. Secondary data is the method </w:t>
      </w:r>
      <w:r>
        <w:lastRenderedPageBreak/>
        <w:t xml:space="preserve">through which data is collected from some online databases, journals, </w:t>
      </w:r>
      <w:proofErr w:type="gramStart"/>
      <w:r>
        <w:t>articles</w:t>
      </w:r>
      <w:proofErr w:type="gramEnd"/>
      <w:r>
        <w:t xml:space="preserve"> and other published sources that are actually collected by some other researchers and then used by the researchers for conducting the study. Sampling is a technique to find the human participants or the actual group of people for conducting the research study</w:t>
      </w:r>
      <w:r w:rsidR="00A665EB">
        <w:t xml:space="preserve"> (</w:t>
      </w:r>
      <w:r w:rsidR="00A665EB" w:rsidRPr="00A665EB">
        <w:rPr>
          <w:lang w:val="en-IN"/>
        </w:rPr>
        <w:t xml:space="preserve">Creswell </w:t>
      </w:r>
      <w:r w:rsidR="00A665EB">
        <w:rPr>
          <w:lang w:val="en-IN"/>
        </w:rPr>
        <w:t>and</w:t>
      </w:r>
      <w:r w:rsidR="00A665EB" w:rsidRPr="00A665EB">
        <w:rPr>
          <w:lang w:val="en-IN"/>
        </w:rPr>
        <w:t xml:space="preserve"> Creswell, 2018)</w:t>
      </w:r>
      <w:r>
        <w:t>. In this research, there are no human participants involved because all the data has been collected through a secondary method. Data analysis refers to the process of analysing the collected data properly and examining all the necessary information from the data. For analysing qualitative data thematic analysis method is used and for examining quantitative data SPSS method is used,</w:t>
      </w:r>
    </w:p>
    <w:p w14:paraId="4F2E6C7A" w14:textId="4AF59F4B" w:rsidR="007733D2" w:rsidRDefault="007733D2" w:rsidP="000F156B">
      <w:r>
        <w:t xml:space="preserve">The researchers have used the secondary method for collecting data in this research because it is cost efficient </w:t>
      </w:r>
      <w:proofErr w:type="gramStart"/>
      <w:r>
        <w:t>and also</w:t>
      </w:r>
      <w:proofErr w:type="gramEnd"/>
      <w:r>
        <w:t xml:space="preserve"> takes less time. The researchers have collected the information from online websites, journals, books, articles, </w:t>
      </w:r>
      <w:proofErr w:type="gramStart"/>
      <w:r>
        <w:t>libraries</w:t>
      </w:r>
      <w:proofErr w:type="gramEnd"/>
      <w:r>
        <w:t xml:space="preserve"> and other published sources. All these data have been made easily available for the researchers </w:t>
      </w:r>
      <w:proofErr w:type="gramStart"/>
      <w:r>
        <w:t>and also</w:t>
      </w:r>
      <w:proofErr w:type="gramEnd"/>
      <w:r>
        <w:t xml:space="preserve"> provided proper outcomes for this study. This research has been performed by using qualitative research methods and that is the reason behind selecting thematic analysis for analysing the qualitative data</w:t>
      </w:r>
      <w:r w:rsidR="00093478">
        <w:t xml:space="preserve"> (</w:t>
      </w:r>
      <w:r w:rsidR="00E95E8F">
        <w:t>Pandey and Pandey, 2021</w:t>
      </w:r>
      <w:r w:rsidR="00093478">
        <w:t>)</w:t>
      </w:r>
      <w:r>
        <w:t xml:space="preserve">. The researchers have used thematic analysis because it is appropriate </w:t>
      </w:r>
      <w:proofErr w:type="gramStart"/>
      <w:r>
        <w:t>and also</w:t>
      </w:r>
      <w:proofErr w:type="gramEnd"/>
      <w:r>
        <w:t xml:space="preserve"> provides accurate results. Thematic analysis method basically creates themes </w:t>
      </w:r>
      <w:proofErr w:type="gramStart"/>
      <w:r>
        <w:t>on the basis of</w:t>
      </w:r>
      <w:proofErr w:type="gramEnd"/>
      <w:r>
        <w:t xml:space="preserve"> the topics and ideas used within the research study. Because of this the researchers have easily identified the themes and analysed the data </w:t>
      </w:r>
      <w:proofErr w:type="gramStart"/>
      <w:r>
        <w:t>and also</w:t>
      </w:r>
      <w:proofErr w:type="gramEnd"/>
      <w:r>
        <w:t xml:space="preserve"> explored some new perspectives related to the research study.</w:t>
      </w:r>
    </w:p>
    <w:p w14:paraId="157CAD80" w14:textId="2C914415" w:rsidR="00BB6E7A" w:rsidRDefault="00BB6E7A" w:rsidP="000F156B">
      <w:r>
        <w:rPr>
          <w:b/>
          <w:bCs/>
        </w:rPr>
        <w:t>Research Reliability and Validity:</w:t>
      </w:r>
      <w:r>
        <w:t xml:space="preserve"> Research reliability is the method that describes the consistency within the research findings. Reliability in the research conducted through secondary methods ensures the trustworthiness as well as accuracy of the data collected from different online sources. Reliability of a research includes credibility of the online sources such as academic journals, established databases and government publications that have been used by the researchers as well in this research. The consistency of the information has also been maintained by the researchers and all the processes such as sources </w:t>
      </w:r>
      <w:proofErr w:type="gramStart"/>
      <w:r>
        <w:t>documenting</w:t>
      </w:r>
      <w:proofErr w:type="gramEnd"/>
      <w:r>
        <w:t xml:space="preserve"> and methodology have also shown proper transparency. Research validity states the accuracy of the research study </w:t>
      </w:r>
      <w:proofErr w:type="gramStart"/>
      <w:r>
        <w:t>and also</w:t>
      </w:r>
      <w:proofErr w:type="gramEnd"/>
      <w:r>
        <w:t xml:space="preserve"> shows the proper evaluation of the concepts used within the study</w:t>
      </w:r>
      <w:r w:rsidR="00093478">
        <w:t xml:space="preserve"> (</w:t>
      </w:r>
      <w:r w:rsidR="002A0117">
        <w:t xml:space="preserve">Flake </w:t>
      </w:r>
      <w:r w:rsidR="002A0117">
        <w:rPr>
          <w:i/>
          <w:iCs/>
        </w:rPr>
        <w:t>et al</w:t>
      </w:r>
      <w:r w:rsidR="002A0117">
        <w:t>, 2022</w:t>
      </w:r>
      <w:r w:rsidR="00093478">
        <w:t>)</w:t>
      </w:r>
      <w:r>
        <w:t xml:space="preserve">. Validity is essential in the secondary research because it ensures the information and findings generated from the sources are relevant and reliable with the research objectives. There are different aspects to ensure that the secondary research is </w:t>
      </w:r>
      <w:proofErr w:type="gramStart"/>
      <w:r>
        <w:t>valid</w:t>
      </w:r>
      <w:proofErr w:type="gramEnd"/>
      <w:r>
        <w:t xml:space="preserve"> and these aspects have been used by the researchers to maintain the </w:t>
      </w:r>
      <w:r>
        <w:lastRenderedPageBreak/>
        <w:t xml:space="preserve">validity of the research. All the sources that are selected by the researchers are current as well as relevant with the research topic. The research methodology has also stated the way through which data has been collected and analysed </w:t>
      </w:r>
      <w:proofErr w:type="gramStart"/>
      <w:r>
        <w:t>and also</w:t>
      </w:r>
      <w:proofErr w:type="gramEnd"/>
      <w:r>
        <w:t xml:space="preserve"> outlined appropriate ways to fulfil the research objectives. The reliability as well as credibility of the sources have been maintained by the researchers and accuracy as well as unbiasedness of the sources have also been considered. Hence, reliability as well as validity of the research have been maintained by the researchers.</w:t>
      </w:r>
    </w:p>
    <w:p w14:paraId="720674C3" w14:textId="13214F32" w:rsidR="00777013" w:rsidRDefault="000969BB" w:rsidP="000F156B">
      <w:r>
        <w:rPr>
          <w:b/>
          <w:bCs/>
        </w:rPr>
        <w:t>Ethical Considerations:</w:t>
      </w:r>
      <w:r>
        <w:t xml:space="preserve"> This research has been conducted by using qualitative methods along with the secondary data collection method. This means that non- numerical data have been collected and analysed through online databases and other online sources. To maintain the integrity of the research, it is quite important to carefully consider all the ethical principles and protect the institutions and individuals involved in conducting this entire research. As there are no human participants involved for surveys and interviews but there are the researchers and other individuals involved to maintain the process of research and hence researchers have taken care of maintaining the confidentiality as well as privacy of their information. The confidentiality of the sources from which data is extracted have also been maintained and the sensitive information has not been disclosed without the permission of the entities and the owners of the sources. The researchers have also obtained informed consent from the source providers for sharing data and performing the secondary analysis within this research</w:t>
      </w:r>
      <w:r w:rsidR="00093478">
        <w:t xml:space="preserve"> (</w:t>
      </w:r>
      <w:r w:rsidR="00020845">
        <w:t>Suri, 2020</w:t>
      </w:r>
      <w:r w:rsidR="00093478">
        <w:t>)</w:t>
      </w:r>
      <w:r>
        <w:t xml:space="preserve">. The reliability of the information has also been verified by the researchers and they have ensured that the entire data is represented </w:t>
      </w:r>
      <w:proofErr w:type="gramStart"/>
      <w:r>
        <w:t>accurately</w:t>
      </w:r>
      <w:proofErr w:type="gramEnd"/>
      <w:r>
        <w:t xml:space="preserve"> and conclusions are also drawn on the basis of valid proof. All the sources have been properly cited and referenced so that plagiarism is </w:t>
      </w:r>
      <w:proofErr w:type="gramStart"/>
      <w:r>
        <w:t>avoided</w:t>
      </w:r>
      <w:proofErr w:type="gramEnd"/>
      <w:r>
        <w:t xml:space="preserve"> and the original creators and authors are acknowledged. The procedures in methods used within conducting the secondary research has provided transparency because others can also verify all the findings because of the available information. All the collected data has been stored in a </w:t>
      </w:r>
      <w:proofErr w:type="gramStart"/>
      <w:r>
        <w:t>cloud based</w:t>
      </w:r>
      <w:proofErr w:type="gramEnd"/>
      <w:r>
        <w:t xml:space="preserve"> storage that is encrypted and password protected. Only researchers and top management executives have the authority to use the storage. Hence, the researchers have conducted the entire research carefully following all the ethical rules and regulations.</w:t>
      </w:r>
    </w:p>
    <w:p w14:paraId="7FE7F93E" w14:textId="77777777" w:rsidR="00777013" w:rsidRDefault="00777013" w:rsidP="000F156B">
      <w:r>
        <w:br w:type="page"/>
      </w:r>
    </w:p>
    <w:p w14:paraId="25E6679A" w14:textId="688FD0D8" w:rsidR="00394F6F" w:rsidRDefault="00777013" w:rsidP="000F156B">
      <w:pPr>
        <w:pStyle w:val="Heading1"/>
      </w:pPr>
      <w:bookmarkStart w:id="24" w:name="_Toc169370475"/>
      <w:r>
        <w:lastRenderedPageBreak/>
        <w:t xml:space="preserve">Chapter 4: </w:t>
      </w:r>
      <w:r w:rsidR="00004BE5">
        <w:t>Analysis</w:t>
      </w:r>
      <w:r w:rsidR="00C00102">
        <w:t xml:space="preserve"> and Findings</w:t>
      </w:r>
      <w:bookmarkEnd w:id="24"/>
    </w:p>
    <w:p w14:paraId="24D3A977" w14:textId="6719084E" w:rsidR="00CB7AC8" w:rsidRDefault="004E06BF" w:rsidP="000F156B">
      <w:pPr>
        <w:pStyle w:val="Heading2"/>
      </w:pPr>
      <w:bookmarkStart w:id="25" w:name="_Toc169370476"/>
      <w:r>
        <w:t>Theme 1: The Risks of Exchange Rate</w:t>
      </w:r>
      <w:r w:rsidR="00CB7AC8">
        <w:t xml:space="preserve"> Management for MNEs</w:t>
      </w:r>
      <w:bookmarkEnd w:id="25"/>
    </w:p>
    <w:p w14:paraId="35396C42" w14:textId="38B2EBB1" w:rsidR="00CF1A54" w:rsidRDefault="00CF1A54" w:rsidP="000F156B">
      <w:r>
        <w:rPr>
          <w:shd w:val="clear" w:color="auto" w:fill="FFFFFF"/>
        </w:rPr>
        <w:t>The volatility within the exchange rate is a crucial risk faced by MNEs. The nature of movements in currency is quite unpredictable and leads to financial losses. For instance, the stronger currency of an organisation in the home location can minimise the number of foreign profits and revenues whereas the weaker currency in the home location can enhance import costs. The fluctuations in the exchange rate directly influences the profitability as well as financial stability of MNEs</w:t>
      </w:r>
      <w:r w:rsidR="00792864">
        <w:rPr>
          <w:shd w:val="clear" w:color="auto" w:fill="FFFFFF"/>
        </w:rPr>
        <w:t xml:space="preserve"> (Kellard </w:t>
      </w:r>
      <w:r w:rsidR="00792864">
        <w:rPr>
          <w:i/>
          <w:iCs/>
          <w:shd w:val="clear" w:color="auto" w:fill="FFFFFF"/>
        </w:rPr>
        <w:t>et al</w:t>
      </w:r>
      <w:r w:rsidR="00792864">
        <w:rPr>
          <w:shd w:val="clear" w:color="auto" w:fill="FFFFFF"/>
        </w:rPr>
        <w:t>, 2022)</w:t>
      </w:r>
      <w:r>
        <w:rPr>
          <w:shd w:val="clear" w:color="auto" w:fill="FFFFFF"/>
        </w:rPr>
        <w:t>. Transaction exposure is a major risk that is identified in the research study which arises from the difference in time between agreement as well as settlement of the transactions of MNEs in foreign currencies. This difference in time can create financial losses and financial gains for the companies because of fluctuations in exchange rates. This research has identified the significance of management of the transaction exposure to minimise adverse negative financial influences on the companies. It has been identified that multinational enterprises must create strategies to indulge in transactions for mitigating these kinds of risks that reduce profitability because the amount of local currency increases before they receive payment.</w:t>
      </w:r>
    </w:p>
    <w:p w14:paraId="76FAE7C1" w14:textId="5959FB16" w:rsidR="00CF1A54" w:rsidRDefault="00CF1A54" w:rsidP="000F156B">
      <w:r>
        <w:rPr>
          <w:shd w:val="clear" w:color="auto" w:fill="FFFFFF"/>
        </w:rPr>
        <w:t>The research study has also identified that accounting exposure or translation exposure is also a significant risk encountered by MNEs</w:t>
      </w:r>
      <w:r w:rsidR="003B266C">
        <w:rPr>
          <w:shd w:val="clear" w:color="auto" w:fill="FFFFFF"/>
        </w:rPr>
        <w:t xml:space="preserve"> (</w:t>
      </w:r>
      <w:proofErr w:type="spellStart"/>
      <w:r w:rsidR="003B266C">
        <w:rPr>
          <w:shd w:val="clear" w:color="auto" w:fill="FFFFFF"/>
        </w:rPr>
        <w:t>Nobanee</w:t>
      </w:r>
      <w:proofErr w:type="spellEnd"/>
      <w:r w:rsidR="003B266C">
        <w:rPr>
          <w:shd w:val="clear" w:color="auto" w:fill="FFFFFF"/>
        </w:rPr>
        <w:t xml:space="preserve"> </w:t>
      </w:r>
      <w:r w:rsidR="003B266C">
        <w:rPr>
          <w:i/>
          <w:iCs/>
          <w:shd w:val="clear" w:color="auto" w:fill="FFFFFF"/>
        </w:rPr>
        <w:t>et al</w:t>
      </w:r>
      <w:r w:rsidR="003B266C">
        <w:rPr>
          <w:shd w:val="clear" w:color="auto" w:fill="FFFFFF"/>
        </w:rPr>
        <w:t>, 2022)</w:t>
      </w:r>
      <w:r>
        <w:rPr>
          <w:shd w:val="clear" w:color="auto" w:fill="FFFFFF"/>
        </w:rPr>
        <w:t xml:space="preserve">. This risk enhances the need for converting financial statements of the foreign companies into the statements of the reporting currency of the parent companies. This conversion affects the equity as well as earnings of the companies that they have </w:t>
      </w:r>
      <w:proofErr w:type="gramStart"/>
      <w:r>
        <w:rPr>
          <w:shd w:val="clear" w:color="auto" w:fill="FFFFFF"/>
        </w:rPr>
        <w:t>actually reported</w:t>
      </w:r>
      <w:proofErr w:type="gramEnd"/>
      <w:r>
        <w:rPr>
          <w:shd w:val="clear" w:color="auto" w:fill="FFFFFF"/>
        </w:rPr>
        <w:t>. The fluctuations within exchange rates brings variability for the organisations in their consolidated financial statements that impacts their financial position in the industry. The companies whose profits reduce</w:t>
      </w:r>
      <w:r w:rsidR="007F43B7">
        <w:rPr>
          <w:shd w:val="clear" w:color="auto" w:fill="FFFFFF"/>
        </w:rPr>
        <w:t>s</w:t>
      </w:r>
      <w:r>
        <w:rPr>
          <w:shd w:val="clear" w:color="auto" w:fill="FFFFFF"/>
        </w:rPr>
        <w:t xml:space="preserve"> when the local currency of the subsidiary company reduces its value then the need for management of the translation exposure enhances for the head company. This research has also stated operating exposure or economic exposure risk which is termed as the </w:t>
      </w:r>
      <w:proofErr w:type="gramStart"/>
      <w:r>
        <w:rPr>
          <w:shd w:val="clear" w:color="auto" w:fill="FFFFFF"/>
        </w:rPr>
        <w:t>long term</w:t>
      </w:r>
      <w:proofErr w:type="gramEnd"/>
      <w:r>
        <w:rPr>
          <w:shd w:val="clear" w:color="auto" w:fill="FFFFFF"/>
        </w:rPr>
        <w:t xml:space="preserve"> risk for an MNE that affects its competitive position and market value. In this research it has been stated that the appreciation within the currency of an MNE makes its products expensive as compared to the competitors that leads to increase its market share. On the other hand, depreciation within the currency can improve competitiveness but it is a possibility that profit margins can decrease because of increasing costs. </w:t>
      </w:r>
      <w:r>
        <w:rPr>
          <w:shd w:val="clear" w:color="auto" w:fill="FFFFFF"/>
        </w:rPr>
        <w:lastRenderedPageBreak/>
        <w:t xml:space="preserve">This states the significance of strategic planning for mitigating the </w:t>
      </w:r>
      <w:proofErr w:type="gramStart"/>
      <w:r>
        <w:rPr>
          <w:shd w:val="clear" w:color="auto" w:fill="FFFFFF"/>
        </w:rPr>
        <w:t>long term</w:t>
      </w:r>
      <w:proofErr w:type="gramEnd"/>
      <w:r>
        <w:rPr>
          <w:shd w:val="clear" w:color="auto" w:fill="FFFFFF"/>
        </w:rPr>
        <w:t xml:space="preserve"> influences of exchange rate fluctuations on the future cash flows as well as competitive strategies of MNEs.</w:t>
      </w:r>
    </w:p>
    <w:p w14:paraId="1299D7C5" w14:textId="5EF9CD70" w:rsidR="00CF1A54" w:rsidRDefault="00CF1A54" w:rsidP="000F156B">
      <w:r>
        <w:rPr>
          <w:shd w:val="clear" w:color="auto" w:fill="FFFFFF"/>
        </w:rPr>
        <w:t>There is an example of Unilever, a multinational retail chain of the United Kingdom, that faces the challenge of managing exchange rate. The company operates in the consumer goods industry of the United Kingdom and has a global presence and is one of the most well-known and established companies of the world. The international presence of Unilever exposes the company to different kinds of exchange rate risks such as transaction exposure and economic exposure that are needed to be managed with the help of combining in external as well as internal hedging strategies</w:t>
      </w:r>
      <w:r w:rsidR="007360C2">
        <w:rPr>
          <w:shd w:val="clear" w:color="auto" w:fill="FFFFFF"/>
        </w:rPr>
        <w:t xml:space="preserve"> (</w:t>
      </w:r>
      <w:proofErr w:type="spellStart"/>
      <w:r w:rsidR="007360C2">
        <w:rPr>
          <w:shd w:val="clear" w:color="auto" w:fill="FFFFFF"/>
        </w:rPr>
        <w:t>Kpoku</w:t>
      </w:r>
      <w:proofErr w:type="spellEnd"/>
      <w:r w:rsidR="007360C2">
        <w:rPr>
          <w:shd w:val="clear" w:color="auto" w:fill="FFFFFF"/>
        </w:rPr>
        <w:t>, 2021)</w:t>
      </w:r>
      <w:r>
        <w:rPr>
          <w:shd w:val="clear" w:color="auto" w:fill="FFFFFF"/>
        </w:rPr>
        <w:t xml:space="preserve">. This research has also involved an example of British Petroleum which is a leading multinational gas and oil company of the United Kingdom. The company operates globally which provides exchange rate risks to the financial performance especially in the global pricing of oil in the currency of US. The company </w:t>
      </w:r>
      <w:proofErr w:type="gramStart"/>
      <w:r>
        <w:rPr>
          <w:shd w:val="clear" w:color="auto" w:fill="FFFFFF"/>
        </w:rPr>
        <w:t>has to</w:t>
      </w:r>
      <w:proofErr w:type="gramEnd"/>
      <w:r>
        <w:rPr>
          <w:shd w:val="clear" w:color="auto" w:fill="FFFFFF"/>
        </w:rPr>
        <w:t xml:space="preserve"> focus on using different kinds of financial instruments as well as strategies for managing the exposure towards currency risks.</w:t>
      </w:r>
    </w:p>
    <w:p w14:paraId="32F74F66" w14:textId="08C0C03D" w:rsidR="00CF1A54" w:rsidRDefault="00CF1A54" w:rsidP="000F156B">
      <w:r>
        <w:rPr>
          <w:shd w:val="clear" w:color="auto" w:fill="FFFFFF"/>
        </w:rPr>
        <w:t>The risks for exchange rate management within MNEs also involve different kinds of challenges. This research has described various challenges faced by multinational enterprises of the United Kingdom in managing the risks of exchange rate. The major risk is forecasting accuracy or accurate prediction of the changes within exchange rates. This is a challenging task for the organisations the prediction of exchange rate changes is based on different influencing factors. These influencing factors involve political events in which the companies operate and its subsidies operating as well as the economic growth of the countries</w:t>
      </w:r>
      <w:r w:rsidR="000D05CE">
        <w:rPr>
          <w:shd w:val="clear" w:color="auto" w:fill="FFFFFF"/>
        </w:rPr>
        <w:t xml:space="preserve"> (</w:t>
      </w:r>
      <w:proofErr w:type="spellStart"/>
      <w:r w:rsidR="000D05CE" w:rsidRPr="000D05CE">
        <w:rPr>
          <w:shd w:val="clear" w:color="auto" w:fill="FFFFFF"/>
          <w:lang w:val="en-IN"/>
        </w:rPr>
        <w:t>Homaifar</w:t>
      </w:r>
      <w:proofErr w:type="spellEnd"/>
      <w:r w:rsidR="000D05CE" w:rsidRPr="000D05CE">
        <w:rPr>
          <w:shd w:val="clear" w:color="auto" w:fill="FFFFFF"/>
          <w:lang w:val="en-IN"/>
        </w:rPr>
        <w:t>, 2003</w:t>
      </w:r>
      <w:r w:rsidR="000D05CE">
        <w:rPr>
          <w:shd w:val="clear" w:color="auto" w:fill="FFFFFF"/>
          <w:lang w:val="en-IN"/>
        </w:rPr>
        <w:t xml:space="preserve">). </w:t>
      </w:r>
      <w:r>
        <w:rPr>
          <w:shd w:val="clear" w:color="auto" w:fill="FFFFFF"/>
        </w:rPr>
        <w:t xml:space="preserve">This leads to incorrect forecasts and hedging decisions also become unoptimized because of these factors. Incorrect forecasts highly impact the profitability as well as operations of the multinational enterprises and impacts their financial position and market share in the industry. Multinational enterprises </w:t>
      </w:r>
      <w:proofErr w:type="gramStart"/>
      <w:r>
        <w:rPr>
          <w:shd w:val="clear" w:color="auto" w:fill="FFFFFF"/>
        </w:rPr>
        <w:t>have to</w:t>
      </w:r>
      <w:proofErr w:type="gramEnd"/>
      <w:r>
        <w:rPr>
          <w:shd w:val="clear" w:color="auto" w:fill="FFFFFF"/>
        </w:rPr>
        <w:t xml:space="preserve"> use hedging strategies for minimising the effects of fluctuating exchange rate risks on their operations as well as working capital. The costs related with hedging instruments enhance their financial costs and expenditures. The costs of hedging instruments include forward contracts and options premiums that minimises profit margins. If an MNE frequently uses hedging </w:t>
      </w:r>
      <w:proofErr w:type="gramStart"/>
      <w:r>
        <w:rPr>
          <w:shd w:val="clear" w:color="auto" w:fill="FFFFFF"/>
        </w:rPr>
        <w:t>strategies</w:t>
      </w:r>
      <w:proofErr w:type="gramEnd"/>
      <w:r>
        <w:rPr>
          <w:shd w:val="clear" w:color="auto" w:fill="FFFFFF"/>
        </w:rPr>
        <w:t xml:space="preserve"> then they become financially unstable and their financial position in the industry gets deteriorated. One of the significant risks that multinational enterprises of the United Kingdom </w:t>
      </w:r>
      <w:proofErr w:type="gramStart"/>
      <w:r>
        <w:rPr>
          <w:shd w:val="clear" w:color="auto" w:fill="FFFFFF"/>
        </w:rPr>
        <w:t>have to</w:t>
      </w:r>
      <w:proofErr w:type="gramEnd"/>
      <w:r>
        <w:rPr>
          <w:shd w:val="clear" w:color="auto" w:fill="FFFFFF"/>
        </w:rPr>
        <w:t xml:space="preserve"> face is the risk of regulatory issues and compliance. Different countries have different regulations as per their </w:t>
      </w:r>
      <w:r>
        <w:rPr>
          <w:shd w:val="clear" w:color="auto" w:fill="FFFFFF"/>
        </w:rPr>
        <w:lastRenderedPageBreak/>
        <w:t xml:space="preserve">policies of foreign exchange, hedging activities and transactions. It is quite important for the multinational companies to properly comply with all the regulations of foreign exchange set by the government of the </w:t>
      </w:r>
      <w:proofErr w:type="gramStart"/>
      <w:r>
        <w:rPr>
          <w:shd w:val="clear" w:color="auto" w:fill="FFFFFF"/>
        </w:rPr>
        <w:t>particular country</w:t>
      </w:r>
      <w:proofErr w:type="gramEnd"/>
      <w:r w:rsidR="00D87541">
        <w:rPr>
          <w:shd w:val="clear" w:color="auto" w:fill="FFFFFF"/>
        </w:rPr>
        <w:t xml:space="preserve"> (Contractor </w:t>
      </w:r>
      <w:r w:rsidR="00D87541">
        <w:rPr>
          <w:i/>
          <w:iCs/>
          <w:shd w:val="clear" w:color="auto" w:fill="FFFFFF"/>
        </w:rPr>
        <w:t>et al</w:t>
      </w:r>
      <w:r w:rsidR="00D87541">
        <w:rPr>
          <w:shd w:val="clear" w:color="auto" w:fill="FFFFFF"/>
        </w:rPr>
        <w:t>, 2020)</w:t>
      </w:r>
      <w:r>
        <w:rPr>
          <w:shd w:val="clear" w:color="auto" w:fill="FFFFFF"/>
        </w:rPr>
        <w:t xml:space="preserve">. If an organisation is operating in the United Kingdom and its subsidiary is based in Canada then the company </w:t>
      </w:r>
      <w:proofErr w:type="gramStart"/>
      <w:r>
        <w:rPr>
          <w:shd w:val="clear" w:color="auto" w:fill="FFFFFF"/>
        </w:rPr>
        <w:t>has to</w:t>
      </w:r>
      <w:proofErr w:type="gramEnd"/>
      <w:r>
        <w:rPr>
          <w:shd w:val="clear" w:color="auto" w:fill="FFFFFF"/>
        </w:rPr>
        <w:t xml:space="preserve"> stay compliant with the policies, regulations and laws of both the United Kingdom as well as Canada. Proper compliance with these laws minimises complexities for the organisations </w:t>
      </w:r>
      <w:proofErr w:type="gramStart"/>
      <w:r>
        <w:rPr>
          <w:shd w:val="clear" w:color="auto" w:fill="FFFFFF"/>
        </w:rPr>
        <w:t>and also</w:t>
      </w:r>
      <w:proofErr w:type="gramEnd"/>
      <w:r>
        <w:rPr>
          <w:shd w:val="clear" w:color="auto" w:fill="FFFFFF"/>
        </w:rPr>
        <w:t xml:space="preserve"> reduces their operational burdens which is essential for managing the risks of exchange rate. The complexity within the operations of multinational enterprises is also a major reason for exchange rate risks for them. Implementing as well as managing the hedging strategies needed for minimising exchange rate risks are not simple but are quite complex. These strategies need expertise within the employees of the organisations </w:t>
      </w:r>
      <w:proofErr w:type="gramStart"/>
      <w:r>
        <w:rPr>
          <w:shd w:val="clear" w:color="auto" w:fill="FFFFFF"/>
        </w:rPr>
        <w:t>and also</w:t>
      </w:r>
      <w:proofErr w:type="gramEnd"/>
      <w:r>
        <w:rPr>
          <w:shd w:val="clear" w:color="auto" w:fill="FFFFFF"/>
        </w:rPr>
        <w:t xml:space="preserve"> require proper software and systems. Multinational enterprises </w:t>
      </w:r>
      <w:proofErr w:type="gramStart"/>
      <w:r>
        <w:rPr>
          <w:shd w:val="clear" w:color="auto" w:fill="FFFFFF"/>
        </w:rPr>
        <w:t>have to</w:t>
      </w:r>
      <w:proofErr w:type="gramEnd"/>
      <w:r>
        <w:rPr>
          <w:shd w:val="clear" w:color="auto" w:fill="FFFFFF"/>
        </w:rPr>
        <w:t xml:space="preserve"> create proper strategies and provide training to the workforce to improve their skills in the field of exchange rate management and exchange risks. Skilled personnel are needed to effectively implement as well as monitor the activities of hedging. Hence, it is important to analyse the kinds of exchange rate risks faced by MNEs.</w:t>
      </w:r>
    </w:p>
    <w:p w14:paraId="4090DE17" w14:textId="215DF7DE" w:rsidR="00CB7AC8" w:rsidRPr="00CB7AC8" w:rsidRDefault="00CB7AC8" w:rsidP="000F156B">
      <w:pPr>
        <w:pStyle w:val="Heading2"/>
      </w:pPr>
      <w:bookmarkStart w:id="26" w:name="_Toc169370477"/>
      <w:r>
        <w:t>Theme 2: Exchange Rate Risks Impact on MNEs Performance</w:t>
      </w:r>
      <w:bookmarkEnd w:id="26"/>
    </w:p>
    <w:p w14:paraId="2553E062" w14:textId="2D7FCEDE" w:rsidR="00004BE5" w:rsidRPr="00004BE5" w:rsidRDefault="00004BE5" w:rsidP="000F156B">
      <w:pPr>
        <w:rPr>
          <w:lang w:val="en-IN"/>
        </w:rPr>
      </w:pPr>
      <w:r w:rsidRPr="00004BE5">
        <w:rPr>
          <w:lang w:val="en-IN"/>
        </w:rPr>
        <w:t>Exchange rate risks exert a profound influence on the performance of Multinational Enterprises (MNEs), impacting various facets of their operations, financial health, and competitive positioning. This section delves into the intricate dynamics through which exchange rate fluctuations reverberate across the performance landscape of MNEs</w:t>
      </w:r>
      <w:r>
        <w:rPr>
          <w:lang w:val="en-IN"/>
        </w:rPr>
        <w:t xml:space="preserve"> (</w:t>
      </w:r>
      <w:r w:rsidRPr="00004BE5">
        <w:rPr>
          <w:shd w:val="clear" w:color="auto" w:fill="FFFFFF"/>
          <w:lang w:val="en-IN"/>
        </w:rPr>
        <w:t>Marshall, 2000</w:t>
      </w:r>
      <w:r>
        <w:rPr>
          <w:shd w:val="clear" w:color="auto" w:fill="FFFFFF"/>
          <w:lang w:val="en-IN"/>
        </w:rPr>
        <w:t>).</w:t>
      </w:r>
    </w:p>
    <w:p w14:paraId="1DD3CAB9" w14:textId="77777777" w:rsidR="00004BE5" w:rsidRPr="00004BE5" w:rsidRDefault="00004BE5" w:rsidP="000F156B">
      <w:pPr>
        <w:rPr>
          <w:lang w:val="en-IN"/>
        </w:rPr>
      </w:pPr>
      <w:r w:rsidRPr="00004BE5">
        <w:rPr>
          <w:lang w:val="en-IN"/>
        </w:rPr>
        <w:t>At the core of this theme lies the recognition that exchange rate volatility poses multifaceted challenges to MNEs' performance metrics. Fluctuations in exchange rates can directly affect key financial indicators such as revenues, costs, and profitability, thereby shaping the overall financial health of MNEs. The unpredictability inherent in exchange rate movements amplifies the complexity of managing financial resources and forecasting future cash flows. This unpredictability undermines the stability of financial planning and budgeting processes within MNEs, rendering them susceptible to adverse financial impacts.</w:t>
      </w:r>
    </w:p>
    <w:p w14:paraId="6114DABF" w14:textId="77777777" w:rsidR="00004BE5" w:rsidRPr="00004BE5" w:rsidRDefault="00004BE5" w:rsidP="000F156B">
      <w:pPr>
        <w:rPr>
          <w:lang w:val="en-IN"/>
        </w:rPr>
      </w:pPr>
      <w:r w:rsidRPr="00004BE5">
        <w:rPr>
          <w:lang w:val="en-IN"/>
        </w:rPr>
        <w:t xml:space="preserve">Moreover, exchange rate risks extend beyond immediate financial repercussions to permeate strategic decision-making processes within MNEs. The strategic imperative of maintaining competitive pricing in global markets necessitates a nuanced understanding of how exchange rate </w:t>
      </w:r>
      <w:r w:rsidRPr="00004BE5">
        <w:rPr>
          <w:lang w:val="en-IN"/>
        </w:rPr>
        <w:lastRenderedPageBreak/>
        <w:t>fluctuations can influence product demand, market share, and competitive positioning. For instance, a strengthening of the domestic currency may render MNEs' products relatively more expensive in foreign markets, potentially eroding their market share and competitiveness. Conversely, a depreciation of the domestic currency may confer a competitive advantage by making MNEs' products more attractively priced in foreign markets, albeit at the potential cost of reduced profit margins.</w:t>
      </w:r>
    </w:p>
    <w:p w14:paraId="7818AC6C" w14:textId="77777777" w:rsidR="00004BE5" w:rsidRPr="00004BE5" w:rsidRDefault="00004BE5" w:rsidP="000F156B">
      <w:pPr>
        <w:rPr>
          <w:lang w:val="en-IN"/>
        </w:rPr>
      </w:pPr>
      <w:r w:rsidRPr="00004BE5">
        <w:rPr>
          <w:lang w:val="en-IN"/>
        </w:rPr>
        <w:t>Furthermore, exchange rate risks manifest in operational complexities that impede MNEs' ability to execute their strategic objectives effectively. The need to navigate diverse regulatory frameworks governing foreign exchange transactions across multiple jurisdictions adds layers of operational intricacy. Compliance with regulatory requirements entails meticulous adherence to legal provisions, administrative procedures, and reporting obligations, imposing administrative burdens on MNEs. Failure to comply with regulatory mandates not only exposes MNEs to legal sanctions but also undermines their reputation and credibility in the global marketplace.</w:t>
      </w:r>
    </w:p>
    <w:p w14:paraId="659B9FAC" w14:textId="77777777" w:rsidR="00004BE5" w:rsidRPr="00004BE5" w:rsidRDefault="00004BE5" w:rsidP="000F156B">
      <w:pPr>
        <w:rPr>
          <w:lang w:val="en-IN"/>
        </w:rPr>
      </w:pPr>
      <w:r w:rsidRPr="00004BE5">
        <w:rPr>
          <w:lang w:val="en-IN"/>
        </w:rPr>
        <w:t>In addition to regulatory compliance, MNEs grapple with the logistical challenges of implementing and managing hedging strategies to mitigate exchange rate risks. The complexity inherent in hedging activities necessitates specialized expertise, sophisticated financial instruments, and robust risk management frameworks. MNEs must allocate substantial resources towards acquiring, developing, and retaining talent with expertise in exchange rate management, thereby augmenting their operational costs.</w:t>
      </w:r>
    </w:p>
    <w:p w14:paraId="1E496DD1" w14:textId="77777777" w:rsidR="00004BE5" w:rsidRPr="00004BE5" w:rsidRDefault="00004BE5" w:rsidP="000F156B">
      <w:pPr>
        <w:rPr>
          <w:lang w:val="en-IN"/>
        </w:rPr>
      </w:pPr>
      <w:r w:rsidRPr="00004BE5">
        <w:rPr>
          <w:lang w:val="en-IN"/>
        </w:rPr>
        <w:t>The cumulative impact of these exchange rate-related challenges extends beyond the financial realm to affect broader organizational performance indicators. Disruptions in supply chains, procurement processes, and production schedules induced by exchange rate fluctuations can impair operational efficiency and disrupt business continuity. These disruptions reverberate across the value chain, compromising product quality, delivery timelines, and customer satisfaction levels, thereby eroding MNEs' competitive advantage and market positioning.</w:t>
      </w:r>
    </w:p>
    <w:p w14:paraId="0206A6B9" w14:textId="77777777" w:rsidR="00004BE5" w:rsidRPr="00004BE5" w:rsidRDefault="00004BE5" w:rsidP="000F156B">
      <w:pPr>
        <w:rPr>
          <w:lang w:val="en-IN"/>
        </w:rPr>
      </w:pPr>
      <w:r w:rsidRPr="00004BE5">
        <w:rPr>
          <w:lang w:val="en-IN"/>
        </w:rPr>
        <w:t xml:space="preserve">Furthermore, exchange rate risks have implications for MNEs' investment decisions, capital allocation strategies, and shareholder value creation initiatives. Uncertainty surrounding future exchange rate movements can deter MNEs from pursuing investment opportunities in foreign markets or undertaking cross-border mergers and acquisitions. The perceived riskiness associated </w:t>
      </w:r>
      <w:r w:rsidRPr="00004BE5">
        <w:rPr>
          <w:lang w:val="en-IN"/>
        </w:rPr>
        <w:lastRenderedPageBreak/>
        <w:t xml:space="preserve">with exchange rate volatility may constrain MNEs' access to capital markets, impeding their ability to raise funds for expansionary </w:t>
      </w:r>
      <w:proofErr w:type="spellStart"/>
      <w:r w:rsidRPr="00004BE5">
        <w:rPr>
          <w:lang w:val="en-IN"/>
        </w:rPr>
        <w:t>endeavors</w:t>
      </w:r>
      <w:proofErr w:type="spellEnd"/>
      <w:r w:rsidRPr="00004BE5">
        <w:rPr>
          <w:lang w:val="en-IN"/>
        </w:rPr>
        <w:t xml:space="preserve"> or strategic investments.</w:t>
      </w:r>
    </w:p>
    <w:p w14:paraId="5436B8BC" w14:textId="704BE6BA" w:rsidR="00004BE5" w:rsidRDefault="00004BE5" w:rsidP="000F156B">
      <w:pPr>
        <w:rPr>
          <w:lang w:val="en-IN"/>
        </w:rPr>
      </w:pPr>
      <w:r w:rsidRPr="00004BE5">
        <w:rPr>
          <w:lang w:val="en-IN"/>
        </w:rPr>
        <w:t>In conclusion, exchange rate risks exert a pervasive influence on the performance trajectory of MNEs, shaping their financial resilience, strategic agility, and operational effectiveness. Effectively managing these risks necessitates a holistic approach encompassing financial risk management, regulatory compliance, operational optimization, and strategic foresight. By proactively addressing exchange rate risks, MNEs can enhance their capacity to withstand external shocks, capitalize on emerging opportunities, and sustain long-term value creation for stakeholders.</w:t>
      </w:r>
    </w:p>
    <w:p w14:paraId="22D291EC" w14:textId="77777777" w:rsidR="004B3624" w:rsidRDefault="004B3624" w:rsidP="000F156B">
      <w:pPr>
        <w:rPr>
          <w:lang w:val="en-IN"/>
        </w:rPr>
      </w:pPr>
    </w:p>
    <w:p w14:paraId="16C81B71" w14:textId="0334C4CF" w:rsidR="002C101B" w:rsidRDefault="004B3624" w:rsidP="004B3624">
      <w:pPr>
        <w:pStyle w:val="Heading1"/>
        <w:rPr>
          <w:lang w:val="en-IN"/>
        </w:rPr>
      </w:pPr>
      <w:r>
        <w:rPr>
          <w:lang w:val="en-IN"/>
        </w:rPr>
        <w:br w:type="column"/>
      </w:r>
      <w:bookmarkStart w:id="27" w:name="_Toc169370478"/>
      <w:r w:rsidR="002C101B">
        <w:rPr>
          <w:lang w:val="en-IN"/>
        </w:rPr>
        <w:lastRenderedPageBreak/>
        <w:t>Chapter 5: Discussion</w:t>
      </w:r>
      <w:bookmarkEnd w:id="27"/>
    </w:p>
    <w:p w14:paraId="72B69BC8" w14:textId="77777777" w:rsidR="004B3624" w:rsidRDefault="004B3624" w:rsidP="004B3624">
      <w:r w:rsidRPr="00227AA6">
        <w:t>The chapter focusing on the discussion presents a comprehensive review of the exchange rate risk management of MNEs. It starts with the explanation of the different forms of exposures that MNEs come across in managing exchange rates comprising the transaction exposure, translation exposure, and the economic exposure. After this, the role of these risks to affect the profitability and productivity of MNEs is studied. The chapter then looks at what can be done to manage the above risks which includes hedging and strategic plans. Lastly, it comes to the final chapters with end of study findings that discuss the notion that exchange risk management practices play a vital role in maintaining MNEs’ international operations.</w:t>
      </w:r>
    </w:p>
    <w:p w14:paraId="628343BC" w14:textId="77777777" w:rsidR="004B3624" w:rsidRDefault="004B3624" w:rsidP="004B3624">
      <w:pPr>
        <w:pStyle w:val="Heading2"/>
      </w:pPr>
      <w:bookmarkStart w:id="28" w:name="_Toc169370479"/>
      <w:r w:rsidRPr="00A87B76">
        <w:t>What are the risks faced by MNEs in managing the exchange rates?</w:t>
      </w:r>
      <w:bookmarkEnd w:id="28"/>
    </w:p>
    <w:p w14:paraId="60CA7BB4" w14:textId="77777777" w:rsidR="004B3624" w:rsidRDefault="004B3624" w:rsidP="004B3624">
      <w:r>
        <w:t xml:space="preserve">Managing exchange-rate has several risks for MNEs risking their financial stability and operation efficiency in </w:t>
      </w:r>
      <w:proofErr w:type="gramStart"/>
      <w:r>
        <w:t>a number of</w:t>
      </w:r>
      <w:proofErr w:type="gramEnd"/>
      <w:r>
        <w:t xml:space="preserve"> ways. Transaction exposure, translation exposure and economic exposure are the main risks of international operations that present individual difficulties.</w:t>
      </w:r>
    </w:p>
    <w:p w14:paraId="52F8A49F" w14:textId="7ACACFF2" w:rsidR="004B3624" w:rsidRDefault="004B3624" w:rsidP="004B3624">
      <w:r>
        <w:t>Transaction exposure is a form of foreign exchange exposure due to the time gap between signing for a contract and the ultimate payment. This risk is more apparent for MNEs with substantial cross-border sales because exchange rate volatility from the time a contract is entered into until its fulfilment can result in profit or loss (</w:t>
      </w:r>
      <w:proofErr w:type="spellStart"/>
      <w:r>
        <w:t>Nobanee</w:t>
      </w:r>
      <w:proofErr w:type="spellEnd"/>
      <w:r>
        <w:t xml:space="preserve"> </w:t>
      </w:r>
      <w:proofErr w:type="gramStart"/>
      <w:r>
        <w:t>et al. ,</w:t>
      </w:r>
      <w:proofErr w:type="gramEnd"/>
      <w:r>
        <w:t xml:space="preserve"> 2022). For instance, if a UK-based MNE has </w:t>
      </w:r>
      <w:r w:rsidR="002B7665">
        <w:t>a contract</w:t>
      </w:r>
      <w:r>
        <w:t xml:space="preserve"> for selling products to a US company and in the process of making </w:t>
      </w:r>
      <w:proofErr w:type="spellStart"/>
      <w:r>
        <w:t>he</w:t>
      </w:r>
      <w:proofErr w:type="spellEnd"/>
      <w:r>
        <w:t xml:space="preserve"> payment, the Forex or pound strengthen against the US dollar, means that MNE will be receiving less pounds which </w:t>
      </w:r>
      <w:r w:rsidR="002B7665">
        <w:t>in turn</w:t>
      </w:r>
      <w:r>
        <w:t xml:space="preserve"> affect the company revenues and profitability (</w:t>
      </w:r>
      <w:proofErr w:type="spellStart"/>
      <w:r>
        <w:t>Kpoku</w:t>
      </w:r>
      <w:proofErr w:type="spellEnd"/>
      <w:r>
        <w:t>, 2021). Accounting exposure, also known as translation exposure, is the vulnerability of a company’s balance sheet to changes in foreign exchange rates that occurs when the financial statements of subsidiary companies are translated into the parent company’s domestic currency. This risk is even higher for MNEs that have spread their operations internationally on a large scale. Generally, exchange rates cause variability in the depreciation of assets or hyperinflation of value, affecting the conveyed revenues, and expenses in the firms’ financial statements (</w:t>
      </w:r>
      <w:proofErr w:type="spellStart"/>
      <w:r>
        <w:t>Nobanee</w:t>
      </w:r>
      <w:proofErr w:type="spellEnd"/>
      <w:r>
        <w:t xml:space="preserve"> </w:t>
      </w:r>
      <w:proofErr w:type="gramStart"/>
      <w:r>
        <w:t>et al. ,</w:t>
      </w:r>
      <w:proofErr w:type="gramEnd"/>
      <w:r>
        <w:t xml:space="preserve"> 2022). For instance, a UK pharmaceutical company that has operations in the Eurozone will realize less profit and lower financial performance denominated in Britons Pound because the Pound is stronger than the euro (Office for National Statistics, 2023).</w:t>
      </w:r>
    </w:p>
    <w:p w14:paraId="27D047BF" w14:textId="77777777" w:rsidR="004B3624" w:rsidRDefault="004B3624" w:rsidP="004B3624">
      <w:r>
        <w:lastRenderedPageBreak/>
        <w:t xml:space="preserve">Economic exposure which is also known as operating exposure is a possibility of realisation of value and future cash flows of the business being adversely affected due to exchange rate movements. This is a long-term risk that ultimately compromises the competitive status of MNEs in the international business arena. If the home currency gains more strength, exports cost becomes high, thus, less demand from the foreign market and less revenue; on the other hand, if the currency weakens it contributes to competitiveness though it leads to high import costs (Han, 2021). For instance, a furniture maker from the UK that sources the raw materials from Europe and this firm uses the pound, will experience high costs if the pound lowers its price relative to the euro and this will affect their profit and competitiveness in the market (Warren, </w:t>
      </w:r>
      <w:proofErr w:type="spellStart"/>
      <w:r>
        <w:t>Seetanah</w:t>
      </w:r>
      <w:proofErr w:type="spellEnd"/>
      <w:r>
        <w:t xml:space="preserve">, &amp; </w:t>
      </w:r>
      <w:proofErr w:type="spellStart"/>
      <w:r>
        <w:t>Sookia</w:t>
      </w:r>
      <w:proofErr w:type="spellEnd"/>
      <w:r>
        <w:t xml:space="preserve">, 2023). Another major issue with MNEs in exchange rate risk management is forecasting, which is again not easy for any organization. It is nearly impossible to anticipate the changes in exchange rate because of the underlying factors that determine them and they </w:t>
      </w:r>
      <w:proofErr w:type="gramStart"/>
      <w:r>
        <w:t>include;</w:t>
      </w:r>
      <w:proofErr w:type="gramEnd"/>
      <w:r>
        <w:t xml:space="preserve"> political factors, economic factors and market sentiments (</w:t>
      </w:r>
      <w:proofErr w:type="spellStart"/>
      <w:r>
        <w:t>Homaifar</w:t>
      </w:r>
      <w:proofErr w:type="spellEnd"/>
      <w:r>
        <w:t>, 2003). Incorrect estimations may result in the wrong hedges being utilized, making a negative effect on the organization’s profits and solvency.</w:t>
      </w:r>
    </w:p>
    <w:p w14:paraId="7C5D3802" w14:textId="77777777" w:rsidR="004B3624" w:rsidRDefault="004B3624" w:rsidP="004B3624">
      <w:r>
        <w:t xml:space="preserve">Furthermore, the regulatory and compliance risks remain as the major issues to be implemented. Legal requirements of foreign exchange transactions vary from one country to </w:t>
      </w:r>
      <w:proofErr w:type="gramStart"/>
      <w:r>
        <w:t>another</w:t>
      </w:r>
      <w:proofErr w:type="gramEnd"/>
      <w:r>
        <w:t xml:space="preserve"> and this is an issue that MNEs have to deal with. Legal consequences include fines also negatively impacting on the reputation of the MNE in the areas where it appears compliance failures have been witnessed, meaning compliance with regulatory requirements in all operating areas must be well understood by the management (Contractor </w:t>
      </w:r>
      <w:proofErr w:type="gramStart"/>
      <w:r>
        <w:t>et al. ,</w:t>
      </w:r>
      <w:proofErr w:type="gramEnd"/>
      <w:r>
        <w:t xml:space="preserve"> 2020). The operational complexity added by hedging implementation and the management of hedging strategies further complicates the process. Hedging is not easily done because it needs special financial derivatives, individuals, and strategies on risk management. The costs include the cost of options that are used in hedging, costs of forward contracts, and many others which when incurred can significantly tilt the balance of the MNE if not well financed (Della Corte et al., 2022).</w:t>
      </w:r>
    </w:p>
    <w:p w14:paraId="1F3AABD3" w14:textId="77777777" w:rsidR="004B3624" w:rsidRDefault="004B3624" w:rsidP="004B3624">
      <w:r w:rsidRPr="004E6CAB">
        <w:t xml:space="preserve">From </w:t>
      </w:r>
      <w:r>
        <w:t>this</w:t>
      </w:r>
      <w:r w:rsidRPr="004E6CAB">
        <w:t xml:space="preserve"> analysis, it can be argued that managing exchange rates is a complex realm of risk, which MNEs </w:t>
      </w:r>
      <w:proofErr w:type="gramStart"/>
      <w:r w:rsidRPr="004E6CAB">
        <w:t>have to</w:t>
      </w:r>
      <w:proofErr w:type="gramEnd"/>
      <w:r w:rsidRPr="004E6CAB">
        <w:t xml:space="preserve"> consider. They include transaction exposure which concerns future cash flows, translation exposure referring to the value of a firm’s foreign investments and economic exposure, which impacts on the current operations of an organization. The approaches to managing such risks are accurate forecasting, regulatory compliance, and efficient hedging. Recognising and </w:t>
      </w:r>
      <w:r w:rsidRPr="004E6CAB">
        <w:lastRenderedPageBreak/>
        <w:t xml:space="preserve">managing these risks are imperative </w:t>
      </w:r>
      <w:proofErr w:type="gramStart"/>
      <w:r w:rsidRPr="004E6CAB">
        <w:t>in order to</w:t>
      </w:r>
      <w:proofErr w:type="gramEnd"/>
      <w:r w:rsidRPr="004E6CAB">
        <w:t xml:space="preserve"> ensure the continuous operations of the MNE and to build competitive advantage in the global environment.</w:t>
      </w:r>
    </w:p>
    <w:p w14:paraId="28DE8450" w14:textId="77777777" w:rsidR="004B3624" w:rsidRDefault="004B3624" w:rsidP="004B3624">
      <w:pPr>
        <w:pStyle w:val="Heading2"/>
      </w:pPr>
      <w:bookmarkStart w:id="29" w:name="_Toc169370480"/>
      <w:r w:rsidRPr="00A87B76">
        <w:t>What are the impacts of risks of exchange rates on the performance of MNEs?</w:t>
      </w:r>
      <w:bookmarkEnd w:id="29"/>
    </w:p>
    <w:p w14:paraId="7B86AF8D" w14:textId="49FF520D" w:rsidR="004B3624" w:rsidRDefault="004B3624" w:rsidP="004B3624">
      <w:r>
        <w:t>Exchange rate risks are critically influential on the performance of the MNEs as they directly influence multiple fields of a firm’s financial structure, productivity, and competitiveness. These effects arise from two factors which are the fluctuations that are synonymous with currencies since they are unpredictable and volatile in most circumstances and their ability to affect the operating revenues, costs, and of course the financial health of an organization. Unpredictable is one of the most evident implications on the financial characteristics of MNEs. Fluctuations in the foreign exchange have a direct impact on factors that structural the revenue, profitability and in turn the earnings of companies. For example, transaction exposure can result in significant loss of money since between the time a deal is negotiated and the time it is paid, the currency may shift in the wrong direction (</w:t>
      </w:r>
      <w:proofErr w:type="spellStart"/>
      <w:r>
        <w:t>Nobanee</w:t>
      </w:r>
      <w:proofErr w:type="spellEnd"/>
      <w:r>
        <w:t xml:space="preserve"> </w:t>
      </w:r>
      <w:r w:rsidR="002B7665">
        <w:t>et al.,</w:t>
      </w:r>
      <w:r>
        <w:t xml:space="preserve"> 2022). Somewhere, a stronger home currency has the effect of decreasing profitability due to the lower ‘value’ of such revenues on conversion back to the home currency. On the other hand, a relatively weak home currency can also lead to a rise in the price of the imported goods hence narrowing down the profit (Office for National Statistics, 2023).</w:t>
      </w:r>
    </w:p>
    <w:p w14:paraId="7909A0CA" w14:textId="77777777" w:rsidR="004B3624" w:rsidRDefault="004B3624" w:rsidP="004B3624">
      <w:r>
        <w:t xml:space="preserve">To elaborate, translation exposure increases </w:t>
      </w:r>
      <w:proofErr w:type="gramStart"/>
      <w:r>
        <w:t>a number of</w:t>
      </w:r>
      <w:proofErr w:type="gramEnd"/>
      <w:r>
        <w:t xml:space="preserve"> complications with financial reporting. </w:t>
      </w:r>
      <w:r w:rsidRPr="00956468">
        <w:t xml:space="preserve">This risk is </w:t>
      </w:r>
      <w:proofErr w:type="gramStart"/>
      <w:r w:rsidRPr="00956468">
        <w:t>influences</w:t>
      </w:r>
      <w:proofErr w:type="gramEnd"/>
      <w:r w:rsidRPr="00956468">
        <w:t xml:space="preserve"> the consolidated financial statements of MNE that have their subsidiaries outside their home country</w:t>
      </w:r>
      <w:r>
        <w:t xml:space="preserve">. These are normally measured in a single currency, but changes in what is commonly referred to as exchange rates implies that different balances and costs recorded in different currencies vary hence affecting the reported </w:t>
      </w:r>
      <w:proofErr w:type="gramStart"/>
      <w:r>
        <w:t>assets;</w:t>
      </w:r>
      <w:proofErr w:type="gramEnd"/>
      <w:r>
        <w:t xml:space="preserve"> liabilities and earnings. For instance, a higher British pound against the euro will show lower reported profits of a UK-based firm that operates in the Eurozone and could lead to its sales and other profits to be taxed and regulated in unfavourable ways for its sales and other profits to be seen as impoverished by the associated and global stakeholders (Han, 2021). </w:t>
      </w:r>
      <w:r w:rsidRPr="00F569A5">
        <w:t xml:space="preserve">Operating exposure which also known as the economic exposure truly reflects on the </w:t>
      </w:r>
      <w:proofErr w:type="gramStart"/>
      <w:r w:rsidRPr="00F569A5">
        <w:t>long term</w:t>
      </w:r>
      <w:proofErr w:type="gramEnd"/>
      <w:r w:rsidRPr="00F569A5">
        <w:t xml:space="preserve"> market value and cash flows of the MNEs. This exposure is </w:t>
      </w:r>
      <w:proofErr w:type="gramStart"/>
      <w:r w:rsidRPr="00F569A5">
        <w:t>as a result of</w:t>
      </w:r>
      <w:proofErr w:type="gramEnd"/>
      <w:r w:rsidRPr="00F569A5">
        <w:t xml:space="preserve"> shifts in the competitiveness of an MNE because of the exchange rates. A home currency is made stronger in foreign markets hence making the exports to be expensive hence the market share is </w:t>
      </w:r>
      <w:proofErr w:type="gramStart"/>
      <w:r w:rsidRPr="00F569A5">
        <w:t>lost</w:t>
      </w:r>
      <w:proofErr w:type="gramEnd"/>
      <w:r w:rsidRPr="00F569A5">
        <w:t xml:space="preserve"> and this leads to low revenues. However, a weaker home currency may be effective in enhancing competitiveness in the export markets, in the process of increasing the cost of </w:t>
      </w:r>
      <w:r w:rsidRPr="00F569A5">
        <w:lastRenderedPageBreak/>
        <w:t>imported goods and services to a firm or nation hence altering the cost structure of operations and profitability as noted by Warren</w:t>
      </w:r>
      <w:r>
        <w:t xml:space="preserve"> et al.</w:t>
      </w:r>
      <w:r w:rsidRPr="00F569A5">
        <w:t xml:space="preserve"> (2023).</w:t>
      </w:r>
    </w:p>
    <w:p w14:paraId="016A6D3B" w14:textId="3F55BB82" w:rsidR="004B3624" w:rsidRDefault="004B3624" w:rsidP="004B3624">
      <w:r>
        <w:t xml:space="preserve">Another important outcome is operational disruptions. Fluctuations in the exchange rates can cause certain risks in supply chain management, procurement and delivery schedules and production schedules. The reviewed concerns give room for inconsistency which may lead to lack of time conveniences, cost </w:t>
      </w:r>
      <w:r w:rsidR="002B7665">
        <w:t>implausibility’s</w:t>
      </w:r>
      <w:r>
        <w:t xml:space="preserve"> and hence vary the quality of products and services formed to customers. It is stated that such disruptions can </w:t>
      </w:r>
      <w:proofErr w:type="gramStart"/>
      <w:r>
        <w:t>actually damage</w:t>
      </w:r>
      <w:proofErr w:type="gramEnd"/>
      <w:r>
        <w:t xml:space="preserve"> the brand image of the firm and reduce the amount of trust and satisfaction customers have with the MNE, thus fading out the competitive advantage the MNE has in the </w:t>
      </w:r>
      <w:r w:rsidR="002B7665">
        <w:t>marketplace</w:t>
      </w:r>
      <w:r>
        <w:t xml:space="preserve"> (</w:t>
      </w:r>
      <w:proofErr w:type="spellStart"/>
      <w:r>
        <w:t>Kpoku</w:t>
      </w:r>
      <w:proofErr w:type="spellEnd"/>
      <w:r>
        <w:t xml:space="preserve">, 2021). Exchange rate risk also influences strategic decision making in MNEs. Movement in the currency affects the decisions in the areas of price, procurement, investments, and growth. For instance, the contracts’ exchange rate risk might dissuade MNEs from investing in specific markets or engaging in cross-border M&amp;As because of perceived financial risks (Della </w:t>
      </w:r>
      <w:proofErr w:type="spellStart"/>
      <w:r>
        <w:t>Cotte</w:t>
      </w:r>
      <w:proofErr w:type="spellEnd"/>
      <w:r>
        <w:t xml:space="preserve"> </w:t>
      </w:r>
      <w:r w:rsidR="002B7665">
        <w:t>et al.,</w:t>
      </w:r>
      <w:r>
        <w:t xml:space="preserve"> 2022). Furthermore, regulatory control from one state to another would also pose an even bigger challenge since MNEs would be expected to operate within foreign laws while being in a constant odyssey with regards to the foreign exchange regulation (Contractor </w:t>
      </w:r>
      <w:r w:rsidR="002B7665">
        <w:t>et al.,</w:t>
      </w:r>
      <w:r>
        <w:t xml:space="preserve"> 2020).</w:t>
      </w:r>
    </w:p>
    <w:p w14:paraId="6AED300C" w14:textId="77777777" w:rsidR="004B3624" w:rsidRDefault="004B3624" w:rsidP="004B3624">
      <w:proofErr w:type="spellStart"/>
      <w:r>
        <w:t>Hnece</w:t>
      </w:r>
      <w:proofErr w:type="spellEnd"/>
      <w:r>
        <w:t>,</w:t>
      </w:r>
      <w:r w:rsidRPr="009665F0">
        <w:t xml:space="preserve"> exchange rate risks affect MNEs in a complex way that concerns financial reports, internal functioning, and management choices</w:t>
      </w:r>
      <w:r>
        <w:t xml:space="preserve">. Therefore, the effective management of these risks is inevitable for MNEs </w:t>
      </w:r>
      <w:proofErr w:type="gramStart"/>
      <w:r>
        <w:t>in order to</w:t>
      </w:r>
      <w:proofErr w:type="gramEnd"/>
      <w:r>
        <w:t xml:space="preserve"> minimize the volatility of the market and increase competitive advantage. Effective risk management acquires strategic hedges, accurate forecast and sound planning as pertinent instruments of managing the unfavourable impacts of exchange rate volatilities on MNEs performance.</w:t>
      </w:r>
    </w:p>
    <w:p w14:paraId="28591E5E" w14:textId="77777777" w:rsidR="004B3624" w:rsidRDefault="004B3624" w:rsidP="004B3624">
      <w:pPr>
        <w:pStyle w:val="Heading2"/>
      </w:pPr>
      <w:bookmarkStart w:id="30" w:name="_Toc169370481"/>
      <w:r w:rsidRPr="00A87B76">
        <w:t>What are the effective risk management strategies for MNEs to manage their exchange rates risks?</w:t>
      </w:r>
      <w:bookmarkEnd w:id="30"/>
    </w:p>
    <w:p w14:paraId="7DEED1A3" w14:textId="77777777" w:rsidR="004B3624" w:rsidRDefault="004B3624" w:rsidP="004B3624">
      <w:r>
        <w:t xml:space="preserve">Exchange rate risks pose a significant challenge for MNEs hence the need to adopt key risk management techniques that help in managing the issue of volatility. It is established that exchange risks cannot be handled well </w:t>
      </w:r>
      <w:proofErr w:type="gramStart"/>
      <w:r>
        <w:t>by the use of</w:t>
      </w:r>
      <w:proofErr w:type="gramEnd"/>
      <w:r>
        <w:t xml:space="preserve"> a single money instrument, strategic approach, or working mode, but need a holistic approach that incorporates several forms, moves, and changes as illustrated below. Hedging, which is an important strategy used by MNEs, is one such method </w:t>
      </w:r>
      <w:r>
        <w:lastRenderedPageBreak/>
        <w:t>that helps the companies operate efficiently. Hedging is a process of minimising currency risk through contractual arrangements for future purchases of foreign exchange or using options and swaps instruments. Thus, forward contracts help to minimize the risk associated with exchange rate fluctuations by fixing exchange rates for future transactions for MNEs (</w:t>
      </w:r>
      <w:proofErr w:type="spellStart"/>
      <w:r>
        <w:t>Nobanee</w:t>
      </w:r>
      <w:proofErr w:type="spellEnd"/>
      <w:r>
        <w:t xml:space="preserve"> </w:t>
      </w:r>
      <w:proofErr w:type="gramStart"/>
      <w:r>
        <w:t>et al. ,</w:t>
      </w:r>
      <w:proofErr w:type="gramEnd"/>
      <w:r>
        <w:t xml:space="preserve"> 2022). It allows for the ability to purchase the desired currencies at better rates and avoid major losses while the swap helps to handle long-term volatilities by exchanging cash flows.</w:t>
      </w:r>
    </w:p>
    <w:p w14:paraId="4DED6415" w14:textId="77777777" w:rsidR="004B3624" w:rsidRDefault="004B3624" w:rsidP="004B3624">
      <w:r>
        <w:t xml:space="preserve">Besides, natural hedging is another related and efficient approach available to MNEs. This entails equalizing revenues and expenses in the same currency so that fluctuation in the rate of exchange do not affect the company. For instance, if a UK-based MNE has considerable current income in the US, it should strive to have expenditure in US dollars to avoid exposure to exchange risk (Kellard </w:t>
      </w:r>
      <w:proofErr w:type="gramStart"/>
      <w:r>
        <w:t>et al. ,</w:t>
      </w:r>
      <w:proofErr w:type="gramEnd"/>
      <w:r>
        <w:t xml:space="preserve"> 2022). This not only decreases the usage of financial hedging instruments but also synchronizes operational and financial transactions most appropriately thus improving the process of risk management. Expansion of business activities and sources of income security is also necessary. Through operations across countries and markets, MNE avoid exchange rate risks for their major currencies as they gain exposure to other currencies. This diversification helps to mitigate the consequences of </w:t>
      </w:r>
      <w:proofErr w:type="spellStart"/>
      <w:r>
        <w:t>unfavorable</w:t>
      </w:r>
      <w:proofErr w:type="spellEnd"/>
      <w:r>
        <w:t xml:space="preserve"> trends in any specific currency or market, and contributes to more stable revenue (Della Corte </w:t>
      </w:r>
      <w:proofErr w:type="gramStart"/>
      <w:r>
        <w:t>et al. ,</w:t>
      </w:r>
      <w:proofErr w:type="gramEnd"/>
      <w:r>
        <w:t xml:space="preserve"> 2022). Also, MNEs should consider procuring raw materials and inputs from different regions because currency fluctuations could have an impact on the firm’s costs.</w:t>
      </w:r>
    </w:p>
    <w:p w14:paraId="27255BDD" w14:textId="7F05D1A4" w:rsidR="004B3624" w:rsidRDefault="004B3624" w:rsidP="004B3624">
      <w:r>
        <w:t xml:space="preserve">Another consideration that MNEs </w:t>
      </w:r>
      <w:proofErr w:type="gramStart"/>
      <w:r>
        <w:t>have to</w:t>
      </w:r>
      <w:proofErr w:type="gramEnd"/>
      <w:r>
        <w:t xml:space="preserve"> factor in is exchange rates and how they fit into the MNE’s overall strategic blueprint. The key indicators include making assessments by conducting the scenario analyses and stress tests to estimate the impacts of the currency movements on organizational performance and subsequent decisions based on those findings (Obstfeld Rogoff, 2003). For instance, to assess the potential sales opportunities in foreign countries or assets/ investments, MNEs can compare how exchange rate could possibly behave in the future, to guarantee that their strategies will not be greatly affected by the fluctuating currency values. Exchange rate risk therefore remains an interesting area primed for technological improvement. Advanced analytics, AI, and risk management software should be used for tracking the exchange rates, and projecting possible future trends, MNEs should use it in managing hedge accounting. These technologies for real-time data analysis and decision-making about competitive conditions </w:t>
      </w:r>
      <w:r>
        <w:lastRenderedPageBreak/>
        <w:t>and potential issues to be addressed, or threats to be overcome, that MNEs face, can be addressed quickly (</w:t>
      </w:r>
      <w:proofErr w:type="spellStart"/>
      <w:r>
        <w:t>Morina</w:t>
      </w:r>
      <w:proofErr w:type="spellEnd"/>
      <w:r>
        <w:t xml:space="preserve"> </w:t>
      </w:r>
      <w:r w:rsidR="002B7665">
        <w:t>et al.,</w:t>
      </w:r>
      <w:r>
        <w:t xml:space="preserve"> 2020).</w:t>
      </w:r>
    </w:p>
    <w:p w14:paraId="5F41E5C8" w14:textId="53667660" w:rsidR="004B3624" w:rsidRDefault="004B3624" w:rsidP="004B3624">
      <w:r>
        <w:t xml:space="preserve">The other important factor that the managers focus on in the control of exchange rate risks is compliance to regulatory requirements. This means that MNEs should always be on the lookout for these Regulations in countries of </w:t>
      </w:r>
      <w:r w:rsidR="002B7665">
        <w:t>operation and</w:t>
      </w:r>
      <w:r>
        <w:t xml:space="preserve"> conform to the foreign exchange Regulations. This </w:t>
      </w:r>
      <w:proofErr w:type="gramStart"/>
      <w:r>
        <w:t>include</w:t>
      </w:r>
      <w:proofErr w:type="gramEnd"/>
      <w:r>
        <w:t xml:space="preserve"> compliance checking, employee awareness and sensitisation on laws and regulations as well as engaging with the regulators on the finer details of the legal systems (Contractor </w:t>
      </w:r>
      <w:r w:rsidR="002B7665">
        <w:t>et al.,</w:t>
      </w:r>
      <w:r>
        <w:t xml:space="preserve"> 2020). </w:t>
      </w:r>
      <w:r w:rsidR="002B7665">
        <w:t>Non-compliance</w:t>
      </w:r>
      <w:r>
        <w:t xml:space="preserve"> to such regulations attracts legal consequences that </w:t>
      </w:r>
      <w:proofErr w:type="spellStart"/>
      <w:r>
        <w:t>hadviously</w:t>
      </w:r>
      <w:proofErr w:type="spellEnd"/>
      <w:r>
        <w:t xml:space="preserve"> lead to a loss of reputation adding to the financial risks of the MNE. A dynamic exchange rate management requires MNEs to strengthen their strategic relationships with commercial banks, currency specialists, and regulatory agencies to gain insights and support in its implementation. These partnerships provide expertise, market and regulatory knowledge and help the MNE to act with minimal exposure to such risks, preventing the volatility of currencies from affecting the MNE’s operations negatively (Bergman &amp; </w:t>
      </w:r>
      <w:proofErr w:type="spellStart"/>
      <w:r>
        <w:t>Rosén</w:t>
      </w:r>
      <w:proofErr w:type="spellEnd"/>
      <w:r>
        <w:t>, 2021).</w:t>
      </w:r>
    </w:p>
    <w:p w14:paraId="7E1901D8" w14:textId="77777777" w:rsidR="004B3624" w:rsidRDefault="004B3624" w:rsidP="004B3624">
      <w:r w:rsidRPr="005F071E">
        <w:t>​​​​​​​​​​​​</w:t>
      </w:r>
      <w:r>
        <w:t>In general</w:t>
      </w:r>
      <w:r w:rsidRPr="005F071E">
        <w:t xml:space="preserve">, it can be stated that there should be the coordinated approach based on the financial tools, effective strategic and operational solutions, and the support of the technologies. </w:t>
      </w:r>
      <w:r w:rsidRPr="00062609">
        <w:t xml:space="preserve">By applying the strategic and systematic risk management MNEs can manage the impacts of the exchange rates to their businesses besides managing to have a good financial strength as it compares to its counter parts in global market. These strategies guarantee that MNEs increase their market reach in the international market </w:t>
      </w:r>
      <w:proofErr w:type="gramStart"/>
      <w:r w:rsidRPr="00062609">
        <w:t>subsequent to</w:t>
      </w:r>
      <w:proofErr w:type="gramEnd"/>
      <w:r w:rsidRPr="00062609">
        <w:t xml:space="preserve"> achieving long-term financial sustainability</w:t>
      </w:r>
      <w:r w:rsidRPr="005F071E">
        <w:t>.</w:t>
      </w:r>
    </w:p>
    <w:p w14:paraId="2068B3A8" w14:textId="77777777" w:rsidR="004B3624" w:rsidRDefault="004B3624" w:rsidP="004B3624">
      <w:pPr>
        <w:pStyle w:val="Heading2"/>
      </w:pPr>
      <w:bookmarkStart w:id="31" w:name="_Toc169370482"/>
      <w:r>
        <w:t>Conclusion</w:t>
      </w:r>
      <w:bookmarkEnd w:id="31"/>
    </w:p>
    <w:p w14:paraId="6BC0F4FE" w14:textId="77777777" w:rsidR="004B3624" w:rsidRDefault="004B3624" w:rsidP="004B3624">
      <w:r w:rsidRPr="00645178">
        <w:t xml:space="preserve">Thus, </w:t>
      </w:r>
      <w:proofErr w:type="gramStart"/>
      <w:r w:rsidRPr="00645178">
        <w:t>it is clear that exchange</w:t>
      </w:r>
      <w:proofErr w:type="gramEnd"/>
      <w:r w:rsidRPr="00645178">
        <w:t xml:space="preserve"> rate risk management is important for the stability and the effectiveness of MNEs given the rise in the globalization process</w:t>
      </w:r>
      <w:r w:rsidRPr="00BC49B2">
        <w:t xml:space="preserve">. The global FDI leads to the emergence of different risks affecting MNEs, commonly known as transaction, translation, and economic risks that have extensive effects on businesses’ performance and market standing. These risks necessitate important management strategies like hedging, natural hedging, diversification, and using new technologies in the management of the firm. Besides, compliance with the laws and developing partnership relations contribute to mitigating the impact of these fluctuations for the MNEs. In other words, with the right approach to dealing with exchange rate risks, MNEs </w:t>
      </w:r>
      <w:proofErr w:type="gramStart"/>
      <w:r w:rsidRPr="00BC49B2">
        <w:t xml:space="preserve">have </w:t>
      </w:r>
      <w:r w:rsidRPr="00BC49B2">
        <w:lastRenderedPageBreak/>
        <w:t>the ability to</w:t>
      </w:r>
      <w:proofErr w:type="gramEnd"/>
      <w:r w:rsidRPr="00BC49B2">
        <w:t xml:space="preserve"> survive and </w:t>
      </w:r>
      <w:r>
        <w:t>show</w:t>
      </w:r>
      <w:r w:rsidRPr="00BC49B2">
        <w:t xml:space="preserve"> good profits in the long run if they adopt the right risk management framework.</w:t>
      </w:r>
    </w:p>
    <w:p w14:paraId="47C9ECF3" w14:textId="77777777" w:rsidR="002C101B" w:rsidRDefault="002C101B" w:rsidP="000F156B">
      <w:pPr>
        <w:rPr>
          <w:lang w:val="en-IN"/>
        </w:rPr>
      </w:pPr>
    </w:p>
    <w:p w14:paraId="2ADF5BDE" w14:textId="77777777" w:rsidR="00004BE5" w:rsidRPr="00004BE5" w:rsidRDefault="00004BE5" w:rsidP="000F156B">
      <w:pPr>
        <w:rPr>
          <w:lang w:val="en-IN"/>
        </w:rPr>
      </w:pPr>
    </w:p>
    <w:p w14:paraId="3CDEC6D7" w14:textId="77777777" w:rsidR="00F6553E" w:rsidRDefault="00F6553E" w:rsidP="000F156B">
      <w:r>
        <w:br w:type="page"/>
      </w:r>
    </w:p>
    <w:p w14:paraId="3A3B34FA" w14:textId="3ADD2321" w:rsidR="00004BE5" w:rsidRDefault="00004BE5" w:rsidP="000F156B">
      <w:pPr>
        <w:pStyle w:val="Heading1"/>
        <w:rPr>
          <w:rFonts w:eastAsia="Times New Roman"/>
          <w:lang w:val="en-IN" w:eastAsia="en-GB"/>
        </w:rPr>
      </w:pPr>
      <w:bookmarkStart w:id="32" w:name="_Toc169370483"/>
      <w:r>
        <w:rPr>
          <w:rFonts w:eastAsia="Times New Roman"/>
          <w:lang w:val="en-IN" w:eastAsia="en-GB"/>
        </w:rPr>
        <w:lastRenderedPageBreak/>
        <w:t xml:space="preserve">Chapter </w:t>
      </w:r>
      <w:r w:rsidR="002C101B">
        <w:rPr>
          <w:rFonts w:eastAsia="Times New Roman"/>
          <w:lang w:val="en-IN" w:eastAsia="en-GB"/>
        </w:rPr>
        <w:t>6</w:t>
      </w:r>
      <w:r>
        <w:rPr>
          <w:rFonts w:eastAsia="Times New Roman"/>
          <w:lang w:val="en-IN" w:eastAsia="en-GB"/>
        </w:rPr>
        <w:t>: Conclusion</w:t>
      </w:r>
      <w:bookmarkEnd w:id="32"/>
    </w:p>
    <w:p w14:paraId="66351314" w14:textId="7369BB16"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In this dissertation, the researcher delved deep into the challenges faced by multinational companies (MNEs) when dealing with exchange rate fluctuations. By combining theoretical insights with real-world data, the study aimed to uncover the complexities surrounding exchange rate risks and their impact on MNEs' performance. This concluding chapter summarizes the main findings, ties together the overarching argument, and suggests directions for future research and practical applications.</w:t>
      </w:r>
    </w:p>
    <w:p w14:paraId="1D29E57F"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The study found that exchange rate risks come in various forms, such as transaction exposure, translation exposure, and operating exposure. These risks can significantly affect MNEs' financial stability, competitiveness, and operational efficiency. Drawing from existing research, the study confirmed the multifaceted nature of these risks and how they play out in the real world for MNEs.</w:t>
      </w:r>
    </w:p>
    <w:p w14:paraId="6B55FCF2"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One interesting discovery was the importance of strategic planning in managing exchange rate risks, particularly regarding operational exposure. Contrary to common belief, the study revealed instances where a decrease in the exchange rate actually benefited MNEs by making their exports more competitive. This unexpected finding highlights the need for strategic foresight in leveraging exchange rate fluctuations to gain a competitive edge.</w:t>
      </w:r>
    </w:p>
    <w:p w14:paraId="5CD5B883"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Furthermore, the study shed light on the challenges MNEs face in complying with different regulatory frameworks across countries. Navigating these regulations adds complexity to exchange rate management and requires MNEs to proactively ensure compliance to avoid legal risks and protect their reputation.</w:t>
      </w:r>
    </w:p>
    <w:p w14:paraId="0E146950"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Another key insight was the complexity of implementing hedging strategies to mitigate exchange rate risks. While hedging can protect MNEs from currency fluctuations, relying too heavily on hedging instruments can also erode profit margins and financial stability. This finding emphasizes the importance of carefully weighing the costs and benefits of hedging decisions.</w:t>
      </w:r>
    </w:p>
    <w:p w14:paraId="4018CEDF"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 xml:space="preserve">By addressing these objectives, the study contributes to both the general understanding of exchange rate management and the specific field of international business. By integrating </w:t>
      </w:r>
      <w:r w:rsidRPr="00004BE5">
        <w:rPr>
          <w:rFonts w:eastAsia="Times New Roman" w:cs="Times New Roman"/>
          <w:color w:val="000000"/>
          <w:szCs w:val="24"/>
          <w:lang w:val="en-IN" w:eastAsia="en-GB"/>
        </w:rPr>
        <w:lastRenderedPageBreak/>
        <w:t>theoretical insights with empirical evidence, the study enriches our understanding of how exchange rate dynamics impact MNEs' performance.</w:t>
      </w:r>
    </w:p>
    <w:p w14:paraId="12C50C51"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Looking ahead, there are several areas that warrant further exploration. Future research could delve deeper into the factors driving exchange rate fluctuations and how they affect different industries and regions. Longitudinal studies tracking changes in exchange rate management practices over time could provide valuable insights into emerging trends and best practices. Additionally, investigating alternative risk mitigation strategies, such as natural hedging and diversification, could offer new perspectives on managing exchange rate risks effectively.</w:t>
      </w:r>
    </w:p>
    <w:p w14:paraId="2C7647F5" w14:textId="78CD1BDB" w:rsid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In conclusion, this dissertation provides a comprehensive examination of exchange rate management challenges facing MNEs. By combining theoretical insights with real-world data, the study advances our understanding of how exchange rate fluctuations impact MNEs' performance and offers practical implications for navigating these challenges in an increasingly volatile global market.</w:t>
      </w:r>
    </w:p>
    <w:p w14:paraId="0E8D0886" w14:textId="77777777" w:rsidR="00D30E52" w:rsidRDefault="00D30E52" w:rsidP="000F156B">
      <w:pPr>
        <w:pStyle w:val="Heading1"/>
        <w:rPr>
          <w:rFonts w:eastAsia="Times New Roman"/>
          <w:lang w:val="en-IN" w:eastAsia="en-GB"/>
        </w:rPr>
      </w:pPr>
    </w:p>
    <w:p w14:paraId="3C0112E8" w14:textId="538CC8A8" w:rsidR="00004BE5" w:rsidRDefault="00D30E52" w:rsidP="000F156B">
      <w:pPr>
        <w:pStyle w:val="Heading1"/>
        <w:rPr>
          <w:rFonts w:eastAsia="Times New Roman"/>
          <w:lang w:val="en-IN" w:eastAsia="en-GB"/>
        </w:rPr>
      </w:pPr>
      <w:r>
        <w:rPr>
          <w:rFonts w:eastAsia="Times New Roman"/>
          <w:lang w:val="en-IN" w:eastAsia="en-GB"/>
        </w:rPr>
        <w:br w:type="column"/>
      </w:r>
      <w:bookmarkStart w:id="33" w:name="_Toc169370484"/>
      <w:r w:rsidR="00004BE5">
        <w:rPr>
          <w:rFonts w:eastAsia="Times New Roman"/>
          <w:lang w:val="en-IN" w:eastAsia="en-GB"/>
        </w:rPr>
        <w:lastRenderedPageBreak/>
        <w:t xml:space="preserve">Chapter </w:t>
      </w:r>
      <w:r w:rsidR="002C101B">
        <w:rPr>
          <w:rFonts w:eastAsia="Times New Roman"/>
          <w:lang w:val="en-IN" w:eastAsia="en-GB"/>
        </w:rPr>
        <w:t>7</w:t>
      </w:r>
      <w:r w:rsidR="00004BE5">
        <w:rPr>
          <w:rFonts w:eastAsia="Times New Roman"/>
          <w:lang w:val="en-IN" w:eastAsia="en-GB"/>
        </w:rPr>
        <w:t>: Recommendations</w:t>
      </w:r>
      <w:bookmarkEnd w:id="33"/>
      <w:r w:rsidR="00004BE5">
        <w:rPr>
          <w:rFonts w:eastAsia="Times New Roman"/>
          <w:lang w:val="en-IN" w:eastAsia="en-GB"/>
        </w:rPr>
        <w:t xml:space="preserve"> </w:t>
      </w:r>
    </w:p>
    <w:p w14:paraId="001CD9FE"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t>Based on the findings and analysis presented in the dissertation, several recommendations emerge to assist multinational enterprises (MNEs) in navigating the complexities of exchange rate management more effectively. These recommendations are aimed at enhancing MNEs' resilience, strategic agility, and operational efficiency in the face of exchange rate volatility.</w:t>
      </w:r>
    </w:p>
    <w:p w14:paraId="6DE38CE8"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Develop Robust Risk Management Frameworks</w:t>
      </w:r>
      <w:r w:rsidRPr="00004BE5">
        <w:rPr>
          <w:rFonts w:eastAsia="Times New Roman" w:cs="Times New Roman"/>
          <w:color w:val="000000"/>
          <w:szCs w:val="24"/>
          <w:lang w:val="en-IN" w:eastAsia="en-GB"/>
        </w:rPr>
        <w:t>: MNEs should prioritize the development of robust risk management frameworks to identify, assess, and mitigate exchange rate risks comprehensively. This entails conducting regular risk assessments, integrating risk management into strategic planning processes, and establishing clear accountability structures for managing exchange rate risks across organizational levels.</w:t>
      </w:r>
    </w:p>
    <w:p w14:paraId="4DA1A3DB"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Adopt a Balanced Hedging Strategy</w:t>
      </w:r>
      <w:r w:rsidRPr="00004BE5">
        <w:rPr>
          <w:rFonts w:eastAsia="Times New Roman" w:cs="Times New Roman"/>
          <w:color w:val="000000"/>
          <w:szCs w:val="24"/>
          <w:lang w:val="en-IN" w:eastAsia="en-GB"/>
        </w:rPr>
        <w:t>: While hedging can serve as a valuable tool for mitigating exchange rate risks, MNEs should adopt a balanced approach to hedging that aligns with their risk tolerance, financial objectives, and market dynamics. This involves diversifying hedging instruments, optimizing hedging ratios, and periodically reassessing hedging strategies in response to changing market conditions.</w:t>
      </w:r>
    </w:p>
    <w:p w14:paraId="4D17EF49"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Enhance Regulatory Compliance</w:t>
      </w:r>
      <w:r w:rsidRPr="00004BE5">
        <w:rPr>
          <w:rFonts w:eastAsia="Times New Roman" w:cs="Times New Roman"/>
          <w:color w:val="000000"/>
          <w:szCs w:val="24"/>
          <w:lang w:val="en-IN" w:eastAsia="en-GB"/>
        </w:rPr>
        <w:t>: Given the diverse regulatory frameworks governing foreign exchange transactions, MNEs should prioritize compliance by staying abreast of regulatory developments, conducting regular compliance audits, and investing in training programs to ensure employees understand and adhere to regulatory requirements.</w:t>
      </w:r>
    </w:p>
    <w:p w14:paraId="2A439E7C"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Leverage Technological Solutions</w:t>
      </w:r>
      <w:r w:rsidRPr="00004BE5">
        <w:rPr>
          <w:rFonts w:eastAsia="Times New Roman" w:cs="Times New Roman"/>
          <w:color w:val="000000"/>
          <w:szCs w:val="24"/>
          <w:lang w:val="en-IN" w:eastAsia="en-GB"/>
        </w:rPr>
        <w:t xml:space="preserve">: MNEs should leverage technological solutions, such as advanced analytics, artificial intelligence, and risk management software, to enhance their capacity to </w:t>
      </w:r>
      <w:proofErr w:type="spellStart"/>
      <w:r w:rsidRPr="00004BE5">
        <w:rPr>
          <w:rFonts w:eastAsia="Times New Roman" w:cs="Times New Roman"/>
          <w:color w:val="000000"/>
          <w:szCs w:val="24"/>
          <w:lang w:val="en-IN" w:eastAsia="en-GB"/>
        </w:rPr>
        <w:t>analyze</w:t>
      </w:r>
      <w:proofErr w:type="spellEnd"/>
      <w:r w:rsidRPr="00004BE5">
        <w:rPr>
          <w:rFonts w:eastAsia="Times New Roman" w:cs="Times New Roman"/>
          <w:color w:val="000000"/>
          <w:szCs w:val="24"/>
          <w:lang w:val="en-IN" w:eastAsia="en-GB"/>
        </w:rPr>
        <w:t xml:space="preserve"> exchange rate data, forecast currency movements, and optimize hedging strategies. Additionally, investing in training programs to enhance employees' digital literacy and technical skills can facilitate the effective utilization of technological solutions.</w:t>
      </w:r>
    </w:p>
    <w:p w14:paraId="7F23C226"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Strengthen Strategic Partnerships</w:t>
      </w:r>
      <w:r w:rsidRPr="00004BE5">
        <w:rPr>
          <w:rFonts w:eastAsia="Times New Roman" w:cs="Times New Roman"/>
          <w:color w:val="000000"/>
          <w:szCs w:val="24"/>
          <w:lang w:val="en-IN" w:eastAsia="en-GB"/>
        </w:rPr>
        <w:t xml:space="preserve">: Collaborating with financial institutions, currency experts, and regulatory authorities can provide MNEs with access to specialized expertise, market insights, and regulatory guidance needed to navigate exchange rate risks </w:t>
      </w:r>
      <w:r w:rsidRPr="00004BE5">
        <w:rPr>
          <w:rFonts w:eastAsia="Times New Roman" w:cs="Times New Roman"/>
          <w:color w:val="000000"/>
          <w:szCs w:val="24"/>
          <w:lang w:val="en-IN" w:eastAsia="en-GB"/>
        </w:rPr>
        <w:lastRenderedPageBreak/>
        <w:t>effectively. By forging strategic partnerships, MNEs can enhance their capacity to anticipate, assess, and respond to exchange rate fluctuations proactively.</w:t>
      </w:r>
    </w:p>
    <w:p w14:paraId="19DC3A79"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Integrate Exchange Rate Considerations into Strategic Decision-Making</w:t>
      </w:r>
      <w:r w:rsidRPr="00004BE5">
        <w:rPr>
          <w:rFonts w:eastAsia="Times New Roman" w:cs="Times New Roman"/>
          <w:color w:val="000000"/>
          <w:szCs w:val="24"/>
          <w:lang w:val="en-IN" w:eastAsia="en-GB"/>
        </w:rPr>
        <w:t>: MNEs should integrate exchange rate considerations into strategic decision-making processes across functional areas, including pricing, sourcing, investment, and expansion strategies. This entails conducting scenario analyses, stress testing, and sensitivity analysis to assess the impact of exchange rate fluctuations on key performance indicators and inform strategic decision-making.</w:t>
      </w:r>
    </w:p>
    <w:p w14:paraId="30BBE171"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Invest in Talent Development</w:t>
      </w:r>
      <w:r w:rsidRPr="00004BE5">
        <w:rPr>
          <w:rFonts w:eastAsia="Times New Roman" w:cs="Times New Roman"/>
          <w:color w:val="000000"/>
          <w:szCs w:val="24"/>
          <w:lang w:val="en-IN" w:eastAsia="en-GB"/>
        </w:rPr>
        <w:t>: Given the complexity of exchange rate management, MNEs should invest in talent development initiatives to equip employees with the requisite knowledge, skills, and competencies to manage exchange rate risks effectively. This involves providing training programs, professional development opportunities, and mentorship initiatives to cultivate a cadre of exchange rate management experts within the organization.</w:t>
      </w:r>
    </w:p>
    <w:p w14:paraId="32C46958"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Promote Organizational Learning and Knowledge Sharing</w:t>
      </w:r>
      <w:r w:rsidRPr="00004BE5">
        <w:rPr>
          <w:rFonts w:eastAsia="Times New Roman" w:cs="Times New Roman"/>
          <w:color w:val="000000"/>
          <w:szCs w:val="24"/>
          <w:lang w:val="en-IN" w:eastAsia="en-GB"/>
        </w:rPr>
        <w:t>: Establishing mechanisms for organizational learning and knowledge sharing can facilitate the dissemination of best practices, lessons learned, and emerging trends in exchange rate management across the organization. This can involve creating communities of practice, organizing workshops, and fostering a culture of continuous improvement and innovation in exchange rate management.</w:t>
      </w:r>
    </w:p>
    <w:p w14:paraId="340A1EC6"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Monitor and Evaluate Performance Metrics</w:t>
      </w:r>
      <w:r w:rsidRPr="00004BE5">
        <w:rPr>
          <w:rFonts w:eastAsia="Times New Roman" w:cs="Times New Roman"/>
          <w:color w:val="000000"/>
          <w:szCs w:val="24"/>
          <w:lang w:val="en-IN" w:eastAsia="en-GB"/>
        </w:rPr>
        <w:t>: MNEs should establish key performance indicators (KPIs) and metrics to monitor the effectiveness of exchange rate management strategies, assess performance against predetermined targets, and identify areas for improvement. Regular performance reviews and post-implementation evaluations can provide valuable insights into the efficacy of exchange rate management initiatives and inform future decision-making.</w:t>
      </w:r>
    </w:p>
    <w:p w14:paraId="034B688D" w14:textId="77777777" w:rsidR="00004BE5" w:rsidRPr="00004BE5" w:rsidRDefault="00004BE5" w:rsidP="000F156B">
      <w:pPr>
        <w:numPr>
          <w:ilvl w:val="0"/>
          <w:numId w:val="17"/>
        </w:numPr>
        <w:spacing w:before="100" w:beforeAutospacing="1" w:after="100" w:afterAutospacing="1"/>
        <w:rPr>
          <w:rFonts w:eastAsia="Times New Roman" w:cs="Times New Roman"/>
          <w:color w:val="000000"/>
          <w:szCs w:val="24"/>
          <w:lang w:val="en-IN" w:eastAsia="en-GB"/>
        </w:rPr>
      </w:pPr>
      <w:r w:rsidRPr="00004BE5">
        <w:rPr>
          <w:rFonts w:eastAsia="Times New Roman" w:cs="Times New Roman"/>
          <w:b/>
          <w:bCs/>
          <w:color w:val="000000"/>
          <w:szCs w:val="24"/>
          <w:lang w:val="en-IN" w:eastAsia="en-GB"/>
        </w:rPr>
        <w:t>Stay Agile and Adaptive</w:t>
      </w:r>
      <w:r w:rsidRPr="00004BE5">
        <w:rPr>
          <w:rFonts w:eastAsia="Times New Roman" w:cs="Times New Roman"/>
          <w:color w:val="000000"/>
          <w:szCs w:val="24"/>
          <w:lang w:val="en-IN" w:eastAsia="en-GB"/>
        </w:rPr>
        <w:t>: In a rapidly evolving global market environment, MNEs must remain agile and adaptive to navigate unforeseen challenges and capitalize on emerging opportunities. This entails fostering a culture of innovation, flexibility, and resilience that enables MNEs to respond swiftly and effectively to changes in exchange rate dynamics, regulatory environments, and competitive landscapes.</w:t>
      </w:r>
    </w:p>
    <w:p w14:paraId="7EF69BCC" w14:textId="77777777" w:rsidR="00004BE5" w:rsidRPr="00004BE5" w:rsidRDefault="00004BE5" w:rsidP="000F156B">
      <w:pPr>
        <w:spacing w:before="100" w:beforeAutospacing="1" w:after="100" w:afterAutospacing="1"/>
        <w:rPr>
          <w:rFonts w:eastAsia="Times New Roman" w:cs="Times New Roman"/>
          <w:color w:val="000000"/>
          <w:szCs w:val="24"/>
          <w:lang w:val="en-IN" w:eastAsia="en-GB"/>
        </w:rPr>
      </w:pPr>
      <w:r w:rsidRPr="00004BE5">
        <w:rPr>
          <w:rFonts w:eastAsia="Times New Roman" w:cs="Times New Roman"/>
          <w:color w:val="000000"/>
          <w:szCs w:val="24"/>
          <w:lang w:val="en-IN" w:eastAsia="en-GB"/>
        </w:rPr>
        <w:lastRenderedPageBreak/>
        <w:t>By implementing these recommendations, MNEs can enhance their capacity to manage exchange rate risks proactively, mitigate potential adverse impacts on financial performance, and capitalize on opportunities for value creation in an increasingly interconnected and dynamic global marketplace.</w:t>
      </w:r>
    </w:p>
    <w:p w14:paraId="55C3D241" w14:textId="77777777" w:rsidR="00004BE5" w:rsidRPr="00004BE5" w:rsidRDefault="00004BE5" w:rsidP="000F156B">
      <w:pPr>
        <w:pBdr>
          <w:bottom w:val="single" w:sz="6" w:space="1" w:color="auto"/>
        </w:pBdr>
        <w:spacing w:after="0"/>
        <w:rPr>
          <w:rFonts w:ascii="Arial" w:eastAsia="Times New Roman" w:hAnsi="Arial" w:cs="Arial"/>
          <w:vanish/>
          <w:sz w:val="16"/>
          <w:szCs w:val="16"/>
          <w:lang w:val="en-IN" w:eastAsia="en-GB"/>
        </w:rPr>
      </w:pPr>
      <w:r w:rsidRPr="00004BE5">
        <w:rPr>
          <w:rFonts w:ascii="Arial" w:eastAsia="Times New Roman" w:hAnsi="Arial" w:cs="Arial"/>
          <w:vanish/>
          <w:sz w:val="16"/>
          <w:szCs w:val="16"/>
          <w:lang w:val="en-IN" w:eastAsia="en-GB"/>
        </w:rPr>
        <w:t>Top of Form</w:t>
      </w:r>
    </w:p>
    <w:p w14:paraId="5465DCCE" w14:textId="77777777" w:rsidR="00004BE5" w:rsidRPr="00004BE5" w:rsidRDefault="00004BE5" w:rsidP="000F156B">
      <w:pPr>
        <w:pBdr>
          <w:top w:val="single" w:sz="6" w:space="1" w:color="auto"/>
        </w:pBdr>
        <w:spacing w:after="0"/>
        <w:rPr>
          <w:rFonts w:ascii="Arial" w:eastAsia="Times New Roman" w:hAnsi="Arial" w:cs="Arial"/>
          <w:vanish/>
          <w:sz w:val="16"/>
          <w:szCs w:val="16"/>
          <w:lang w:val="en-IN" w:eastAsia="en-GB"/>
        </w:rPr>
      </w:pPr>
      <w:r w:rsidRPr="00004BE5">
        <w:rPr>
          <w:rFonts w:ascii="Arial" w:eastAsia="Times New Roman" w:hAnsi="Arial" w:cs="Arial"/>
          <w:vanish/>
          <w:sz w:val="16"/>
          <w:szCs w:val="16"/>
          <w:lang w:val="en-IN" w:eastAsia="en-GB"/>
        </w:rPr>
        <w:t>Bottom of Form</w:t>
      </w:r>
    </w:p>
    <w:p w14:paraId="55CF0131" w14:textId="77777777" w:rsidR="00004BE5" w:rsidRPr="00004BE5" w:rsidRDefault="00004BE5" w:rsidP="000F156B">
      <w:pPr>
        <w:rPr>
          <w:lang w:val="en-IN" w:eastAsia="en-GB"/>
        </w:rPr>
      </w:pPr>
    </w:p>
    <w:p w14:paraId="1A0D8645" w14:textId="77777777" w:rsidR="00004BE5" w:rsidRDefault="00004BE5" w:rsidP="000F156B">
      <w:pPr>
        <w:rPr>
          <w:rFonts w:eastAsiaTheme="majorEastAsia" w:cstheme="majorBidi"/>
          <w:b/>
          <w:bCs/>
          <w:sz w:val="28"/>
          <w:szCs w:val="28"/>
        </w:rPr>
      </w:pPr>
      <w:r>
        <w:br w:type="page"/>
      </w:r>
    </w:p>
    <w:p w14:paraId="4F80A278" w14:textId="7D4FA897" w:rsidR="00F6553E" w:rsidRDefault="00F6553E" w:rsidP="000F156B">
      <w:pPr>
        <w:pStyle w:val="Heading1"/>
      </w:pPr>
      <w:bookmarkStart w:id="34" w:name="_Toc169370485"/>
      <w:r>
        <w:lastRenderedPageBreak/>
        <w:t>Reference</w:t>
      </w:r>
      <w:r w:rsidR="007A147F">
        <w:t>s</w:t>
      </w:r>
      <w:bookmarkEnd w:id="34"/>
    </w:p>
    <w:p w14:paraId="1452A7CB" w14:textId="77777777" w:rsidR="005429C3" w:rsidRPr="005429C3" w:rsidRDefault="005429C3" w:rsidP="005429C3">
      <w:pPr>
        <w:rPr>
          <w:shd w:val="clear" w:color="auto" w:fill="FFFFFF"/>
        </w:rPr>
      </w:pPr>
      <w:r w:rsidRPr="005429C3">
        <w:rPr>
          <w:shd w:val="clear" w:color="auto" w:fill="FFFFFF"/>
        </w:rPr>
        <w:t>Al-</w:t>
      </w:r>
      <w:proofErr w:type="spellStart"/>
      <w:r w:rsidRPr="005429C3">
        <w:rPr>
          <w:shd w:val="clear" w:color="auto" w:fill="FFFFFF"/>
        </w:rPr>
        <w:t>Ababneh</w:t>
      </w:r>
      <w:proofErr w:type="spellEnd"/>
      <w:r w:rsidRPr="005429C3">
        <w:rPr>
          <w:shd w:val="clear" w:color="auto" w:fill="FFFFFF"/>
        </w:rPr>
        <w:t xml:space="preserve">, M., 2020. Linking ontology, </w:t>
      </w:r>
      <w:proofErr w:type="gramStart"/>
      <w:r w:rsidRPr="005429C3">
        <w:rPr>
          <w:shd w:val="clear" w:color="auto" w:fill="FFFFFF"/>
        </w:rPr>
        <w:t>epistemology</w:t>
      </w:r>
      <w:proofErr w:type="gramEnd"/>
      <w:r w:rsidRPr="005429C3">
        <w:rPr>
          <w:shd w:val="clear" w:color="auto" w:fill="FFFFFF"/>
        </w:rPr>
        <w:t xml:space="preserve"> and research methodology. </w:t>
      </w:r>
      <w:r w:rsidRPr="005429C3">
        <w:rPr>
          <w:i/>
          <w:iCs/>
          <w:shd w:val="clear" w:color="auto" w:fill="FFFFFF"/>
        </w:rPr>
        <w:t>Science &amp; Philosophy</w:t>
      </w:r>
      <w:r w:rsidRPr="005429C3">
        <w:rPr>
          <w:shd w:val="clear" w:color="auto" w:fill="FFFFFF"/>
        </w:rPr>
        <w:t xml:space="preserve">, </w:t>
      </w:r>
      <w:r w:rsidRPr="005429C3">
        <w:rPr>
          <w:i/>
          <w:iCs/>
          <w:shd w:val="clear" w:color="auto" w:fill="FFFFFF"/>
        </w:rPr>
        <w:t>8</w:t>
      </w:r>
      <w:r w:rsidRPr="005429C3">
        <w:rPr>
          <w:shd w:val="clear" w:color="auto" w:fill="FFFFFF"/>
        </w:rPr>
        <w:t>(1), pp.75-91.</w:t>
      </w:r>
    </w:p>
    <w:p w14:paraId="41FBD46A" w14:textId="77777777" w:rsidR="005429C3" w:rsidRPr="0026639E" w:rsidRDefault="005429C3" w:rsidP="005429C3">
      <w:r>
        <w:t xml:space="preserve">Ali, T., Butt, A., Arslan, A., </w:t>
      </w:r>
      <w:proofErr w:type="spellStart"/>
      <w:r>
        <w:t>Tarba</w:t>
      </w:r>
      <w:proofErr w:type="spellEnd"/>
      <w:r>
        <w:t xml:space="preserve">, S.Y., </w:t>
      </w:r>
      <w:proofErr w:type="spellStart"/>
      <w:r>
        <w:t>Sniazhko</w:t>
      </w:r>
      <w:proofErr w:type="spellEnd"/>
      <w:r>
        <w:t xml:space="preserve">, S.A. and </w:t>
      </w:r>
      <w:proofErr w:type="spellStart"/>
      <w:r>
        <w:t>Kontkanen</w:t>
      </w:r>
      <w:proofErr w:type="spellEnd"/>
      <w:r>
        <w:t>, M., 2021. International projects and political risk management by multinational enterprises: insights from multiple emerging markets. </w:t>
      </w:r>
      <w:r w:rsidRPr="005429C3">
        <w:rPr>
          <w:i/>
          <w:iCs/>
        </w:rPr>
        <w:t>International marketing review, 38</w:t>
      </w:r>
      <w:r>
        <w:t>(6), pp.1113-1142.</w:t>
      </w:r>
    </w:p>
    <w:p w14:paraId="7510ACCA" w14:textId="77777777" w:rsidR="005429C3" w:rsidRDefault="005429C3" w:rsidP="005429C3">
      <w:proofErr w:type="spellStart"/>
      <w:r w:rsidRPr="005429C3">
        <w:rPr>
          <w:shd w:val="clear" w:color="auto" w:fill="FFFFFF"/>
        </w:rPr>
        <w:t>Arvi</w:t>
      </w:r>
      <w:proofErr w:type="spellEnd"/>
      <w:r w:rsidRPr="005429C3">
        <w:rPr>
          <w:shd w:val="clear" w:color="auto" w:fill="FFFFFF"/>
        </w:rPr>
        <w:t xml:space="preserve">, L., </w:t>
      </w:r>
      <w:proofErr w:type="spellStart"/>
      <w:r w:rsidRPr="005429C3">
        <w:rPr>
          <w:shd w:val="clear" w:color="auto" w:fill="FFFFFF"/>
        </w:rPr>
        <w:t>Manakyan</w:t>
      </w:r>
      <w:proofErr w:type="spellEnd"/>
      <w:r w:rsidRPr="005429C3">
        <w:rPr>
          <w:shd w:val="clear" w:color="auto" w:fill="FFFFFF"/>
        </w:rPr>
        <w:t xml:space="preserve">, H. and </w:t>
      </w:r>
      <w:proofErr w:type="spellStart"/>
      <w:r w:rsidRPr="005429C3">
        <w:rPr>
          <w:shd w:val="clear" w:color="auto" w:fill="FFFFFF"/>
        </w:rPr>
        <w:t>Khazeh</w:t>
      </w:r>
      <w:proofErr w:type="spellEnd"/>
      <w:r w:rsidRPr="005429C3">
        <w:rPr>
          <w:shd w:val="clear" w:color="auto" w:fill="FFFFFF"/>
        </w:rPr>
        <w:t xml:space="preserve">, K., 2023. Estimated Impact of Covid-19 on Exchange Rate Risk of Multinational Enterprises Operating in Emerging Markets. </w:t>
      </w:r>
      <w:r w:rsidRPr="005429C3">
        <w:rPr>
          <w:i/>
          <w:iCs/>
          <w:shd w:val="clear" w:color="auto" w:fill="FFFFFF"/>
        </w:rPr>
        <w:t>International Journal of Economics and Financial Issues</w:t>
      </w:r>
      <w:r w:rsidRPr="005429C3">
        <w:rPr>
          <w:shd w:val="clear" w:color="auto" w:fill="FFFFFF"/>
        </w:rPr>
        <w:t xml:space="preserve">, </w:t>
      </w:r>
      <w:r w:rsidRPr="005429C3">
        <w:rPr>
          <w:i/>
          <w:iCs/>
          <w:shd w:val="clear" w:color="auto" w:fill="FFFFFF"/>
        </w:rPr>
        <w:t>13</w:t>
      </w:r>
      <w:r w:rsidRPr="005429C3">
        <w:rPr>
          <w:shd w:val="clear" w:color="auto" w:fill="FFFFFF"/>
        </w:rPr>
        <w:t>(4), pp.23-29.</w:t>
      </w:r>
    </w:p>
    <w:p w14:paraId="1BC1A9C3" w14:textId="77777777" w:rsidR="005429C3" w:rsidRDefault="005429C3" w:rsidP="005429C3">
      <w:proofErr w:type="spellStart"/>
      <w:r w:rsidRPr="005E504F">
        <w:t>Arvi</w:t>
      </w:r>
      <w:proofErr w:type="spellEnd"/>
      <w:r w:rsidRPr="005E504F">
        <w:t xml:space="preserve">, L., </w:t>
      </w:r>
      <w:proofErr w:type="spellStart"/>
      <w:r w:rsidRPr="005E504F">
        <w:t>Manakyan</w:t>
      </w:r>
      <w:proofErr w:type="spellEnd"/>
      <w:r w:rsidRPr="005E504F">
        <w:t xml:space="preserve">, H. and </w:t>
      </w:r>
      <w:proofErr w:type="spellStart"/>
      <w:r w:rsidRPr="005E504F">
        <w:t>Khazeh</w:t>
      </w:r>
      <w:proofErr w:type="spellEnd"/>
      <w:r w:rsidRPr="005E504F">
        <w:t>, K., 2023. Estimated Impact of Covid-19 on Exchange Rate Risk of Multinational Enterprises Operating in Emerging Markets. </w:t>
      </w:r>
      <w:r w:rsidRPr="005429C3">
        <w:rPr>
          <w:i/>
          <w:iCs/>
        </w:rPr>
        <w:t>International Journal of Economics and Financial Issues</w:t>
      </w:r>
      <w:r w:rsidRPr="005E504F">
        <w:t>, </w:t>
      </w:r>
      <w:r w:rsidRPr="005429C3">
        <w:rPr>
          <w:i/>
          <w:iCs/>
        </w:rPr>
        <w:t>13</w:t>
      </w:r>
      <w:r w:rsidRPr="005E504F">
        <w:t>(4), pp.23-29.</w:t>
      </w:r>
      <w:r>
        <w:t xml:space="preserve"> </w:t>
      </w:r>
    </w:p>
    <w:p w14:paraId="6F9A525D" w14:textId="77777777" w:rsidR="005429C3" w:rsidRDefault="005429C3" w:rsidP="005429C3">
      <w:proofErr w:type="spellStart"/>
      <w:r w:rsidRPr="005E504F">
        <w:t>Auboin</w:t>
      </w:r>
      <w:proofErr w:type="spellEnd"/>
      <w:r w:rsidRPr="005E504F">
        <w:t xml:space="preserve">, M. and </w:t>
      </w:r>
      <w:proofErr w:type="spellStart"/>
      <w:r w:rsidRPr="005E504F">
        <w:t>Ruta</w:t>
      </w:r>
      <w:proofErr w:type="spellEnd"/>
      <w:r w:rsidRPr="005E504F">
        <w:t>, M., 2013. The relationship between exchange rates and international trade: a literature review. </w:t>
      </w:r>
      <w:r w:rsidRPr="005429C3">
        <w:rPr>
          <w:i/>
          <w:iCs/>
        </w:rPr>
        <w:t>World Trade Review</w:t>
      </w:r>
      <w:r w:rsidRPr="005E504F">
        <w:t>, </w:t>
      </w:r>
      <w:r w:rsidRPr="005429C3">
        <w:rPr>
          <w:i/>
          <w:iCs/>
        </w:rPr>
        <w:t>12</w:t>
      </w:r>
      <w:r w:rsidRPr="005E504F">
        <w:t>(3), pp.577-605.</w:t>
      </w:r>
      <w:r>
        <w:t xml:space="preserve"> </w:t>
      </w:r>
    </w:p>
    <w:p w14:paraId="0E56A04A" w14:textId="77777777" w:rsidR="005429C3" w:rsidRPr="005429C3" w:rsidRDefault="005429C3" w:rsidP="005429C3">
      <w:pPr>
        <w:rPr>
          <w:shd w:val="clear" w:color="auto" w:fill="FFFFFF"/>
          <w:lang w:val="en-IN"/>
        </w:rPr>
      </w:pPr>
      <w:proofErr w:type="spellStart"/>
      <w:r w:rsidRPr="005429C3">
        <w:rPr>
          <w:shd w:val="clear" w:color="auto" w:fill="FFFFFF"/>
          <w:lang w:val="en-IN"/>
        </w:rPr>
        <w:t>Auboin</w:t>
      </w:r>
      <w:proofErr w:type="spellEnd"/>
      <w:r w:rsidRPr="005429C3">
        <w:rPr>
          <w:shd w:val="clear" w:color="auto" w:fill="FFFFFF"/>
          <w:lang w:val="en-IN"/>
        </w:rPr>
        <w:t xml:space="preserve">, M. and </w:t>
      </w:r>
      <w:proofErr w:type="spellStart"/>
      <w:r w:rsidRPr="005429C3">
        <w:rPr>
          <w:shd w:val="clear" w:color="auto" w:fill="FFFFFF"/>
          <w:lang w:val="en-IN"/>
        </w:rPr>
        <w:t>Ruta</w:t>
      </w:r>
      <w:proofErr w:type="spellEnd"/>
      <w:r w:rsidRPr="005429C3">
        <w:rPr>
          <w:shd w:val="clear" w:color="auto" w:fill="FFFFFF"/>
          <w:lang w:val="en-IN"/>
        </w:rPr>
        <w:t>, M., 2013. The relationship between exchange rates and international trade: a literature review. </w:t>
      </w:r>
      <w:r w:rsidRPr="005429C3">
        <w:rPr>
          <w:i/>
          <w:iCs/>
          <w:shd w:val="clear" w:color="auto" w:fill="FFFFFF"/>
          <w:lang w:val="en-IN"/>
        </w:rPr>
        <w:t>World Trade Review</w:t>
      </w:r>
      <w:r w:rsidRPr="005429C3">
        <w:rPr>
          <w:shd w:val="clear" w:color="auto" w:fill="FFFFFF"/>
          <w:lang w:val="en-IN"/>
        </w:rPr>
        <w:t>, </w:t>
      </w:r>
      <w:r w:rsidRPr="005429C3">
        <w:rPr>
          <w:i/>
          <w:iCs/>
          <w:shd w:val="clear" w:color="auto" w:fill="FFFFFF"/>
          <w:lang w:val="en-IN"/>
        </w:rPr>
        <w:t>12</w:t>
      </w:r>
      <w:r w:rsidRPr="005429C3">
        <w:rPr>
          <w:shd w:val="clear" w:color="auto" w:fill="FFFFFF"/>
          <w:lang w:val="en-IN"/>
        </w:rPr>
        <w:t>(3), pp.577-605.</w:t>
      </w:r>
    </w:p>
    <w:p w14:paraId="2C4FFCF1" w14:textId="77777777" w:rsidR="005429C3" w:rsidRDefault="005429C3" w:rsidP="005429C3">
      <w:proofErr w:type="spellStart"/>
      <w:r w:rsidRPr="005E504F">
        <w:t>Avdjiev</w:t>
      </w:r>
      <w:proofErr w:type="spellEnd"/>
      <w:r w:rsidRPr="005E504F">
        <w:t xml:space="preserve">, S., Bruno, V., Koch, </w:t>
      </w:r>
      <w:proofErr w:type="gramStart"/>
      <w:r w:rsidRPr="005E504F">
        <w:t>C.</w:t>
      </w:r>
      <w:proofErr w:type="gramEnd"/>
      <w:r w:rsidRPr="005E504F">
        <w:t xml:space="preserve"> and Shin, H.S., 2019. The dollar exchange rate as a global risk factor: evidence from investment. </w:t>
      </w:r>
      <w:r w:rsidRPr="005429C3">
        <w:rPr>
          <w:i/>
          <w:iCs/>
        </w:rPr>
        <w:t>IMF Economic Review</w:t>
      </w:r>
      <w:r w:rsidRPr="005E504F">
        <w:t>, </w:t>
      </w:r>
      <w:r w:rsidRPr="005429C3">
        <w:rPr>
          <w:i/>
          <w:iCs/>
        </w:rPr>
        <w:t>67</w:t>
      </w:r>
      <w:r w:rsidRPr="005E504F">
        <w:t>, pp.151-173.</w:t>
      </w:r>
      <w:r>
        <w:t xml:space="preserve"> </w:t>
      </w:r>
    </w:p>
    <w:p w14:paraId="13A77D06" w14:textId="77777777" w:rsidR="005429C3" w:rsidRPr="005429C3" w:rsidRDefault="005429C3" w:rsidP="005429C3">
      <w:pPr>
        <w:rPr>
          <w:rFonts w:cs="Times New Roman"/>
          <w:szCs w:val="24"/>
          <w:lang w:eastAsia="en-GB"/>
        </w:rPr>
      </w:pPr>
      <w:r w:rsidRPr="005429C3">
        <w:rPr>
          <w:shd w:val="clear" w:color="auto" w:fill="FFFFFF"/>
          <w:lang w:eastAsia="en-GB"/>
        </w:rPr>
        <w:t xml:space="preserve">Bergman, F. and </w:t>
      </w:r>
      <w:proofErr w:type="spellStart"/>
      <w:r w:rsidRPr="005429C3">
        <w:rPr>
          <w:shd w:val="clear" w:color="auto" w:fill="FFFFFF"/>
          <w:lang w:eastAsia="en-GB"/>
        </w:rPr>
        <w:t>Rosén</w:t>
      </w:r>
      <w:proofErr w:type="spellEnd"/>
      <w:r w:rsidRPr="005429C3">
        <w:rPr>
          <w:shd w:val="clear" w:color="auto" w:fill="FFFFFF"/>
          <w:lang w:eastAsia="en-GB"/>
        </w:rPr>
        <w:t>, M., 2021. Strategies for mitigating foreign exchange risk.</w:t>
      </w:r>
    </w:p>
    <w:p w14:paraId="1B740FFF" w14:textId="77777777" w:rsidR="005429C3" w:rsidRPr="005429C3" w:rsidRDefault="005429C3" w:rsidP="005429C3">
      <w:pPr>
        <w:rPr>
          <w:lang w:val="en-IN" w:eastAsia="en-GB"/>
        </w:rPr>
      </w:pPr>
      <w:r w:rsidRPr="005429C3">
        <w:rPr>
          <w:lang w:val="en-IN" w:eastAsia="en-GB"/>
        </w:rPr>
        <w:t xml:space="preserve">Bryman, A., </w:t>
      </w:r>
      <w:r w:rsidRPr="005429C3">
        <w:rPr>
          <w:lang w:val="en-IN" w:eastAsia="en-GB"/>
        </w:rPr>
        <w:t>and</w:t>
      </w:r>
      <w:r w:rsidRPr="005429C3">
        <w:rPr>
          <w:lang w:val="en-IN" w:eastAsia="en-GB"/>
        </w:rPr>
        <w:t xml:space="preserve"> Bell, E.</w:t>
      </w:r>
      <w:r w:rsidRPr="005429C3">
        <w:rPr>
          <w:lang w:val="en-IN" w:eastAsia="en-GB"/>
        </w:rPr>
        <w:t xml:space="preserve">, </w:t>
      </w:r>
      <w:r w:rsidRPr="005429C3">
        <w:rPr>
          <w:lang w:val="en-IN" w:eastAsia="en-GB"/>
        </w:rPr>
        <w:t xml:space="preserve">2015. </w:t>
      </w:r>
      <w:r w:rsidRPr="005429C3">
        <w:rPr>
          <w:i/>
          <w:iCs/>
          <w:lang w:val="en-IN" w:eastAsia="en-GB"/>
        </w:rPr>
        <w:t>Business Research Methods</w:t>
      </w:r>
      <w:r w:rsidRPr="005429C3">
        <w:rPr>
          <w:lang w:val="en-IN" w:eastAsia="en-GB"/>
        </w:rPr>
        <w:t xml:space="preserve"> (4th ed.). Oxford University Press. </w:t>
      </w:r>
    </w:p>
    <w:p w14:paraId="4E9661AF" w14:textId="77777777" w:rsidR="005429C3" w:rsidRDefault="005429C3" w:rsidP="005429C3">
      <w:r w:rsidRPr="005429C3">
        <w:rPr>
          <w:shd w:val="clear" w:color="auto" w:fill="FFFFFF"/>
          <w:lang w:eastAsia="en-GB"/>
        </w:rPr>
        <w:t xml:space="preserve">Contractor, F.J., </w:t>
      </w:r>
      <w:proofErr w:type="spellStart"/>
      <w:r w:rsidRPr="005429C3">
        <w:rPr>
          <w:shd w:val="clear" w:color="auto" w:fill="FFFFFF"/>
          <w:lang w:eastAsia="en-GB"/>
        </w:rPr>
        <w:t>Dangol</w:t>
      </w:r>
      <w:proofErr w:type="spellEnd"/>
      <w:r w:rsidRPr="005429C3">
        <w:rPr>
          <w:shd w:val="clear" w:color="auto" w:fill="FFFFFF"/>
          <w:lang w:eastAsia="en-GB"/>
        </w:rPr>
        <w:t xml:space="preserve">, R., </w:t>
      </w:r>
      <w:proofErr w:type="spellStart"/>
      <w:r w:rsidRPr="005429C3">
        <w:rPr>
          <w:shd w:val="clear" w:color="auto" w:fill="FFFFFF"/>
          <w:lang w:eastAsia="en-GB"/>
        </w:rPr>
        <w:t>Nuruzzaman</w:t>
      </w:r>
      <w:proofErr w:type="spellEnd"/>
      <w:r w:rsidRPr="005429C3">
        <w:rPr>
          <w:shd w:val="clear" w:color="auto" w:fill="FFFFFF"/>
          <w:lang w:eastAsia="en-GB"/>
        </w:rPr>
        <w:t xml:space="preserve">, N. and Raghunath, S., 2020. How do country regulations and business environment impact foreign direct investment (FDI) </w:t>
      </w:r>
      <w:proofErr w:type="gramStart"/>
      <w:r w:rsidRPr="005429C3">
        <w:rPr>
          <w:shd w:val="clear" w:color="auto" w:fill="FFFFFF"/>
          <w:lang w:eastAsia="en-GB"/>
        </w:rPr>
        <w:t>inflows?.</w:t>
      </w:r>
      <w:proofErr w:type="gramEnd"/>
      <w:r w:rsidRPr="005429C3">
        <w:rPr>
          <w:shd w:val="clear" w:color="auto" w:fill="FFFFFF"/>
          <w:lang w:eastAsia="en-GB"/>
        </w:rPr>
        <w:t xml:space="preserve"> </w:t>
      </w:r>
      <w:r w:rsidRPr="005429C3">
        <w:rPr>
          <w:i/>
          <w:iCs/>
          <w:shd w:val="clear" w:color="auto" w:fill="FFFFFF"/>
          <w:lang w:eastAsia="en-GB"/>
        </w:rPr>
        <w:t>International Business Review</w:t>
      </w:r>
      <w:r w:rsidRPr="005429C3">
        <w:rPr>
          <w:shd w:val="clear" w:color="auto" w:fill="FFFFFF"/>
          <w:lang w:eastAsia="en-GB"/>
        </w:rPr>
        <w:t xml:space="preserve">, </w:t>
      </w:r>
      <w:r w:rsidRPr="005429C3">
        <w:rPr>
          <w:i/>
          <w:iCs/>
          <w:shd w:val="clear" w:color="auto" w:fill="FFFFFF"/>
          <w:lang w:eastAsia="en-GB"/>
        </w:rPr>
        <w:t>29</w:t>
      </w:r>
      <w:r w:rsidRPr="005429C3">
        <w:rPr>
          <w:shd w:val="clear" w:color="auto" w:fill="FFFFFF"/>
          <w:lang w:eastAsia="en-GB"/>
        </w:rPr>
        <w:t>(2), p.101640.</w:t>
      </w:r>
    </w:p>
    <w:p w14:paraId="7A2E4B51" w14:textId="77777777" w:rsidR="005429C3" w:rsidRPr="005429C3" w:rsidRDefault="005429C3" w:rsidP="005429C3">
      <w:pPr>
        <w:rPr>
          <w:shd w:val="clear" w:color="auto" w:fill="FFFFFF"/>
          <w:lang w:val="en-IN"/>
        </w:rPr>
      </w:pPr>
      <w:r w:rsidRPr="005429C3">
        <w:rPr>
          <w:shd w:val="clear" w:color="auto" w:fill="FFFFFF"/>
          <w:lang w:val="en-IN"/>
        </w:rPr>
        <w:t xml:space="preserve">Creswell, J.W. (2013). </w:t>
      </w:r>
      <w:r w:rsidRPr="005429C3">
        <w:rPr>
          <w:i/>
          <w:iCs/>
          <w:shd w:val="clear" w:color="auto" w:fill="FFFFFF"/>
          <w:lang w:val="en-IN"/>
        </w:rPr>
        <w:t>Qualitative Inquiry and Research Design: Choosing Among Five Approaches</w:t>
      </w:r>
      <w:r w:rsidRPr="005429C3">
        <w:rPr>
          <w:shd w:val="clear" w:color="auto" w:fill="FFFFFF"/>
          <w:lang w:val="en-IN"/>
        </w:rPr>
        <w:t xml:space="preserve"> (3rd ed.). Sage Publications.</w:t>
      </w:r>
    </w:p>
    <w:p w14:paraId="5D0C4CF9" w14:textId="77777777" w:rsidR="005429C3" w:rsidRPr="005429C3" w:rsidRDefault="005429C3" w:rsidP="005429C3">
      <w:pPr>
        <w:rPr>
          <w:shd w:val="clear" w:color="auto" w:fill="FFFFFF"/>
          <w:lang w:val="en-IN"/>
        </w:rPr>
      </w:pPr>
      <w:r w:rsidRPr="005429C3">
        <w:rPr>
          <w:shd w:val="clear" w:color="auto" w:fill="FFFFFF"/>
          <w:lang w:val="en-IN"/>
        </w:rPr>
        <w:lastRenderedPageBreak/>
        <w:t xml:space="preserve">Creswell, J.W., </w:t>
      </w:r>
      <w:r w:rsidRPr="005429C3">
        <w:rPr>
          <w:shd w:val="clear" w:color="auto" w:fill="FFFFFF"/>
          <w:lang w:val="en-IN"/>
        </w:rPr>
        <w:t>and</w:t>
      </w:r>
      <w:r w:rsidRPr="005429C3">
        <w:rPr>
          <w:shd w:val="clear" w:color="auto" w:fill="FFFFFF"/>
          <w:lang w:val="en-IN"/>
        </w:rPr>
        <w:t xml:space="preserve"> Creswell, J.D. 2018. </w:t>
      </w:r>
      <w:r w:rsidRPr="005429C3">
        <w:rPr>
          <w:i/>
          <w:iCs/>
          <w:shd w:val="clear" w:color="auto" w:fill="FFFFFF"/>
          <w:lang w:val="en-IN"/>
        </w:rPr>
        <w:t>Research Design: Qualitative, Quantitative, and Mixed Methods Approaches</w:t>
      </w:r>
      <w:r w:rsidRPr="005429C3">
        <w:rPr>
          <w:shd w:val="clear" w:color="auto" w:fill="FFFFFF"/>
          <w:lang w:val="en-IN"/>
        </w:rPr>
        <w:t xml:space="preserve"> (5th ed.). Sage Publications. This book provides insights into qualitative and quantitative research designs and data collection techniques, including surveys, observations, and interviews.</w:t>
      </w:r>
    </w:p>
    <w:p w14:paraId="3BF1D1B0" w14:textId="77777777" w:rsidR="005429C3" w:rsidRDefault="005429C3" w:rsidP="005429C3">
      <w:r w:rsidRPr="005E504F">
        <w:t xml:space="preserve">De Grauwe, P. and Grimaldi, M., 2018. The exchange rate in a </w:t>
      </w:r>
      <w:proofErr w:type="spellStart"/>
      <w:r w:rsidRPr="005E504F">
        <w:t>behavioral</w:t>
      </w:r>
      <w:proofErr w:type="spellEnd"/>
      <w:r w:rsidRPr="005E504F">
        <w:t xml:space="preserve"> finance framework.</w:t>
      </w:r>
      <w:r>
        <w:t xml:space="preserve"> </w:t>
      </w:r>
    </w:p>
    <w:p w14:paraId="47060FA0" w14:textId="77777777" w:rsidR="005429C3" w:rsidRPr="0040240D" w:rsidRDefault="005429C3" w:rsidP="005429C3">
      <w:r w:rsidRPr="005429C3">
        <w:rPr>
          <w:shd w:val="clear" w:color="auto" w:fill="FFFFFF"/>
        </w:rPr>
        <w:t xml:space="preserve">Della Corte, P., </w:t>
      </w:r>
      <w:proofErr w:type="spellStart"/>
      <w:r w:rsidRPr="005429C3">
        <w:rPr>
          <w:shd w:val="clear" w:color="auto" w:fill="FFFFFF"/>
        </w:rPr>
        <w:t>Sarno</w:t>
      </w:r>
      <w:proofErr w:type="spellEnd"/>
      <w:r w:rsidRPr="005429C3">
        <w:rPr>
          <w:shd w:val="clear" w:color="auto" w:fill="FFFFFF"/>
        </w:rPr>
        <w:t>, L., Schmeling, M. and Wagner, C., 2022. Exchange rates and sovereign risk. </w:t>
      </w:r>
      <w:r w:rsidRPr="005429C3">
        <w:rPr>
          <w:i/>
          <w:iCs/>
          <w:shd w:val="clear" w:color="auto" w:fill="FFFFFF"/>
        </w:rPr>
        <w:t>Management Science</w:t>
      </w:r>
      <w:r w:rsidRPr="005429C3">
        <w:rPr>
          <w:shd w:val="clear" w:color="auto" w:fill="FFFFFF"/>
        </w:rPr>
        <w:t>, </w:t>
      </w:r>
      <w:r w:rsidRPr="005429C3">
        <w:rPr>
          <w:i/>
          <w:iCs/>
          <w:shd w:val="clear" w:color="auto" w:fill="FFFFFF"/>
        </w:rPr>
        <w:t>68</w:t>
      </w:r>
      <w:r w:rsidRPr="005429C3">
        <w:rPr>
          <w:shd w:val="clear" w:color="auto" w:fill="FFFFFF"/>
        </w:rPr>
        <w:t>(8), pp.5591-5617.</w:t>
      </w:r>
    </w:p>
    <w:p w14:paraId="4E9239ED" w14:textId="77777777" w:rsidR="005429C3" w:rsidRDefault="005429C3" w:rsidP="005429C3">
      <w:proofErr w:type="spellStart"/>
      <w:r>
        <w:t>Drehmann</w:t>
      </w:r>
      <w:proofErr w:type="spellEnd"/>
      <w:r>
        <w:t xml:space="preserve"> M. and </w:t>
      </w:r>
      <w:proofErr w:type="spellStart"/>
      <w:r>
        <w:t>Sushko</w:t>
      </w:r>
      <w:proofErr w:type="spellEnd"/>
      <w:r>
        <w:t xml:space="preserve"> V., 2022. </w:t>
      </w:r>
      <w:r w:rsidRPr="005429C3">
        <w:rPr>
          <w:i/>
          <w:iCs/>
        </w:rPr>
        <w:t>The global foreign exchange market in a higher-volatility environment</w:t>
      </w:r>
      <w:r>
        <w:t xml:space="preserve">, </w:t>
      </w:r>
      <w:r w:rsidRPr="00545A7B">
        <w:t>https://www.bis.org/publ/qtrpdf/r_qt2212f.htm</w:t>
      </w:r>
    </w:p>
    <w:p w14:paraId="5AC519E7" w14:textId="77777777" w:rsidR="005429C3" w:rsidRPr="005429C3" w:rsidRDefault="005429C3" w:rsidP="005429C3">
      <w:pPr>
        <w:rPr>
          <w:lang w:val="en-IN" w:eastAsia="en-GB"/>
        </w:rPr>
      </w:pPr>
      <w:proofErr w:type="spellStart"/>
      <w:r w:rsidRPr="005429C3">
        <w:rPr>
          <w:lang w:val="en-IN" w:eastAsia="en-GB"/>
        </w:rPr>
        <w:t>Eiteman</w:t>
      </w:r>
      <w:proofErr w:type="spellEnd"/>
      <w:r w:rsidRPr="005429C3">
        <w:rPr>
          <w:lang w:val="en-IN" w:eastAsia="en-GB"/>
        </w:rPr>
        <w:t xml:space="preserve">, D.K., Stonehill, A.I., &amp; Moffett, M.H. (2016). </w:t>
      </w:r>
      <w:r w:rsidRPr="005429C3">
        <w:rPr>
          <w:i/>
          <w:iCs/>
          <w:lang w:val="en-IN" w:eastAsia="en-GB"/>
        </w:rPr>
        <w:t>Multinational Business Finance</w:t>
      </w:r>
      <w:r w:rsidRPr="005429C3">
        <w:rPr>
          <w:lang w:val="en-IN" w:eastAsia="en-GB"/>
        </w:rPr>
        <w:t xml:space="preserve"> (14th ed.). Pearson. </w:t>
      </w:r>
    </w:p>
    <w:p w14:paraId="567FA6D5" w14:textId="77777777" w:rsidR="005429C3" w:rsidRPr="005429C3" w:rsidRDefault="005429C3" w:rsidP="005429C3">
      <w:pPr>
        <w:rPr>
          <w:lang w:val="en-IN" w:eastAsia="en-GB"/>
        </w:rPr>
      </w:pPr>
      <w:proofErr w:type="spellStart"/>
      <w:r w:rsidRPr="005429C3">
        <w:rPr>
          <w:lang w:val="en-IN" w:eastAsia="en-GB"/>
        </w:rPr>
        <w:t>Eun</w:t>
      </w:r>
      <w:proofErr w:type="spellEnd"/>
      <w:r w:rsidRPr="005429C3">
        <w:rPr>
          <w:lang w:val="en-IN" w:eastAsia="en-GB"/>
        </w:rPr>
        <w:t xml:space="preserve">, C.S., &amp; Resnick, B.G. (2018). </w:t>
      </w:r>
      <w:r w:rsidRPr="005429C3">
        <w:rPr>
          <w:i/>
          <w:iCs/>
          <w:lang w:val="en-IN" w:eastAsia="en-GB"/>
        </w:rPr>
        <w:t>International Financial Management</w:t>
      </w:r>
      <w:r w:rsidRPr="005429C3">
        <w:rPr>
          <w:lang w:val="en-IN" w:eastAsia="en-GB"/>
        </w:rPr>
        <w:t xml:space="preserve"> (8th ed.). McGraw-Hill Education.</w:t>
      </w:r>
    </w:p>
    <w:p w14:paraId="7A301324" w14:textId="77777777" w:rsidR="005429C3" w:rsidRDefault="005429C3" w:rsidP="005429C3">
      <w:r w:rsidRPr="005429C3">
        <w:rPr>
          <w:shd w:val="clear" w:color="auto" w:fill="FFFFFF"/>
        </w:rPr>
        <w:t xml:space="preserve">Feng, G.F., Yang, H.C., Gong, </w:t>
      </w:r>
      <w:proofErr w:type="gramStart"/>
      <w:r w:rsidRPr="005429C3">
        <w:rPr>
          <w:shd w:val="clear" w:color="auto" w:fill="FFFFFF"/>
        </w:rPr>
        <w:t>Q.</w:t>
      </w:r>
      <w:proofErr w:type="gramEnd"/>
      <w:r w:rsidRPr="005429C3">
        <w:rPr>
          <w:shd w:val="clear" w:color="auto" w:fill="FFFFFF"/>
        </w:rPr>
        <w:t xml:space="preserve"> and Chang, C.P., 2021. What is the exchange rate volatility response to COVID-19 and government </w:t>
      </w:r>
      <w:proofErr w:type="gramStart"/>
      <w:r w:rsidRPr="005429C3">
        <w:rPr>
          <w:shd w:val="clear" w:color="auto" w:fill="FFFFFF"/>
        </w:rPr>
        <w:t>interventions?.</w:t>
      </w:r>
      <w:proofErr w:type="gramEnd"/>
      <w:r w:rsidRPr="005429C3">
        <w:rPr>
          <w:shd w:val="clear" w:color="auto" w:fill="FFFFFF"/>
        </w:rPr>
        <w:t xml:space="preserve"> </w:t>
      </w:r>
      <w:r w:rsidRPr="005429C3">
        <w:rPr>
          <w:i/>
          <w:iCs/>
          <w:shd w:val="clear" w:color="auto" w:fill="FFFFFF"/>
        </w:rPr>
        <w:t>Economic Analysis and Policy</w:t>
      </w:r>
      <w:r w:rsidRPr="005429C3">
        <w:rPr>
          <w:shd w:val="clear" w:color="auto" w:fill="FFFFFF"/>
        </w:rPr>
        <w:t xml:space="preserve">, </w:t>
      </w:r>
      <w:r w:rsidRPr="005429C3">
        <w:rPr>
          <w:i/>
          <w:iCs/>
          <w:shd w:val="clear" w:color="auto" w:fill="FFFFFF"/>
        </w:rPr>
        <w:t>69</w:t>
      </w:r>
      <w:r w:rsidRPr="005429C3">
        <w:rPr>
          <w:shd w:val="clear" w:color="auto" w:fill="FFFFFF"/>
        </w:rPr>
        <w:t>, pp.705-719.</w:t>
      </w:r>
    </w:p>
    <w:p w14:paraId="215B3D26" w14:textId="77777777" w:rsidR="005429C3" w:rsidRDefault="005429C3" w:rsidP="005429C3">
      <w:r w:rsidRPr="005429C3">
        <w:rPr>
          <w:shd w:val="clear" w:color="auto" w:fill="FFFFFF"/>
        </w:rPr>
        <w:t xml:space="preserve">Flake, J.K., Davidson, I.J., Wong, O. and Pek, J., 2022. Construct validity and the validity of replication studies: A systematic review. </w:t>
      </w:r>
      <w:r w:rsidRPr="005429C3">
        <w:rPr>
          <w:i/>
          <w:iCs/>
          <w:shd w:val="clear" w:color="auto" w:fill="FFFFFF"/>
        </w:rPr>
        <w:t>American Psychologist</w:t>
      </w:r>
      <w:r w:rsidRPr="005429C3">
        <w:rPr>
          <w:shd w:val="clear" w:color="auto" w:fill="FFFFFF"/>
        </w:rPr>
        <w:t xml:space="preserve">, </w:t>
      </w:r>
      <w:r w:rsidRPr="005429C3">
        <w:rPr>
          <w:i/>
          <w:iCs/>
          <w:shd w:val="clear" w:color="auto" w:fill="FFFFFF"/>
        </w:rPr>
        <w:t>77</w:t>
      </w:r>
      <w:r w:rsidRPr="005429C3">
        <w:rPr>
          <w:shd w:val="clear" w:color="auto" w:fill="FFFFFF"/>
        </w:rPr>
        <w:t>(4), p.576.</w:t>
      </w:r>
    </w:p>
    <w:p w14:paraId="44459207" w14:textId="77777777" w:rsidR="005429C3" w:rsidRPr="005429C3" w:rsidRDefault="005429C3" w:rsidP="005429C3">
      <w:pPr>
        <w:rPr>
          <w:shd w:val="clear" w:color="auto" w:fill="FFFFFF"/>
        </w:rPr>
      </w:pPr>
      <w:r w:rsidRPr="005429C3">
        <w:rPr>
          <w:shd w:val="clear" w:color="auto" w:fill="FFFFFF"/>
        </w:rPr>
        <w:t>Han, X., 2021. Risk management, legitimacy, and the overseas subsidiary performance of emerging market MNEs. </w:t>
      </w:r>
      <w:r w:rsidRPr="005429C3">
        <w:rPr>
          <w:i/>
          <w:iCs/>
          <w:shd w:val="clear" w:color="auto" w:fill="FFFFFF"/>
        </w:rPr>
        <w:t>International Business Review</w:t>
      </w:r>
      <w:r w:rsidRPr="005429C3">
        <w:rPr>
          <w:shd w:val="clear" w:color="auto" w:fill="FFFFFF"/>
        </w:rPr>
        <w:t>, </w:t>
      </w:r>
      <w:r w:rsidRPr="005429C3">
        <w:rPr>
          <w:i/>
          <w:iCs/>
          <w:shd w:val="clear" w:color="auto" w:fill="FFFFFF"/>
        </w:rPr>
        <w:t>30</w:t>
      </w:r>
      <w:r w:rsidRPr="005429C3">
        <w:rPr>
          <w:shd w:val="clear" w:color="auto" w:fill="FFFFFF"/>
        </w:rPr>
        <w:t>(4), p.101732.</w:t>
      </w:r>
    </w:p>
    <w:p w14:paraId="3BFFEB5D" w14:textId="77777777" w:rsidR="005429C3" w:rsidRPr="005429C3" w:rsidRDefault="005429C3" w:rsidP="005429C3">
      <w:pPr>
        <w:rPr>
          <w:shd w:val="clear" w:color="auto" w:fill="FFFFFF"/>
        </w:rPr>
      </w:pPr>
      <w:r w:rsidRPr="005429C3">
        <w:rPr>
          <w:shd w:val="clear" w:color="auto" w:fill="FFFFFF"/>
        </w:rPr>
        <w:t>He, Q., Wang, W. and Yu, J., 2023. Exchange rate co-movements and corporate foreign exchange exposures: A study on RMB. </w:t>
      </w:r>
      <w:r w:rsidRPr="005429C3">
        <w:rPr>
          <w:i/>
          <w:iCs/>
          <w:shd w:val="clear" w:color="auto" w:fill="FFFFFF"/>
        </w:rPr>
        <w:t>International Review of Financial Analysis</w:t>
      </w:r>
      <w:r w:rsidRPr="005429C3">
        <w:rPr>
          <w:shd w:val="clear" w:color="auto" w:fill="FFFFFF"/>
        </w:rPr>
        <w:t>, </w:t>
      </w:r>
      <w:r w:rsidRPr="005429C3">
        <w:rPr>
          <w:i/>
          <w:iCs/>
          <w:shd w:val="clear" w:color="auto" w:fill="FFFFFF"/>
        </w:rPr>
        <w:t>90</w:t>
      </w:r>
      <w:r w:rsidRPr="005429C3">
        <w:rPr>
          <w:shd w:val="clear" w:color="auto" w:fill="FFFFFF"/>
        </w:rPr>
        <w:t>, p.102831.</w:t>
      </w:r>
    </w:p>
    <w:p w14:paraId="63F519F0" w14:textId="77777777" w:rsidR="005429C3" w:rsidRPr="005429C3" w:rsidRDefault="005429C3" w:rsidP="005429C3">
      <w:pPr>
        <w:rPr>
          <w:lang w:val="en-IN" w:eastAsia="en-GB"/>
        </w:rPr>
      </w:pPr>
      <w:r w:rsidRPr="005429C3">
        <w:rPr>
          <w:lang w:val="en-IN" w:eastAsia="en-GB"/>
        </w:rPr>
        <w:t xml:space="preserve">Hill, C.W.L., &amp; </w:t>
      </w:r>
      <w:proofErr w:type="spellStart"/>
      <w:r w:rsidRPr="005429C3">
        <w:rPr>
          <w:lang w:val="en-IN" w:eastAsia="en-GB"/>
        </w:rPr>
        <w:t>Hult</w:t>
      </w:r>
      <w:proofErr w:type="spellEnd"/>
      <w:r w:rsidRPr="005429C3">
        <w:rPr>
          <w:lang w:val="en-IN" w:eastAsia="en-GB"/>
        </w:rPr>
        <w:t xml:space="preserve">, G.T.M. (2019). </w:t>
      </w:r>
      <w:r w:rsidRPr="005429C3">
        <w:rPr>
          <w:i/>
          <w:iCs/>
          <w:lang w:val="en-IN" w:eastAsia="en-GB"/>
        </w:rPr>
        <w:t>International Business: Competing in the Global Marketplace</w:t>
      </w:r>
      <w:r w:rsidRPr="005429C3">
        <w:rPr>
          <w:lang w:val="en-IN" w:eastAsia="en-GB"/>
        </w:rPr>
        <w:t xml:space="preserve"> (12th ed.). McGraw-Hill Education. This book discusses the impact of inflation and economic indicators on currency value and the operations of multinational enterprises.</w:t>
      </w:r>
    </w:p>
    <w:p w14:paraId="4CF0ED25" w14:textId="77777777" w:rsidR="005429C3" w:rsidRPr="005429C3" w:rsidRDefault="005429C3" w:rsidP="005429C3">
      <w:pPr>
        <w:rPr>
          <w:shd w:val="clear" w:color="auto" w:fill="FFFFFF"/>
          <w:lang w:val="en-IN"/>
        </w:rPr>
      </w:pPr>
      <w:proofErr w:type="spellStart"/>
      <w:r w:rsidRPr="005429C3">
        <w:rPr>
          <w:shd w:val="clear" w:color="auto" w:fill="FFFFFF"/>
          <w:lang w:val="en-IN"/>
        </w:rPr>
        <w:lastRenderedPageBreak/>
        <w:t>Homaifar</w:t>
      </w:r>
      <w:proofErr w:type="spellEnd"/>
      <w:r w:rsidRPr="005429C3">
        <w:rPr>
          <w:shd w:val="clear" w:color="auto" w:fill="FFFFFF"/>
          <w:lang w:val="en-IN"/>
        </w:rPr>
        <w:t>, G.A., 2003. </w:t>
      </w:r>
      <w:r w:rsidRPr="005429C3">
        <w:rPr>
          <w:i/>
          <w:iCs/>
          <w:shd w:val="clear" w:color="auto" w:fill="FFFFFF"/>
          <w:lang w:val="en-IN"/>
        </w:rPr>
        <w:t>Managing global financial and foreign exchange rate risk</w:t>
      </w:r>
      <w:r w:rsidRPr="005429C3">
        <w:rPr>
          <w:shd w:val="clear" w:color="auto" w:fill="FFFFFF"/>
          <w:lang w:val="en-IN"/>
        </w:rPr>
        <w:t> (Vol. 159). John Wiley &amp; Sons.</w:t>
      </w:r>
    </w:p>
    <w:p w14:paraId="51C67FEE" w14:textId="77777777" w:rsidR="005429C3" w:rsidRDefault="005429C3" w:rsidP="005429C3">
      <w:r w:rsidRPr="005429C3">
        <w:rPr>
          <w:shd w:val="clear" w:color="auto" w:fill="FFFFFF"/>
        </w:rPr>
        <w:t xml:space="preserve">Jahja, A.S., </w:t>
      </w:r>
      <w:proofErr w:type="spellStart"/>
      <w:r w:rsidRPr="005429C3">
        <w:rPr>
          <w:shd w:val="clear" w:color="auto" w:fill="FFFFFF"/>
        </w:rPr>
        <w:t>Ramalu</w:t>
      </w:r>
      <w:proofErr w:type="spellEnd"/>
      <w:r w:rsidRPr="005429C3">
        <w:rPr>
          <w:shd w:val="clear" w:color="auto" w:fill="FFFFFF"/>
        </w:rPr>
        <w:t xml:space="preserve">, S.S. and </w:t>
      </w:r>
      <w:proofErr w:type="spellStart"/>
      <w:r w:rsidRPr="005429C3">
        <w:rPr>
          <w:shd w:val="clear" w:color="auto" w:fill="FFFFFF"/>
        </w:rPr>
        <w:t>Razimi</w:t>
      </w:r>
      <w:proofErr w:type="spellEnd"/>
      <w:r w:rsidRPr="005429C3">
        <w:rPr>
          <w:shd w:val="clear" w:color="auto" w:fill="FFFFFF"/>
        </w:rPr>
        <w:t xml:space="preserve">, M.S.A., 2021. Generic qualitative research in management studies. </w:t>
      </w:r>
      <w:r w:rsidRPr="005429C3">
        <w:rPr>
          <w:i/>
          <w:iCs/>
          <w:shd w:val="clear" w:color="auto" w:fill="FFFFFF"/>
        </w:rPr>
        <w:t>JRAK (</w:t>
      </w:r>
      <w:proofErr w:type="spellStart"/>
      <w:r w:rsidRPr="005429C3">
        <w:rPr>
          <w:i/>
          <w:iCs/>
          <w:shd w:val="clear" w:color="auto" w:fill="FFFFFF"/>
        </w:rPr>
        <w:t>Jurnal</w:t>
      </w:r>
      <w:proofErr w:type="spellEnd"/>
      <w:r w:rsidRPr="005429C3">
        <w:rPr>
          <w:i/>
          <w:iCs/>
          <w:shd w:val="clear" w:color="auto" w:fill="FFFFFF"/>
        </w:rPr>
        <w:t xml:space="preserve"> </w:t>
      </w:r>
      <w:proofErr w:type="spellStart"/>
      <w:r w:rsidRPr="005429C3">
        <w:rPr>
          <w:i/>
          <w:iCs/>
          <w:shd w:val="clear" w:color="auto" w:fill="FFFFFF"/>
        </w:rPr>
        <w:t>Riset</w:t>
      </w:r>
      <w:proofErr w:type="spellEnd"/>
      <w:r w:rsidRPr="005429C3">
        <w:rPr>
          <w:i/>
          <w:iCs/>
          <w:shd w:val="clear" w:color="auto" w:fill="FFFFFF"/>
        </w:rPr>
        <w:t xml:space="preserve"> </w:t>
      </w:r>
      <w:proofErr w:type="spellStart"/>
      <w:r w:rsidRPr="005429C3">
        <w:rPr>
          <w:i/>
          <w:iCs/>
          <w:shd w:val="clear" w:color="auto" w:fill="FFFFFF"/>
        </w:rPr>
        <w:t>Akuntansi</w:t>
      </w:r>
      <w:proofErr w:type="spellEnd"/>
      <w:r w:rsidRPr="005429C3">
        <w:rPr>
          <w:i/>
          <w:iCs/>
          <w:shd w:val="clear" w:color="auto" w:fill="FFFFFF"/>
        </w:rPr>
        <w:t xml:space="preserve"> Dan </w:t>
      </w:r>
      <w:proofErr w:type="spellStart"/>
      <w:r w:rsidRPr="005429C3">
        <w:rPr>
          <w:i/>
          <w:iCs/>
          <w:shd w:val="clear" w:color="auto" w:fill="FFFFFF"/>
        </w:rPr>
        <w:t>Bisnis</w:t>
      </w:r>
      <w:proofErr w:type="spellEnd"/>
      <w:r w:rsidRPr="005429C3">
        <w:rPr>
          <w:i/>
          <w:iCs/>
          <w:shd w:val="clear" w:color="auto" w:fill="FFFFFF"/>
        </w:rPr>
        <w:t>)</w:t>
      </w:r>
      <w:r w:rsidRPr="005429C3">
        <w:rPr>
          <w:shd w:val="clear" w:color="auto" w:fill="FFFFFF"/>
        </w:rPr>
        <w:t xml:space="preserve">, </w:t>
      </w:r>
      <w:r w:rsidRPr="005429C3">
        <w:rPr>
          <w:i/>
          <w:iCs/>
          <w:shd w:val="clear" w:color="auto" w:fill="FFFFFF"/>
        </w:rPr>
        <w:t>7</w:t>
      </w:r>
      <w:r w:rsidRPr="005429C3">
        <w:rPr>
          <w:shd w:val="clear" w:color="auto" w:fill="FFFFFF"/>
        </w:rPr>
        <w:t>(1), pp.1-13.</w:t>
      </w:r>
    </w:p>
    <w:p w14:paraId="47269EFC" w14:textId="77777777" w:rsidR="005429C3" w:rsidRPr="005429C3" w:rsidRDefault="005429C3" w:rsidP="005429C3">
      <w:pPr>
        <w:rPr>
          <w:rFonts w:cs="Times New Roman"/>
          <w:szCs w:val="24"/>
          <w:lang w:eastAsia="en-GB"/>
        </w:rPr>
      </w:pPr>
      <w:r w:rsidRPr="005429C3">
        <w:rPr>
          <w:shd w:val="clear" w:color="auto" w:fill="FFFFFF"/>
          <w:lang w:eastAsia="en-GB"/>
        </w:rPr>
        <w:t xml:space="preserve">Kellard, N.M., </w:t>
      </w:r>
      <w:proofErr w:type="spellStart"/>
      <w:r w:rsidRPr="005429C3">
        <w:rPr>
          <w:shd w:val="clear" w:color="auto" w:fill="FFFFFF"/>
          <w:lang w:eastAsia="en-GB"/>
        </w:rPr>
        <w:t>Kontonikas</w:t>
      </w:r>
      <w:proofErr w:type="spellEnd"/>
      <w:r w:rsidRPr="005429C3">
        <w:rPr>
          <w:shd w:val="clear" w:color="auto" w:fill="FFFFFF"/>
          <w:lang w:eastAsia="en-GB"/>
        </w:rPr>
        <w:t xml:space="preserve">, A., </w:t>
      </w:r>
      <w:proofErr w:type="spellStart"/>
      <w:r w:rsidRPr="005429C3">
        <w:rPr>
          <w:shd w:val="clear" w:color="auto" w:fill="FFFFFF"/>
          <w:lang w:eastAsia="en-GB"/>
        </w:rPr>
        <w:t>Lamla</w:t>
      </w:r>
      <w:proofErr w:type="spellEnd"/>
      <w:r w:rsidRPr="005429C3">
        <w:rPr>
          <w:shd w:val="clear" w:color="auto" w:fill="FFFFFF"/>
          <w:lang w:eastAsia="en-GB"/>
        </w:rPr>
        <w:t xml:space="preserve">, M.J., </w:t>
      </w:r>
      <w:proofErr w:type="spellStart"/>
      <w:r w:rsidRPr="005429C3">
        <w:rPr>
          <w:shd w:val="clear" w:color="auto" w:fill="FFFFFF"/>
          <w:lang w:eastAsia="en-GB"/>
        </w:rPr>
        <w:t>Maiani</w:t>
      </w:r>
      <w:proofErr w:type="spellEnd"/>
      <w:r w:rsidRPr="005429C3">
        <w:rPr>
          <w:shd w:val="clear" w:color="auto" w:fill="FFFFFF"/>
          <w:lang w:eastAsia="en-GB"/>
        </w:rPr>
        <w:t xml:space="preserve">, S. and Wood, G., 2022. Risk, financial stability and FDI. </w:t>
      </w:r>
      <w:r w:rsidRPr="005429C3">
        <w:rPr>
          <w:i/>
          <w:iCs/>
          <w:shd w:val="clear" w:color="auto" w:fill="FFFFFF"/>
          <w:lang w:eastAsia="en-GB"/>
        </w:rPr>
        <w:t>Journal of International Money and Finance</w:t>
      </w:r>
      <w:r w:rsidRPr="005429C3">
        <w:rPr>
          <w:shd w:val="clear" w:color="auto" w:fill="FFFFFF"/>
          <w:lang w:eastAsia="en-GB"/>
        </w:rPr>
        <w:t xml:space="preserve">, </w:t>
      </w:r>
      <w:r w:rsidRPr="005429C3">
        <w:rPr>
          <w:i/>
          <w:iCs/>
          <w:shd w:val="clear" w:color="auto" w:fill="FFFFFF"/>
          <w:lang w:eastAsia="en-GB"/>
        </w:rPr>
        <w:t>120</w:t>
      </w:r>
      <w:r w:rsidRPr="005429C3">
        <w:rPr>
          <w:shd w:val="clear" w:color="auto" w:fill="FFFFFF"/>
          <w:lang w:eastAsia="en-GB"/>
        </w:rPr>
        <w:t>, p.102232.</w:t>
      </w:r>
    </w:p>
    <w:p w14:paraId="2FADF500" w14:textId="77777777" w:rsidR="005429C3" w:rsidRPr="005429C3" w:rsidRDefault="005429C3" w:rsidP="005429C3">
      <w:pPr>
        <w:rPr>
          <w:shd w:val="clear" w:color="auto" w:fill="FFFFFF"/>
          <w:lang w:val="en-IN"/>
        </w:rPr>
      </w:pPr>
      <w:r w:rsidRPr="005429C3">
        <w:rPr>
          <w:shd w:val="clear" w:color="auto" w:fill="FFFFFF"/>
          <w:lang w:val="en-IN"/>
        </w:rPr>
        <w:t xml:space="preserve">Keynes, J.M. (1936). </w:t>
      </w:r>
      <w:r w:rsidRPr="005429C3">
        <w:rPr>
          <w:i/>
          <w:iCs/>
          <w:shd w:val="clear" w:color="auto" w:fill="FFFFFF"/>
          <w:lang w:val="en-IN"/>
        </w:rPr>
        <w:t>The General Theory of Employment, Interest, and Money</w:t>
      </w:r>
      <w:r w:rsidRPr="005429C3">
        <w:rPr>
          <w:shd w:val="clear" w:color="auto" w:fill="FFFFFF"/>
          <w:lang w:val="en-IN"/>
        </w:rPr>
        <w:t>. Palgrave Macmillan.</w:t>
      </w:r>
    </w:p>
    <w:p w14:paraId="3F9CD778" w14:textId="77777777" w:rsidR="005429C3" w:rsidRPr="005429C3" w:rsidRDefault="005429C3" w:rsidP="005429C3">
      <w:pPr>
        <w:rPr>
          <w:lang w:val="en-IN" w:eastAsia="en-GB"/>
        </w:rPr>
      </w:pPr>
      <w:r w:rsidRPr="005429C3">
        <w:rPr>
          <w:lang w:val="en-IN" w:eastAsia="en-GB"/>
        </w:rPr>
        <w:t>Khan, M.A., 2014. Challenges for MNEs operating in emerging markets. </w:t>
      </w:r>
      <w:r w:rsidRPr="005429C3">
        <w:rPr>
          <w:i/>
          <w:iCs/>
          <w:lang w:val="en-IN" w:eastAsia="en-GB"/>
        </w:rPr>
        <w:t xml:space="preserve">Retrieved from www: </w:t>
      </w:r>
      <w:proofErr w:type="spellStart"/>
      <w:r w:rsidRPr="005429C3">
        <w:rPr>
          <w:i/>
          <w:iCs/>
          <w:lang w:val="en-IN" w:eastAsia="en-GB"/>
        </w:rPr>
        <w:t>aabri</w:t>
      </w:r>
      <w:proofErr w:type="spellEnd"/>
      <w:r w:rsidRPr="005429C3">
        <w:rPr>
          <w:i/>
          <w:iCs/>
          <w:lang w:val="en-IN" w:eastAsia="en-GB"/>
        </w:rPr>
        <w:t>. com/LV2014Manuscripts/LV14045. pdf</w:t>
      </w:r>
      <w:r w:rsidRPr="005429C3">
        <w:rPr>
          <w:lang w:val="en-IN" w:eastAsia="en-GB"/>
        </w:rPr>
        <w:t>.</w:t>
      </w:r>
    </w:p>
    <w:p w14:paraId="7F02E198" w14:textId="77777777" w:rsidR="005429C3" w:rsidRPr="005429C3" w:rsidRDefault="005429C3" w:rsidP="005429C3">
      <w:pPr>
        <w:rPr>
          <w:shd w:val="clear" w:color="auto" w:fill="FFFFFF"/>
          <w:lang w:val="en-IN"/>
        </w:rPr>
      </w:pPr>
      <w:r w:rsidRPr="005429C3">
        <w:rPr>
          <w:shd w:val="clear" w:color="auto" w:fill="FFFFFF"/>
          <w:lang w:val="en-IN"/>
        </w:rPr>
        <w:t>Khan, M.A., 2016. MNEs Management Strategies in Developing Countries: Establishing the Context. In </w:t>
      </w:r>
      <w:r w:rsidRPr="005429C3">
        <w:rPr>
          <w:i/>
          <w:iCs/>
          <w:shd w:val="clear" w:color="auto" w:fill="FFFFFF"/>
          <w:lang w:val="en-IN"/>
        </w:rPr>
        <w:t>Multinational Enterprise Management Strategies in Developing Countries</w:t>
      </w:r>
      <w:r w:rsidRPr="005429C3">
        <w:rPr>
          <w:shd w:val="clear" w:color="auto" w:fill="FFFFFF"/>
          <w:lang w:val="en-IN"/>
        </w:rPr>
        <w:t> (pp. 1-33). IGI Global.</w:t>
      </w:r>
    </w:p>
    <w:p w14:paraId="2C957D9B" w14:textId="77777777" w:rsidR="005429C3" w:rsidRPr="005429C3" w:rsidRDefault="005429C3" w:rsidP="005429C3">
      <w:pPr>
        <w:rPr>
          <w:shd w:val="clear" w:color="auto" w:fill="FFFFFF"/>
        </w:rPr>
      </w:pPr>
      <w:r w:rsidRPr="005429C3">
        <w:rPr>
          <w:shd w:val="clear" w:color="auto" w:fill="FFFFFF"/>
        </w:rPr>
        <w:t xml:space="preserve">Kim, S.S., Chung, J., Hwang, J.H. and </w:t>
      </w:r>
      <w:proofErr w:type="spellStart"/>
      <w:r w:rsidRPr="005429C3">
        <w:rPr>
          <w:shd w:val="clear" w:color="auto" w:fill="FFFFFF"/>
        </w:rPr>
        <w:t>Pyun</w:t>
      </w:r>
      <w:proofErr w:type="spellEnd"/>
      <w:r w:rsidRPr="005429C3">
        <w:rPr>
          <w:shd w:val="clear" w:color="auto" w:fill="FFFFFF"/>
        </w:rPr>
        <w:t>, J.H., 2020. The effectiveness of foreign debt in hedging exchange rate exposure: Multinational enterprises vs. exporting firms. </w:t>
      </w:r>
      <w:r w:rsidRPr="005429C3">
        <w:rPr>
          <w:i/>
          <w:iCs/>
          <w:shd w:val="clear" w:color="auto" w:fill="FFFFFF"/>
        </w:rPr>
        <w:t>Pacific-Basin Finance Journal</w:t>
      </w:r>
      <w:r w:rsidRPr="005429C3">
        <w:rPr>
          <w:shd w:val="clear" w:color="auto" w:fill="FFFFFF"/>
        </w:rPr>
        <w:t>, </w:t>
      </w:r>
      <w:r w:rsidRPr="005429C3">
        <w:rPr>
          <w:i/>
          <w:iCs/>
          <w:shd w:val="clear" w:color="auto" w:fill="FFFFFF"/>
        </w:rPr>
        <w:t>64</w:t>
      </w:r>
      <w:r w:rsidRPr="005429C3">
        <w:rPr>
          <w:shd w:val="clear" w:color="auto" w:fill="FFFFFF"/>
        </w:rPr>
        <w:t>, p.101455.</w:t>
      </w:r>
    </w:p>
    <w:p w14:paraId="7E0060AC" w14:textId="77777777" w:rsidR="005429C3" w:rsidRPr="005429C3" w:rsidRDefault="005429C3" w:rsidP="005429C3">
      <w:pPr>
        <w:rPr>
          <w:rFonts w:cs="Times New Roman"/>
          <w:szCs w:val="24"/>
          <w:lang w:eastAsia="en-GB"/>
        </w:rPr>
      </w:pPr>
      <w:proofErr w:type="spellStart"/>
      <w:r w:rsidRPr="005429C3">
        <w:rPr>
          <w:shd w:val="clear" w:color="auto" w:fill="FFFFFF"/>
          <w:lang w:eastAsia="en-GB"/>
        </w:rPr>
        <w:t>Kpoku</w:t>
      </w:r>
      <w:proofErr w:type="spellEnd"/>
      <w:r w:rsidRPr="005429C3">
        <w:rPr>
          <w:shd w:val="clear" w:color="auto" w:fill="FFFFFF"/>
          <w:lang w:eastAsia="en-GB"/>
        </w:rPr>
        <w:t xml:space="preserve">, O.K., 2021. </w:t>
      </w:r>
      <w:r w:rsidRPr="005429C3">
        <w:rPr>
          <w:i/>
          <w:iCs/>
          <w:shd w:val="clear" w:color="auto" w:fill="FFFFFF"/>
          <w:lang w:eastAsia="en-GB"/>
        </w:rPr>
        <w:t>Positive and negative influence of globalization on international business actors’ activity (on materials of Unilever Group)</w:t>
      </w:r>
      <w:r w:rsidRPr="005429C3">
        <w:rPr>
          <w:shd w:val="clear" w:color="auto" w:fill="FFFFFF"/>
          <w:lang w:eastAsia="en-GB"/>
        </w:rPr>
        <w:t xml:space="preserve"> (Doctoral dissertation).\</w:t>
      </w:r>
    </w:p>
    <w:p w14:paraId="6F899D9E" w14:textId="77777777" w:rsidR="005429C3" w:rsidRPr="005429C3" w:rsidRDefault="005429C3" w:rsidP="005429C3">
      <w:pPr>
        <w:rPr>
          <w:lang w:val="en-IN" w:eastAsia="en-GB"/>
        </w:rPr>
      </w:pPr>
      <w:r w:rsidRPr="005429C3">
        <w:rPr>
          <w:lang w:val="en-IN" w:eastAsia="en-GB"/>
        </w:rPr>
        <w:t>Kumar, R. (2014). Research Methodology: A Step-by-Step Guide for Beginners (4th ed.). Sage Publications. This</w:t>
      </w:r>
    </w:p>
    <w:p w14:paraId="0D70AF69" w14:textId="77777777" w:rsidR="005429C3" w:rsidRPr="005429C3" w:rsidRDefault="005429C3" w:rsidP="005429C3">
      <w:pPr>
        <w:rPr>
          <w:shd w:val="clear" w:color="auto" w:fill="FFFFFF"/>
          <w:lang w:val="en-IN"/>
        </w:rPr>
      </w:pPr>
      <w:r w:rsidRPr="005429C3">
        <w:rPr>
          <w:shd w:val="clear" w:color="auto" w:fill="FFFFFF"/>
          <w:lang w:val="en-IN"/>
        </w:rPr>
        <w:t>Lessard, D., 2019. Risk Management for Companies Operating in Emerging Markets. </w:t>
      </w:r>
      <w:r w:rsidRPr="005429C3">
        <w:rPr>
          <w:i/>
          <w:iCs/>
          <w:shd w:val="clear" w:color="auto" w:fill="FFFFFF"/>
          <w:lang w:val="en-IN"/>
        </w:rPr>
        <w:t>The Oxford Handbook of Management in Emerging Markets</w:t>
      </w:r>
      <w:r w:rsidRPr="005429C3">
        <w:rPr>
          <w:shd w:val="clear" w:color="auto" w:fill="FFFFFF"/>
          <w:lang w:val="en-IN"/>
        </w:rPr>
        <w:t>, p.427.</w:t>
      </w:r>
    </w:p>
    <w:p w14:paraId="3706101C" w14:textId="77777777" w:rsidR="005429C3" w:rsidRPr="005429C3" w:rsidRDefault="005429C3" w:rsidP="005429C3">
      <w:pPr>
        <w:rPr>
          <w:shd w:val="clear" w:color="auto" w:fill="FFFFFF"/>
        </w:rPr>
      </w:pPr>
      <w:r w:rsidRPr="005429C3">
        <w:rPr>
          <w:shd w:val="clear" w:color="auto" w:fill="FFFFFF"/>
        </w:rPr>
        <w:t xml:space="preserve">Lily, J., </w:t>
      </w:r>
      <w:proofErr w:type="spellStart"/>
      <w:r w:rsidRPr="005429C3">
        <w:rPr>
          <w:shd w:val="clear" w:color="auto" w:fill="FFFFFF"/>
        </w:rPr>
        <w:t>Kogid</w:t>
      </w:r>
      <w:proofErr w:type="spellEnd"/>
      <w:r w:rsidRPr="005429C3">
        <w:rPr>
          <w:shd w:val="clear" w:color="auto" w:fill="FFFFFF"/>
        </w:rPr>
        <w:t xml:space="preserve">, M., </w:t>
      </w:r>
      <w:proofErr w:type="spellStart"/>
      <w:r w:rsidRPr="005429C3">
        <w:rPr>
          <w:shd w:val="clear" w:color="auto" w:fill="FFFFFF"/>
        </w:rPr>
        <w:t>Mulok</w:t>
      </w:r>
      <w:proofErr w:type="spellEnd"/>
      <w:r w:rsidRPr="005429C3">
        <w:rPr>
          <w:shd w:val="clear" w:color="auto" w:fill="FFFFFF"/>
        </w:rPr>
        <w:t xml:space="preserve">, D. and </w:t>
      </w:r>
      <w:proofErr w:type="spellStart"/>
      <w:r w:rsidRPr="005429C3">
        <w:rPr>
          <w:shd w:val="clear" w:color="auto" w:fill="FFFFFF"/>
        </w:rPr>
        <w:t>Asid</w:t>
      </w:r>
      <w:proofErr w:type="spellEnd"/>
      <w:r w:rsidRPr="005429C3">
        <w:rPr>
          <w:shd w:val="clear" w:color="auto" w:fill="FFFFFF"/>
        </w:rPr>
        <w:t>, R., 2020. Asymmetric effect of real exchange rate risk on foreign direct investment: Empirical evidence in ASEAN-4. </w:t>
      </w:r>
      <w:r w:rsidRPr="005429C3">
        <w:rPr>
          <w:i/>
          <w:iCs/>
          <w:shd w:val="clear" w:color="auto" w:fill="FFFFFF"/>
        </w:rPr>
        <w:t>Journal of Research in Emerging Markets</w:t>
      </w:r>
      <w:r w:rsidRPr="005429C3">
        <w:rPr>
          <w:shd w:val="clear" w:color="auto" w:fill="FFFFFF"/>
        </w:rPr>
        <w:t>, </w:t>
      </w:r>
      <w:r w:rsidRPr="005429C3">
        <w:rPr>
          <w:i/>
          <w:iCs/>
          <w:shd w:val="clear" w:color="auto" w:fill="FFFFFF"/>
        </w:rPr>
        <w:t>2</w:t>
      </w:r>
      <w:r w:rsidRPr="005429C3">
        <w:rPr>
          <w:shd w:val="clear" w:color="auto" w:fill="FFFFFF"/>
        </w:rPr>
        <w:t>(3), p.91.</w:t>
      </w:r>
    </w:p>
    <w:p w14:paraId="7EA4C827" w14:textId="77777777" w:rsidR="005429C3" w:rsidRPr="005429C3" w:rsidRDefault="005429C3" w:rsidP="005429C3">
      <w:pPr>
        <w:rPr>
          <w:shd w:val="clear" w:color="auto" w:fill="FFFFFF"/>
          <w:lang w:val="en-IN"/>
        </w:rPr>
      </w:pPr>
      <w:r w:rsidRPr="005429C3">
        <w:rPr>
          <w:shd w:val="clear" w:color="auto" w:fill="FFFFFF"/>
          <w:lang w:val="en-IN"/>
        </w:rPr>
        <w:lastRenderedPageBreak/>
        <w:t>Marshall, A.P., 2000. Foreign exchange risk management in UK, USA and Asia Pacific multinational companies. </w:t>
      </w:r>
      <w:r w:rsidRPr="005429C3">
        <w:rPr>
          <w:i/>
          <w:iCs/>
          <w:shd w:val="clear" w:color="auto" w:fill="FFFFFF"/>
          <w:lang w:val="en-IN"/>
        </w:rPr>
        <w:t>Journal of Multinational Financial Management</w:t>
      </w:r>
      <w:r w:rsidRPr="005429C3">
        <w:rPr>
          <w:shd w:val="clear" w:color="auto" w:fill="FFFFFF"/>
          <w:lang w:val="en-IN"/>
        </w:rPr>
        <w:t>, </w:t>
      </w:r>
      <w:r w:rsidRPr="005429C3">
        <w:rPr>
          <w:i/>
          <w:iCs/>
          <w:shd w:val="clear" w:color="auto" w:fill="FFFFFF"/>
          <w:lang w:val="en-IN"/>
        </w:rPr>
        <w:t>10</w:t>
      </w:r>
      <w:r w:rsidRPr="005429C3">
        <w:rPr>
          <w:shd w:val="clear" w:color="auto" w:fill="FFFFFF"/>
          <w:lang w:val="en-IN"/>
        </w:rPr>
        <w:t>(2), pp.185-211.</w:t>
      </w:r>
    </w:p>
    <w:p w14:paraId="129F7309" w14:textId="77777777" w:rsidR="005429C3" w:rsidRDefault="005429C3" w:rsidP="005429C3">
      <w:proofErr w:type="spellStart"/>
      <w:r w:rsidRPr="005429C3">
        <w:rPr>
          <w:shd w:val="clear" w:color="auto" w:fill="FFFFFF"/>
        </w:rPr>
        <w:t>Morina</w:t>
      </w:r>
      <w:proofErr w:type="spellEnd"/>
      <w:r w:rsidRPr="005429C3">
        <w:rPr>
          <w:shd w:val="clear" w:color="auto" w:fill="FFFFFF"/>
        </w:rPr>
        <w:t xml:space="preserve">, F., </w:t>
      </w:r>
      <w:proofErr w:type="spellStart"/>
      <w:r w:rsidRPr="005429C3">
        <w:rPr>
          <w:shd w:val="clear" w:color="auto" w:fill="FFFFFF"/>
        </w:rPr>
        <w:t>Hysa</w:t>
      </w:r>
      <w:proofErr w:type="spellEnd"/>
      <w:r w:rsidRPr="005429C3">
        <w:rPr>
          <w:shd w:val="clear" w:color="auto" w:fill="FFFFFF"/>
        </w:rPr>
        <w:t xml:space="preserve">, E., </w:t>
      </w:r>
      <w:proofErr w:type="spellStart"/>
      <w:r w:rsidRPr="005429C3">
        <w:rPr>
          <w:shd w:val="clear" w:color="auto" w:fill="FFFFFF"/>
        </w:rPr>
        <w:t>Ergün</w:t>
      </w:r>
      <w:proofErr w:type="spellEnd"/>
      <w:r w:rsidRPr="005429C3">
        <w:rPr>
          <w:shd w:val="clear" w:color="auto" w:fill="FFFFFF"/>
        </w:rPr>
        <w:t xml:space="preserve">, U., </w:t>
      </w:r>
      <w:proofErr w:type="spellStart"/>
      <w:r w:rsidRPr="005429C3">
        <w:rPr>
          <w:shd w:val="clear" w:color="auto" w:fill="FFFFFF"/>
        </w:rPr>
        <w:t>Panait</w:t>
      </w:r>
      <w:proofErr w:type="spellEnd"/>
      <w:r w:rsidRPr="005429C3">
        <w:rPr>
          <w:shd w:val="clear" w:color="auto" w:fill="FFFFFF"/>
        </w:rPr>
        <w:t xml:space="preserve">, M. and </w:t>
      </w:r>
      <w:proofErr w:type="spellStart"/>
      <w:r w:rsidRPr="005429C3">
        <w:rPr>
          <w:shd w:val="clear" w:color="auto" w:fill="FFFFFF"/>
        </w:rPr>
        <w:t>Voica</w:t>
      </w:r>
      <w:proofErr w:type="spellEnd"/>
      <w:r w:rsidRPr="005429C3">
        <w:rPr>
          <w:shd w:val="clear" w:color="auto" w:fill="FFFFFF"/>
        </w:rPr>
        <w:t xml:space="preserve">, M.C., 2020. The effect of exchange rate volatility on economic growth: Case of the CEE countries. </w:t>
      </w:r>
      <w:r w:rsidRPr="005429C3">
        <w:rPr>
          <w:i/>
          <w:iCs/>
          <w:shd w:val="clear" w:color="auto" w:fill="FFFFFF"/>
        </w:rPr>
        <w:t>Journal of Risk and Financial Management</w:t>
      </w:r>
      <w:r w:rsidRPr="005429C3">
        <w:rPr>
          <w:shd w:val="clear" w:color="auto" w:fill="FFFFFF"/>
        </w:rPr>
        <w:t xml:space="preserve">, </w:t>
      </w:r>
      <w:r w:rsidRPr="005429C3">
        <w:rPr>
          <w:i/>
          <w:iCs/>
          <w:shd w:val="clear" w:color="auto" w:fill="FFFFFF"/>
        </w:rPr>
        <w:t>13</w:t>
      </w:r>
      <w:r w:rsidRPr="005429C3">
        <w:rPr>
          <w:shd w:val="clear" w:color="auto" w:fill="FFFFFF"/>
        </w:rPr>
        <w:t>(8), p.177.</w:t>
      </w:r>
    </w:p>
    <w:p w14:paraId="0A0CE548" w14:textId="77777777" w:rsidR="005429C3" w:rsidRDefault="005429C3" w:rsidP="005429C3">
      <w:proofErr w:type="spellStart"/>
      <w:r w:rsidRPr="005E504F">
        <w:t>Mouna</w:t>
      </w:r>
      <w:proofErr w:type="spellEnd"/>
      <w:r w:rsidRPr="005E504F">
        <w:t>, A. and Anis, J., 2016. Market, interest rate, and exchange rate risk effects on financial stock returns during the financial crisis: AGARCH-M approach. </w:t>
      </w:r>
      <w:r w:rsidRPr="005429C3">
        <w:rPr>
          <w:i/>
          <w:iCs/>
        </w:rPr>
        <w:t>Cogent Economics &amp; Finance</w:t>
      </w:r>
      <w:r w:rsidRPr="005E504F">
        <w:t>, </w:t>
      </w:r>
      <w:r w:rsidRPr="005429C3">
        <w:rPr>
          <w:i/>
          <w:iCs/>
        </w:rPr>
        <w:t>4</w:t>
      </w:r>
      <w:r w:rsidRPr="005E504F">
        <w:t>(1), p.1125332.</w:t>
      </w:r>
      <w:r>
        <w:t xml:space="preserve"> </w:t>
      </w:r>
    </w:p>
    <w:p w14:paraId="2BC4B9CC" w14:textId="77777777" w:rsidR="005429C3" w:rsidRDefault="005429C3" w:rsidP="005429C3">
      <w:r w:rsidRPr="005429C3">
        <w:rPr>
          <w:shd w:val="clear" w:color="auto" w:fill="FFFFFF"/>
        </w:rPr>
        <w:t xml:space="preserve">Nayak, J.K. and Singh, P., 2021. </w:t>
      </w:r>
      <w:r w:rsidRPr="005429C3">
        <w:rPr>
          <w:i/>
          <w:iCs/>
          <w:shd w:val="clear" w:color="auto" w:fill="FFFFFF"/>
        </w:rPr>
        <w:t>Fundamentals of research methodology problems and prospects</w:t>
      </w:r>
      <w:r w:rsidRPr="005429C3">
        <w:rPr>
          <w:shd w:val="clear" w:color="auto" w:fill="FFFFFF"/>
        </w:rPr>
        <w:t>. SSDN Publishers &amp; Distributors.</w:t>
      </w:r>
    </w:p>
    <w:p w14:paraId="35189B41" w14:textId="77777777" w:rsidR="005429C3" w:rsidRDefault="005429C3" w:rsidP="005429C3">
      <w:r w:rsidRPr="005429C3">
        <w:rPr>
          <w:shd w:val="clear" w:color="auto" w:fill="FFFFFF"/>
        </w:rPr>
        <w:t xml:space="preserve">Newman, M. and Gough, D., 2020. Systematic reviews in educational research: Methodology, </w:t>
      </w:r>
      <w:proofErr w:type="gramStart"/>
      <w:r w:rsidRPr="005429C3">
        <w:rPr>
          <w:shd w:val="clear" w:color="auto" w:fill="FFFFFF"/>
        </w:rPr>
        <w:t>perspectives</w:t>
      </w:r>
      <w:proofErr w:type="gramEnd"/>
      <w:r w:rsidRPr="005429C3">
        <w:rPr>
          <w:shd w:val="clear" w:color="auto" w:fill="FFFFFF"/>
        </w:rPr>
        <w:t xml:space="preserve"> and application. </w:t>
      </w:r>
      <w:r w:rsidRPr="005429C3">
        <w:rPr>
          <w:i/>
          <w:iCs/>
          <w:shd w:val="clear" w:color="auto" w:fill="FFFFFF"/>
        </w:rPr>
        <w:t>Systematic reviews in educational research: Methodology, perspectives and application</w:t>
      </w:r>
      <w:r w:rsidRPr="005429C3">
        <w:rPr>
          <w:shd w:val="clear" w:color="auto" w:fill="FFFFFF"/>
        </w:rPr>
        <w:t>, pp.3-22.</w:t>
      </w:r>
    </w:p>
    <w:p w14:paraId="0C08E5C8" w14:textId="77777777" w:rsidR="005429C3" w:rsidRPr="005429C3" w:rsidRDefault="005429C3" w:rsidP="005429C3">
      <w:pPr>
        <w:rPr>
          <w:rFonts w:cs="Times New Roman"/>
          <w:szCs w:val="24"/>
          <w:lang w:eastAsia="en-GB"/>
        </w:rPr>
      </w:pPr>
      <w:proofErr w:type="spellStart"/>
      <w:r w:rsidRPr="005429C3">
        <w:rPr>
          <w:shd w:val="clear" w:color="auto" w:fill="FFFFFF"/>
          <w:lang w:eastAsia="en-GB"/>
        </w:rPr>
        <w:t>Nobanee</w:t>
      </w:r>
      <w:proofErr w:type="spellEnd"/>
      <w:r w:rsidRPr="005429C3">
        <w:rPr>
          <w:shd w:val="clear" w:color="auto" w:fill="FFFFFF"/>
          <w:lang w:eastAsia="en-GB"/>
        </w:rPr>
        <w:t xml:space="preserve">, H., Dilshad, M.N., </w:t>
      </w:r>
      <w:proofErr w:type="spellStart"/>
      <w:r w:rsidRPr="005429C3">
        <w:rPr>
          <w:shd w:val="clear" w:color="auto" w:fill="FFFFFF"/>
          <w:lang w:eastAsia="en-GB"/>
        </w:rPr>
        <w:t>Alzaabi</w:t>
      </w:r>
      <w:proofErr w:type="spellEnd"/>
      <w:r w:rsidRPr="005429C3">
        <w:rPr>
          <w:shd w:val="clear" w:color="auto" w:fill="FFFFFF"/>
          <w:lang w:eastAsia="en-GB"/>
        </w:rPr>
        <w:t xml:space="preserve">, F., </w:t>
      </w:r>
      <w:proofErr w:type="spellStart"/>
      <w:r w:rsidRPr="005429C3">
        <w:rPr>
          <w:shd w:val="clear" w:color="auto" w:fill="FFFFFF"/>
          <w:lang w:eastAsia="en-GB"/>
        </w:rPr>
        <w:t>Alkindi</w:t>
      </w:r>
      <w:proofErr w:type="spellEnd"/>
      <w:r w:rsidRPr="005429C3">
        <w:rPr>
          <w:shd w:val="clear" w:color="auto" w:fill="FFFFFF"/>
          <w:lang w:eastAsia="en-GB"/>
        </w:rPr>
        <w:t xml:space="preserve">, S., </w:t>
      </w:r>
      <w:proofErr w:type="spellStart"/>
      <w:r w:rsidRPr="005429C3">
        <w:rPr>
          <w:shd w:val="clear" w:color="auto" w:fill="FFFFFF"/>
          <w:lang w:eastAsia="en-GB"/>
        </w:rPr>
        <w:t>Alhammadi</w:t>
      </w:r>
      <w:proofErr w:type="spellEnd"/>
      <w:r w:rsidRPr="005429C3">
        <w:rPr>
          <w:shd w:val="clear" w:color="auto" w:fill="FFFFFF"/>
          <w:lang w:eastAsia="en-GB"/>
        </w:rPr>
        <w:t xml:space="preserve">, J. and </w:t>
      </w:r>
      <w:proofErr w:type="spellStart"/>
      <w:r w:rsidRPr="005429C3">
        <w:rPr>
          <w:shd w:val="clear" w:color="auto" w:fill="FFFFFF"/>
          <w:lang w:eastAsia="en-GB"/>
        </w:rPr>
        <w:t>Alnaqbi</w:t>
      </w:r>
      <w:proofErr w:type="spellEnd"/>
      <w:r w:rsidRPr="005429C3">
        <w:rPr>
          <w:shd w:val="clear" w:color="auto" w:fill="FFFFFF"/>
          <w:lang w:eastAsia="en-GB"/>
        </w:rPr>
        <w:t xml:space="preserve">, M., 2022. Bibliometric analysis of foreign exchange risk. </w:t>
      </w:r>
      <w:proofErr w:type="spellStart"/>
      <w:r w:rsidRPr="005429C3">
        <w:rPr>
          <w:i/>
          <w:iCs/>
          <w:shd w:val="clear" w:color="auto" w:fill="FFFFFF"/>
          <w:lang w:eastAsia="en-GB"/>
        </w:rPr>
        <w:t>Nobanee</w:t>
      </w:r>
      <w:proofErr w:type="spellEnd"/>
      <w:r w:rsidRPr="005429C3">
        <w:rPr>
          <w:i/>
          <w:iCs/>
          <w:shd w:val="clear" w:color="auto" w:fill="FFFFFF"/>
          <w:lang w:eastAsia="en-GB"/>
        </w:rPr>
        <w:t xml:space="preserve">, H., Shanti, HZ, Dilshad, MN, </w:t>
      </w:r>
      <w:proofErr w:type="spellStart"/>
      <w:r w:rsidRPr="005429C3">
        <w:rPr>
          <w:i/>
          <w:iCs/>
          <w:shd w:val="clear" w:color="auto" w:fill="FFFFFF"/>
          <w:lang w:eastAsia="en-GB"/>
        </w:rPr>
        <w:t>Alzaabi</w:t>
      </w:r>
      <w:proofErr w:type="spellEnd"/>
      <w:r w:rsidRPr="005429C3">
        <w:rPr>
          <w:i/>
          <w:iCs/>
          <w:shd w:val="clear" w:color="auto" w:fill="FFFFFF"/>
          <w:lang w:eastAsia="en-GB"/>
        </w:rPr>
        <w:t xml:space="preserve">, F., </w:t>
      </w:r>
      <w:proofErr w:type="spellStart"/>
      <w:r w:rsidRPr="005429C3">
        <w:rPr>
          <w:i/>
          <w:iCs/>
          <w:shd w:val="clear" w:color="auto" w:fill="FFFFFF"/>
          <w:lang w:eastAsia="en-GB"/>
        </w:rPr>
        <w:t>Alkindi</w:t>
      </w:r>
      <w:proofErr w:type="spellEnd"/>
      <w:r w:rsidRPr="005429C3">
        <w:rPr>
          <w:i/>
          <w:iCs/>
          <w:shd w:val="clear" w:color="auto" w:fill="FFFFFF"/>
          <w:lang w:eastAsia="en-GB"/>
        </w:rPr>
        <w:t xml:space="preserve">, S., </w:t>
      </w:r>
      <w:proofErr w:type="spellStart"/>
      <w:r w:rsidRPr="005429C3">
        <w:rPr>
          <w:i/>
          <w:iCs/>
          <w:shd w:val="clear" w:color="auto" w:fill="FFFFFF"/>
          <w:lang w:eastAsia="en-GB"/>
        </w:rPr>
        <w:t>Alhammadi</w:t>
      </w:r>
      <w:proofErr w:type="spellEnd"/>
      <w:r w:rsidRPr="005429C3">
        <w:rPr>
          <w:i/>
          <w:iCs/>
          <w:shd w:val="clear" w:color="auto" w:fill="FFFFFF"/>
          <w:lang w:eastAsia="en-GB"/>
        </w:rPr>
        <w:t xml:space="preserve">, J., &amp; </w:t>
      </w:r>
      <w:proofErr w:type="spellStart"/>
      <w:r w:rsidRPr="005429C3">
        <w:rPr>
          <w:i/>
          <w:iCs/>
          <w:shd w:val="clear" w:color="auto" w:fill="FFFFFF"/>
          <w:lang w:eastAsia="en-GB"/>
        </w:rPr>
        <w:t>Alnaqbi</w:t>
      </w:r>
      <w:proofErr w:type="spellEnd"/>
      <w:r w:rsidRPr="005429C3">
        <w:rPr>
          <w:i/>
          <w:iCs/>
          <w:shd w:val="clear" w:color="auto" w:fill="FFFFFF"/>
          <w:lang w:eastAsia="en-GB"/>
        </w:rPr>
        <w:t xml:space="preserve">, </w:t>
      </w:r>
      <w:proofErr w:type="gramStart"/>
      <w:r w:rsidRPr="005429C3">
        <w:rPr>
          <w:i/>
          <w:iCs/>
          <w:shd w:val="clear" w:color="auto" w:fill="FFFFFF"/>
          <w:lang w:eastAsia="en-GB"/>
        </w:rPr>
        <w:t>M.(</w:t>
      </w:r>
      <w:proofErr w:type="gramEnd"/>
      <w:r w:rsidRPr="005429C3">
        <w:rPr>
          <w:i/>
          <w:iCs/>
          <w:shd w:val="clear" w:color="auto" w:fill="FFFFFF"/>
          <w:lang w:eastAsia="en-GB"/>
        </w:rPr>
        <w:t>2022). Bibliometric analysis of foreign exchange risk. Journal of Governance and Regulation</w:t>
      </w:r>
      <w:r w:rsidRPr="005429C3">
        <w:rPr>
          <w:shd w:val="clear" w:color="auto" w:fill="FFFFFF"/>
          <w:lang w:eastAsia="en-GB"/>
        </w:rPr>
        <w:t xml:space="preserve">, </w:t>
      </w:r>
      <w:r w:rsidRPr="005429C3">
        <w:rPr>
          <w:i/>
          <w:iCs/>
          <w:shd w:val="clear" w:color="auto" w:fill="FFFFFF"/>
          <w:lang w:eastAsia="en-GB"/>
        </w:rPr>
        <w:t>11</w:t>
      </w:r>
      <w:r w:rsidRPr="005429C3">
        <w:rPr>
          <w:shd w:val="clear" w:color="auto" w:fill="FFFFFF"/>
          <w:lang w:eastAsia="en-GB"/>
        </w:rPr>
        <w:t>(1), pp.86-99.</w:t>
      </w:r>
    </w:p>
    <w:p w14:paraId="4C63E2FA" w14:textId="77777777" w:rsidR="005429C3" w:rsidRDefault="005429C3" w:rsidP="005429C3">
      <w:r w:rsidRPr="005E504F">
        <w:t>Obstfeld, M. and Rogoff, K., 2003. Risk and exchange rates. </w:t>
      </w:r>
      <w:r w:rsidRPr="005429C3">
        <w:rPr>
          <w:i/>
          <w:iCs/>
        </w:rPr>
        <w:t xml:space="preserve">Economic Policy in the International Economy: Essays in </w:t>
      </w:r>
      <w:proofErr w:type="spellStart"/>
      <w:r w:rsidRPr="005429C3">
        <w:rPr>
          <w:i/>
          <w:iCs/>
        </w:rPr>
        <w:t>Honor</w:t>
      </w:r>
      <w:proofErr w:type="spellEnd"/>
      <w:r w:rsidRPr="005429C3">
        <w:rPr>
          <w:i/>
          <w:iCs/>
        </w:rPr>
        <w:t xml:space="preserve"> of Assaf </w:t>
      </w:r>
      <w:proofErr w:type="spellStart"/>
      <w:r w:rsidRPr="005429C3">
        <w:rPr>
          <w:i/>
          <w:iCs/>
        </w:rPr>
        <w:t>Razin</w:t>
      </w:r>
      <w:proofErr w:type="spellEnd"/>
      <w:r w:rsidRPr="005E504F">
        <w:t>, pp.74-120.</w:t>
      </w:r>
      <w:r>
        <w:t xml:space="preserve"> </w:t>
      </w:r>
    </w:p>
    <w:p w14:paraId="2F0768F0" w14:textId="77777777" w:rsidR="005429C3" w:rsidRDefault="005429C3" w:rsidP="005429C3">
      <w:r w:rsidRPr="00966F52">
        <w:t>Office for National Statistics</w:t>
      </w:r>
      <w:r>
        <w:t xml:space="preserve">, 2023. </w:t>
      </w:r>
      <w:r w:rsidRPr="005429C3">
        <w:rPr>
          <w:i/>
          <w:iCs/>
        </w:rPr>
        <w:t xml:space="preserve">Consumer price inflation, UK: April </w:t>
      </w:r>
      <w:r w:rsidRPr="00966F52">
        <w:t>2023</w:t>
      </w:r>
      <w:r>
        <w:t xml:space="preserve">, </w:t>
      </w:r>
      <w:r w:rsidRPr="00966F52">
        <w:t>https</w:t>
      </w:r>
      <w:r w:rsidRPr="00F16170">
        <w:t>://www.ons.gov.uk/economy/inflationandpriceindices/bulletins/consumerpriceinflation/april2023</w:t>
      </w:r>
    </w:p>
    <w:p w14:paraId="4A518A0A" w14:textId="77777777" w:rsidR="005429C3" w:rsidRDefault="005429C3" w:rsidP="005429C3">
      <w:r w:rsidRPr="00966F52">
        <w:t>Office for National Statistics</w:t>
      </w:r>
      <w:r>
        <w:t xml:space="preserve">, 2023. </w:t>
      </w:r>
      <w:r w:rsidRPr="005429C3">
        <w:rPr>
          <w:i/>
          <w:iCs/>
        </w:rPr>
        <w:t>UK trade: December 2023</w:t>
      </w:r>
      <w:r>
        <w:t xml:space="preserve">, </w:t>
      </w:r>
      <w:r w:rsidRPr="0040240D">
        <w:t>https://www.ons.gov.uk/economy/nationalaccounts/balanceofpayments/bulletins/uktrade/december2023#:~:text=The%20trade%20in%20goods%20deficit,billion%20to%20%C2%A334.9%20billion.</w:t>
      </w:r>
    </w:p>
    <w:p w14:paraId="35298D15" w14:textId="77777777" w:rsidR="005429C3" w:rsidRDefault="005429C3" w:rsidP="005429C3">
      <w:r w:rsidRPr="005429C3">
        <w:rPr>
          <w:shd w:val="clear" w:color="auto" w:fill="FFFFFF"/>
        </w:rPr>
        <w:t xml:space="preserve">Pandey, P. and Pandey, M.M., 2021. </w:t>
      </w:r>
      <w:r w:rsidRPr="005429C3">
        <w:rPr>
          <w:i/>
          <w:iCs/>
          <w:shd w:val="clear" w:color="auto" w:fill="FFFFFF"/>
        </w:rPr>
        <w:t>Research methodology tools and techniques</w:t>
      </w:r>
      <w:r w:rsidRPr="005429C3">
        <w:rPr>
          <w:shd w:val="clear" w:color="auto" w:fill="FFFFFF"/>
        </w:rPr>
        <w:t xml:space="preserve">. Bridge </w:t>
      </w:r>
      <w:proofErr w:type="spellStart"/>
      <w:r w:rsidRPr="005429C3">
        <w:rPr>
          <w:shd w:val="clear" w:color="auto" w:fill="FFFFFF"/>
        </w:rPr>
        <w:t>Center</w:t>
      </w:r>
      <w:proofErr w:type="spellEnd"/>
      <w:r w:rsidRPr="005429C3">
        <w:rPr>
          <w:shd w:val="clear" w:color="auto" w:fill="FFFFFF"/>
        </w:rPr>
        <w:t>.</w:t>
      </w:r>
    </w:p>
    <w:p w14:paraId="1616243D" w14:textId="77777777" w:rsidR="005429C3" w:rsidRDefault="005429C3" w:rsidP="005429C3">
      <w:r w:rsidRPr="005429C3">
        <w:rPr>
          <w:shd w:val="clear" w:color="auto" w:fill="FFFFFF"/>
        </w:rPr>
        <w:lastRenderedPageBreak/>
        <w:t xml:space="preserve">Priya, A., 2021. Case study methodology of qualitative research: Key attributes and navigating the conundrums in its application. </w:t>
      </w:r>
      <w:r w:rsidRPr="005429C3">
        <w:rPr>
          <w:i/>
          <w:iCs/>
          <w:shd w:val="clear" w:color="auto" w:fill="FFFFFF"/>
        </w:rPr>
        <w:t>Sociological Bulletin</w:t>
      </w:r>
      <w:r w:rsidRPr="005429C3">
        <w:rPr>
          <w:shd w:val="clear" w:color="auto" w:fill="FFFFFF"/>
        </w:rPr>
        <w:t xml:space="preserve">, </w:t>
      </w:r>
      <w:r w:rsidRPr="005429C3">
        <w:rPr>
          <w:i/>
          <w:iCs/>
          <w:shd w:val="clear" w:color="auto" w:fill="FFFFFF"/>
        </w:rPr>
        <w:t>70</w:t>
      </w:r>
      <w:r w:rsidRPr="005429C3">
        <w:rPr>
          <w:shd w:val="clear" w:color="auto" w:fill="FFFFFF"/>
        </w:rPr>
        <w:t>(1), pp.94-110.</w:t>
      </w:r>
    </w:p>
    <w:p w14:paraId="6A79082E" w14:textId="77777777" w:rsidR="005429C3" w:rsidRDefault="005429C3" w:rsidP="005429C3">
      <w:proofErr w:type="spellStart"/>
      <w:r w:rsidRPr="005429C3">
        <w:rPr>
          <w:shd w:val="clear" w:color="auto" w:fill="FFFFFF"/>
        </w:rPr>
        <w:t>Salisu</w:t>
      </w:r>
      <w:proofErr w:type="spellEnd"/>
      <w:r w:rsidRPr="005429C3">
        <w:rPr>
          <w:shd w:val="clear" w:color="auto" w:fill="FFFFFF"/>
        </w:rPr>
        <w:t xml:space="preserve">, A.A., </w:t>
      </w:r>
      <w:proofErr w:type="spellStart"/>
      <w:r w:rsidRPr="005429C3">
        <w:rPr>
          <w:shd w:val="clear" w:color="auto" w:fill="FFFFFF"/>
        </w:rPr>
        <w:t>Cuñado</w:t>
      </w:r>
      <w:proofErr w:type="spellEnd"/>
      <w:r w:rsidRPr="005429C3">
        <w:rPr>
          <w:shd w:val="clear" w:color="auto" w:fill="FFFFFF"/>
        </w:rPr>
        <w:t xml:space="preserve">, J. and Gupta, R., 2022. Geopolitical risks and historical exchange rate volatility of the BRICS. </w:t>
      </w:r>
      <w:r w:rsidRPr="005429C3">
        <w:rPr>
          <w:i/>
          <w:iCs/>
          <w:shd w:val="clear" w:color="auto" w:fill="FFFFFF"/>
        </w:rPr>
        <w:t>International Review of Economics &amp; Finance</w:t>
      </w:r>
      <w:r w:rsidRPr="005429C3">
        <w:rPr>
          <w:shd w:val="clear" w:color="auto" w:fill="FFFFFF"/>
        </w:rPr>
        <w:t xml:space="preserve">, </w:t>
      </w:r>
      <w:r w:rsidRPr="005429C3">
        <w:rPr>
          <w:i/>
          <w:iCs/>
          <w:shd w:val="clear" w:color="auto" w:fill="FFFFFF"/>
        </w:rPr>
        <w:t>77</w:t>
      </w:r>
      <w:r w:rsidRPr="005429C3">
        <w:rPr>
          <w:shd w:val="clear" w:color="auto" w:fill="FFFFFF"/>
        </w:rPr>
        <w:t>, pp.179-190.</w:t>
      </w:r>
    </w:p>
    <w:p w14:paraId="403BCC9D" w14:textId="77777777" w:rsidR="005429C3" w:rsidRPr="005429C3" w:rsidRDefault="005429C3" w:rsidP="005429C3">
      <w:pPr>
        <w:rPr>
          <w:rFonts w:cs="Times New Roman"/>
          <w:szCs w:val="24"/>
          <w:shd w:val="clear" w:color="auto" w:fill="FFFFFF"/>
        </w:rPr>
      </w:pPr>
      <w:r w:rsidRPr="005429C3">
        <w:rPr>
          <w:rFonts w:cs="Times New Roman"/>
          <w:szCs w:val="24"/>
          <w:shd w:val="clear" w:color="auto" w:fill="FFFFFF"/>
        </w:rPr>
        <w:t>Saunders, M., Lewis, P. and Thornhill, A. 2009. Research Methods for Business Students. Pearson, New York.</w:t>
      </w:r>
    </w:p>
    <w:p w14:paraId="51257F32" w14:textId="77777777" w:rsidR="005429C3" w:rsidRPr="005429C3" w:rsidRDefault="005429C3" w:rsidP="005429C3">
      <w:pPr>
        <w:rPr>
          <w:shd w:val="clear" w:color="auto" w:fill="FFFFFF"/>
          <w:lang w:val="en-IN"/>
        </w:rPr>
      </w:pPr>
      <w:r w:rsidRPr="005429C3">
        <w:rPr>
          <w:shd w:val="clear" w:color="auto" w:fill="FFFFFF"/>
          <w:lang w:val="en-IN"/>
        </w:rPr>
        <w:t xml:space="preserve">Shapiro, A.C. (2014). </w:t>
      </w:r>
      <w:r w:rsidRPr="005429C3">
        <w:rPr>
          <w:i/>
          <w:iCs/>
          <w:shd w:val="clear" w:color="auto" w:fill="FFFFFF"/>
          <w:lang w:val="en-IN"/>
        </w:rPr>
        <w:t>Multinational Financial Management</w:t>
      </w:r>
      <w:r w:rsidRPr="005429C3">
        <w:rPr>
          <w:shd w:val="clear" w:color="auto" w:fill="FFFFFF"/>
          <w:lang w:val="en-IN"/>
        </w:rPr>
        <w:t xml:space="preserve"> (10th ed.). Wiley.</w:t>
      </w:r>
    </w:p>
    <w:p w14:paraId="268D8B0A" w14:textId="77777777" w:rsidR="005429C3" w:rsidRDefault="005429C3" w:rsidP="005429C3">
      <w:r>
        <w:t xml:space="preserve">Statista, 2024. </w:t>
      </w:r>
      <w:r w:rsidRPr="005429C3">
        <w:rPr>
          <w:i/>
          <w:iCs/>
        </w:rPr>
        <w:t>Top risks addressed by financial instruments worldwide in 2023</w:t>
      </w:r>
      <w:r>
        <w:t xml:space="preserve">, </w:t>
      </w:r>
      <w:r w:rsidRPr="00A66800">
        <w:t>https://www.statista.com/statistics/1441168/top-global-risks-by-financial-instruments/</w:t>
      </w:r>
    </w:p>
    <w:p w14:paraId="1F1BCB5D" w14:textId="77777777" w:rsidR="005429C3" w:rsidRDefault="005429C3" w:rsidP="005429C3">
      <w:r w:rsidRPr="005429C3">
        <w:rPr>
          <w:shd w:val="clear" w:color="auto" w:fill="FFFFFF"/>
        </w:rPr>
        <w:t xml:space="preserve">Suri, H., 2020. Ethical considerations of conducting systematic reviews in educational research. </w:t>
      </w:r>
      <w:r w:rsidRPr="005429C3">
        <w:rPr>
          <w:i/>
          <w:iCs/>
          <w:shd w:val="clear" w:color="auto" w:fill="FFFFFF"/>
        </w:rPr>
        <w:t>Systematic reviews in educational research: Methodology, perspectives and application</w:t>
      </w:r>
      <w:r w:rsidRPr="005429C3">
        <w:rPr>
          <w:shd w:val="clear" w:color="auto" w:fill="FFFFFF"/>
        </w:rPr>
        <w:t>, pp.41-54.</w:t>
      </w:r>
    </w:p>
    <w:p w14:paraId="08556244" w14:textId="77777777" w:rsidR="005429C3" w:rsidRPr="005429C3" w:rsidRDefault="005429C3" w:rsidP="005429C3">
      <w:pPr>
        <w:rPr>
          <w:shd w:val="clear" w:color="auto" w:fill="FFFFFF"/>
          <w:lang w:val="en-IN"/>
        </w:rPr>
      </w:pPr>
      <w:proofErr w:type="spellStart"/>
      <w:r w:rsidRPr="005429C3">
        <w:rPr>
          <w:shd w:val="clear" w:color="auto" w:fill="FFFFFF"/>
          <w:lang w:val="en-IN"/>
        </w:rPr>
        <w:t>Taarup-Esbensen</w:t>
      </w:r>
      <w:proofErr w:type="spellEnd"/>
      <w:r w:rsidRPr="005429C3">
        <w:rPr>
          <w:shd w:val="clear" w:color="auto" w:fill="FFFFFF"/>
          <w:lang w:val="en-IN"/>
        </w:rPr>
        <w:t>, J., 2018. </w:t>
      </w:r>
      <w:r w:rsidRPr="005429C3">
        <w:rPr>
          <w:i/>
          <w:iCs/>
          <w:shd w:val="clear" w:color="auto" w:fill="FFFFFF"/>
          <w:lang w:val="en-IN"/>
        </w:rPr>
        <w:t>Managing communities–Mining MNEs’ community risk management practices</w:t>
      </w:r>
      <w:r w:rsidRPr="005429C3">
        <w:rPr>
          <w:shd w:val="clear" w:color="auto" w:fill="FFFFFF"/>
          <w:lang w:val="en-IN"/>
        </w:rPr>
        <w:t>. Frederiksberg: Copenhagen Business School (CBS).</w:t>
      </w:r>
    </w:p>
    <w:p w14:paraId="4EA77603" w14:textId="77777777" w:rsidR="005429C3" w:rsidRDefault="005429C3" w:rsidP="005429C3">
      <w:proofErr w:type="spellStart"/>
      <w:r w:rsidRPr="005429C3">
        <w:rPr>
          <w:shd w:val="clear" w:color="auto" w:fill="FFFFFF"/>
        </w:rPr>
        <w:t>Thambinathan</w:t>
      </w:r>
      <w:proofErr w:type="spellEnd"/>
      <w:r w:rsidRPr="005429C3">
        <w:rPr>
          <w:shd w:val="clear" w:color="auto" w:fill="FFFFFF"/>
        </w:rPr>
        <w:t xml:space="preserve">, V. and Kinsella, E.A., 2021. Decolonizing methodologies in qualitative research: Creating spaces for transformative praxis. </w:t>
      </w:r>
      <w:r w:rsidRPr="005429C3">
        <w:rPr>
          <w:i/>
          <w:iCs/>
          <w:shd w:val="clear" w:color="auto" w:fill="FFFFFF"/>
        </w:rPr>
        <w:t>International journal of qualitative methods</w:t>
      </w:r>
      <w:r w:rsidRPr="005429C3">
        <w:rPr>
          <w:shd w:val="clear" w:color="auto" w:fill="FFFFFF"/>
        </w:rPr>
        <w:t xml:space="preserve">, </w:t>
      </w:r>
      <w:r w:rsidRPr="005429C3">
        <w:rPr>
          <w:i/>
          <w:iCs/>
          <w:shd w:val="clear" w:color="auto" w:fill="FFFFFF"/>
        </w:rPr>
        <w:t>20</w:t>
      </w:r>
      <w:r w:rsidRPr="005429C3">
        <w:rPr>
          <w:shd w:val="clear" w:color="auto" w:fill="FFFFFF"/>
        </w:rPr>
        <w:t>, p.16094069211014766.</w:t>
      </w:r>
    </w:p>
    <w:p w14:paraId="09672A7C" w14:textId="77777777" w:rsidR="005429C3" w:rsidRPr="005429C3" w:rsidRDefault="005429C3" w:rsidP="005429C3">
      <w:pPr>
        <w:rPr>
          <w:shd w:val="clear" w:color="auto" w:fill="FFFFFF"/>
        </w:rPr>
      </w:pPr>
      <w:r>
        <w:t xml:space="preserve">The Economic Times, 2023. </w:t>
      </w:r>
      <w:r w:rsidRPr="005429C3">
        <w:rPr>
          <w:i/>
          <w:iCs/>
          <w:shd w:val="clear" w:color="auto" w:fill="FFFFFF"/>
        </w:rPr>
        <w:t>Bank of England lifts interest rate by 25 bps to 5.25%, highest in 15 years</w:t>
      </w:r>
      <w:r w:rsidRPr="005429C3">
        <w:rPr>
          <w:shd w:val="clear" w:color="auto" w:fill="FFFFFF"/>
        </w:rPr>
        <w:t>, https://economictimes.indiatimes.com/markets/stocks/news/bank-of-england-raises-rates-by-25-bps-to-5-25-highest-in-15-years/articleshow/102391083.cms?from=mdr</w:t>
      </w:r>
    </w:p>
    <w:p w14:paraId="55D57EE8" w14:textId="77777777" w:rsidR="005429C3" w:rsidRPr="005429C3" w:rsidRDefault="005429C3" w:rsidP="005429C3">
      <w:pPr>
        <w:rPr>
          <w:lang w:val="en-IN" w:eastAsia="en-GB"/>
        </w:rPr>
      </w:pPr>
      <w:r w:rsidRPr="005429C3">
        <w:rPr>
          <w:lang w:val="en-IN" w:eastAsia="en-GB"/>
        </w:rPr>
        <w:t>Thomas, D. R. (2003). A general inductive approach for qualitative data analysis.</w:t>
      </w:r>
    </w:p>
    <w:p w14:paraId="7A727C65" w14:textId="77777777" w:rsidR="005429C3" w:rsidRDefault="005429C3" w:rsidP="005429C3">
      <w:proofErr w:type="spellStart"/>
      <w:r w:rsidRPr="005429C3">
        <w:rPr>
          <w:shd w:val="clear" w:color="auto" w:fill="FFFFFF"/>
        </w:rPr>
        <w:t>Umoru</w:t>
      </w:r>
      <w:proofErr w:type="spellEnd"/>
      <w:r w:rsidRPr="005429C3">
        <w:rPr>
          <w:shd w:val="clear" w:color="auto" w:fill="FFFFFF"/>
        </w:rPr>
        <w:t xml:space="preserve">, D., </w:t>
      </w:r>
      <w:proofErr w:type="spellStart"/>
      <w:r w:rsidRPr="005429C3">
        <w:rPr>
          <w:shd w:val="clear" w:color="auto" w:fill="FFFFFF"/>
        </w:rPr>
        <w:t>Akpoviroro</w:t>
      </w:r>
      <w:proofErr w:type="spellEnd"/>
      <w:r w:rsidRPr="005429C3">
        <w:rPr>
          <w:shd w:val="clear" w:color="auto" w:fill="FFFFFF"/>
        </w:rPr>
        <w:t xml:space="preserve">, O.N. and Effiong, S.E., 2023. Causes of Exchange Rate Volatility. </w:t>
      </w:r>
      <w:r w:rsidRPr="005429C3">
        <w:rPr>
          <w:i/>
          <w:iCs/>
          <w:shd w:val="clear" w:color="auto" w:fill="FFFFFF"/>
        </w:rPr>
        <w:t>Asian Journal of Economics, Business and Accounting</w:t>
      </w:r>
      <w:r w:rsidRPr="005429C3">
        <w:rPr>
          <w:shd w:val="clear" w:color="auto" w:fill="FFFFFF"/>
        </w:rPr>
        <w:t xml:space="preserve">, </w:t>
      </w:r>
      <w:r w:rsidRPr="005429C3">
        <w:rPr>
          <w:i/>
          <w:iCs/>
          <w:shd w:val="clear" w:color="auto" w:fill="FFFFFF"/>
        </w:rPr>
        <w:t>23</w:t>
      </w:r>
      <w:r w:rsidRPr="005429C3">
        <w:rPr>
          <w:shd w:val="clear" w:color="auto" w:fill="FFFFFF"/>
        </w:rPr>
        <w:t>(20), pp.26-60.</w:t>
      </w:r>
    </w:p>
    <w:p w14:paraId="151B2109" w14:textId="77777777" w:rsidR="005429C3" w:rsidRDefault="005429C3" w:rsidP="005429C3">
      <w:r w:rsidRPr="005429C3">
        <w:rPr>
          <w:shd w:val="clear" w:color="auto" w:fill="FFFFFF"/>
        </w:rPr>
        <w:t xml:space="preserve">Warren, M., </w:t>
      </w:r>
      <w:proofErr w:type="spellStart"/>
      <w:r w:rsidRPr="005429C3">
        <w:rPr>
          <w:shd w:val="clear" w:color="auto" w:fill="FFFFFF"/>
        </w:rPr>
        <w:t>Seetanah</w:t>
      </w:r>
      <w:proofErr w:type="spellEnd"/>
      <w:r w:rsidRPr="005429C3">
        <w:rPr>
          <w:shd w:val="clear" w:color="auto" w:fill="FFFFFF"/>
        </w:rPr>
        <w:t xml:space="preserve">, B. and </w:t>
      </w:r>
      <w:proofErr w:type="spellStart"/>
      <w:r w:rsidRPr="005429C3">
        <w:rPr>
          <w:shd w:val="clear" w:color="auto" w:fill="FFFFFF"/>
        </w:rPr>
        <w:t>Sookia</w:t>
      </w:r>
      <w:proofErr w:type="spellEnd"/>
      <w:r w:rsidRPr="005429C3">
        <w:rPr>
          <w:shd w:val="clear" w:color="auto" w:fill="FFFFFF"/>
        </w:rPr>
        <w:t xml:space="preserve">, N., 2023. An investigation of exchange rate, exchange rate volatility and FDI nexus in a gravity model approach. </w:t>
      </w:r>
      <w:r w:rsidRPr="005429C3">
        <w:rPr>
          <w:i/>
          <w:iCs/>
          <w:shd w:val="clear" w:color="auto" w:fill="FFFFFF"/>
        </w:rPr>
        <w:t>International Review of Applied Economics</w:t>
      </w:r>
      <w:r w:rsidRPr="005429C3">
        <w:rPr>
          <w:shd w:val="clear" w:color="auto" w:fill="FFFFFF"/>
        </w:rPr>
        <w:t xml:space="preserve">, </w:t>
      </w:r>
      <w:r w:rsidRPr="005429C3">
        <w:rPr>
          <w:i/>
          <w:iCs/>
          <w:shd w:val="clear" w:color="auto" w:fill="FFFFFF"/>
        </w:rPr>
        <w:t>37</w:t>
      </w:r>
      <w:r w:rsidRPr="005429C3">
        <w:rPr>
          <w:shd w:val="clear" w:color="auto" w:fill="FFFFFF"/>
        </w:rPr>
        <w:t>(4), pp.482-502.</w:t>
      </w:r>
    </w:p>
    <w:p w14:paraId="4CCF10F0" w14:textId="77777777" w:rsidR="005429C3" w:rsidRDefault="005429C3" w:rsidP="005429C3">
      <w:r w:rsidRPr="005E504F">
        <w:lastRenderedPageBreak/>
        <w:t>Williamson, J., 2009. Exchange rate economics. </w:t>
      </w:r>
      <w:r w:rsidRPr="005429C3">
        <w:rPr>
          <w:i/>
          <w:iCs/>
        </w:rPr>
        <w:t>Open Economies Review</w:t>
      </w:r>
      <w:r w:rsidRPr="005E504F">
        <w:t>, </w:t>
      </w:r>
      <w:r w:rsidRPr="005429C3">
        <w:rPr>
          <w:i/>
          <w:iCs/>
        </w:rPr>
        <w:t>20</w:t>
      </w:r>
      <w:r w:rsidRPr="005E504F">
        <w:t>, pp.123-146.</w:t>
      </w:r>
      <w:r>
        <w:t xml:space="preserve"> </w:t>
      </w:r>
    </w:p>
    <w:p w14:paraId="3EC9A9A5" w14:textId="77777777" w:rsidR="005429C3" w:rsidRDefault="005429C3" w:rsidP="005429C3">
      <w:r w:rsidRPr="005429C3">
        <w:rPr>
          <w:shd w:val="clear" w:color="auto" w:fill="FFFFFF"/>
        </w:rPr>
        <w:t xml:space="preserve">You, Y. and Liu, X., 2020. Forecasting short-run exchange rate volatility with monetary fundamentals: A GARCH-MIDAS approach. </w:t>
      </w:r>
      <w:r w:rsidRPr="005429C3">
        <w:rPr>
          <w:i/>
          <w:iCs/>
          <w:shd w:val="clear" w:color="auto" w:fill="FFFFFF"/>
        </w:rPr>
        <w:t>Journal of Banking &amp; Finance</w:t>
      </w:r>
      <w:r w:rsidRPr="005429C3">
        <w:rPr>
          <w:shd w:val="clear" w:color="auto" w:fill="FFFFFF"/>
        </w:rPr>
        <w:t xml:space="preserve">, </w:t>
      </w:r>
      <w:r w:rsidRPr="005429C3">
        <w:rPr>
          <w:i/>
          <w:iCs/>
          <w:shd w:val="clear" w:color="auto" w:fill="FFFFFF"/>
        </w:rPr>
        <w:t>116</w:t>
      </w:r>
      <w:r w:rsidRPr="005429C3">
        <w:rPr>
          <w:shd w:val="clear" w:color="auto" w:fill="FFFFFF"/>
        </w:rPr>
        <w:t>, p.105849.</w:t>
      </w:r>
    </w:p>
    <w:p w14:paraId="597DEC57" w14:textId="77777777" w:rsidR="005429C3" w:rsidRDefault="005429C3" w:rsidP="005429C3">
      <w:proofErr w:type="spellStart"/>
      <w:r w:rsidRPr="005429C3">
        <w:rPr>
          <w:shd w:val="clear" w:color="auto" w:fill="FFFFFF"/>
        </w:rPr>
        <w:t>Zawacki</w:t>
      </w:r>
      <w:proofErr w:type="spellEnd"/>
      <w:r w:rsidRPr="005429C3">
        <w:rPr>
          <w:shd w:val="clear" w:color="auto" w:fill="FFFFFF"/>
        </w:rPr>
        <w:t xml:space="preserve">-Richter, O., </w:t>
      </w:r>
      <w:proofErr w:type="spellStart"/>
      <w:r w:rsidRPr="005429C3">
        <w:rPr>
          <w:shd w:val="clear" w:color="auto" w:fill="FFFFFF"/>
        </w:rPr>
        <w:t>Kerres</w:t>
      </w:r>
      <w:proofErr w:type="spellEnd"/>
      <w:r w:rsidRPr="005429C3">
        <w:rPr>
          <w:shd w:val="clear" w:color="auto" w:fill="FFFFFF"/>
        </w:rPr>
        <w:t xml:space="preserve">, M., </w:t>
      </w:r>
      <w:proofErr w:type="spellStart"/>
      <w:r w:rsidRPr="005429C3">
        <w:rPr>
          <w:shd w:val="clear" w:color="auto" w:fill="FFFFFF"/>
        </w:rPr>
        <w:t>Bedenlier</w:t>
      </w:r>
      <w:proofErr w:type="spellEnd"/>
      <w:r w:rsidRPr="005429C3">
        <w:rPr>
          <w:shd w:val="clear" w:color="auto" w:fill="FFFFFF"/>
        </w:rPr>
        <w:t xml:space="preserve">, S., Bond, M. and Buntins, K., 2020. </w:t>
      </w:r>
      <w:r w:rsidRPr="005429C3">
        <w:rPr>
          <w:i/>
          <w:iCs/>
          <w:shd w:val="clear" w:color="auto" w:fill="FFFFFF"/>
        </w:rPr>
        <w:t xml:space="preserve">Systematic reviews in educational research: Methodology, </w:t>
      </w:r>
      <w:proofErr w:type="gramStart"/>
      <w:r w:rsidRPr="005429C3">
        <w:rPr>
          <w:i/>
          <w:iCs/>
          <w:shd w:val="clear" w:color="auto" w:fill="FFFFFF"/>
        </w:rPr>
        <w:t>perspectives</w:t>
      </w:r>
      <w:proofErr w:type="gramEnd"/>
      <w:r w:rsidRPr="005429C3">
        <w:rPr>
          <w:i/>
          <w:iCs/>
          <w:shd w:val="clear" w:color="auto" w:fill="FFFFFF"/>
        </w:rPr>
        <w:t xml:space="preserve"> and application</w:t>
      </w:r>
      <w:r w:rsidRPr="005429C3">
        <w:rPr>
          <w:shd w:val="clear" w:color="auto" w:fill="FFFFFF"/>
        </w:rPr>
        <w:t xml:space="preserve"> (p. 161). Springer Nature.</w:t>
      </w:r>
    </w:p>
    <w:p w14:paraId="4EE0B7CC" w14:textId="77777777" w:rsidR="005429C3" w:rsidRPr="005429C3" w:rsidRDefault="005429C3" w:rsidP="005429C3">
      <w:pPr>
        <w:rPr>
          <w:shd w:val="clear" w:color="auto" w:fill="FFFFFF"/>
        </w:rPr>
      </w:pPr>
      <w:r w:rsidRPr="005429C3">
        <w:rPr>
          <w:shd w:val="clear" w:color="auto" w:fill="FFFFFF"/>
        </w:rPr>
        <w:t xml:space="preserve">Zhou, Z., Fu, Z., Jiang, Y., Zeng, X. and Lin, L., 2020. Can economic policy uncertainty predict exchange rate volatility? New evidence from the GARCH-MIDAS model. </w:t>
      </w:r>
      <w:r w:rsidRPr="005429C3">
        <w:rPr>
          <w:i/>
          <w:iCs/>
          <w:shd w:val="clear" w:color="auto" w:fill="FFFFFF"/>
        </w:rPr>
        <w:t>Finance Research Letters</w:t>
      </w:r>
      <w:r w:rsidRPr="005429C3">
        <w:rPr>
          <w:shd w:val="clear" w:color="auto" w:fill="FFFFFF"/>
        </w:rPr>
        <w:t xml:space="preserve">, </w:t>
      </w:r>
      <w:r w:rsidRPr="005429C3">
        <w:rPr>
          <w:i/>
          <w:iCs/>
          <w:shd w:val="clear" w:color="auto" w:fill="FFFFFF"/>
        </w:rPr>
        <w:t>34</w:t>
      </w:r>
      <w:r w:rsidRPr="005429C3">
        <w:rPr>
          <w:shd w:val="clear" w:color="auto" w:fill="FFFFFF"/>
        </w:rPr>
        <w:t>, p.101258.</w:t>
      </w:r>
    </w:p>
    <w:p w14:paraId="12BFF382" w14:textId="77777777" w:rsidR="001C6B29" w:rsidRPr="001C6B29" w:rsidRDefault="001C6B29" w:rsidP="001C6B29">
      <w:pPr>
        <w:rPr>
          <w:shd w:val="clear" w:color="auto" w:fill="FFFFFF"/>
          <w:lang w:val="en-IN"/>
        </w:rPr>
      </w:pPr>
    </w:p>
    <w:p w14:paraId="310D288C" w14:textId="77777777" w:rsidR="002B7665" w:rsidRPr="002B7665" w:rsidRDefault="002B7665" w:rsidP="002B7665">
      <w:pPr>
        <w:rPr>
          <w:shd w:val="clear" w:color="auto" w:fill="FFFFFF"/>
          <w:lang w:val="en-IN"/>
        </w:rPr>
      </w:pPr>
    </w:p>
    <w:p w14:paraId="1E891F36" w14:textId="4E3CBF4E" w:rsidR="00A665EB" w:rsidRDefault="00A665EB" w:rsidP="002B7665">
      <w:pPr>
        <w:rPr>
          <w:shd w:val="clear" w:color="auto" w:fill="FFFFFF"/>
        </w:rPr>
      </w:pPr>
    </w:p>
    <w:p w14:paraId="7C08DFB0" w14:textId="77777777" w:rsidR="000D05CE" w:rsidRPr="00004BE5" w:rsidRDefault="000D05CE" w:rsidP="000F156B">
      <w:pPr>
        <w:rPr>
          <w:shd w:val="clear" w:color="auto" w:fill="FFFFFF"/>
          <w:lang w:val="en-IN"/>
        </w:rPr>
      </w:pPr>
    </w:p>
    <w:p w14:paraId="15C38FBC" w14:textId="77777777" w:rsidR="00004BE5" w:rsidRDefault="00004BE5" w:rsidP="000F156B">
      <w:pPr>
        <w:rPr>
          <w:shd w:val="clear" w:color="auto" w:fill="FFFFFF"/>
        </w:rPr>
      </w:pPr>
    </w:p>
    <w:sectPr w:rsidR="00004BE5" w:rsidSect="00E06F7C">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62D5B" w14:textId="77777777" w:rsidR="000977FA" w:rsidRDefault="000977FA" w:rsidP="004354B4">
      <w:pPr>
        <w:spacing w:after="0" w:line="240" w:lineRule="auto"/>
      </w:pPr>
      <w:r>
        <w:separator/>
      </w:r>
    </w:p>
  </w:endnote>
  <w:endnote w:type="continuationSeparator" w:id="0">
    <w:p w14:paraId="3714F2B5" w14:textId="77777777" w:rsidR="000977FA" w:rsidRDefault="000977FA" w:rsidP="00435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419306"/>
      <w:docPartObj>
        <w:docPartGallery w:val="Page Numbers (Bottom of Page)"/>
        <w:docPartUnique/>
      </w:docPartObj>
    </w:sdtPr>
    <w:sdtEndPr>
      <w:rPr>
        <w:noProof/>
      </w:rPr>
    </w:sdtEndPr>
    <w:sdtContent>
      <w:p w14:paraId="619D4BCC" w14:textId="299507C4" w:rsidR="004354B4" w:rsidRDefault="004354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1A662" w14:textId="77777777" w:rsidR="004354B4" w:rsidRDefault="00435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34D12" w14:textId="77777777" w:rsidR="000977FA" w:rsidRDefault="000977FA" w:rsidP="004354B4">
      <w:pPr>
        <w:spacing w:after="0" w:line="240" w:lineRule="auto"/>
      </w:pPr>
      <w:r>
        <w:separator/>
      </w:r>
    </w:p>
  </w:footnote>
  <w:footnote w:type="continuationSeparator" w:id="0">
    <w:p w14:paraId="4DC2EF29" w14:textId="77777777" w:rsidR="000977FA" w:rsidRDefault="000977FA" w:rsidP="00435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FC5"/>
    <w:multiLevelType w:val="hybridMultilevel"/>
    <w:tmpl w:val="5AD61A08"/>
    <w:lvl w:ilvl="0" w:tplc="E904D9F8">
      <w:start w:val="1"/>
      <w:numFmt w:val="bullet"/>
      <w:lvlText w:val=""/>
      <w:lvlJc w:val="left"/>
      <w:pPr>
        <w:tabs>
          <w:tab w:val="num" w:pos="720"/>
        </w:tabs>
        <w:ind w:left="720" w:hanging="360"/>
      </w:pPr>
      <w:rPr>
        <w:rFonts w:ascii="Wingdings" w:hAnsi="Wingdings" w:hint="default"/>
      </w:rPr>
    </w:lvl>
    <w:lvl w:ilvl="1" w:tplc="78140DA8" w:tentative="1">
      <w:start w:val="1"/>
      <w:numFmt w:val="bullet"/>
      <w:lvlText w:val=""/>
      <w:lvlJc w:val="left"/>
      <w:pPr>
        <w:tabs>
          <w:tab w:val="num" w:pos="1440"/>
        </w:tabs>
        <w:ind w:left="1440" w:hanging="360"/>
      </w:pPr>
      <w:rPr>
        <w:rFonts w:ascii="Wingdings" w:hAnsi="Wingdings" w:hint="default"/>
      </w:rPr>
    </w:lvl>
    <w:lvl w:ilvl="2" w:tplc="62C82D1C" w:tentative="1">
      <w:start w:val="1"/>
      <w:numFmt w:val="bullet"/>
      <w:lvlText w:val=""/>
      <w:lvlJc w:val="left"/>
      <w:pPr>
        <w:tabs>
          <w:tab w:val="num" w:pos="2160"/>
        </w:tabs>
        <w:ind w:left="2160" w:hanging="360"/>
      </w:pPr>
      <w:rPr>
        <w:rFonts w:ascii="Wingdings" w:hAnsi="Wingdings" w:hint="default"/>
      </w:rPr>
    </w:lvl>
    <w:lvl w:ilvl="3" w:tplc="D8A6D586" w:tentative="1">
      <w:start w:val="1"/>
      <w:numFmt w:val="bullet"/>
      <w:lvlText w:val=""/>
      <w:lvlJc w:val="left"/>
      <w:pPr>
        <w:tabs>
          <w:tab w:val="num" w:pos="2880"/>
        </w:tabs>
        <w:ind w:left="2880" w:hanging="360"/>
      </w:pPr>
      <w:rPr>
        <w:rFonts w:ascii="Wingdings" w:hAnsi="Wingdings" w:hint="default"/>
      </w:rPr>
    </w:lvl>
    <w:lvl w:ilvl="4" w:tplc="2EF61092" w:tentative="1">
      <w:start w:val="1"/>
      <w:numFmt w:val="bullet"/>
      <w:lvlText w:val=""/>
      <w:lvlJc w:val="left"/>
      <w:pPr>
        <w:tabs>
          <w:tab w:val="num" w:pos="3600"/>
        </w:tabs>
        <w:ind w:left="3600" w:hanging="360"/>
      </w:pPr>
      <w:rPr>
        <w:rFonts w:ascii="Wingdings" w:hAnsi="Wingdings" w:hint="default"/>
      </w:rPr>
    </w:lvl>
    <w:lvl w:ilvl="5" w:tplc="002C08E0" w:tentative="1">
      <w:start w:val="1"/>
      <w:numFmt w:val="bullet"/>
      <w:lvlText w:val=""/>
      <w:lvlJc w:val="left"/>
      <w:pPr>
        <w:tabs>
          <w:tab w:val="num" w:pos="4320"/>
        </w:tabs>
        <w:ind w:left="4320" w:hanging="360"/>
      </w:pPr>
      <w:rPr>
        <w:rFonts w:ascii="Wingdings" w:hAnsi="Wingdings" w:hint="default"/>
      </w:rPr>
    </w:lvl>
    <w:lvl w:ilvl="6" w:tplc="EEDC2FD0" w:tentative="1">
      <w:start w:val="1"/>
      <w:numFmt w:val="bullet"/>
      <w:lvlText w:val=""/>
      <w:lvlJc w:val="left"/>
      <w:pPr>
        <w:tabs>
          <w:tab w:val="num" w:pos="5040"/>
        </w:tabs>
        <w:ind w:left="5040" w:hanging="360"/>
      </w:pPr>
      <w:rPr>
        <w:rFonts w:ascii="Wingdings" w:hAnsi="Wingdings" w:hint="default"/>
      </w:rPr>
    </w:lvl>
    <w:lvl w:ilvl="7" w:tplc="B9709794" w:tentative="1">
      <w:start w:val="1"/>
      <w:numFmt w:val="bullet"/>
      <w:lvlText w:val=""/>
      <w:lvlJc w:val="left"/>
      <w:pPr>
        <w:tabs>
          <w:tab w:val="num" w:pos="5760"/>
        </w:tabs>
        <w:ind w:left="5760" w:hanging="360"/>
      </w:pPr>
      <w:rPr>
        <w:rFonts w:ascii="Wingdings" w:hAnsi="Wingdings" w:hint="default"/>
      </w:rPr>
    </w:lvl>
    <w:lvl w:ilvl="8" w:tplc="732022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230C66"/>
    <w:multiLevelType w:val="hybridMultilevel"/>
    <w:tmpl w:val="8B54B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E6393"/>
    <w:multiLevelType w:val="hybridMultilevel"/>
    <w:tmpl w:val="9FD4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92612"/>
    <w:multiLevelType w:val="hybridMultilevel"/>
    <w:tmpl w:val="8220A302"/>
    <w:lvl w:ilvl="0" w:tplc="1ED085A6">
      <w:start w:val="1"/>
      <w:numFmt w:val="bullet"/>
      <w:lvlText w:val=""/>
      <w:lvlJc w:val="left"/>
      <w:pPr>
        <w:tabs>
          <w:tab w:val="num" w:pos="720"/>
        </w:tabs>
        <w:ind w:left="720" w:hanging="360"/>
      </w:pPr>
      <w:rPr>
        <w:rFonts w:ascii="Wingdings" w:hAnsi="Wingdings" w:hint="default"/>
      </w:rPr>
    </w:lvl>
    <w:lvl w:ilvl="1" w:tplc="C786F7E0" w:tentative="1">
      <w:start w:val="1"/>
      <w:numFmt w:val="bullet"/>
      <w:lvlText w:val=""/>
      <w:lvlJc w:val="left"/>
      <w:pPr>
        <w:tabs>
          <w:tab w:val="num" w:pos="1440"/>
        </w:tabs>
        <w:ind w:left="1440" w:hanging="360"/>
      </w:pPr>
      <w:rPr>
        <w:rFonts w:ascii="Wingdings" w:hAnsi="Wingdings" w:hint="default"/>
      </w:rPr>
    </w:lvl>
    <w:lvl w:ilvl="2" w:tplc="F4748ED6" w:tentative="1">
      <w:start w:val="1"/>
      <w:numFmt w:val="bullet"/>
      <w:lvlText w:val=""/>
      <w:lvlJc w:val="left"/>
      <w:pPr>
        <w:tabs>
          <w:tab w:val="num" w:pos="2160"/>
        </w:tabs>
        <w:ind w:left="2160" w:hanging="360"/>
      </w:pPr>
      <w:rPr>
        <w:rFonts w:ascii="Wingdings" w:hAnsi="Wingdings" w:hint="default"/>
      </w:rPr>
    </w:lvl>
    <w:lvl w:ilvl="3" w:tplc="2772C212" w:tentative="1">
      <w:start w:val="1"/>
      <w:numFmt w:val="bullet"/>
      <w:lvlText w:val=""/>
      <w:lvlJc w:val="left"/>
      <w:pPr>
        <w:tabs>
          <w:tab w:val="num" w:pos="2880"/>
        </w:tabs>
        <w:ind w:left="2880" w:hanging="360"/>
      </w:pPr>
      <w:rPr>
        <w:rFonts w:ascii="Wingdings" w:hAnsi="Wingdings" w:hint="default"/>
      </w:rPr>
    </w:lvl>
    <w:lvl w:ilvl="4" w:tplc="B40E042C" w:tentative="1">
      <w:start w:val="1"/>
      <w:numFmt w:val="bullet"/>
      <w:lvlText w:val=""/>
      <w:lvlJc w:val="left"/>
      <w:pPr>
        <w:tabs>
          <w:tab w:val="num" w:pos="3600"/>
        </w:tabs>
        <w:ind w:left="3600" w:hanging="360"/>
      </w:pPr>
      <w:rPr>
        <w:rFonts w:ascii="Wingdings" w:hAnsi="Wingdings" w:hint="default"/>
      </w:rPr>
    </w:lvl>
    <w:lvl w:ilvl="5" w:tplc="7750B122" w:tentative="1">
      <w:start w:val="1"/>
      <w:numFmt w:val="bullet"/>
      <w:lvlText w:val=""/>
      <w:lvlJc w:val="left"/>
      <w:pPr>
        <w:tabs>
          <w:tab w:val="num" w:pos="4320"/>
        </w:tabs>
        <w:ind w:left="4320" w:hanging="360"/>
      </w:pPr>
      <w:rPr>
        <w:rFonts w:ascii="Wingdings" w:hAnsi="Wingdings" w:hint="default"/>
      </w:rPr>
    </w:lvl>
    <w:lvl w:ilvl="6" w:tplc="F3B04572" w:tentative="1">
      <w:start w:val="1"/>
      <w:numFmt w:val="bullet"/>
      <w:lvlText w:val=""/>
      <w:lvlJc w:val="left"/>
      <w:pPr>
        <w:tabs>
          <w:tab w:val="num" w:pos="5040"/>
        </w:tabs>
        <w:ind w:left="5040" w:hanging="360"/>
      </w:pPr>
      <w:rPr>
        <w:rFonts w:ascii="Wingdings" w:hAnsi="Wingdings" w:hint="default"/>
      </w:rPr>
    </w:lvl>
    <w:lvl w:ilvl="7" w:tplc="82B866DA" w:tentative="1">
      <w:start w:val="1"/>
      <w:numFmt w:val="bullet"/>
      <w:lvlText w:val=""/>
      <w:lvlJc w:val="left"/>
      <w:pPr>
        <w:tabs>
          <w:tab w:val="num" w:pos="5760"/>
        </w:tabs>
        <w:ind w:left="5760" w:hanging="360"/>
      </w:pPr>
      <w:rPr>
        <w:rFonts w:ascii="Wingdings" w:hAnsi="Wingdings" w:hint="default"/>
      </w:rPr>
    </w:lvl>
    <w:lvl w:ilvl="8" w:tplc="158619C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56A38B2"/>
    <w:multiLevelType w:val="hybridMultilevel"/>
    <w:tmpl w:val="95BE0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CD012C1"/>
    <w:multiLevelType w:val="hybridMultilevel"/>
    <w:tmpl w:val="49549E06"/>
    <w:lvl w:ilvl="0" w:tplc="D6B2EBEA">
      <w:start w:val="1"/>
      <w:numFmt w:val="bullet"/>
      <w:lvlText w:val="•"/>
      <w:lvlJc w:val="left"/>
      <w:pPr>
        <w:tabs>
          <w:tab w:val="num" w:pos="720"/>
        </w:tabs>
        <w:ind w:left="720" w:hanging="360"/>
      </w:pPr>
      <w:rPr>
        <w:rFonts w:ascii="Arial" w:hAnsi="Arial" w:hint="default"/>
      </w:rPr>
    </w:lvl>
    <w:lvl w:ilvl="1" w:tplc="26109AB0" w:tentative="1">
      <w:start w:val="1"/>
      <w:numFmt w:val="bullet"/>
      <w:lvlText w:val="•"/>
      <w:lvlJc w:val="left"/>
      <w:pPr>
        <w:tabs>
          <w:tab w:val="num" w:pos="1440"/>
        </w:tabs>
        <w:ind w:left="1440" w:hanging="360"/>
      </w:pPr>
      <w:rPr>
        <w:rFonts w:ascii="Arial" w:hAnsi="Arial" w:hint="default"/>
      </w:rPr>
    </w:lvl>
    <w:lvl w:ilvl="2" w:tplc="CE341BB4" w:tentative="1">
      <w:start w:val="1"/>
      <w:numFmt w:val="bullet"/>
      <w:lvlText w:val="•"/>
      <w:lvlJc w:val="left"/>
      <w:pPr>
        <w:tabs>
          <w:tab w:val="num" w:pos="2160"/>
        </w:tabs>
        <w:ind w:left="2160" w:hanging="360"/>
      </w:pPr>
      <w:rPr>
        <w:rFonts w:ascii="Arial" w:hAnsi="Arial" w:hint="default"/>
      </w:rPr>
    </w:lvl>
    <w:lvl w:ilvl="3" w:tplc="3A30D114" w:tentative="1">
      <w:start w:val="1"/>
      <w:numFmt w:val="bullet"/>
      <w:lvlText w:val="•"/>
      <w:lvlJc w:val="left"/>
      <w:pPr>
        <w:tabs>
          <w:tab w:val="num" w:pos="2880"/>
        </w:tabs>
        <w:ind w:left="2880" w:hanging="360"/>
      </w:pPr>
      <w:rPr>
        <w:rFonts w:ascii="Arial" w:hAnsi="Arial" w:hint="default"/>
      </w:rPr>
    </w:lvl>
    <w:lvl w:ilvl="4" w:tplc="6A5A7EE6" w:tentative="1">
      <w:start w:val="1"/>
      <w:numFmt w:val="bullet"/>
      <w:lvlText w:val="•"/>
      <w:lvlJc w:val="left"/>
      <w:pPr>
        <w:tabs>
          <w:tab w:val="num" w:pos="3600"/>
        </w:tabs>
        <w:ind w:left="3600" w:hanging="360"/>
      </w:pPr>
      <w:rPr>
        <w:rFonts w:ascii="Arial" w:hAnsi="Arial" w:hint="default"/>
      </w:rPr>
    </w:lvl>
    <w:lvl w:ilvl="5" w:tplc="C05E71A2" w:tentative="1">
      <w:start w:val="1"/>
      <w:numFmt w:val="bullet"/>
      <w:lvlText w:val="•"/>
      <w:lvlJc w:val="left"/>
      <w:pPr>
        <w:tabs>
          <w:tab w:val="num" w:pos="4320"/>
        </w:tabs>
        <w:ind w:left="4320" w:hanging="360"/>
      </w:pPr>
      <w:rPr>
        <w:rFonts w:ascii="Arial" w:hAnsi="Arial" w:hint="default"/>
      </w:rPr>
    </w:lvl>
    <w:lvl w:ilvl="6" w:tplc="CFB26686" w:tentative="1">
      <w:start w:val="1"/>
      <w:numFmt w:val="bullet"/>
      <w:lvlText w:val="•"/>
      <w:lvlJc w:val="left"/>
      <w:pPr>
        <w:tabs>
          <w:tab w:val="num" w:pos="5040"/>
        </w:tabs>
        <w:ind w:left="5040" w:hanging="360"/>
      </w:pPr>
      <w:rPr>
        <w:rFonts w:ascii="Arial" w:hAnsi="Arial" w:hint="default"/>
      </w:rPr>
    </w:lvl>
    <w:lvl w:ilvl="7" w:tplc="8F52AE24" w:tentative="1">
      <w:start w:val="1"/>
      <w:numFmt w:val="bullet"/>
      <w:lvlText w:val="•"/>
      <w:lvlJc w:val="left"/>
      <w:pPr>
        <w:tabs>
          <w:tab w:val="num" w:pos="5760"/>
        </w:tabs>
        <w:ind w:left="5760" w:hanging="360"/>
      </w:pPr>
      <w:rPr>
        <w:rFonts w:ascii="Arial" w:hAnsi="Arial" w:hint="default"/>
      </w:rPr>
    </w:lvl>
    <w:lvl w:ilvl="8" w:tplc="095083C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DF7495A"/>
    <w:multiLevelType w:val="hybridMultilevel"/>
    <w:tmpl w:val="9FF04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812678"/>
    <w:multiLevelType w:val="hybridMultilevel"/>
    <w:tmpl w:val="27F67E08"/>
    <w:lvl w:ilvl="0" w:tplc="64743618">
      <w:start w:val="1"/>
      <w:numFmt w:val="bullet"/>
      <w:lvlText w:val=""/>
      <w:lvlJc w:val="left"/>
      <w:pPr>
        <w:tabs>
          <w:tab w:val="num" w:pos="720"/>
        </w:tabs>
        <w:ind w:left="720" w:hanging="360"/>
      </w:pPr>
      <w:rPr>
        <w:rFonts w:ascii="Wingdings" w:hAnsi="Wingdings" w:hint="default"/>
      </w:rPr>
    </w:lvl>
    <w:lvl w:ilvl="1" w:tplc="834212D6" w:tentative="1">
      <w:start w:val="1"/>
      <w:numFmt w:val="bullet"/>
      <w:lvlText w:val=""/>
      <w:lvlJc w:val="left"/>
      <w:pPr>
        <w:tabs>
          <w:tab w:val="num" w:pos="1440"/>
        </w:tabs>
        <w:ind w:left="1440" w:hanging="360"/>
      </w:pPr>
      <w:rPr>
        <w:rFonts w:ascii="Wingdings" w:hAnsi="Wingdings" w:hint="default"/>
      </w:rPr>
    </w:lvl>
    <w:lvl w:ilvl="2" w:tplc="1D0A5520" w:tentative="1">
      <w:start w:val="1"/>
      <w:numFmt w:val="bullet"/>
      <w:lvlText w:val=""/>
      <w:lvlJc w:val="left"/>
      <w:pPr>
        <w:tabs>
          <w:tab w:val="num" w:pos="2160"/>
        </w:tabs>
        <w:ind w:left="2160" w:hanging="360"/>
      </w:pPr>
      <w:rPr>
        <w:rFonts w:ascii="Wingdings" w:hAnsi="Wingdings" w:hint="default"/>
      </w:rPr>
    </w:lvl>
    <w:lvl w:ilvl="3" w:tplc="1E809C58" w:tentative="1">
      <w:start w:val="1"/>
      <w:numFmt w:val="bullet"/>
      <w:lvlText w:val=""/>
      <w:lvlJc w:val="left"/>
      <w:pPr>
        <w:tabs>
          <w:tab w:val="num" w:pos="2880"/>
        </w:tabs>
        <w:ind w:left="2880" w:hanging="360"/>
      </w:pPr>
      <w:rPr>
        <w:rFonts w:ascii="Wingdings" w:hAnsi="Wingdings" w:hint="default"/>
      </w:rPr>
    </w:lvl>
    <w:lvl w:ilvl="4" w:tplc="767A83F0" w:tentative="1">
      <w:start w:val="1"/>
      <w:numFmt w:val="bullet"/>
      <w:lvlText w:val=""/>
      <w:lvlJc w:val="left"/>
      <w:pPr>
        <w:tabs>
          <w:tab w:val="num" w:pos="3600"/>
        </w:tabs>
        <w:ind w:left="3600" w:hanging="360"/>
      </w:pPr>
      <w:rPr>
        <w:rFonts w:ascii="Wingdings" w:hAnsi="Wingdings" w:hint="default"/>
      </w:rPr>
    </w:lvl>
    <w:lvl w:ilvl="5" w:tplc="1938DEDA" w:tentative="1">
      <w:start w:val="1"/>
      <w:numFmt w:val="bullet"/>
      <w:lvlText w:val=""/>
      <w:lvlJc w:val="left"/>
      <w:pPr>
        <w:tabs>
          <w:tab w:val="num" w:pos="4320"/>
        </w:tabs>
        <w:ind w:left="4320" w:hanging="360"/>
      </w:pPr>
      <w:rPr>
        <w:rFonts w:ascii="Wingdings" w:hAnsi="Wingdings" w:hint="default"/>
      </w:rPr>
    </w:lvl>
    <w:lvl w:ilvl="6" w:tplc="CA84D3FA" w:tentative="1">
      <w:start w:val="1"/>
      <w:numFmt w:val="bullet"/>
      <w:lvlText w:val=""/>
      <w:lvlJc w:val="left"/>
      <w:pPr>
        <w:tabs>
          <w:tab w:val="num" w:pos="5040"/>
        </w:tabs>
        <w:ind w:left="5040" w:hanging="360"/>
      </w:pPr>
      <w:rPr>
        <w:rFonts w:ascii="Wingdings" w:hAnsi="Wingdings" w:hint="default"/>
      </w:rPr>
    </w:lvl>
    <w:lvl w:ilvl="7" w:tplc="9A38E97E" w:tentative="1">
      <w:start w:val="1"/>
      <w:numFmt w:val="bullet"/>
      <w:lvlText w:val=""/>
      <w:lvlJc w:val="left"/>
      <w:pPr>
        <w:tabs>
          <w:tab w:val="num" w:pos="5760"/>
        </w:tabs>
        <w:ind w:left="5760" w:hanging="360"/>
      </w:pPr>
      <w:rPr>
        <w:rFonts w:ascii="Wingdings" w:hAnsi="Wingdings" w:hint="default"/>
      </w:rPr>
    </w:lvl>
    <w:lvl w:ilvl="8" w:tplc="143EDB1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ADE3416"/>
    <w:multiLevelType w:val="hybridMultilevel"/>
    <w:tmpl w:val="EAE4D1CA"/>
    <w:lvl w:ilvl="0" w:tplc="BA2A921A">
      <w:start w:val="1"/>
      <w:numFmt w:val="bullet"/>
      <w:lvlText w:val="•"/>
      <w:lvlJc w:val="left"/>
      <w:pPr>
        <w:tabs>
          <w:tab w:val="num" w:pos="720"/>
        </w:tabs>
        <w:ind w:left="720" w:hanging="360"/>
      </w:pPr>
      <w:rPr>
        <w:rFonts w:ascii="Arial" w:hAnsi="Arial" w:hint="default"/>
      </w:rPr>
    </w:lvl>
    <w:lvl w:ilvl="1" w:tplc="5D9A321A" w:tentative="1">
      <w:start w:val="1"/>
      <w:numFmt w:val="bullet"/>
      <w:lvlText w:val="•"/>
      <w:lvlJc w:val="left"/>
      <w:pPr>
        <w:tabs>
          <w:tab w:val="num" w:pos="1440"/>
        </w:tabs>
        <w:ind w:left="1440" w:hanging="360"/>
      </w:pPr>
      <w:rPr>
        <w:rFonts w:ascii="Arial" w:hAnsi="Arial" w:hint="default"/>
      </w:rPr>
    </w:lvl>
    <w:lvl w:ilvl="2" w:tplc="8A6CC914" w:tentative="1">
      <w:start w:val="1"/>
      <w:numFmt w:val="bullet"/>
      <w:lvlText w:val="•"/>
      <w:lvlJc w:val="left"/>
      <w:pPr>
        <w:tabs>
          <w:tab w:val="num" w:pos="2160"/>
        </w:tabs>
        <w:ind w:left="2160" w:hanging="360"/>
      </w:pPr>
      <w:rPr>
        <w:rFonts w:ascii="Arial" w:hAnsi="Arial" w:hint="default"/>
      </w:rPr>
    </w:lvl>
    <w:lvl w:ilvl="3" w:tplc="AE242816" w:tentative="1">
      <w:start w:val="1"/>
      <w:numFmt w:val="bullet"/>
      <w:lvlText w:val="•"/>
      <w:lvlJc w:val="left"/>
      <w:pPr>
        <w:tabs>
          <w:tab w:val="num" w:pos="2880"/>
        </w:tabs>
        <w:ind w:left="2880" w:hanging="360"/>
      </w:pPr>
      <w:rPr>
        <w:rFonts w:ascii="Arial" w:hAnsi="Arial" w:hint="default"/>
      </w:rPr>
    </w:lvl>
    <w:lvl w:ilvl="4" w:tplc="3AAC423A" w:tentative="1">
      <w:start w:val="1"/>
      <w:numFmt w:val="bullet"/>
      <w:lvlText w:val="•"/>
      <w:lvlJc w:val="left"/>
      <w:pPr>
        <w:tabs>
          <w:tab w:val="num" w:pos="3600"/>
        </w:tabs>
        <w:ind w:left="3600" w:hanging="360"/>
      </w:pPr>
      <w:rPr>
        <w:rFonts w:ascii="Arial" w:hAnsi="Arial" w:hint="default"/>
      </w:rPr>
    </w:lvl>
    <w:lvl w:ilvl="5" w:tplc="04A23302" w:tentative="1">
      <w:start w:val="1"/>
      <w:numFmt w:val="bullet"/>
      <w:lvlText w:val="•"/>
      <w:lvlJc w:val="left"/>
      <w:pPr>
        <w:tabs>
          <w:tab w:val="num" w:pos="4320"/>
        </w:tabs>
        <w:ind w:left="4320" w:hanging="360"/>
      </w:pPr>
      <w:rPr>
        <w:rFonts w:ascii="Arial" w:hAnsi="Arial" w:hint="default"/>
      </w:rPr>
    </w:lvl>
    <w:lvl w:ilvl="6" w:tplc="49D25A5A" w:tentative="1">
      <w:start w:val="1"/>
      <w:numFmt w:val="bullet"/>
      <w:lvlText w:val="•"/>
      <w:lvlJc w:val="left"/>
      <w:pPr>
        <w:tabs>
          <w:tab w:val="num" w:pos="5040"/>
        </w:tabs>
        <w:ind w:left="5040" w:hanging="360"/>
      </w:pPr>
      <w:rPr>
        <w:rFonts w:ascii="Arial" w:hAnsi="Arial" w:hint="default"/>
      </w:rPr>
    </w:lvl>
    <w:lvl w:ilvl="7" w:tplc="AD9011AC" w:tentative="1">
      <w:start w:val="1"/>
      <w:numFmt w:val="bullet"/>
      <w:lvlText w:val="•"/>
      <w:lvlJc w:val="left"/>
      <w:pPr>
        <w:tabs>
          <w:tab w:val="num" w:pos="5760"/>
        </w:tabs>
        <w:ind w:left="5760" w:hanging="360"/>
      </w:pPr>
      <w:rPr>
        <w:rFonts w:ascii="Arial" w:hAnsi="Arial" w:hint="default"/>
      </w:rPr>
    </w:lvl>
    <w:lvl w:ilvl="8" w:tplc="69CE828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9722C3"/>
    <w:multiLevelType w:val="multilevel"/>
    <w:tmpl w:val="8438F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8F0DDD"/>
    <w:multiLevelType w:val="hybridMultilevel"/>
    <w:tmpl w:val="2E640628"/>
    <w:lvl w:ilvl="0" w:tplc="2EBE7E70">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5D3530"/>
    <w:multiLevelType w:val="multilevel"/>
    <w:tmpl w:val="55E4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E25F06"/>
    <w:multiLevelType w:val="hybridMultilevel"/>
    <w:tmpl w:val="C986A2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9D1947"/>
    <w:multiLevelType w:val="multilevel"/>
    <w:tmpl w:val="EDDA6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101B66"/>
    <w:multiLevelType w:val="hybridMultilevel"/>
    <w:tmpl w:val="ADC276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5"/>
  </w:num>
  <w:num w:numId="3">
    <w:abstractNumId w:val="16"/>
  </w:num>
  <w:num w:numId="4">
    <w:abstractNumId w:val="20"/>
  </w:num>
  <w:num w:numId="5">
    <w:abstractNumId w:val="19"/>
  </w:num>
  <w:num w:numId="6">
    <w:abstractNumId w:val="6"/>
  </w:num>
  <w:num w:numId="7">
    <w:abstractNumId w:val="9"/>
  </w:num>
  <w:num w:numId="8">
    <w:abstractNumId w:val="0"/>
  </w:num>
  <w:num w:numId="9">
    <w:abstractNumId w:val="3"/>
  </w:num>
  <w:num w:numId="10">
    <w:abstractNumId w:val="18"/>
  </w:num>
  <w:num w:numId="11">
    <w:abstractNumId w:val="13"/>
  </w:num>
  <w:num w:numId="12">
    <w:abstractNumId w:val="15"/>
  </w:num>
  <w:num w:numId="13">
    <w:abstractNumId w:val="7"/>
  </w:num>
  <w:num w:numId="14">
    <w:abstractNumId w:val="10"/>
  </w:num>
  <w:num w:numId="15">
    <w:abstractNumId w:val="2"/>
  </w:num>
  <w:num w:numId="16">
    <w:abstractNumId w:val="1"/>
  </w:num>
  <w:num w:numId="17">
    <w:abstractNumId w:val="11"/>
  </w:num>
  <w:num w:numId="18">
    <w:abstractNumId w:val="14"/>
  </w:num>
  <w:num w:numId="19">
    <w:abstractNumId w:val="17"/>
  </w:num>
  <w:num w:numId="20">
    <w:abstractNumId w:val="4"/>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I0MjYxMwAiA0sDQyUdpeDU4uLM/DyQAuNaACp2HUEsAAAA"/>
  </w:docVars>
  <w:rsids>
    <w:rsidRoot w:val="00591182"/>
    <w:rsid w:val="0000113C"/>
    <w:rsid w:val="0000469D"/>
    <w:rsid w:val="00004BE5"/>
    <w:rsid w:val="000064B0"/>
    <w:rsid w:val="00010325"/>
    <w:rsid w:val="00013E5D"/>
    <w:rsid w:val="00020845"/>
    <w:rsid w:val="00021E39"/>
    <w:rsid w:val="00025F34"/>
    <w:rsid w:val="000320CB"/>
    <w:rsid w:val="00034B17"/>
    <w:rsid w:val="00036C67"/>
    <w:rsid w:val="0003754A"/>
    <w:rsid w:val="00037883"/>
    <w:rsid w:val="00037EEB"/>
    <w:rsid w:val="000424F1"/>
    <w:rsid w:val="00045398"/>
    <w:rsid w:val="00046844"/>
    <w:rsid w:val="00047042"/>
    <w:rsid w:val="00047F52"/>
    <w:rsid w:val="00047FE2"/>
    <w:rsid w:val="0005511A"/>
    <w:rsid w:val="000553E2"/>
    <w:rsid w:val="000619A9"/>
    <w:rsid w:val="000633D7"/>
    <w:rsid w:val="00070636"/>
    <w:rsid w:val="000721E7"/>
    <w:rsid w:val="00073814"/>
    <w:rsid w:val="00074118"/>
    <w:rsid w:val="00075A0B"/>
    <w:rsid w:val="000768C3"/>
    <w:rsid w:val="00083398"/>
    <w:rsid w:val="0008417E"/>
    <w:rsid w:val="0008575D"/>
    <w:rsid w:val="0008599B"/>
    <w:rsid w:val="000862D1"/>
    <w:rsid w:val="00090009"/>
    <w:rsid w:val="00093478"/>
    <w:rsid w:val="00095829"/>
    <w:rsid w:val="000969BB"/>
    <w:rsid w:val="000977FA"/>
    <w:rsid w:val="000A207D"/>
    <w:rsid w:val="000A3F1C"/>
    <w:rsid w:val="000A4BBB"/>
    <w:rsid w:val="000A5DA5"/>
    <w:rsid w:val="000B556C"/>
    <w:rsid w:val="000B5959"/>
    <w:rsid w:val="000B65EB"/>
    <w:rsid w:val="000B6DEA"/>
    <w:rsid w:val="000C0823"/>
    <w:rsid w:val="000C16A4"/>
    <w:rsid w:val="000C4BB8"/>
    <w:rsid w:val="000C78AC"/>
    <w:rsid w:val="000D05CE"/>
    <w:rsid w:val="000E1D27"/>
    <w:rsid w:val="000E3448"/>
    <w:rsid w:val="000E445A"/>
    <w:rsid w:val="000F156B"/>
    <w:rsid w:val="000F3073"/>
    <w:rsid w:val="000F6AA5"/>
    <w:rsid w:val="00100C97"/>
    <w:rsid w:val="00105286"/>
    <w:rsid w:val="001058CE"/>
    <w:rsid w:val="001071C3"/>
    <w:rsid w:val="00110190"/>
    <w:rsid w:val="00112E82"/>
    <w:rsid w:val="00114847"/>
    <w:rsid w:val="00114D88"/>
    <w:rsid w:val="001210E2"/>
    <w:rsid w:val="001217BB"/>
    <w:rsid w:val="00123790"/>
    <w:rsid w:val="00124412"/>
    <w:rsid w:val="00127DB5"/>
    <w:rsid w:val="001336B2"/>
    <w:rsid w:val="001339D4"/>
    <w:rsid w:val="00133CF5"/>
    <w:rsid w:val="00140D50"/>
    <w:rsid w:val="001436C3"/>
    <w:rsid w:val="00145910"/>
    <w:rsid w:val="00147EBD"/>
    <w:rsid w:val="0015087D"/>
    <w:rsid w:val="00150B67"/>
    <w:rsid w:val="00153B57"/>
    <w:rsid w:val="001543B8"/>
    <w:rsid w:val="00157908"/>
    <w:rsid w:val="00161728"/>
    <w:rsid w:val="001659EC"/>
    <w:rsid w:val="00171AAE"/>
    <w:rsid w:val="00171D85"/>
    <w:rsid w:val="00172919"/>
    <w:rsid w:val="00176200"/>
    <w:rsid w:val="00196354"/>
    <w:rsid w:val="00196AB1"/>
    <w:rsid w:val="001A012C"/>
    <w:rsid w:val="001A17B7"/>
    <w:rsid w:val="001A1ABF"/>
    <w:rsid w:val="001A7303"/>
    <w:rsid w:val="001B34B5"/>
    <w:rsid w:val="001B5474"/>
    <w:rsid w:val="001B5DDB"/>
    <w:rsid w:val="001B5E99"/>
    <w:rsid w:val="001B5F99"/>
    <w:rsid w:val="001B6886"/>
    <w:rsid w:val="001C081F"/>
    <w:rsid w:val="001C1DB7"/>
    <w:rsid w:val="001C1E83"/>
    <w:rsid w:val="001C24A0"/>
    <w:rsid w:val="001C351B"/>
    <w:rsid w:val="001C3855"/>
    <w:rsid w:val="001C3C48"/>
    <w:rsid w:val="001C4D34"/>
    <w:rsid w:val="001C5FFF"/>
    <w:rsid w:val="001C6B29"/>
    <w:rsid w:val="001D633E"/>
    <w:rsid w:val="001D7295"/>
    <w:rsid w:val="001E0246"/>
    <w:rsid w:val="001E2F0C"/>
    <w:rsid w:val="001F1EE5"/>
    <w:rsid w:val="001F330B"/>
    <w:rsid w:val="001F5575"/>
    <w:rsid w:val="001F69CD"/>
    <w:rsid w:val="002040BB"/>
    <w:rsid w:val="00204763"/>
    <w:rsid w:val="00205956"/>
    <w:rsid w:val="00206C78"/>
    <w:rsid w:val="00213590"/>
    <w:rsid w:val="00225C14"/>
    <w:rsid w:val="0022796D"/>
    <w:rsid w:val="00227B8E"/>
    <w:rsid w:val="002305C1"/>
    <w:rsid w:val="0023300F"/>
    <w:rsid w:val="0024037B"/>
    <w:rsid w:val="0024562E"/>
    <w:rsid w:val="00245EC5"/>
    <w:rsid w:val="00250A07"/>
    <w:rsid w:val="00254898"/>
    <w:rsid w:val="00256913"/>
    <w:rsid w:val="002572CA"/>
    <w:rsid w:val="00260AE9"/>
    <w:rsid w:val="00262293"/>
    <w:rsid w:val="00264FC0"/>
    <w:rsid w:val="00265418"/>
    <w:rsid w:val="002659AD"/>
    <w:rsid w:val="0026639E"/>
    <w:rsid w:val="00272BAE"/>
    <w:rsid w:val="00273C87"/>
    <w:rsid w:val="002812C0"/>
    <w:rsid w:val="00281F89"/>
    <w:rsid w:val="00283FA0"/>
    <w:rsid w:val="002871AF"/>
    <w:rsid w:val="00291BF4"/>
    <w:rsid w:val="00292EB2"/>
    <w:rsid w:val="00294C04"/>
    <w:rsid w:val="002975B1"/>
    <w:rsid w:val="002A0117"/>
    <w:rsid w:val="002A1F25"/>
    <w:rsid w:val="002A41F7"/>
    <w:rsid w:val="002A56B0"/>
    <w:rsid w:val="002A5D9D"/>
    <w:rsid w:val="002B09B0"/>
    <w:rsid w:val="002B0EB6"/>
    <w:rsid w:val="002B17FE"/>
    <w:rsid w:val="002B182F"/>
    <w:rsid w:val="002B4083"/>
    <w:rsid w:val="002B7665"/>
    <w:rsid w:val="002C101B"/>
    <w:rsid w:val="002C13AC"/>
    <w:rsid w:val="002C1DE0"/>
    <w:rsid w:val="002C5389"/>
    <w:rsid w:val="002D18E6"/>
    <w:rsid w:val="002D225C"/>
    <w:rsid w:val="002D35A6"/>
    <w:rsid w:val="002D7670"/>
    <w:rsid w:val="002E22F6"/>
    <w:rsid w:val="002E41B7"/>
    <w:rsid w:val="002E5AFE"/>
    <w:rsid w:val="002F01D8"/>
    <w:rsid w:val="002F3B03"/>
    <w:rsid w:val="002F50FD"/>
    <w:rsid w:val="00302DEF"/>
    <w:rsid w:val="00303A8E"/>
    <w:rsid w:val="003060A1"/>
    <w:rsid w:val="0030640F"/>
    <w:rsid w:val="00306967"/>
    <w:rsid w:val="00306F54"/>
    <w:rsid w:val="00307699"/>
    <w:rsid w:val="00313613"/>
    <w:rsid w:val="00314DB4"/>
    <w:rsid w:val="0031615E"/>
    <w:rsid w:val="003226D9"/>
    <w:rsid w:val="0032651F"/>
    <w:rsid w:val="00327DB8"/>
    <w:rsid w:val="003306E4"/>
    <w:rsid w:val="00331F84"/>
    <w:rsid w:val="003328E8"/>
    <w:rsid w:val="00332C0A"/>
    <w:rsid w:val="003341C2"/>
    <w:rsid w:val="00340F1B"/>
    <w:rsid w:val="0034324C"/>
    <w:rsid w:val="0034420C"/>
    <w:rsid w:val="00351007"/>
    <w:rsid w:val="00352C20"/>
    <w:rsid w:val="00354672"/>
    <w:rsid w:val="00357F27"/>
    <w:rsid w:val="0036190D"/>
    <w:rsid w:val="00362C3E"/>
    <w:rsid w:val="00363387"/>
    <w:rsid w:val="003717A3"/>
    <w:rsid w:val="0038645E"/>
    <w:rsid w:val="00386ADD"/>
    <w:rsid w:val="00390009"/>
    <w:rsid w:val="003913C0"/>
    <w:rsid w:val="00392AC4"/>
    <w:rsid w:val="00393695"/>
    <w:rsid w:val="00394F6F"/>
    <w:rsid w:val="00395E3C"/>
    <w:rsid w:val="003A1263"/>
    <w:rsid w:val="003A16BC"/>
    <w:rsid w:val="003A375E"/>
    <w:rsid w:val="003A3E0E"/>
    <w:rsid w:val="003A41DE"/>
    <w:rsid w:val="003A5C4A"/>
    <w:rsid w:val="003A616B"/>
    <w:rsid w:val="003A61FB"/>
    <w:rsid w:val="003A6231"/>
    <w:rsid w:val="003B266C"/>
    <w:rsid w:val="003B2D7A"/>
    <w:rsid w:val="003C018C"/>
    <w:rsid w:val="003C03F1"/>
    <w:rsid w:val="003C2A21"/>
    <w:rsid w:val="003C2C11"/>
    <w:rsid w:val="003D130D"/>
    <w:rsid w:val="003D4982"/>
    <w:rsid w:val="003E0478"/>
    <w:rsid w:val="003E0D9E"/>
    <w:rsid w:val="003E43A8"/>
    <w:rsid w:val="003F04B6"/>
    <w:rsid w:val="003F530C"/>
    <w:rsid w:val="003F5B5B"/>
    <w:rsid w:val="003F6040"/>
    <w:rsid w:val="004008C6"/>
    <w:rsid w:val="0040227B"/>
    <w:rsid w:val="0040240D"/>
    <w:rsid w:val="00402616"/>
    <w:rsid w:val="0040379D"/>
    <w:rsid w:val="004041C0"/>
    <w:rsid w:val="00404AD9"/>
    <w:rsid w:val="004079D8"/>
    <w:rsid w:val="004121FD"/>
    <w:rsid w:val="0041488F"/>
    <w:rsid w:val="004350D9"/>
    <w:rsid w:val="004354B4"/>
    <w:rsid w:val="004364D5"/>
    <w:rsid w:val="00440B2C"/>
    <w:rsid w:val="00442F14"/>
    <w:rsid w:val="00445867"/>
    <w:rsid w:val="00447556"/>
    <w:rsid w:val="0045004D"/>
    <w:rsid w:val="00451FF6"/>
    <w:rsid w:val="00457DCE"/>
    <w:rsid w:val="00461EAC"/>
    <w:rsid w:val="0046568C"/>
    <w:rsid w:val="00470E03"/>
    <w:rsid w:val="004723AD"/>
    <w:rsid w:val="004753A5"/>
    <w:rsid w:val="0048189E"/>
    <w:rsid w:val="00482804"/>
    <w:rsid w:val="00483B24"/>
    <w:rsid w:val="0048464B"/>
    <w:rsid w:val="004861E1"/>
    <w:rsid w:val="00487028"/>
    <w:rsid w:val="00492806"/>
    <w:rsid w:val="00496301"/>
    <w:rsid w:val="004A5117"/>
    <w:rsid w:val="004A5984"/>
    <w:rsid w:val="004A7EC3"/>
    <w:rsid w:val="004B12FA"/>
    <w:rsid w:val="004B2068"/>
    <w:rsid w:val="004B22CC"/>
    <w:rsid w:val="004B3624"/>
    <w:rsid w:val="004B45C4"/>
    <w:rsid w:val="004B4A20"/>
    <w:rsid w:val="004B5432"/>
    <w:rsid w:val="004B6CDB"/>
    <w:rsid w:val="004B7BC0"/>
    <w:rsid w:val="004C0E7E"/>
    <w:rsid w:val="004C1119"/>
    <w:rsid w:val="004C41BB"/>
    <w:rsid w:val="004D0916"/>
    <w:rsid w:val="004D2044"/>
    <w:rsid w:val="004D64FE"/>
    <w:rsid w:val="004E06BF"/>
    <w:rsid w:val="004E1909"/>
    <w:rsid w:val="004E2E06"/>
    <w:rsid w:val="004E3613"/>
    <w:rsid w:val="004E495B"/>
    <w:rsid w:val="004E498A"/>
    <w:rsid w:val="004F03ED"/>
    <w:rsid w:val="004F2C8F"/>
    <w:rsid w:val="004F4D0F"/>
    <w:rsid w:val="004F6651"/>
    <w:rsid w:val="004F6F86"/>
    <w:rsid w:val="00500A3E"/>
    <w:rsid w:val="0050451B"/>
    <w:rsid w:val="00510145"/>
    <w:rsid w:val="005104DF"/>
    <w:rsid w:val="005137B2"/>
    <w:rsid w:val="00513D14"/>
    <w:rsid w:val="0051794C"/>
    <w:rsid w:val="0052411E"/>
    <w:rsid w:val="005241DE"/>
    <w:rsid w:val="00525182"/>
    <w:rsid w:val="0052587E"/>
    <w:rsid w:val="005307B8"/>
    <w:rsid w:val="00531A28"/>
    <w:rsid w:val="00532F15"/>
    <w:rsid w:val="005336D6"/>
    <w:rsid w:val="00533864"/>
    <w:rsid w:val="005429C3"/>
    <w:rsid w:val="00544EF6"/>
    <w:rsid w:val="005456D9"/>
    <w:rsid w:val="00545A7B"/>
    <w:rsid w:val="005471A4"/>
    <w:rsid w:val="00550AA6"/>
    <w:rsid w:val="005513FC"/>
    <w:rsid w:val="00552A1C"/>
    <w:rsid w:val="00553E55"/>
    <w:rsid w:val="00554323"/>
    <w:rsid w:val="00555134"/>
    <w:rsid w:val="00555CD9"/>
    <w:rsid w:val="00556C89"/>
    <w:rsid w:val="00557248"/>
    <w:rsid w:val="00557BB9"/>
    <w:rsid w:val="005609AA"/>
    <w:rsid w:val="00565037"/>
    <w:rsid w:val="00570EBF"/>
    <w:rsid w:val="00574071"/>
    <w:rsid w:val="00583257"/>
    <w:rsid w:val="00583856"/>
    <w:rsid w:val="005840A3"/>
    <w:rsid w:val="005849C1"/>
    <w:rsid w:val="00586C0F"/>
    <w:rsid w:val="00591182"/>
    <w:rsid w:val="00591E63"/>
    <w:rsid w:val="00595EFD"/>
    <w:rsid w:val="005A5551"/>
    <w:rsid w:val="005A6EA7"/>
    <w:rsid w:val="005B178B"/>
    <w:rsid w:val="005B3A3A"/>
    <w:rsid w:val="005B4F67"/>
    <w:rsid w:val="005C0D0B"/>
    <w:rsid w:val="005C2A16"/>
    <w:rsid w:val="005C4E62"/>
    <w:rsid w:val="005C6A32"/>
    <w:rsid w:val="005E1960"/>
    <w:rsid w:val="005E528C"/>
    <w:rsid w:val="005E5F8C"/>
    <w:rsid w:val="005F0C2B"/>
    <w:rsid w:val="005F55E0"/>
    <w:rsid w:val="006006BF"/>
    <w:rsid w:val="00602A72"/>
    <w:rsid w:val="00603F4D"/>
    <w:rsid w:val="0060437E"/>
    <w:rsid w:val="00606FF1"/>
    <w:rsid w:val="00611B3D"/>
    <w:rsid w:val="00614E28"/>
    <w:rsid w:val="00615086"/>
    <w:rsid w:val="00623661"/>
    <w:rsid w:val="0062688B"/>
    <w:rsid w:val="0062736B"/>
    <w:rsid w:val="006327E6"/>
    <w:rsid w:val="006359B7"/>
    <w:rsid w:val="00637E6D"/>
    <w:rsid w:val="0064219B"/>
    <w:rsid w:val="00647730"/>
    <w:rsid w:val="006535E3"/>
    <w:rsid w:val="00653F59"/>
    <w:rsid w:val="00654AA5"/>
    <w:rsid w:val="00655E25"/>
    <w:rsid w:val="00657A96"/>
    <w:rsid w:val="006666AF"/>
    <w:rsid w:val="00666A03"/>
    <w:rsid w:val="0066711F"/>
    <w:rsid w:val="0067243B"/>
    <w:rsid w:val="0067275E"/>
    <w:rsid w:val="00672D8F"/>
    <w:rsid w:val="006746E2"/>
    <w:rsid w:val="00677D9A"/>
    <w:rsid w:val="0068623F"/>
    <w:rsid w:val="006875C1"/>
    <w:rsid w:val="0069047E"/>
    <w:rsid w:val="00690548"/>
    <w:rsid w:val="00691429"/>
    <w:rsid w:val="00691B77"/>
    <w:rsid w:val="00692A17"/>
    <w:rsid w:val="006976A4"/>
    <w:rsid w:val="006B0095"/>
    <w:rsid w:val="006B29BE"/>
    <w:rsid w:val="006B5E31"/>
    <w:rsid w:val="006C2A83"/>
    <w:rsid w:val="006C4276"/>
    <w:rsid w:val="006C42BF"/>
    <w:rsid w:val="006C667C"/>
    <w:rsid w:val="006D484D"/>
    <w:rsid w:val="006D503A"/>
    <w:rsid w:val="006D541B"/>
    <w:rsid w:val="006E2BAD"/>
    <w:rsid w:val="006E58DE"/>
    <w:rsid w:val="006E74A9"/>
    <w:rsid w:val="006F30BF"/>
    <w:rsid w:val="006F5700"/>
    <w:rsid w:val="006F5B9F"/>
    <w:rsid w:val="00701514"/>
    <w:rsid w:val="00705769"/>
    <w:rsid w:val="0070675A"/>
    <w:rsid w:val="007077AE"/>
    <w:rsid w:val="00711064"/>
    <w:rsid w:val="00711E1C"/>
    <w:rsid w:val="0071285E"/>
    <w:rsid w:val="007136C0"/>
    <w:rsid w:val="00714044"/>
    <w:rsid w:val="00715172"/>
    <w:rsid w:val="0072453C"/>
    <w:rsid w:val="007252CF"/>
    <w:rsid w:val="00726D42"/>
    <w:rsid w:val="00730F4C"/>
    <w:rsid w:val="00731586"/>
    <w:rsid w:val="00733D6B"/>
    <w:rsid w:val="00734FA0"/>
    <w:rsid w:val="00735C44"/>
    <w:rsid w:val="007360C2"/>
    <w:rsid w:val="00736A2C"/>
    <w:rsid w:val="0074099F"/>
    <w:rsid w:val="00742EF8"/>
    <w:rsid w:val="00744C61"/>
    <w:rsid w:val="00745ABA"/>
    <w:rsid w:val="00747BBD"/>
    <w:rsid w:val="00757C2A"/>
    <w:rsid w:val="007637D6"/>
    <w:rsid w:val="00764E32"/>
    <w:rsid w:val="00765DD2"/>
    <w:rsid w:val="00770ABE"/>
    <w:rsid w:val="00770BB7"/>
    <w:rsid w:val="00770CAF"/>
    <w:rsid w:val="00771470"/>
    <w:rsid w:val="00772806"/>
    <w:rsid w:val="00772E90"/>
    <w:rsid w:val="007733D2"/>
    <w:rsid w:val="00775785"/>
    <w:rsid w:val="0077585B"/>
    <w:rsid w:val="00776745"/>
    <w:rsid w:val="00777013"/>
    <w:rsid w:val="00777665"/>
    <w:rsid w:val="00784064"/>
    <w:rsid w:val="00785CFA"/>
    <w:rsid w:val="00790B06"/>
    <w:rsid w:val="00790B97"/>
    <w:rsid w:val="00790EF8"/>
    <w:rsid w:val="00792864"/>
    <w:rsid w:val="007A07CA"/>
    <w:rsid w:val="007A1234"/>
    <w:rsid w:val="007A147F"/>
    <w:rsid w:val="007A2D51"/>
    <w:rsid w:val="007A556F"/>
    <w:rsid w:val="007A5AA6"/>
    <w:rsid w:val="007B21C2"/>
    <w:rsid w:val="007B2332"/>
    <w:rsid w:val="007B7FE0"/>
    <w:rsid w:val="007C18BF"/>
    <w:rsid w:val="007C4C9F"/>
    <w:rsid w:val="007C4ECB"/>
    <w:rsid w:val="007D05C1"/>
    <w:rsid w:val="007D3351"/>
    <w:rsid w:val="007D702F"/>
    <w:rsid w:val="007D7884"/>
    <w:rsid w:val="007D7909"/>
    <w:rsid w:val="007E1B9F"/>
    <w:rsid w:val="007E3056"/>
    <w:rsid w:val="007E507E"/>
    <w:rsid w:val="007E750A"/>
    <w:rsid w:val="007F43B7"/>
    <w:rsid w:val="007F452A"/>
    <w:rsid w:val="007F6535"/>
    <w:rsid w:val="007F709D"/>
    <w:rsid w:val="007F7A10"/>
    <w:rsid w:val="00800C7D"/>
    <w:rsid w:val="00801D6E"/>
    <w:rsid w:val="00801E86"/>
    <w:rsid w:val="00803618"/>
    <w:rsid w:val="008052F7"/>
    <w:rsid w:val="00813528"/>
    <w:rsid w:val="00813571"/>
    <w:rsid w:val="00815FC6"/>
    <w:rsid w:val="0082200B"/>
    <w:rsid w:val="00823784"/>
    <w:rsid w:val="00832FC9"/>
    <w:rsid w:val="0083634B"/>
    <w:rsid w:val="00845613"/>
    <w:rsid w:val="0084762D"/>
    <w:rsid w:val="00847E5F"/>
    <w:rsid w:val="008551DC"/>
    <w:rsid w:val="00855A85"/>
    <w:rsid w:val="00857080"/>
    <w:rsid w:val="008577AB"/>
    <w:rsid w:val="0086039A"/>
    <w:rsid w:val="0086251B"/>
    <w:rsid w:val="008631A5"/>
    <w:rsid w:val="00865940"/>
    <w:rsid w:val="00866C33"/>
    <w:rsid w:val="008756FC"/>
    <w:rsid w:val="00877C3E"/>
    <w:rsid w:val="00881CAD"/>
    <w:rsid w:val="00890264"/>
    <w:rsid w:val="00893723"/>
    <w:rsid w:val="00893F65"/>
    <w:rsid w:val="0089468E"/>
    <w:rsid w:val="00895E45"/>
    <w:rsid w:val="00895F0A"/>
    <w:rsid w:val="00896E46"/>
    <w:rsid w:val="008A1A40"/>
    <w:rsid w:val="008A1C66"/>
    <w:rsid w:val="008A1F51"/>
    <w:rsid w:val="008A218D"/>
    <w:rsid w:val="008A3978"/>
    <w:rsid w:val="008A3FCD"/>
    <w:rsid w:val="008A6241"/>
    <w:rsid w:val="008B218C"/>
    <w:rsid w:val="008C06BB"/>
    <w:rsid w:val="008C0AA6"/>
    <w:rsid w:val="008C453C"/>
    <w:rsid w:val="008C546A"/>
    <w:rsid w:val="008C5488"/>
    <w:rsid w:val="008C5528"/>
    <w:rsid w:val="008C74BB"/>
    <w:rsid w:val="008D0A46"/>
    <w:rsid w:val="008D0A68"/>
    <w:rsid w:val="008D1AB6"/>
    <w:rsid w:val="008D69CC"/>
    <w:rsid w:val="008E530F"/>
    <w:rsid w:val="008F5100"/>
    <w:rsid w:val="008F63C1"/>
    <w:rsid w:val="008F6BEC"/>
    <w:rsid w:val="0090156E"/>
    <w:rsid w:val="0090297F"/>
    <w:rsid w:val="00906382"/>
    <w:rsid w:val="00911B4E"/>
    <w:rsid w:val="00911BE6"/>
    <w:rsid w:val="009130BF"/>
    <w:rsid w:val="0091747F"/>
    <w:rsid w:val="0092154C"/>
    <w:rsid w:val="00921B70"/>
    <w:rsid w:val="00923F08"/>
    <w:rsid w:val="00926E3D"/>
    <w:rsid w:val="009371EA"/>
    <w:rsid w:val="009463D1"/>
    <w:rsid w:val="00950E05"/>
    <w:rsid w:val="00954BF6"/>
    <w:rsid w:val="009552F9"/>
    <w:rsid w:val="009652A6"/>
    <w:rsid w:val="00965497"/>
    <w:rsid w:val="00965B0C"/>
    <w:rsid w:val="00965CDB"/>
    <w:rsid w:val="00966F52"/>
    <w:rsid w:val="009670F9"/>
    <w:rsid w:val="00967C86"/>
    <w:rsid w:val="00971152"/>
    <w:rsid w:val="009749CF"/>
    <w:rsid w:val="00975070"/>
    <w:rsid w:val="0097530A"/>
    <w:rsid w:val="00976CB4"/>
    <w:rsid w:val="009802DB"/>
    <w:rsid w:val="0098331F"/>
    <w:rsid w:val="00987DA2"/>
    <w:rsid w:val="00990FC9"/>
    <w:rsid w:val="0099164A"/>
    <w:rsid w:val="00994B99"/>
    <w:rsid w:val="0099527D"/>
    <w:rsid w:val="00995792"/>
    <w:rsid w:val="009966CB"/>
    <w:rsid w:val="009967D9"/>
    <w:rsid w:val="0099680A"/>
    <w:rsid w:val="0099722E"/>
    <w:rsid w:val="009979B2"/>
    <w:rsid w:val="009A124C"/>
    <w:rsid w:val="009A34C3"/>
    <w:rsid w:val="009A3FCC"/>
    <w:rsid w:val="009A43E7"/>
    <w:rsid w:val="009A6BE1"/>
    <w:rsid w:val="009B0EB8"/>
    <w:rsid w:val="009B32A2"/>
    <w:rsid w:val="009B58DE"/>
    <w:rsid w:val="009B66E1"/>
    <w:rsid w:val="009B6E3A"/>
    <w:rsid w:val="009C18F9"/>
    <w:rsid w:val="009C1DC7"/>
    <w:rsid w:val="009C4725"/>
    <w:rsid w:val="009C473B"/>
    <w:rsid w:val="009D1647"/>
    <w:rsid w:val="009D2435"/>
    <w:rsid w:val="009D512D"/>
    <w:rsid w:val="009E09AD"/>
    <w:rsid w:val="009E1D37"/>
    <w:rsid w:val="009E1F05"/>
    <w:rsid w:val="009E3CC0"/>
    <w:rsid w:val="009E5241"/>
    <w:rsid w:val="009E6640"/>
    <w:rsid w:val="009E74FA"/>
    <w:rsid w:val="009E7B84"/>
    <w:rsid w:val="009F0A13"/>
    <w:rsid w:val="009F2CC0"/>
    <w:rsid w:val="009F5CB1"/>
    <w:rsid w:val="009F6A01"/>
    <w:rsid w:val="009F6EE2"/>
    <w:rsid w:val="00A004BE"/>
    <w:rsid w:val="00A02CF1"/>
    <w:rsid w:val="00A02E67"/>
    <w:rsid w:val="00A07B24"/>
    <w:rsid w:val="00A16C14"/>
    <w:rsid w:val="00A205FE"/>
    <w:rsid w:val="00A25E58"/>
    <w:rsid w:val="00A308D4"/>
    <w:rsid w:val="00A31744"/>
    <w:rsid w:val="00A31E42"/>
    <w:rsid w:val="00A3468C"/>
    <w:rsid w:val="00A34DA7"/>
    <w:rsid w:val="00A471F9"/>
    <w:rsid w:val="00A508A0"/>
    <w:rsid w:val="00A512D7"/>
    <w:rsid w:val="00A531BC"/>
    <w:rsid w:val="00A54A62"/>
    <w:rsid w:val="00A6240E"/>
    <w:rsid w:val="00A62983"/>
    <w:rsid w:val="00A629AE"/>
    <w:rsid w:val="00A665EB"/>
    <w:rsid w:val="00A66800"/>
    <w:rsid w:val="00A7059E"/>
    <w:rsid w:val="00A70E9D"/>
    <w:rsid w:val="00A7221A"/>
    <w:rsid w:val="00A735D3"/>
    <w:rsid w:val="00A75F8C"/>
    <w:rsid w:val="00A81FF8"/>
    <w:rsid w:val="00A837BE"/>
    <w:rsid w:val="00A91F9B"/>
    <w:rsid w:val="00A93328"/>
    <w:rsid w:val="00A9449A"/>
    <w:rsid w:val="00A959E4"/>
    <w:rsid w:val="00AA6C54"/>
    <w:rsid w:val="00AA7C24"/>
    <w:rsid w:val="00AB1789"/>
    <w:rsid w:val="00AC025B"/>
    <w:rsid w:val="00AC0A0B"/>
    <w:rsid w:val="00AC1BE0"/>
    <w:rsid w:val="00AD6093"/>
    <w:rsid w:val="00AD7E1A"/>
    <w:rsid w:val="00AF2551"/>
    <w:rsid w:val="00AF5C5E"/>
    <w:rsid w:val="00AF63E8"/>
    <w:rsid w:val="00B00231"/>
    <w:rsid w:val="00B01802"/>
    <w:rsid w:val="00B02683"/>
    <w:rsid w:val="00B02E3E"/>
    <w:rsid w:val="00B0320D"/>
    <w:rsid w:val="00B042C0"/>
    <w:rsid w:val="00B11CB5"/>
    <w:rsid w:val="00B2502A"/>
    <w:rsid w:val="00B3233D"/>
    <w:rsid w:val="00B32B0A"/>
    <w:rsid w:val="00B34554"/>
    <w:rsid w:val="00B4031F"/>
    <w:rsid w:val="00B40656"/>
    <w:rsid w:val="00B42229"/>
    <w:rsid w:val="00B47E65"/>
    <w:rsid w:val="00B51E66"/>
    <w:rsid w:val="00B554FA"/>
    <w:rsid w:val="00B62781"/>
    <w:rsid w:val="00B67AC9"/>
    <w:rsid w:val="00B67B5B"/>
    <w:rsid w:val="00B70222"/>
    <w:rsid w:val="00B71B45"/>
    <w:rsid w:val="00B72A8F"/>
    <w:rsid w:val="00B7353B"/>
    <w:rsid w:val="00B74266"/>
    <w:rsid w:val="00B742AD"/>
    <w:rsid w:val="00B753AD"/>
    <w:rsid w:val="00B777C8"/>
    <w:rsid w:val="00B80064"/>
    <w:rsid w:val="00B80549"/>
    <w:rsid w:val="00B80EF0"/>
    <w:rsid w:val="00B8168B"/>
    <w:rsid w:val="00B8226D"/>
    <w:rsid w:val="00B824CE"/>
    <w:rsid w:val="00B82579"/>
    <w:rsid w:val="00B845FC"/>
    <w:rsid w:val="00B84727"/>
    <w:rsid w:val="00B86747"/>
    <w:rsid w:val="00B87601"/>
    <w:rsid w:val="00BA27EF"/>
    <w:rsid w:val="00BA28B7"/>
    <w:rsid w:val="00BB17DF"/>
    <w:rsid w:val="00BB515C"/>
    <w:rsid w:val="00BB6100"/>
    <w:rsid w:val="00BB65FD"/>
    <w:rsid w:val="00BB6C32"/>
    <w:rsid w:val="00BB6CB5"/>
    <w:rsid w:val="00BB6E7A"/>
    <w:rsid w:val="00BB7D46"/>
    <w:rsid w:val="00BC0631"/>
    <w:rsid w:val="00BC27AC"/>
    <w:rsid w:val="00BC3C45"/>
    <w:rsid w:val="00BD258C"/>
    <w:rsid w:val="00BD525F"/>
    <w:rsid w:val="00BD5DF2"/>
    <w:rsid w:val="00BE1169"/>
    <w:rsid w:val="00BE2255"/>
    <w:rsid w:val="00BE3DD5"/>
    <w:rsid w:val="00BE4956"/>
    <w:rsid w:val="00BE7B60"/>
    <w:rsid w:val="00BE7DFB"/>
    <w:rsid w:val="00BF200E"/>
    <w:rsid w:val="00BF4522"/>
    <w:rsid w:val="00BF4832"/>
    <w:rsid w:val="00BF73EF"/>
    <w:rsid w:val="00C00102"/>
    <w:rsid w:val="00C04260"/>
    <w:rsid w:val="00C056E5"/>
    <w:rsid w:val="00C07BA3"/>
    <w:rsid w:val="00C11333"/>
    <w:rsid w:val="00C150A1"/>
    <w:rsid w:val="00C16CC7"/>
    <w:rsid w:val="00C17771"/>
    <w:rsid w:val="00C17792"/>
    <w:rsid w:val="00C225F7"/>
    <w:rsid w:val="00C355C3"/>
    <w:rsid w:val="00C367D4"/>
    <w:rsid w:val="00C414C4"/>
    <w:rsid w:val="00C44DA1"/>
    <w:rsid w:val="00C44EFF"/>
    <w:rsid w:val="00C45F28"/>
    <w:rsid w:val="00C506EC"/>
    <w:rsid w:val="00C523FE"/>
    <w:rsid w:val="00C60058"/>
    <w:rsid w:val="00C60D52"/>
    <w:rsid w:val="00C61323"/>
    <w:rsid w:val="00C630F1"/>
    <w:rsid w:val="00C6495C"/>
    <w:rsid w:val="00C6704F"/>
    <w:rsid w:val="00C71698"/>
    <w:rsid w:val="00C75673"/>
    <w:rsid w:val="00C80C03"/>
    <w:rsid w:val="00C85BFC"/>
    <w:rsid w:val="00C935B9"/>
    <w:rsid w:val="00C97876"/>
    <w:rsid w:val="00CA094D"/>
    <w:rsid w:val="00CA4CCE"/>
    <w:rsid w:val="00CA5A32"/>
    <w:rsid w:val="00CA6E93"/>
    <w:rsid w:val="00CB0D92"/>
    <w:rsid w:val="00CB3228"/>
    <w:rsid w:val="00CB7271"/>
    <w:rsid w:val="00CB74A5"/>
    <w:rsid w:val="00CB7AC8"/>
    <w:rsid w:val="00CC2066"/>
    <w:rsid w:val="00CC219D"/>
    <w:rsid w:val="00CC5744"/>
    <w:rsid w:val="00CC6333"/>
    <w:rsid w:val="00CC7DAE"/>
    <w:rsid w:val="00CD23D6"/>
    <w:rsid w:val="00CD66A7"/>
    <w:rsid w:val="00CE063F"/>
    <w:rsid w:val="00CE0A81"/>
    <w:rsid w:val="00CE2C51"/>
    <w:rsid w:val="00CE2E98"/>
    <w:rsid w:val="00CE6B98"/>
    <w:rsid w:val="00CE6C00"/>
    <w:rsid w:val="00CF0033"/>
    <w:rsid w:val="00CF09C6"/>
    <w:rsid w:val="00CF1A54"/>
    <w:rsid w:val="00CF2283"/>
    <w:rsid w:val="00CF2859"/>
    <w:rsid w:val="00CF2E13"/>
    <w:rsid w:val="00D00884"/>
    <w:rsid w:val="00D01B39"/>
    <w:rsid w:val="00D03AF5"/>
    <w:rsid w:val="00D05656"/>
    <w:rsid w:val="00D06271"/>
    <w:rsid w:val="00D10FAB"/>
    <w:rsid w:val="00D12706"/>
    <w:rsid w:val="00D131FA"/>
    <w:rsid w:val="00D139B4"/>
    <w:rsid w:val="00D13DF6"/>
    <w:rsid w:val="00D178EA"/>
    <w:rsid w:val="00D20858"/>
    <w:rsid w:val="00D23396"/>
    <w:rsid w:val="00D25A1F"/>
    <w:rsid w:val="00D30E52"/>
    <w:rsid w:val="00D3545B"/>
    <w:rsid w:val="00D42333"/>
    <w:rsid w:val="00D47185"/>
    <w:rsid w:val="00D5008D"/>
    <w:rsid w:val="00D501B1"/>
    <w:rsid w:val="00D513D1"/>
    <w:rsid w:val="00D51C48"/>
    <w:rsid w:val="00D529A5"/>
    <w:rsid w:val="00D54CB4"/>
    <w:rsid w:val="00D575E5"/>
    <w:rsid w:val="00D6039A"/>
    <w:rsid w:val="00D60796"/>
    <w:rsid w:val="00D618D6"/>
    <w:rsid w:val="00D62ED3"/>
    <w:rsid w:val="00D6433D"/>
    <w:rsid w:val="00D64C58"/>
    <w:rsid w:val="00D66D66"/>
    <w:rsid w:val="00D66E0A"/>
    <w:rsid w:val="00D72263"/>
    <w:rsid w:val="00D72663"/>
    <w:rsid w:val="00D73281"/>
    <w:rsid w:val="00D746C3"/>
    <w:rsid w:val="00D75006"/>
    <w:rsid w:val="00D76477"/>
    <w:rsid w:val="00D77618"/>
    <w:rsid w:val="00D82789"/>
    <w:rsid w:val="00D84D7B"/>
    <w:rsid w:val="00D863EC"/>
    <w:rsid w:val="00D867EA"/>
    <w:rsid w:val="00D87541"/>
    <w:rsid w:val="00D90E0D"/>
    <w:rsid w:val="00D936E9"/>
    <w:rsid w:val="00D96787"/>
    <w:rsid w:val="00D96EF4"/>
    <w:rsid w:val="00DA20D2"/>
    <w:rsid w:val="00DA3BF9"/>
    <w:rsid w:val="00DA4792"/>
    <w:rsid w:val="00DA4E09"/>
    <w:rsid w:val="00DA5238"/>
    <w:rsid w:val="00DA5A98"/>
    <w:rsid w:val="00DB2B0F"/>
    <w:rsid w:val="00DB3E89"/>
    <w:rsid w:val="00DB3EDD"/>
    <w:rsid w:val="00DC2252"/>
    <w:rsid w:val="00DC4138"/>
    <w:rsid w:val="00DC506E"/>
    <w:rsid w:val="00DC5B8D"/>
    <w:rsid w:val="00DC789C"/>
    <w:rsid w:val="00DC7F98"/>
    <w:rsid w:val="00DD1234"/>
    <w:rsid w:val="00DD2B25"/>
    <w:rsid w:val="00DD2BB9"/>
    <w:rsid w:val="00DD2F59"/>
    <w:rsid w:val="00DD5FB1"/>
    <w:rsid w:val="00DD6EEF"/>
    <w:rsid w:val="00DD7232"/>
    <w:rsid w:val="00DD7566"/>
    <w:rsid w:val="00DE05A9"/>
    <w:rsid w:val="00DE4F2A"/>
    <w:rsid w:val="00DE63A5"/>
    <w:rsid w:val="00DE6C46"/>
    <w:rsid w:val="00DF086E"/>
    <w:rsid w:val="00DF1FFF"/>
    <w:rsid w:val="00DF2EEF"/>
    <w:rsid w:val="00DF3297"/>
    <w:rsid w:val="00DF6E84"/>
    <w:rsid w:val="00E0193D"/>
    <w:rsid w:val="00E02FBC"/>
    <w:rsid w:val="00E03871"/>
    <w:rsid w:val="00E03E54"/>
    <w:rsid w:val="00E06C1C"/>
    <w:rsid w:val="00E06F7C"/>
    <w:rsid w:val="00E126CA"/>
    <w:rsid w:val="00E12DE9"/>
    <w:rsid w:val="00E12F7D"/>
    <w:rsid w:val="00E15CF2"/>
    <w:rsid w:val="00E160E0"/>
    <w:rsid w:val="00E1657E"/>
    <w:rsid w:val="00E20212"/>
    <w:rsid w:val="00E20DAF"/>
    <w:rsid w:val="00E21BBA"/>
    <w:rsid w:val="00E22C62"/>
    <w:rsid w:val="00E22D65"/>
    <w:rsid w:val="00E23CA5"/>
    <w:rsid w:val="00E248D3"/>
    <w:rsid w:val="00E249D4"/>
    <w:rsid w:val="00E24E7B"/>
    <w:rsid w:val="00E25E93"/>
    <w:rsid w:val="00E2678B"/>
    <w:rsid w:val="00E300C8"/>
    <w:rsid w:val="00E332B1"/>
    <w:rsid w:val="00E37C33"/>
    <w:rsid w:val="00E405E1"/>
    <w:rsid w:val="00E41A5D"/>
    <w:rsid w:val="00E467DE"/>
    <w:rsid w:val="00E52998"/>
    <w:rsid w:val="00E56522"/>
    <w:rsid w:val="00E56948"/>
    <w:rsid w:val="00E56AC1"/>
    <w:rsid w:val="00E60A0B"/>
    <w:rsid w:val="00E626A4"/>
    <w:rsid w:val="00E64F54"/>
    <w:rsid w:val="00E80D5F"/>
    <w:rsid w:val="00E838FE"/>
    <w:rsid w:val="00E84402"/>
    <w:rsid w:val="00E84970"/>
    <w:rsid w:val="00E8616F"/>
    <w:rsid w:val="00E90349"/>
    <w:rsid w:val="00E90762"/>
    <w:rsid w:val="00E90B9D"/>
    <w:rsid w:val="00E91AF9"/>
    <w:rsid w:val="00E94A72"/>
    <w:rsid w:val="00E95E8F"/>
    <w:rsid w:val="00EA09F8"/>
    <w:rsid w:val="00EA0F49"/>
    <w:rsid w:val="00EA1788"/>
    <w:rsid w:val="00EA23E3"/>
    <w:rsid w:val="00EA5BC0"/>
    <w:rsid w:val="00EB202F"/>
    <w:rsid w:val="00EB36D7"/>
    <w:rsid w:val="00EB6EB7"/>
    <w:rsid w:val="00EC07DD"/>
    <w:rsid w:val="00EC2CFC"/>
    <w:rsid w:val="00EC36BE"/>
    <w:rsid w:val="00EC4A2A"/>
    <w:rsid w:val="00EC5810"/>
    <w:rsid w:val="00EC6B67"/>
    <w:rsid w:val="00ED0FAB"/>
    <w:rsid w:val="00ED273E"/>
    <w:rsid w:val="00ED284F"/>
    <w:rsid w:val="00ED2B75"/>
    <w:rsid w:val="00ED3ADC"/>
    <w:rsid w:val="00ED5094"/>
    <w:rsid w:val="00ED6177"/>
    <w:rsid w:val="00EE01B6"/>
    <w:rsid w:val="00EE2481"/>
    <w:rsid w:val="00EE52E9"/>
    <w:rsid w:val="00EE6CF4"/>
    <w:rsid w:val="00F047EE"/>
    <w:rsid w:val="00F13C01"/>
    <w:rsid w:val="00F141A7"/>
    <w:rsid w:val="00F144B3"/>
    <w:rsid w:val="00F1458E"/>
    <w:rsid w:val="00F15B88"/>
    <w:rsid w:val="00F16170"/>
    <w:rsid w:val="00F172DC"/>
    <w:rsid w:val="00F2183C"/>
    <w:rsid w:val="00F229EE"/>
    <w:rsid w:val="00F264C3"/>
    <w:rsid w:val="00F35362"/>
    <w:rsid w:val="00F376BB"/>
    <w:rsid w:val="00F437DA"/>
    <w:rsid w:val="00F4602F"/>
    <w:rsid w:val="00F46501"/>
    <w:rsid w:val="00F47F33"/>
    <w:rsid w:val="00F504FB"/>
    <w:rsid w:val="00F512B1"/>
    <w:rsid w:val="00F54897"/>
    <w:rsid w:val="00F55717"/>
    <w:rsid w:val="00F575DF"/>
    <w:rsid w:val="00F57CD4"/>
    <w:rsid w:val="00F60210"/>
    <w:rsid w:val="00F6553E"/>
    <w:rsid w:val="00F70793"/>
    <w:rsid w:val="00F713E2"/>
    <w:rsid w:val="00F717BA"/>
    <w:rsid w:val="00F717D6"/>
    <w:rsid w:val="00F7554B"/>
    <w:rsid w:val="00F763A1"/>
    <w:rsid w:val="00F810B0"/>
    <w:rsid w:val="00F81374"/>
    <w:rsid w:val="00F8245A"/>
    <w:rsid w:val="00F82A91"/>
    <w:rsid w:val="00F83657"/>
    <w:rsid w:val="00F83E68"/>
    <w:rsid w:val="00F85C6F"/>
    <w:rsid w:val="00F85D9F"/>
    <w:rsid w:val="00F879C9"/>
    <w:rsid w:val="00F918AD"/>
    <w:rsid w:val="00F91969"/>
    <w:rsid w:val="00F94281"/>
    <w:rsid w:val="00F94822"/>
    <w:rsid w:val="00F96E93"/>
    <w:rsid w:val="00FA3D87"/>
    <w:rsid w:val="00FA4C57"/>
    <w:rsid w:val="00FB1CC9"/>
    <w:rsid w:val="00FB52B1"/>
    <w:rsid w:val="00FC241B"/>
    <w:rsid w:val="00FC2D08"/>
    <w:rsid w:val="00FC5C54"/>
    <w:rsid w:val="00FC65AC"/>
    <w:rsid w:val="00FC69F0"/>
    <w:rsid w:val="00FD1DF9"/>
    <w:rsid w:val="00FD2626"/>
    <w:rsid w:val="00FD289C"/>
    <w:rsid w:val="00FD2D5C"/>
    <w:rsid w:val="00FD41B6"/>
    <w:rsid w:val="00FD5F78"/>
    <w:rsid w:val="00FD779D"/>
    <w:rsid w:val="00FE2F58"/>
    <w:rsid w:val="00FE4626"/>
    <w:rsid w:val="00FE6C2B"/>
    <w:rsid w:val="00FE6C2C"/>
    <w:rsid w:val="00FE7184"/>
    <w:rsid w:val="00FF2EDE"/>
    <w:rsid w:val="00FF445A"/>
    <w:rsid w:val="00FF4AFE"/>
    <w:rsid w:val="00FF6A16"/>
    <w:rsid w:val="00FF73A0"/>
    <w:rsid w:val="00FF781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B8F16"/>
  <w15:docId w15:val="{78117DA5-5095-4A16-9800-9798502B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862D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862D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2D1"/>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0862D1"/>
    <w:rPr>
      <w:rFonts w:ascii="Times New Roman" w:eastAsiaTheme="majorEastAsia" w:hAnsi="Times New Roman" w:cstheme="majorBidi"/>
      <w:b/>
      <w:bCs/>
      <w:sz w:val="28"/>
      <w:szCs w:val="26"/>
      <w:lang w:val="en-GB"/>
    </w:rPr>
  </w:style>
  <w:style w:type="paragraph" w:styleId="TOCHeading">
    <w:name w:val="TOC Heading"/>
    <w:basedOn w:val="Heading1"/>
    <w:next w:val="Normal"/>
    <w:uiPriority w:val="39"/>
    <w:unhideWhenUsed/>
    <w:qFormat/>
    <w:rsid w:val="002D225C"/>
    <w:pPr>
      <w:spacing w:line="276" w:lineRule="auto"/>
      <w:jc w:val="left"/>
      <w:outlineLvl w:val="9"/>
    </w:pPr>
    <w:rPr>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3056"/>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F82A91"/>
    <w:rPr>
      <w:color w:val="605E5C"/>
      <w:shd w:val="clear" w:color="auto" w:fill="E1DFDD"/>
    </w:rPr>
  </w:style>
  <w:style w:type="paragraph" w:styleId="Header">
    <w:name w:val="header"/>
    <w:basedOn w:val="Normal"/>
    <w:link w:val="HeaderChar"/>
    <w:uiPriority w:val="99"/>
    <w:unhideWhenUsed/>
    <w:rsid w:val="00435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4B4"/>
    <w:rPr>
      <w:rFonts w:ascii="Times New Roman" w:hAnsi="Times New Roman"/>
      <w:sz w:val="24"/>
      <w:lang w:val="en-GB"/>
    </w:rPr>
  </w:style>
  <w:style w:type="paragraph" w:styleId="Footer">
    <w:name w:val="footer"/>
    <w:basedOn w:val="Normal"/>
    <w:link w:val="FooterChar"/>
    <w:uiPriority w:val="99"/>
    <w:unhideWhenUsed/>
    <w:rsid w:val="00435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4B4"/>
    <w:rPr>
      <w:rFonts w:ascii="Times New Roman" w:hAnsi="Times New Roman"/>
      <w:sz w:val="24"/>
      <w:lang w:val="en-GB"/>
    </w:rPr>
  </w:style>
  <w:style w:type="paragraph" w:customStyle="1" w:styleId="Normal1">
    <w:name w:val="Normal1"/>
    <w:rsid w:val="00C75673"/>
    <w:pPr>
      <w:spacing w:after="0"/>
    </w:pPr>
    <w:rPr>
      <w:rFonts w:ascii="Arial" w:eastAsia="Arial" w:hAnsi="Arial" w:cs="Arial"/>
    </w:rPr>
  </w:style>
  <w:style w:type="character" w:styleId="Strong">
    <w:name w:val="Strong"/>
    <w:basedOn w:val="DefaultParagraphFont"/>
    <w:uiPriority w:val="22"/>
    <w:qFormat/>
    <w:rsid w:val="00004BE5"/>
    <w:rPr>
      <w:b/>
      <w:bCs/>
    </w:rPr>
  </w:style>
  <w:style w:type="paragraph" w:styleId="z-TopofForm">
    <w:name w:val="HTML Top of Form"/>
    <w:basedOn w:val="Normal"/>
    <w:next w:val="Normal"/>
    <w:link w:val="z-TopofFormChar"/>
    <w:hidden/>
    <w:uiPriority w:val="99"/>
    <w:semiHidden/>
    <w:unhideWhenUsed/>
    <w:rsid w:val="00004BE5"/>
    <w:pPr>
      <w:pBdr>
        <w:bottom w:val="single" w:sz="6" w:space="1" w:color="auto"/>
      </w:pBdr>
      <w:spacing w:after="0" w:line="240" w:lineRule="auto"/>
      <w:jc w:val="center"/>
    </w:pPr>
    <w:rPr>
      <w:rFonts w:ascii="Arial" w:eastAsia="Times New Roman" w:hAnsi="Arial" w:cs="Arial"/>
      <w:vanish/>
      <w:sz w:val="16"/>
      <w:szCs w:val="16"/>
      <w:lang w:val="en-IN" w:eastAsia="en-GB"/>
    </w:rPr>
  </w:style>
  <w:style w:type="character" w:customStyle="1" w:styleId="z-TopofFormChar">
    <w:name w:val="z-Top of Form Char"/>
    <w:basedOn w:val="DefaultParagraphFont"/>
    <w:link w:val="z-TopofForm"/>
    <w:uiPriority w:val="99"/>
    <w:semiHidden/>
    <w:rsid w:val="00004BE5"/>
    <w:rPr>
      <w:rFonts w:ascii="Arial" w:eastAsia="Times New Roman" w:hAnsi="Arial" w:cs="Arial"/>
      <w:vanish/>
      <w:sz w:val="16"/>
      <w:szCs w:val="16"/>
      <w:lang w:val="en-IN" w:eastAsia="en-GB"/>
    </w:rPr>
  </w:style>
  <w:style w:type="paragraph" w:styleId="z-BottomofForm">
    <w:name w:val="HTML Bottom of Form"/>
    <w:basedOn w:val="Normal"/>
    <w:next w:val="Normal"/>
    <w:link w:val="z-BottomofFormChar"/>
    <w:hidden/>
    <w:uiPriority w:val="99"/>
    <w:semiHidden/>
    <w:unhideWhenUsed/>
    <w:rsid w:val="00004BE5"/>
    <w:pPr>
      <w:pBdr>
        <w:top w:val="single" w:sz="6" w:space="1" w:color="auto"/>
      </w:pBdr>
      <w:spacing w:after="0" w:line="240" w:lineRule="auto"/>
      <w:jc w:val="center"/>
    </w:pPr>
    <w:rPr>
      <w:rFonts w:ascii="Arial" w:eastAsia="Times New Roman" w:hAnsi="Arial" w:cs="Arial"/>
      <w:vanish/>
      <w:sz w:val="16"/>
      <w:szCs w:val="16"/>
      <w:lang w:val="en-IN" w:eastAsia="en-GB"/>
    </w:rPr>
  </w:style>
  <w:style w:type="character" w:customStyle="1" w:styleId="z-BottomofFormChar">
    <w:name w:val="z-Bottom of Form Char"/>
    <w:basedOn w:val="DefaultParagraphFont"/>
    <w:link w:val="z-BottomofForm"/>
    <w:uiPriority w:val="99"/>
    <w:semiHidden/>
    <w:rsid w:val="00004BE5"/>
    <w:rPr>
      <w:rFonts w:ascii="Arial" w:eastAsia="Times New Roman" w:hAnsi="Arial" w:cs="Arial"/>
      <w:vanish/>
      <w:sz w:val="16"/>
      <w:szCs w:val="16"/>
      <w:lang w:val="en-IN" w:eastAsia="en-GB"/>
    </w:rPr>
  </w:style>
  <w:style w:type="character" w:styleId="Emphasis">
    <w:name w:val="Emphasis"/>
    <w:basedOn w:val="DefaultParagraphFont"/>
    <w:uiPriority w:val="20"/>
    <w:qFormat/>
    <w:rsid w:val="002B76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3333">
      <w:bodyDiv w:val="1"/>
      <w:marLeft w:val="0"/>
      <w:marRight w:val="0"/>
      <w:marTop w:val="0"/>
      <w:marBottom w:val="0"/>
      <w:divBdr>
        <w:top w:val="none" w:sz="0" w:space="0" w:color="auto"/>
        <w:left w:val="none" w:sz="0" w:space="0" w:color="auto"/>
        <w:bottom w:val="none" w:sz="0" w:space="0" w:color="auto"/>
        <w:right w:val="none" w:sz="0" w:space="0" w:color="auto"/>
      </w:divBdr>
    </w:div>
    <w:div w:id="70660770">
      <w:bodyDiv w:val="1"/>
      <w:marLeft w:val="0"/>
      <w:marRight w:val="0"/>
      <w:marTop w:val="0"/>
      <w:marBottom w:val="0"/>
      <w:divBdr>
        <w:top w:val="none" w:sz="0" w:space="0" w:color="auto"/>
        <w:left w:val="none" w:sz="0" w:space="0" w:color="auto"/>
        <w:bottom w:val="none" w:sz="0" w:space="0" w:color="auto"/>
        <w:right w:val="none" w:sz="0" w:space="0" w:color="auto"/>
      </w:divBdr>
    </w:div>
    <w:div w:id="99646789">
      <w:bodyDiv w:val="1"/>
      <w:marLeft w:val="0"/>
      <w:marRight w:val="0"/>
      <w:marTop w:val="0"/>
      <w:marBottom w:val="0"/>
      <w:divBdr>
        <w:top w:val="none" w:sz="0" w:space="0" w:color="auto"/>
        <w:left w:val="none" w:sz="0" w:space="0" w:color="auto"/>
        <w:bottom w:val="none" w:sz="0" w:space="0" w:color="auto"/>
        <w:right w:val="none" w:sz="0" w:space="0" w:color="auto"/>
      </w:divBdr>
    </w:div>
    <w:div w:id="113256071">
      <w:bodyDiv w:val="1"/>
      <w:marLeft w:val="0"/>
      <w:marRight w:val="0"/>
      <w:marTop w:val="0"/>
      <w:marBottom w:val="0"/>
      <w:divBdr>
        <w:top w:val="none" w:sz="0" w:space="0" w:color="auto"/>
        <w:left w:val="none" w:sz="0" w:space="0" w:color="auto"/>
        <w:bottom w:val="none" w:sz="0" w:space="0" w:color="auto"/>
        <w:right w:val="none" w:sz="0" w:space="0" w:color="auto"/>
      </w:divBdr>
    </w:div>
    <w:div w:id="148521098">
      <w:bodyDiv w:val="1"/>
      <w:marLeft w:val="0"/>
      <w:marRight w:val="0"/>
      <w:marTop w:val="0"/>
      <w:marBottom w:val="0"/>
      <w:divBdr>
        <w:top w:val="none" w:sz="0" w:space="0" w:color="auto"/>
        <w:left w:val="none" w:sz="0" w:space="0" w:color="auto"/>
        <w:bottom w:val="none" w:sz="0" w:space="0" w:color="auto"/>
        <w:right w:val="none" w:sz="0" w:space="0" w:color="auto"/>
      </w:divBdr>
    </w:div>
    <w:div w:id="150953890">
      <w:bodyDiv w:val="1"/>
      <w:marLeft w:val="0"/>
      <w:marRight w:val="0"/>
      <w:marTop w:val="0"/>
      <w:marBottom w:val="0"/>
      <w:divBdr>
        <w:top w:val="none" w:sz="0" w:space="0" w:color="auto"/>
        <w:left w:val="none" w:sz="0" w:space="0" w:color="auto"/>
        <w:bottom w:val="none" w:sz="0" w:space="0" w:color="auto"/>
        <w:right w:val="none" w:sz="0" w:space="0" w:color="auto"/>
      </w:divBdr>
    </w:div>
    <w:div w:id="183792875">
      <w:bodyDiv w:val="1"/>
      <w:marLeft w:val="0"/>
      <w:marRight w:val="0"/>
      <w:marTop w:val="0"/>
      <w:marBottom w:val="0"/>
      <w:divBdr>
        <w:top w:val="none" w:sz="0" w:space="0" w:color="auto"/>
        <w:left w:val="none" w:sz="0" w:space="0" w:color="auto"/>
        <w:bottom w:val="none" w:sz="0" w:space="0" w:color="auto"/>
        <w:right w:val="none" w:sz="0" w:space="0" w:color="auto"/>
      </w:divBdr>
    </w:div>
    <w:div w:id="202862791">
      <w:bodyDiv w:val="1"/>
      <w:marLeft w:val="0"/>
      <w:marRight w:val="0"/>
      <w:marTop w:val="0"/>
      <w:marBottom w:val="0"/>
      <w:divBdr>
        <w:top w:val="none" w:sz="0" w:space="0" w:color="auto"/>
        <w:left w:val="none" w:sz="0" w:space="0" w:color="auto"/>
        <w:bottom w:val="none" w:sz="0" w:space="0" w:color="auto"/>
        <w:right w:val="none" w:sz="0" w:space="0" w:color="auto"/>
      </w:divBdr>
    </w:div>
    <w:div w:id="221527315">
      <w:bodyDiv w:val="1"/>
      <w:marLeft w:val="0"/>
      <w:marRight w:val="0"/>
      <w:marTop w:val="0"/>
      <w:marBottom w:val="0"/>
      <w:divBdr>
        <w:top w:val="none" w:sz="0" w:space="0" w:color="auto"/>
        <w:left w:val="none" w:sz="0" w:space="0" w:color="auto"/>
        <w:bottom w:val="none" w:sz="0" w:space="0" w:color="auto"/>
        <w:right w:val="none" w:sz="0" w:space="0" w:color="auto"/>
      </w:divBdr>
    </w:div>
    <w:div w:id="245960817">
      <w:bodyDiv w:val="1"/>
      <w:marLeft w:val="0"/>
      <w:marRight w:val="0"/>
      <w:marTop w:val="0"/>
      <w:marBottom w:val="0"/>
      <w:divBdr>
        <w:top w:val="none" w:sz="0" w:space="0" w:color="auto"/>
        <w:left w:val="none" w:sz="0" w:space="0" w:color="auto"/>
        <w:bottom w:val="none" w:sz="0" w:space="0" w:color="auto"/>
        <w:right w:val="none" w:sz="0" w:space="0" w:color="auto"/>
      </w:divBdr>
    </w:div>
    <w:div w:id="280455505">
      <w:bodyDiv w:val="1"/>
      <w:marLeft w:val="0"/>
      <w:marRight w:val="0"/>
      <w:marTop w:val="0"/>
      <w:marBottom w:val="0"/>
      <w:divBdr>
        <w:top w:val="none" w:sz="0" w:space="0" w:color="auto"/>
        <w:left w:val="none" w:sz="0" w:space="0" w:color="auto"/>
        <w:bottom w:val="none" w:sz="0" w:space="0" w:color="auto"/>
        <w:right w:val="none" w:sz="0" w:space="0" w:color="auto"/>
      </w:divBdr>
    </w:div>
    <w:div w:id="285166367">
      <w:bodyDiv w:val="1"/>
      <w:marLeft w:val="0"/>
      <w:marRight w:val="0"/>
      <w:marTop w:val="0"/>
      <w:marBottom w:val="0"/>
      <w:divBdr>
        <w:top w:val="none" w:sz="0" w:space="0" w:color="auto"/>
        <w:left w:val="none" w:sz="0" w:space="0" w:color="auto"/>
        <w:bottom w:val="none" w:sz="0" w:space="0" w:color="auto"/>
        <w:right w:val="none" w:sz="0" w:space="0" w:color="auto"/>
      </w:divBdr>
      <w:divsChild>
        <w:div w:id="133527592">
          <w:marLeft w:val="360"/>
          <w:marRight w:val="0"/>
          <w:marTop w:val="200"/>
          <w:marBottom w:val="0"/>
          <w:divBdr>
            <w:top w:val="none" w:sz="0" w:space="0" w:color="auto"/>
            <w:left w:val="none" w:sz="0" w:space="0" w:color="auto"/>
            <w:bottom w:val="none" w:sz="0" w:space="0" w:color="auto"/>
            <w:right w:val="none" w:sz="0" w:space="0" w:color="auto"/>
          </w:divBdr>
        </w:div>
        <w:div w:id="169680334">
          <w:marLeft w:val="360"/>
          <w:marRight w:val="0"/>
          <w:marTop w:val="200"/>
          <w:marBottom w:val="0"/>
          <w:divBdr>
            <w:top w:val="none" w:sz="0" w:space="0" w:color="auto"/>
            <w:left w:val="none" w:sz="0" w:space="0" w:color="auto"/>
            <w:bottom w:val="none" w:sz="0" w:space="0" w:color="auto"/>
            <w:right w:val="none" w:sz="0" w:space="0" w:color="auto"/>
          </w:divBdr>
        </w:div>
        <w:div w:id="792213037">
          <w:marLeft w:val="360"/>
          <w:marRight w:val="0"/>
          <w:marTop w:val="200"/>
          <w:marBottom w:val="0"/>
          <w:divBdr>
            <w:top w:val="none" w:sz="0" w:space="0" w:color="auto"/>
            <w:left w:val="none" w:sz="0" w:space="0" w:color="auto"/>
            <w:bottom w:val="none" w:sz="0" w:space="0" w:color="auto"/>
            <w:right w:val="none" w:sz="0" w:space="0" w:color="auto"/>
          </w:divBdr>
        </w:div>
        <w:div w:id="2001234295">
          <w:marLeft w:val="360"/>
          <w:marRight w:val="0"/>
          <w:marTop w:val="200"/>
          <w:marBottom w:val="0"/>
          <w:divBdr>
            <w:top w:val="none" w:sz="0" w:space="0" w:color="auto"/>
            <w:left w:val="none" w:sz="0" w:space="0" w:color="auto"/>
            <w:bottom w:val="none" w:sz="0" w:space="0" w:color="auto"/>
            <w:right w:val="none" w:sz="0" w:space="0" w:color="auto"/>
          </w:divBdr>
        </w:div>
        <w:div w:id="1962489646">
          <w:marLeft w:val="360"/>
          <w:marRight w:val="0"/>
          <w:marTop w:val="200"/>
          <w:marBottom w:val="0"/>
          <w:divBdr>
            <w:top w:val="none" w:sz="0" w:space="0" w:color="auto"/>
            <w:left w:val="none" w:sz="0" w:space="0" w:color="auto"/>
            <w:bottom w:val="none" w:sz="0" w:space="0" w:color="auto"/>
            <w:right w:val="none" w:sz="0" w:space="0" w:color="auto"/>
          </w:divBdr>
        </w:div>
        <w:div w:id="2009207657">
          <w:marLeft w:val="360"/>
          <w:marRight w:val="0"/>
          <w:marTop w:val="200"/>
          <w:marBottom w:val="0"/>
          <w:divBdr>
            <w:top w:val="none" w:sz="0" w:space="0" w:color="auto"/>
            <w:left w:val="none" w:sz="0" w:space="0" w:color="auto"/>
            <w:bottom w:val="none" w:sz="0" w:space="0" w:color="auto"/>
            <w:right w:val="none" w:sz="0" w:space="0" w:color="auto"/>
          </w:divBdr>
        </w:div>
        <w:div w:id="1131249354">
          <w:marLeft w:val="360"/>
          <w:marRight w:val="0"/>
          <w:marTop w:val="200"/>
          <w:marBottom w:val="0"/>
          <w:divBdr>
            <w:top w:val="none" w:sz="0" w:space="0" w:color="auto"/>
            <w:left w:val="none" w:sz="0" w:space="0" w:color="auto"/>
            <w:bottom w:val="none" w:sz="0" w:space="0" w:color="auto"/>
            <w:right w:val="none" w:sz="0" w:space="0" w:color="auto"/>
          </w:divBdr>
        </w:div>
        <w:div w:id="1171063247">
          <w:marLeft w:val="360"/>
          <w:marRight w:val="0"/>
          <w:marTop w:val="200"/>
          <w:marBottom w:val="0"/>
          <w:divBdr>
            <w:top w:val="none" w:sz="0" w:space="0" w:color="auto"/>
            <w:left w:val="none" w:sz="0" w:space="0" w:color="auto"/>
            <w:bottom w:val="none" w:sz="0" w:space="0" w:color="auto"/>
            <w:right w:val="none" w:sz="0" w:space="0" w:color="auto"/>
          </w:divBdr>
        </w:div>
        <w:div w:id="1170409363">
          <w:marLeft w:val="360"/>
          <w:marRight w:val="0"/>
          <w:marTop w:val="200"/>
          <w:marBottom w:val="0"/>
          <w:divBdr>
            <w:top w:val="none" w:sz="0" w:space="0" w:color="auto"/>
            <w:left w:val="none" w:sz="0" w:space="0" w:color="auto"/>
            <w:bottom w:val="none" w:sz="0" w:space="0" w:color="auto"/>
            <w:right w:val="none" w:sz="0" w:space="0" w:color="auto"/>
          </w:divBdr>
        </w:div>
        <w:div w:id="1337462999">
          <w:marLeft w:val="360"/>
          <w:marRight w:val="0"/>
          <w:marTop w:val="200"/>
          <w:marBottom w:val="0"/>
          <w:divBdr>
            <w:top w:val="none" w:sz="0" w:space="0" w:color="auto"/>
            <w:left w:val="none" w:sz="0" w:space="0" w:color="auto"/>
            <w:bottom w:val="none" w:sz="0" w:space="0" w:color="auto"/>
            <w:right w:val="none" w:sz="0" w:space="0" w:color="auto"/>
          </w:divBdr>
        </w:div>
        <w:div w:id="459811029">
          <w:marLeft w:val="360"/>
          <w:marRight w:val="0"/>
          <w:marTop w:val="200"/>
          <w:marBottom w:val="0"/>
          <w:divBdr>
            <w:top w:val="none" w:sz="0" w:space="0" w:color="auto"/>
            <w:left w:val="none" w:sz="0" w:space="0" w:color="auto"/>
            <w:bottom w:val="none" w:sz="0" w:space="0" w:color="auto"/>
            <w:right w:val="none" w:sz="0" w:space="0" w:color="auto"/>
          </w:divBdr>
        </w:div>
        <w:div w:id="2080589482">
          <w:marLeft w:val="360"/>
          <w:marRight w:val="0"/>
          <w:marTop w:val="200"/>
          <w:marBottom w:val="0"/>
          <w:divBdr>
            <w:top w:val="none" w:sz="0" w:space="0" w:color="auto"/>
            <w:left w:val="none" w:sz="0" w:space="0" w:color="auto"/>
            <w:bottom w:val="none" w:sz="0" w:space="0" w:color="auto"/>
            <w:right w:val="none" w:sz="0" w:space="0" w:color="auto"/>
          </w:divBdr>
        </w:div>
      </w:divsChild>
    </w:div>
    <w:div w:id="286619316">
      <w:bodyDiv w:val="1"/>
      <w:marLeft w:val="0"/>
      <w:marRight w:val="0"/>
      <w:marTop w:val="0"/>
      <w:marBottom w:val="0"/>
      <w:divBdr>
        <w:top w:val="none" w:sz="0" w:space="0" w:color="auto"/>
        <w:left w:val="none" w:sz="0" w:space="0" w:color="auto"/>
        <w:bottom w:val="none" w:sz="0" w:space="0" w:color="auto"/>
        <w:right w:val="none" w:sz="0" w:space="0" w:color="auto"/>
      </w:divBdr>
    </w:div>
    <w:div w:id="318769438">
      <w:bodyDiv w:val="1"/>
      <w:marLeft w:val="0"/>
      <w:marRight w:val="0"/>
      <w:marTop w:val="0"/>
      <w:marBottom w:val="0"/>
      <w:divBdr>
        <w:top w:val="none" w:sz="0" w:space="0" w:color="auto"/>
        <w:left w:val="none" w:sz="0" w:space="0" w:color="auto"/>
        <w:bottom w:val="none" w:sz="0" w:space="0" w:color="auto"/>
        <w:right w:val="none" w:sz="0" w:space="0" w:color="auto"/>
      </w:divBdr>
    </w:div>
    <w:div w:id="385832940">
      <w:bodyDiv w:val="1"/>
      <w:marLeft w:val="0"/>
      <w:marRight w:val="0"/>
      <w:marTop w:val="0"/>
      <w:marBottom w:val="0"/>
      <w:divBdr>
        <w:top w:val="none" w:sz="0" w:space="0" w:color="auto"/>
        <w:left w:val="none" w:sz="0" w:space="0" w:color="auto"/>
        <w:bottom w:val="none" w:sz="0" w:space="0" w:color="auto"/>
        <w:right w:val="none" w:sz="0" w:space="0" w:color="auto"/>
      </w:divBdr>
    </w:div>
    <w:div w:id="402410890">
      <w:bodyDiv w:val="1"/>
      <w:marLeft w:val="0"/>
      <w:marRight w:val="0"/>
      <w:marTop w:val="0"/>
      <w:marBottom w:val="0"/>
      <w:divBdr>
        <w:top w:val="none" w:sz="0" w:space="0" w:color="auto"/>
        <w:left w:val="none" w:sz="0" w:space="0" w:color="auto"/>
        <w:bottom w:val="none" w:sz="0" w:space="0" w:color="auto"/>
        <w:right w:val="none" w:sz="0" w:space="0" w:color="auto"/>
      </w:divBdr>
    </w:div>
    <w:div w:id="406920460">
      <w:bodyDiv w:val="1"/>
      <w:marLeft w:val="0"/>
      <w:marRight w:val="0"/>
      <w:marTop w:val="0"/>
      <w:marBottom w:val="0"/>
      <w:divBdr>
        <w:top w:val="none" w:sz="0" w:space="0" w:color="auto"/>
        <w:left w:val="none" w:sz="0" w:space="0" w:color="auto"/>
        <w:bottom w:val="none" w:sz="0" w:space="0" w:color="auto"/>
        <w:right w:val="none" w:sz="0" w:space="0" w:color="auto"/>
      </w:divBdr>
    </w:div>
    <w:div w:id="432168444">
      <w:bodyDiv w:val="1"/>
      <w:marLeft w:val="0"/>
      <w:marRight w:val="0"/>
      <w:marTop w:val="0"/>
      <w:marBottom w:val="0"/>
      <w:divBdr>
        <w:top w:val="none" w:sz="0" w:space="0" w:color="auto"/>
        <w:left w:val="none" w:sz="0" w:space="0" w:color="auto"/>
        <w:bottom w:val="none" w:sz="0" w:space="0" w:color="auto"/>
        <w:right w:val="none" w:sz="0" w:space="0" w:color="auto"/>
      </w:divBdr>
    </w:div>
    <w:div w:id="466313419">
      <w:bodyDiv w:val="1"/>
      <w:marLeft w:val="0"/>
      <w:marRight w:val="0"/>
      <w:marTop w:val="0"/>
      <w:marBottom w:val="0"/>
      <w:divBdr>
        <w:top w:val="none" w:sz="0" w:space="0" w:color="auto"/>
        <w:left w:val="none" w:sz="0" w:space="0" w:color="auto"/>
        <w:bottom w:val="none" w:sz="0" w:space="0" w:color="auto"/>
        <w:right w:val="none" w:sz="0" w:space="0" w:color="auto"/>
      </w:divBdr>
    </w:div>
    <w:div w:id="488987894">
      <w:bodyDiv w:val="1"/>
      <w:marLeft w:val="0"/>
      <w:marRight w:val="0"/>
      <w:marTop w:val="0"/>
      <w:marBottom w:val="0"/>
      <w:divBdr>
        <w:top w:val="none" w:sz="0" w:space="0" w:color="auto"/>
        <w:left w:val="none" w:sz="0" w:space="0" w:color="auto"/>
        <w:bottom w:val="none" w:sz="0" w:space="0" w:color="auto"/>
        <w:right w:val="none" w:sz="0" w:space="0" w:color="auto"/>
      </w:divBdr>
    </w:div>
    <w:div w:id="492574092">
      <w:bodyDiv w:val="1"/>
      <w:marLeft w:val="0"/>
      <w:marRight w:val="0"/>
      <w:marTop w:val="0"/>
      <w:marBottom w:val="0"/>
      <w:divBdr>
        <w:top w:val="none" w:sz="0" w:space="0" w:color="auto"/>
        <w:left w:val="none" w:sz="0" w:space="0" w:color="auto"/>
        <w:bottom w:val="none" w:sz="0" w:space="0" w:color="auto"/>
        <w:right w:val="none" w:sz="0" w:space="0" w:color="auto"/>
      </w:divBdr>
    </w:div>
    <w:div w:id="493183418">
      <w:bodyDiv w:val="1"/>
      <w:marLeft w:val="0"/>
      <w:marRight w:val="0"/>
      <w:marTop w:val="0"/>
      <w:marBottom w:val="0"/>
      <w:divBdr>
        <w:top w:val="none" w:sz="0" w:space="0" w:color="auto"/>
        <w:left w:val="none" w:sz="0" w:space="0" w:color="auto"/>
        <w:bottom w:val="none" w:sz="0" w:space="0" w:color="auto"/>
        <w:right w:val="none" w:sz="0" w:space="0" w:color="auto"/>
      </w:divBdr>
    </w:div>
    <w:div w:id="51434779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094015">
      <w:bodyDiv w:val="1"/>
      <w:marLeft w:val="0"/>
      <w:marRight w:val="0"/>
      <w:marTop w:val="0"/>
      <w:marBottom w:val="0"/>
      <w:divBdr>
        <w:top w:val="none" w:sz="0" w:space="0" w:color="auto"/>
        <w:left w:val="none" w:sz="0" w:space="0" w:color="auto"/>
        <w:bottom w:val="none" w:sz="0" w:space="0" w:color="auto"/>
        <w:right w:val="none" w:sz="0" w:space="0" w:color="auto"/>
      </w:divBdr>
      <w:divsChild>
        <w:div w:id="229967586">
          <w:marLeft w:val="504"/>
          <w:marRight w:val="0"/>
          <w:marTop w:val="140"/>
          <w:marBottom w:val="0"/>
          <w:divBdr>
            <w:top w:val="none" w:sz="0" w:space="0" w:color="auto"/>
            <w:left w:val="none" w:sz="0" w:space="0" w:color="auto"/>
            <w:bottom w:val="none" w:sz="0" w:space="0" w:color="auto"/>
            <w:right w:val="none" w:sz="0" w:space="0" w:color="auto"/>
          </w:divBdr>
        </w:div>
      </w:divsChild>
    </w:div>
    <w:div w:id="552430631">
      <w:bodyDiv w:val="1"/>
      <w:marLeft w:val="0"/>
      <w:marRight w:val="0"/>
      <w:marTop w:val="0"/>
      <w:marBottom w:val="0"/>
      <w:divBdr>
        <w:top w:val="none" w:sz="0" w:space="0" w:color="auto"/>
        <w:left w:val="none" w:sz="0" w:space="0" w:color="auto"/>
        <w:bottom w:val="none" w:sz="0" w:space="0" w:color="auto"/>
        <w:right w:val="none" w:sz="0" w:space="0" w:color="auto"/>
      </w:divBdr>
    </w:div>
    <w:div w:id="559441264">
      <w:bodyDiv w:val="1"/>
      <w:marLeft w:val="0"/>
      <w:marRight w:val="0"/>
      <w:marTop w:val="0"/>
      <w:marBottom w:val="0"/>
      <w:divBdr>
        <w:top w:val="none" w:sz="0" w:space="0" w:color="auto"/>
        <w:left w:val="none" w:sz="0" w:space="0" w:color="auto"/>
        <w:bottom w:val="none" w:sz="0" w:space="0" w:color="auto"/>
        <w:right w:val="none" w:sz="0" w:space="0" w:color="auto"/>
      </w:divBdr>
    </w:div>
    <w:div w:id="570893508">
      <w:bodyDiv w:val="1"/>
      <w:marLeft w:val="0"/>
      <w:marRight w:val="0"/>
      <w:marTop w:val="0"/>
      <w:marBottom w:val="0"/>
      <w:divBdr>
        <w:top w:val="none" w:sz="0" w:space="0" w:color="auto"/>
        <w:left w:val="none" w:sz="0" w:space="0" w:color="auto"/>
        <w:bottom w:val="none" w:sz="0" w:space="0" w:color="auto"/>
        <w:right w:val="none" w:sz="0" w:space="0" w:color="auto"/>
      </w:divBdr>
    </w:div>
    <w:div w:id="580136480">
      <w:bodyDiv w:val="1"/>
      <w:marLeft w:val="0"/>
      <w:marRight w:val="0"/>
      <w:marTop w:val="0"/>
      <w:marBottom w:val="0"/>
      <w:divBdr>
        <w:top w:val="none" w:sz="0" w:space="0" w:color="auto"/>
        <w:left w:val="none" w:sz="0" w:space="0" w:color="auto"/>
        <w:bottom w:val="none" w:sz="0" w:space="0" w:color="auto"/>
        <w:right w:val="none" w:sz="0" w:space="0" w:color="auto"/>
      </w:divBdr>
    </w:div>
    <w:div w:id="581794803">
      <w:bodyDiv w:val="1"/>
      <w:marLeft w:val="0"/>
      <w:marRight w:val="0"/>
      <w:marTop w:val="0"/>
      <w:marBottom w:val="0"/>
      <w:divBdr>
        <w:top w:val="none" w:sz="0" w:space="0" w:color="auto"/>
        <w:left w:val="none" w:sz="0" w:space="0" w:color="auto"/>
        <w:bottom w:val="none" w:sz="0" w:space="0" w:color="auto"/>
        <w:right w:val="none" w:sz="0" w:space="0" w:color="auto"/>
      </w:divBdr>
    </w:div>
    <w:div w:id="596905836">
      <w:bodyDiv w:val="1"/>
      <w:marLeft w:val="0"/>
      <w:marRight w:val="0"/>
      <w:marTop w:val="0"/>
      <w:marBottom w:val="0"/>
      <w:divBdr>
        <w:top w:val="none" w:sz="0" w:space="0" w:color="auto"/>
        <w:left w:val="none" w:sz="0" w:space="0" w:color="auto"/>
        <w:bottom w:val="none" w:sz="0" w:space="0" w:color="auto"/>
        <w:right w:val="none" w:sz="0" w:space="0" w:color="auto"/>
      </w:divBdr>
    </w:div>
    <w:div w:id="623653093">
      <w:bodyDiv w:val="1"/>
      <w:marLeft w:val="0"/>
      <w:marRight w:val="0"/>
      <w:marTop w:val="0"/>
      <w:marBottom w:val="0"/>
      <w:divBdr>
        <w:top w:val="none" w:sz="0" w:space="0" w:color="auto"/>
        <w:left w:val="none" w:sz="0" w:space="0" w:color="auto"/>
        <w:bottom w:val="none" w:sz="0" w:space="0" w:color="auto"/>
        <w:right w:val="none" w:sz="0" w:space="0" w:color="auto"/>
      </w:divBdr>
    </w:div>
    <w:div w:id="628708799">
      <w:bodyDiv w:val="1"/>
      <w:marLeft w:val="0"/>
      <w:marRight w:val="0"/>
      <w:marTop w:val="0"/>
      <w:marBottom w:val="0"/>
      <w:divBdr>
        <w:top w:val="none" w:sz="0" w:space="0" w:color="auto"/>
        <w:left w:val="none" w:sz="0" w:space="0" w:color="auto"/>
        <w:bottom w:val="none" w:sz="0" w:space="0" w:color="auto"/>
        <w:right w:val="none" w:sz="0" w:space="0" w:color="auto"/>
      </w:divBdr>
    </w:div>
    <w:div w:id="629672122">
      <w:bodyDiv w:val="1"/>
      <w:marLeft w:val="0"/>
      <w:marRight w:val="0"/>
      <w:marTop w:val="0"/>
      <w:marBottom w:val="0"/>
      <w:divBdr>
        <w:top w:val="none" w:sz="0" w:space="0" w:color="auto"/>
        <w:left w:val="none" w:sz="0" w:space="0" w:color="auto"/>
        <w:bottom w:val="none" w:sz="0" w:space="0" w:color="auto"/>
        <w:right w:val="none" w:sz="0" w:space="0" w:color="auto"/>
      </w:divBdr>
    </w:div>
    <w:div w:id="635260222">
      <w:bodyDiv w:val="1"/>
      <w:marLeft w:val="0"/>
      <w:marRight w:val="0"/>
      <w:marTop w:val="0"/>
      <w:marBottom w:val="0"/>
      <w:divBdr>
        <w:top w:val="none" w:sz="0" w:space="0" w:color="auto"/>
        <w:left w:val="none" w:sz="0" w:space="0" w:color="auto"/>
        <w:bottom w:val="none" w:sz="0" w:space="0" w:color="auto"/>
        <w:right w:val="none" w:sz="0" w:space="0" w:color="auto"/>
      </w:divBdr>
    </w:div>
    <w:div w:id="651375357">
      <w:bodyDiv w:val="1"/>
      <w:marLeft w:val="0"/>
      <w:marRight w:val="0"/>
      <w:marTop w:val="0"/>
      <w:marBottom w:val="0"/>
      <w:divBdr>
        <w:top w:val="none" w:sz="0" w:space="0" w:color="auto"/>
        <w:left w:val="none" w:sz="0" w:space="0" w:color="auto"/>
        <w:bottom w:val="none" w:sz="0" w:space="0" w:color="auto"/>
        <w:right w:val="none" w:sz="0" w:space="0" w:color="auto"/>
      </w:divBdr>
    </w:div>
    <w:div w:id="655958841">
      <w:bodyDiv w:val="1"/>
      <w:marLeft w:val="0"/>
      <w:marRight w:val="0"/>
      <w:marTop w:val="0"/>
      <w:marBottom w:val="0"/>
      <w:divBdr>
        <w:top w:val="none" w:sz="0" w:space="0" w:color="auto"/>
        <w:left w:val="none" w:sz="0" w:space="0" w:color="auto"/>
        <w:bottom w:val="none" w:sz="0" w:space="0" w:color="auto"/>
        <w:right w:val="none" w:sz="0" w:space="0" w:color="auto"/>
      </w:divBdr>
    </w:div>
    <w:div w:id="661276784">
      <w:bodyDiv w:val="1"/>
      <w:marLeft w:val="0"/>
      <w:marRight w:val="0"/>
      <w:marTop w:val="0"/>
      <w:marBottom w:val="0"/>
      <w:divBdr>
        <w:top w:val="none" w:sz="0" w:space="0" w:color="auto"/>
        <w:left w:val="none" w:sz="0" w:space="0" w:color="auto"/>
        <w:bottom w:val="none" w:sz="0" w:space="0" w:color="auto"/>
        <w:right w:val="none" w:sz="0" w:space="0" w:color="auto"/>
      </w:divBdr>
    </w:div>
    <w:div w:id="684867085">
      <w:bodyDiv w:val="1"/>
      <w:marLeft w:val="0"/>
      <w:marRight w:val="0"/>
      <w:marTop w:val="0"/>
      <w:marBottom w:val="0"/>
      <w:divBdr>
        <w:top w:val="none" w:sz="0" w:space="0" w:color="auto"/>
        <w:left w:val="none" w:sz="0" w:space="0" w:color="auto"/>
        <w:bottom w:val="none" w:sz="0" w:space="0" w:color="auto"/>
        <w:right w:val="none" w:sz="0" w:space="0" w:color="auto"/>
      </w:divBdr>
    </w:div>
    <w:div w:id="692002079">
      <w:bodyDiv w:val="1"/>
      <w:marLeft w:val="0"/>
      <w:marRight w:val="0"/>
      <w:marTop w:val="0"/>
      <w:marBottom w:val="0"/>
      <w:divBdr>
        <w:top w:val="none" w:sz="0" w:space="0" w:color="auto"/>
        <w:left w:val="none" w:sz="0" w:space="0" w:color="auto"/>
        <w:bottom w:val="none" w:sz="0" w:space="0" w:color="auto"/>
        <w:right w:val="none" w:sz="0" w:space="0" w:color="auto"/>
      </w:divBdr>
    </w:div>
    <w:div w:id="692002367">
      <w:bodyDiv w:val="1"/>
      <w:marLeft w:val="0"/>
      <w:marRight w:val="0"/>
      <w:marTop w:val="0"/>
      <w:marBottom w:val="0"/>
      <w:divBdr>
        <w:top w:val="none" w:sz="0" w:space="0" w:color="auto"/>
        <w:left w:val="none" w:sz="0" w:space="0" w:color="auto"/>
        <w:bottom w:val="none" w:sz="0" w:space="0" w:color="auto"/>
        <w:right w:val="none" w:sz="0" w:space="0" w:color="auto"/>
      </w:divBdr>
    </w:div>
    <w:div w:id="695817120">
      <w:bodyDiv w:val="1"/>
      <w:marLeft w:val="0"/>
      <w:marRight w:val="0"/>
      <w:marTop w:val="0"/>
      <w:marBottom w:val="0"/>
      <w:divBdr>
        <w:top w:val="none" w:sz="0" w:space="0" w:color="auto"/>
        <w:left w:val="none" w:sz="0" w:space="0" w:color="auto"/>
        <w:bottom w:val="none" w:sz="0" w:space="0" w:color="auto"/>
        <w:right w:val="none" w:sz="0" w:space="0" w:color="auto"/>
      </w:divBdr>
    </w:div>
    <w:div w:id="716784010">
      <w:bodyDiv w:val="1"/>
      <w:marLeft w:val="0"/>
      <w:marRight w:val="0"/>
      <w:marTop w:val="0"/>
      <w:marBottom w:val="0"/>
      <w:divBdr>
        <w:top w:val="none" w:sz="0" w:space="0" w:color="auto"/>
        <w:left w:val="none" w:sz="0" w:space="0" w:color="auto"/>
        <w:bottom w:val="none" w:sz="0" w:space="0" w:color="auto"/>
        <w:right w:val="none" w:sz="0" w:space="0" w:color="auto"/>
      </w:divBdr>
      <w:divsChild>
        <w:div w:id="1487088681">
          <w:marLeft w:val="504"/>
          <w:marRight w:val="0"/>
          <w:marTop w:val="140"/>
          <w:marBottom w:val="0"/>
          <w:divBdr>
            <w:top w:val="none" w:sz="0" w:space="0" w:color="auto"/>
            <w:left w:val="none" w:sz="0" w:space="0" w:color="auto"/>
            <w:bottom w:val="none" w:sz="0" w:space="0" w:color="auto"/>
            <w:right w:val="none" w:sz="0" w:space="0" w:color="auto"/>
          </w:divBdr>
        </w:div>
      </w:divsChild>
    </w:div>
    <w:div w:id="723022021">
      <w:bodyDiv w:val="1"/>
      <w:marLeft w:val="0"/>
      <w:marRight w:val="0"/>
      <w:marTop w:val="0"/>
      <w:marBottom w:val="0"/>
      <w:divBdr>
        <w:top w:val="none" w:sz="0" w:space="0" w:color="auto"/>
        <w:left w:val="none" w:sz="0" w:space="0" w:color="auto"/>
        <w:bottom w:val="none" w:sz="0" w:space="0" w:color="auto"/>
        <w:right w:val="none" w:sz="0" w:space="0" w:color="auto"/>
      </w:divBdr>
    </w:div>
    <w:div w:id="773476945">
      <w:bodyDiv w:val="1"/>
      <w:marLeft w:val="0"/>
      <w:marRight w:val="0"/>
      <w:marTop w:val="0"/>
      <w:marBottom w:val="0"/>
      <w:divBdr>
        <w:top w:val="none" w:sz="0" w:space="0" w:color="auto"/>
        <w:left w:val="none" w:sz="0" w:space="0" w:color="auto"/>
        <w:bottom w:val="none" w:sz="0" w:space="0" w:color="auto"/>
        <w:right w:val="none" w:sz="0" w:space="0" w:color="auto"/>
      </w:divBdr>
    </w:div>
    <w:div w:id="792601137">
      <w:bodyDiv w:val="1"/>
      <w:marLeft w:val="0"/>
      <w:marRight w:val="0"/>
      <w:marTop w:val="0"/>
      <w:marBottom w:val="0"/>
      <w:divBdr>
        <w:top w:val="none" w:sz="0" w:space="0" w:color="auto"/>
        <w:left w:val="none" w:sz="0" w:space="0" w:color="auto"/>
        <w:bottom w:val="none" w:sz="0" w:space="0" w:color="auto"/>
        <w:right w:val="none" w:sz="0" w:space="0" w:color="auto"/>
      </w:divBdr>
    </w:div>
    <w:div w:id="801580117">
      <w:bodyDiv w:val="1"/>
      <w:marLeft w:val="0"/>
      <w:marRight w:val="0"/>
      <w:marTop w:val="0"/>
      <w:marBottom w:val="0"/>
      <w:divBdr>
        <w:top w:val="none" w:sz="0" w:space="0" w:color="auto"/>
        <w:left w:val="none" w:sz="0" w:space="0" w:color="auto"/>
        <w:bottom w:val="none" w:sz="0" w:space="0" w:color="auto"/>
        <w:right w:val="none" w:sz="0" w:space="0" w:color="auto"/>
      </w:divBdr>
    </w:div>
    <w:div w:id="812872016">
      <w:bodyDiv w:val="1"/>
      <w:marLeft w:val="0"/>
      <w:marRight w:val="0"/>
      <w:marTop w:val="0"/>
      <w:marBottom w:val="0"/>
      <w:divBdr>
        <w:top w:val="none" w:sz="0" w:space="0" w:color="auto"/>
        <w:left w:val="none" w:sz="0" w:space="0" w:color="auto"/>
        <w:bottom w:val="none" w:sz="0" w:space="0" w:color="auto"/>
        <w:right w:val="none" w:sz="0" w:space="0" w:color="auto"/>
      </w:divBdr>
    </w:div>
    <w:div w:id="836117042">
      <w:bodyDiv w:val="1"/>
      <w:marLeft w:val="0"/>
      <w:marRight w:val="0"/>
      <w:marTop w:val="0"/>
      <w:marBottom w:val="0"/>
      <w:divBdr>
        <w:top w:val="none" w:sz="0" w:space="0" w:color="auto"/>
        <w:left w:val="none" w:sz="0" w:space="0" w:color="auto"/>
        <w:bottom w:val="none" w:sz="0" w:space="0" w:color="auto"/>
        <w:right w:val="none" w:sz="0" w:space="0" w:color="auto"/>
      </w:divBdr>
    </w:div>
    <w:div w:id="838230976">
      <w:bodyDiv w:val="1"/>
      <w:marLeft w:val="0"/>
      <w:marRight w:val="0"/>
      <w:marTop w:val="0"/>
      <w:marBottom w:val="0"/>
      <w:divBdr>
        <w:top w:val="none" w:sz="0" w:space="0" w:color="auto"/>
        <w:left w:val="none" w:sz="0" w:space="0" w:color="auto"/>
        <w:bottom w:val="none" w:sz="0" w:space="0" w:color="auto"/>
        <w:right w:val="none" w:sz="0" w:space="0" w:color="auto"/>
      </w:divBdr>
    </w:div>
    <w:div w:id="854148629">
      <w:bodyDiv w:val="1"/>
      <w:marLeft w:val="0"/>
      <w:marRight w:val="0"/>
      <w:marTop w:val="0"/>
      <w:marBottom w:val="0"/>
      <w:divBdr>
        <w:top w:val="none" w:sz="0" w:space="0" w:color="auto"/>
        <w:left w:val="none" w:sz="0" w:space="0" w:color="auto"/>
        <w:bottom w:val="none" w:sz="0" w:space="0" w:color="auto"/>
        <w:right w:val="none" w:sz="0" w:space="0" w:color="auto"/>
      </w:divBdr>
    </w:div>
    <w:div w:id="882593715">
      <w:bodyDiv w:val="1"/>
      <w:marLeft w:val="0"/>
      <w:marRight w:val="0"/>
      <w:marTop w:val="0"/>
      <w:marBottom w:val="0"/>
      <w:divBdr>
        <w:top w:val="none" w:sz="0" w:space="0" w:color="auto"/>
        <w:left w:val="none" w:sz="0" w:space="0" w:color="auto"/>
        <w:bottom w:val="none" w:sz="0" w:space="0" w:color="auto"/>
        <w:right w:val="none" w:sz="0" w:space="0" w:color="auto"/>
      </w:divBdr>
    </w:div>
    <w:div w:id="882716895">
      <w:bodyDiv w:val="1"/>
      <w:marLeft w:val="0"/>
      <w:marRight w:val="0"/>
      <w:marTop w:val="0"/>
      <w:marBottom w:val="0"/>
      <w:divBdr>
        <w:top w:val="none" w:sz="0" w:space="0" w:color="auto"/>
        <w:left w:val="none" w:sz="0" w:space="0" w:color="auto"/>
        <w:bottom w:val="none" w:sz="0" w:space="0" w:color="auto"/>
        <w:right w:val="none" w:sz="0" w:space="0" w:color="auto"/>
      </w:divBdr>
    </w:div>
    <w:div w:id="885261138">
      <w:bodyDiv w:val="1"/>
      <w:marLeft w:val="0"/>
      <w:marRight w:val="0"/>
      <w:marTop w:val="0"/>
      <w:marBottom w:val="0"/>
      <w:divBdr>
        <w:top w:val="none" w:sz="0" w:space="0" w:color="auto"/>
        <w:left w:val="none" w:sz="0" w:space="0" w:color="auto"/>
        <w:bottom w:val="none" w:sz="0" w:space="0" w:color="auto"/>
        <w:right w:val="none" w:sz="0" w:space="0" w:color="auto"/>
      </w:divBdr>
    </w:div>
    <w:div w:id="889609253">
      <w:bodyDiv w:val="1"/>
      <w:marLeft w:val="0"/>
      <w:marRight w:val="0"/>
      <w:marTop w:val="0"/>
      <w:marBottom w:val="0"/>
      <w:divBdr>
        <w:top w:val="none" w:sz="0" w:space="0" w:color="auto"/>
        <w:left w:val="none" w:sz="0" w:space="0" w:color="auto"/>
        <w:bottom w:val="none" w:sz="0" w:space="0" w:color="auto"/>
        <w:right w:val="none" w:sz="0" w:space="0" w:color="auto"/>
      </w:divBdr>
    </w:div>
    <w:div w:id="931010242">
      <w:bodyDiv w:val="1"/>
      <w:marLeft w:val="0"/>
      <w:marRight w:val="0"/>
      <w:marTop w:val="0"/>
      <w:marBottom w:val="0"/>
      <w:divBdr>
        <w:top w:val="none" w:sz="0" w:space="0" w:color="auto"/>
        <w:left w:val="none" w:sz="0" w:space="0" w:color="auto"/>
        <w:bottom w:val="none" w:sz="0" w:space="0" w:color="auto"/>
        <w:right w:val="none" w:sz="0" w:space="0" w:color="auto"/>
      </w:divBdr>
    </w:div>
    <w:div w:id="969628140">
      <w:bodyDiv w:val="1"/>
      <w:marLeft w:val="0"/>
      <w:marRight w:val="0"/>
      <w:marTop w:val="0"/>
      <w:marBottom w:val="0"/>
      <w:divBdr>
        <w:top w:val="none" w:sz="0" w:space="0" w:color="auto"/>
        <w:left w:val="none" w:sz="0" w:space="0" w:color="auto"/>
        <w:bottom w:val="none" w:sz="0" w:space="0" w:color="auto"/>
        <w:right w:val="none" w:sz="0" w:space="0" w:color="auto"/>
      </w:divBdr>
    </w:div>
    <w:div w:id="978152719">
      <w:bodyDiv w:val="1"/>
      <w:marLeft w:val="0"/>
      <w:marRight w:val="0"/>
      <w:marTop w:val="0"/>
      <w:marBottom w:val="0"/>
      <w:divBdr>
        <w:top w:val="none" w:sz="0" w:space="0" w:color="auto"/>
        <w:left w:val="none" w:sz="0" w:space="0" w:color="auto"/>
        <w:bottom w:val="none" w:sz="0" w:space="0" w:color="auto"/>
        <w:right w:val="none" w:sz="0" w:space="0" w:color="auto"/>
      </w:divBdr>
      <w:divsChild>
        <w:div w:id="1610433345">
          <w:marLeft w:val="0"/>
          <w:marRight w:val="0"/>
          <w:marTop w:val="0"/>
          <w:marBottom w:val="0"/>
          <w:divBdr>
            <w:top w:val="none" w:sz="0" w:space="0" w:color="auto"/>
            <w:left w:val="none" w:sz="0" w:space="0" w:color="auto"/>
            <w:bottom w:val="none" w:sz="0" w:space="0" w:color="auto"/>
            <w:right w:val="none" w:sz="0" w:space="0" w:color="auto"/>
          </w:divBdr>
          <w:divsChild>
            <w:div w:id="1689943558">
              <w:marLeft w:val="0"/>
              <w:marRight w:val="0"/>
              <w:marTop w:val="0"/>
              <w:marBottom w:val="0"/>
              <w:divBdr>
                <w:top w:val="none" w:sz="0" w:space="0" w:color="auto"/>
                <w:left w:val="none" w:sz="0" w:space="0" w:color="auto"/>
                <w:bottom w:val="none" w:sz="0" w:space="0" w:color="auto"/>
                <w:right w:val="none" w:sz="0" w:space="0" w:color="auto"/>
              </w:divBdr>
              <w:divsChild>
                <w:div w:id="1464036352">
                  <w:marLeft w:val="0"/>
                  <w:marRight w:val="0"/>
                  <w:marTop w:val="0"/>
                  <w:marBottom w:val="0"/>
                  <w:divBdr>
                    <w:top w:val="none" w:sz="0" w:space="0" w:color="auto"/>
                    <w:left w:val="none" w:sz="0" w:space="0" w:color="auto"/>
                    <w:bottom w:val="none" w:sz="0" w:space="0" w:color="auto"/>
                    <w:right w:val="none" w:sz="0" w:space="0" w:color="auto"/>
                  </w:divBdr>
                  <w:divsChild>
                    <w:div w:id="1516769443">
                      <w:marLeft w:val="0"/>
                      <w:marRight w:val="0"/>
                      <w:marTop w:val="0"/>
                      <w:marBottom w:val="0"/>
                      <w:divBdr>
                        <w:top w:val="none" w:sz="0" w:space="0" w:color="auto"/>
                        <w:left w:val="none" w:sz="0" w:space="0" w:color="auto"/>
                        <w:bottom w:val="none" w:sz="0" w:space="0" w:color="auto"/>
                        <w:right w:val="none" w:sz="0" w:space="0" w:color="auto"/>
                      </w:divBdr>
                      <w:divsChild>
                        <w:div w:id="1295020966">
                          <w:marLeft w:val="0"/>
                          <w:marRight w:val="0"/>
                          <w:marTop w:val="0"/>
                          <w:marBottom w:val="0"/>
                          <w:divBdr>
                            <w:top w:val="none" w:sz="0" w:space="0" w:color="auto"/>
                            <w:left w:val="none" w:sz="0" w:space="0" w:color="auto"/>
                            <w:bottom w:val="none" w:sz="0" w:space="0" w:color="auto"/>
                            <w:right w:val="none" w:sz="0" w:space="0" w:color="auto"/>
                          </w:divBdr>
                          <w:divsChild>
                            <w:div w:id="730349037">
                              <w:marLeft w:val="0"/>
                              <w:marRight w:val="0"/>
                              <w:marTop w:val="0"/>
                              <w:marBottom w:val="0"/>
                              <w:divBdr>
                                <w:top w:val="none" w:sz="0" w:space="0" w:color="auto"/>
                                <w:left w:val="none" w:sz="0" w:space="0" w:color="auto"/>
                                <w:bottom w:val="none" w:sz="0" w:space="0" w:color="auto"/>
                                <w:right w:val="none" w:sz="0" w:space="0" w:color="auto"/>
                              </w:divBdr>
                              <w:divsChild>
                                <w:div w:id="1273853801">
                                  <w:marLeft w:val="0"/>
                                  <w:marRight w:val="0"/>
                                  <w:marTop w:val="0"/>
                                  <w:marBottom w:val="0"/>
                                  <w:divBdr>
                                    <w:top w:val="none" w:sz="0" w:space="0" w:color="auto"/>
                                    <w:left w:val="none" w:sz="0" w:space="0" w:color="auto"/>
                                    <w:bottom w:val="none" w:sz="0" w:space="0" w:color="auto"/>
                                    <w:right w:val="none" w:sz="0" w:space="0" w:color="auto"/>
                                  </w:divBdr>
                                  <w:divsChild>
                                    <w:div w:id="14817550">
                                      <w:marLeft w:val="0"/>
                                      <w:marRight w:val="0"/>
                                      <w:marTop w:val="0"/>
                                      <w:marBottom w:val="0"/>
                                      <w:divBdr>
                                        <w:top w:val="none" w:sz="0" w:space="0" w:color="auto"/>
                                        <w:left w:val="none" w:sz="0" w:space="0" w:color="auto"/>
                                        <w:bottom w:val="none" w:sz="0" w:space="0" w:color="auto"/>
                                        <w:right w:val="none" w:sz="0" w:space="0" w:color="auto"/>
                                      </w:divBdr>
                                      <w:divsChild>
                                        <w:div w:id="1619675798">
                                          <w:marLeft w:val="0"/>
                                          <w:marRight w:val="0"/>
                                          <w:marTop w:val="0"/>
                                          <w:marBottom w:val="0"/>
                                          <w:divBdr>
                                            <w:top w:val="none" w:sz="0" w:space="0" w:color="auto"/>
                                            <w:left w:val="none" w:sz="0" w:space="0" w:color="auto"/>
                                            <w:bottom w:val="none" w:sz="0" w:space="0" w:color="auto"/>
                                            <w:right w:val="none" w:sz="0" w:space="0" w:color="auto"/>
                                          </w:divBdr>
                                          <w:divsChild>
                                            <w:div w:id="519120938">
                                              <w:marLeft w:val="0"/>
                                              <w:marRight w:val="0"/>
                                              <w:marTop w:val="0"/>
                                              <w:marBottom w:val="0"/>
                                              <w:divBdr>
                                                <w:top w:val="none" w:sz="0" w:space="0" w:color="auto"/>
                                                <w:left w:val="none" w:sz="0" w:space="0" w:color="auto"/>
                                                <w:bottom w:val="none" w:sz="0" w:space="0" w:color="auto"/>
                                                <w:right w:val="none" w:sz="0" w:space="0" w:color="auto"/>
                                              </w:divBdr>
                                              <w:divsChild>
                                                <w:div w:id="971446034">
                                                  <w:marLeft w:val="0"/>
                                                  <w:marRight w:val="0"/>
                                                  <w:marTop w:val="0"/>
                                                  <w:marBottom w:val="0"/>
                                                  <w:divBdr>
                                                    <w:top w:val="none" w:sz="0" w:space="0" w:color="auto"/>
                                                    <w:left w:val="none" w:sz="0" w:space="0" w:color="auto"/>
                                                    <w:bottom w:val="none" w:sz="0" w:space="0" w:color="auto"/>
                                                    <w:right w:val="none" w:sz="0" w:space="0" w:color="auto"/>
                                                  </w:divBdr>
                                                  <w:divsChild>
                                                    <w:div w:id="543828576">
                                                      <w:marLeft w:val="0"/>
                                                      <w:marRight w:val="0"/>
                                                      <w:marTop w:val="0"/>
                                                      <w:marBottom w:val="0"/>
                                                      <w:divBdr>
                                                        <w:top w:val="none" w:sz="0" w:space="0" w:color="auto"/>
                                                        <w:left w:val="none" w:sz="0" w:space="0" w:color="auto"/>
                                                        <w:bottom w:val="none" w:sz="0" w:space="0" w:color="auto"/>
                                                        <w:right w:val="none" w:sz="0" w:space="0" w:color="auto"/>
                                                      </w:divBdr>
                                                      <w:divsChild>
                                                        <w:div w:id="196129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3521849">
          <w:marLeft w:val="0"/>
          <w:marRight w:val="0"/>
          <w:marTop w:val="0"/>
          <w:marBottom w:val="0"/>
          <w:divBdr>
            <w:top w:val="none" w:sz="0" w:space="0" w:color="auto"/>
            <w:left w:val="none" w:sz="0" w:space="0" w:color="auto"/>
            <w:bottom w:val="none" w:sz="0" w:space="0" w:color="auto"/>
            <w:right w:val="none" w:sz="0" w:space="0" w:color="auto"/>
          </w:divBdr>
          <w:divsChild>
            <w:div w:id="874779005">
              <w:marLeft w:val="0"/>
              <w:marRight w:val="0"/>
              <w:marTop w:val="0"/>
              <w:marBottom w:val="0"/>
              <w:divBdr>
                <w:top w:val="none" w:sz="0" w:space="0" w:color="auto"/>
                <w:left w:val="none" w:sz="0" w:space="0" w:color="auto"/>
                <w:bottom w:val="none" w:sz="0" w:space="0" w:color="auto"/>
                <w:right w:val="none" w:sz="0" w:space="0" w:color="auto"/>
              </w:divBdr>
              <w:divsChild>
                <w:div w:id="93640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273475">
      <w:bodyDiv w:val="1"/>
      <w:marLeft w:val="0"/>
      <w:marRight w:val="0"/>
      <w:marTop w:val="0"/>
      <w:marBottom w:val="0"/>
      <w:divBdr>
        <w:top w:val="none" w:sz="0" w:space="0" w:color="auto"/>
        <w:left w:val="none" w:sz="0" w:space="0" w:color="auto"/>
        <w:bottom w:val="none" w:sz="0" w:space="0" w:color="auto"/>
        <w:right w:val="none" w:sz="0" w:space="0" w:color="auto"/>
      </w:divBdr>
    </w:div>
    <w:div w:id="1050181407">
      <w:bodyDiv w:val="1"/>
      <w:marLeft w:val="0"/>
      <w:marRight w:val="0"/>
      <w:marTop w:val="0"/>
      <w:marBottom w:val="0"/>
      <w:divBdr>
        <w:top w:val="none" w:sz="0" w:space="0" w:color="auto"/>
        <w:left w:val="none" w:sz="0" w:space="0" w:color="auto"/>
        <w:bottom w:val="none" w:sz="0" w:space="0" w:color="auto"/>
        <w:right w:val="none" w:sz="0" w:space="0" w:color="auto"/>
      </w:divBdr>
    </w:div>
    <w:div w:id="1102532212">
      <w:bodyDiv w:val="1"/>
      <w:marLeft w:val="0"/>
      <w:marRight w:val="0"/>
      <w:marTop w:val="0"/>
      <w:marBottom w:val="0"/>
      <w:divBdr>
        <w:top w:val="none" w:sz="0" w:space="0" w:color="auto"/>
        <w:left w:val="none" w:sz="0" w:space="0" w:color="auto"/>
        <w:bottom w:val="none" w:sz="0" w:space="0" w:color="auto"/>
        <w:right w:val="none" w:sz="0" w:space="0" w:color="auto"/>
      </w:divBdr>
      <w:divsChild>
        <w:div w:id="2131896175">
          <w:marLeft w:val="360"/>
          <w:marRight w:val="0"/>
          <w:marTop w:val="200"/>
          <w:marBottom w:val="0"/>
          <w:divBdr>
            <w:top w:val="none" w:sz="0" w:space="0" w:color="auto"/>
            <w:left w:val="none" w:sz="0" w:space="0" w:color="auto"/>
            <w:bottom w:val="none" w:sz="0" w:space="0" w:color="auto"/>
            <w:right w:val="none" w:sz="0" w:space="0" w:color="auto"/>
          </w:divBdr>
        </w:div>
        <w:div w:id="1838105878">
          <w:marLeft w:val="360"/>
          <w:marRight w:val="0"/>
          <w:marTop w:val="200"/>
          <w:marBottom w:val="0"/>
          <w:divBdr>
            <w:top w:val="none" w:sz="0" w:space="0" w:color="auto"/>
            <w:left w:val="none" w:sz="0" w:space="0" w:color="auto"/>
            <w:bottom w:val="none" w:sz="0" w:space="0" w:color="auto"/>
            <w:right w:val="none" w:sz="0" w:space="0" w:color="auto"/>
          </w:divBdr>
        </w:div>
        <w:div w:id="1195536340">
          <w:marLeft w:val="360"/>
          <w:marRight w:val="0"/>
          <w:marTop w:val="200"/>
          <w:marBottom w:val="0"/>
          <w:divBdr>
            <w:top w:val="none" w:sz="0" w:space="0" w:color="auto"/>
            <w:left w:val="none" w:sz="0" w:space="0" w:color="auto"/>
            <w:bottom w:val="none" w:sz="0" w:space="0" w:color="auto"/>
            <w:right w:val="none" w:sz="0" w:space="0" w:color="auto"/>
          </w:divBdr>
        </w:div>
        <w:div w:id="591737917">
          <w:marLeft w:val="360"/>
          <w:marRight w:val="0"/>
          <w:marTop w:val="200"/>
          <w:marBottom w:val="0"/>
          <w:divBdr>
            <w:top w:val="none" w:sz="0" w:space="0" w:color="auto"/>
            <w:left w:val="none" w:sz="0" w:space="0" w:color="auto"/>
            <w:bottom w:val="none" w:sz="0" w:space="0" w:color="auto"/>
            <w:right w:val="none" w:sz="0" w:space="0" w:color="auto"/>
          </w:divBdr>
        </w:div>
        <w:div w:id="1814249624">
          <w:marLeft w:val="360"/>
          <w:marRight w:val="0"/>
          <w:marTop w:val="200"/>
          <w:marBottom w:val="0"/>
          <w:divBdr>
            <w:top w:val="none" w:sz="0" w:space="0" w:color="auto"/>
            <w:left w:val="none" w:sz="0" w:space="0" w:color="auto"/>
            <w:bottom w:val="none" w:sz="0" w:space="0" w:color="auto"/>
            <w:right w:val="none" w:sz="0" w:space="0" w:color="auto"/>
          </w:divBdr>
        </w:div>
        <w:div w:id="2038192092">
          <w:marLeft w:val="360"/>
          <w:marRight w:val="0"/>
          <w:marTop w:val="200"/>
          <w:marBottom w:val="0"/>
          <w:divBdr>
            <w:top w:val="none" w:sz="0" w:space="0" w:color="auto"/>
            <w:left w:val="none" w:sz="0" w:space="0" w:color="auto"/>
            <w:bottom w:val="none" w:sz="0" w:space="0" w:color="auto"/>
            <w:right w:val="none" w:sz="0" w:space="0" w:color="auto"/>
          </w:divBdr>
        </w:div>
        <w:div w:id="1270818663">
          <w:marLeft w:val="360"/>
          <w:marRight w:val="0"/>
          <w:marTop w:val="200"/>
          <w:marBottom w:val="0"/>
          <w:divBdr>
            <w:top w:val="none" w:sz="0" w:space="0" w:color="auto"/>
            <w:left w:val="none" w:sz="0" w:space="0" w:color="auto"/>
            <w:bottom w:val="none" w:sz="0" w:space="0" w:color="auto"/>
            <w:right w:val="none" w:sz="0" w:space="0" w:color="auto"/>
          </w:divBdr>
        </w:div>
        <w:div w:id="619607949">
          <w:marLeft w:val="360"/>
          <w:marRight w:val="0"/>
          <w:marTop w:val="200"/>
          <w:marBottom w:val="0"/>
          <w:divBdr>
            <w:top w:val="none" w:sz="0" w:space="0" w:color="auto"/>
            <w:left w:val="none" w:sz="0" w:space="0" w:color="auto"/>
            <w:bottom w:val="none" w:sz="0" w:space="0" w:color="auto"/>
            <w:right w:val="none" w:sz="0" w:space="0" w:color="auto"/>
          </w:divBdr>
        </w:div>
        <w:div w:id="1425958354">
          <w:marLeft w:val="360"/>
          <w:marRight w:val="0"/>
          <w:marTop w:val="200"/>
          <w:marBottom w:val="0"/>
          <w:divBdr>
            <w:top w:val="none" w:sz="0" w:space="0" w:color="auto"/>
            <w:left w:val="none" w:sz="0" w:space="0" w:color="auto"/>
            <w:bottom w:val="none" w:sz="0" w:space="0" w:color="auto"/>
            <w:right w:val="none" w:sz="0" w:space="0" w:color="auto"/>
          </w:divBdr>
        </w:div>
        <w:div w:id="1997145346">
          <w:marLeft w:val="360"/>
          <w:marRight w:val="0"/>
          <w:marTop w:val="200"/>
          <w:marBottom w:val="0"/>
          <w:divBdr>
            <w:top w:val="none" w:sz="0" w:space="0" w:color="auto"/>
            <w:left w:val="none" w:sz="0" w:space="0" w:color="auto"/>
            <w:bottom w:val="none" w:sz="0" w:space="0" w:color="auto"/>
            <w:right w:val="none" w:sz="0" w:space="0" w:color="auto"/>
          </w:divBdr>
        </w:div>
        <w:div w:id="1213156885">
          <w:marLeft w:val="360"/>
          <w:marRight w:val="0"/>
          <w:marTop w:val="200"/>
          <w:marBottom w:val="0"/>
          <w:divBdr>
            <w:top w:val="none" w:sz="0" w:space="0" w:color="auto"/>
            <w:left w:val="none" w:sz="0" w:space="0" w:color="auto"/>
            <w:bottom w:val="none" w:sz="0" w:space="0" w:color="auto"/>
            <w:right w:val="none" w:sz="0" w:space="0" w:color="auto"/>
          </w:divBdr>
        </w:div>
        <w:div w:id="445855055">
          <w:marLeft w:val="360"/>
          <w:marRight w:val="0"/>
          <w:marTop w:val="200"/>
          <w:marBottom w:val="0"/>
          <w:divBdr>
            <w:top w:val="none" w:sz="0" w:space="0" w:color="auto"/>
            <w:left w:val="none" w:sz="0" w:space="0" w:color="auto"/>
            <w:bottom w:val="none" w:sz="0" w:space="0" w:color="auto"/>
            <w:right w:val="none" w:sz="0" w:space="0" w:color="auto"/>
          </w:divBdr>
        </w:div>
      </w:divsChild>
    </w:div>
    <w:div w:id="1154681612">
      <w:bodyDiv w:val="1"/>
      <w:marLeft w:val="0"/>
      <w:marRight w:val="0"/>
      <w:marTop w:val="0"/>
      <w:marBottom w:val="0"/>
      <w:divBdr>
        <w:top w:val="none" w:sz="0" w:space="0" w:color="auto"/>
        <w:left w:val="none" w:sz="0" w:space="0" w:color="auto"/>
        <w:bottom w:val="none" w:sz="0" w:space="0" w:color="auto"/>
        <w:right w:val="none" w:sz="0" w:space="0" w:color="auto"/>
      </w:divBdr>
    </w:div>
    <w:div w:id="1155416232">
      <w:bodyDiv w:val="1"/>
      <w:marLeft w:val="0"/>
      <w:marRight w:val="0"/>
      <w:marTop w:val="0"/>
      <w:marBottom w:val="0"/>
      <w:divBdr>
        <w:top w:val="none" w:sz="0" w:space="0" w:color="auto"/>
        <w:left w:val="none" w:sz="0" w:space="0" w:color="auto"/>
        <w:bottom w:val="none" w:sz="0" w:space="0" w:color="auto"/>
        <w:right w:val="none" w:sz="0" w:space="0" w:color="auto"/>
      </w:divBdr>
      <w:divsChild>
        <w:div w:id="289285421">
          <w:marLeft w:val="504"/>
          <w:marRight w:val="0"/>
          <w:marTop w:val="140"/>
          <w:marBottom w:val="0"/>
          <w:divBdr>
            <w:top w:val="none" w:sz="0" w:space="0" w:color="auto"/>
            <w:left w:val="none" w:sz="0" w:space="0" w:color="auto"/>
            <w:bottom w:val="none" w:sz="0" w:space="0" w:color="auto"/>
            <w:right w:val="none" w:sz="0" w:space="0" w:color="auto"/>
          </w:divBdr>
        </w:div>
      </w:divsChild>
    </w:div>
    <w:div w:id="1165971933">
      <w:bodyDiv w:val="1"/>
      <w:marLeft w:val="0"/>
      <w:marRight w:val="0"/>
      <w:marTop w:val="0"/>
      <w:marBottom w:val="0"/>
      <w:divBdr>
        <w:top w:val="none" w:sz="0" w:space="0" w:color="auto"/>
        <w:left w:val="none" w:sz="0" w:space="0" w:color="auto"/>
        <w:bottom w:val="none" w:sz="0" w:space="0" w:color="auto"/>
        <w:right w:val="none" w:sz="0" w:space="0" w:color="auto"/>
      </w:divBdr>
    </w:div>
    <w:div w:id="1168013010">
      <w:bodyDiv w:val="1"/>
      <w:marLeft w:val="0"/>
      <w:marRight w:val="0"/>
      <w:marTop w:val="0"/>
      <w:marBottom w:val="0"/>
      <w:divBdr>
        <w:top w:val="none" w:sz="0" w:space="0" w:color="auto"/>
        <w:left w:val="none" w:sz="0" w:space="0" w:color="auto"/>
        <w:bottom w:val="none" w:sz="0" w:space="0" w:color="auto"/>
        <w:right w:val="none" w:sz="0" w:space="0" w:color="auto"/>
      </w:divBdr>
    </w:div>
    <w:div w:id="1215121908">
      <w:bodyDiv w:val="1"/>
      <w:marLeft w:val="0"/>
      <w:marRight w:val="0"/>
      <w:marTop w:val="0"/>
      <w:marBottom w:val="0"/>
      <w:divBdr>
        <w:top w:val="none" w:sz="0" w:space="0" w:color="auto"/>
        <w:left w:val="none" w:sz="0" w:space="0" w:color="auto"/>
        <w:bottom w:val="none" w:sz="0" w:space="0" w:color="auto"/>
        <w:right w:val="none" w:sz="0" w:space="0" w:color="auto"/>
      </w:divBdr>
    </w:div>
    <w:div w:id="1282103721">
      <w:bodyDiv w:val="1"/>
      <w:marLeft w:val="0"/>
      <w:marRight w:val="0"/>
      <w:marTop w:val="0"/>
      <w:marBottom w:val="0"/>
      <w:divBdr>
        <w:top w:val="none" w:sz="0" w:space="0" w:color="auto"/>
        <w:left w:val="none" w:sz="0" w:space="0" w:color="auto"/>
        <w:bottom w:val="none" w:sz="0" w:space="0" w:color="auto"/>
        <w:right w:val="none" w:sz="0" w:space="0" w:color="auto"/>
      </w:divBdr>
    </w:div>
    <w:div w:id="1342662620">
      <w:bodyDiv w:val="1"/>
      <w:marLeft w:val="0"/>
      <w:marRight w:val="0"/>
      <w:marTop w:val="0"/>
      <w:marBottom w:val="0"/>
      <w:divBdr>
        <w:top w:val="none" w:sz="0" w:space="0" w:color="auto"/>
        <w:left w:val="none" w:sz="0" w:space="0" w:color="auto"/>
        <w:bottom w:val="none" w:sz="0" w:space="0" w:color="auto"/>
        <w:right w:val="none" w:sz="0" w:space="0" w:color="auto"/>
      </w:divBdr>
      <w:divsChild>
        <w:div w:id="157813839">
          <w:marLeft w:val="0"/>
          <w:marRight w:val="0"/>
          <w:marTop w:val="0"/>
          <w:marBottom w:val="0"/>
          <w:divBdr>
            <w:top w:val="none" w:sz="0" w:space="0" w:color="auto"/>
            <w:left w:val="none" w:sz="0" w:space="0" w:color="auto"/>
            <w:bottom w:val="none" w:sz="0" w:space="0" w:color="auto"/>
            <w:right w:val="none" w:sz="0" w:space="0" w:color="auto"/>
          </w:divBdr>
          <w:divsChild>
            <w:div w:id="437606750">
              <w:marLeft w:val="0"/>
              <w:marRight w:val="0"/>
              <w:marTop w:val="0"/>
              <w:marBottom w:val="0"/>
              <w:divBdr>
                <w:top w:val="none" w:sz="0" w:space="0" w:color="auto"/>
                <w:left w:val="none" w:sz="0" w:space="0" w:color="auto"/>
                <w:bottom w:val="none" w:sz="0" w:space="0" w:color="auto"/>
                <w:right w:val="none" w:sz="0" w:space="0" w:color="auto"/>
              </w:divBdr>
              <w:divsChild>
                <w:div w:id="1623876649">
                  <w:marLeft w:val="0"/>
                  <w:marRight w:val="0"/>
                  <w:marTop w:val="0"/>
                  <w:marBottom w:val="0"/>
                  <w:divBdr>
                    <w:top w:val="none" w:sz="0" w:space="0" w:color="auto"/>
                    <w:left w:val="none" w:sz="0" w:space="0" w:color="auto"/>
                    <w:bottom w:val="none" w:sz="0" w:space="0" w:color="auto"/>
                    <w:right w:val="none" w:sz="0" w:space="0" w:color="auto"/>
                  </w:divBdr>
                  <w:divsChild>
                    <w:div w:id="151082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920857">
      <w:bodyDiv w:val="1"/>
      <w:marLeft w:val="0"/>
      <w:marRight w:val="0"/>
      <w:marTop w:val="0"/>
      <w:marBottom w:val="0"/>
      <w:divBdr>
        <w:top w:val="none" w:sz="0" w:space="0" w:color="auto"/>
        <w:left w:val="none" w:sz="0" w:space="0" w:color="auto"/>
        <w:bottom w:val="none" w:sz="0" w:space="0" w:color="auto"/>
        <w:right w:val="none" w:sz="0" w:space="0" w:color="auto"/>
      </w:divBdr>
    </w:div>
    <w:div w:id="1422875563">
      <w:bodyDiv w:val="1"/>
      <w:marLeft w:val="0"/>
      <w:marRight w:val="0"/>
      <w:marTop w:val="0"/>
      <w:marBottom w:val="0"/>
      <w:divBdr>
        <w:top w:val="none" w:sz="0" w:space="0" w:color="auto"/>
        <w:left w:val="none" w:sz="0" w:space="0" w:color="auto"/>
        <w:bottom w:val="none" w:sz="0" w:space="0" w:color="auto"/>
        <w:right w:val="none" w:sz="0" w:space="0" w:color="auto"/>
      </w:divBdr>
    </w:div>
    <w:div w:id="1424842044">
      <w:bodyDiv w:val="1"/>
      <w:marLeft w:val="0"/>
      <w:marRight w:val="0"/>
      <w:marTop w:val="0"/>
      <w:marBottom w:val="0"/>
      <w:divBdr>
        <w:top w:val="none" w:sz="0" w:space="0" w:color="auto"/>
        <w:left w:val="none" w:sz="0" w:space="0" w:color="auto"/>
        <w:bottom w:val="none" w:sz="0" w:space="0" w:color="auto"/>
        <w:right w:val="none" w:sz="0" w:space="0" w:color="auto"/>
      </w:divBdr>
    </w:div>
    <w:div w:id="1505315425">
      <w:bodyDiv w:val="1"/>
      <w:marLeft w:val="0"/>
      <w:marRight w:val="0"/>
      <w:marTop w:val="0"/>
      <w:marBottom w:val="0"/>
      <w:divBdr>
        <w:top w:val="none" w:sz="0" w:space="0" w:color="auto"/>
        <w:left w:val="none" w:sz="0" w:space="0" w:color="auto"/>
        <w:bottom w:val="none" w:sz="0" w:space="0" w:color="auto"/>
        <w:right w:val="none" w:sz="0" w:space="0" w:color="auto"/>
      </w:divBdr>
    </w:div>
    <w:div w:id="1519663544">
      <w:bodyDiv w:val="1"/>
      <w:marLeft w:val="0"/>
      <w:marRight w:val="0"/>
      <w:marTop w:val="0"/>
      <w:marBottom w:val="0"/>
      <w:divBdr>
        <w:top w:val="none" w:sz="0" w:space="0" w:color="auto"/>
        <w:left w:val="none" w:sz="0" w:space="0" w:color="auto"/>
        <w:bottom w:val="none" w:sz="0" w:space="0" w:color="auto"/>
        <w:right w:val="none" w:sz="0" w:space="0" w:color="auto"/>
      </w:divBdr>
      <w:divsChild>
        <w:div w:id="1769962233">
          <w:marLeft w:val="0"/>
          <w:marRight w:val="0"/>
          <w:marTop w:val="0"/>
          <w:marBottom w:val="0"/>
          <w:divBdr>
            <w:top w:val="none" w:sz="0" w:space="0" w:color="auto"/>
            <w:left w:val="none" w:sz="0" w:space="0" w:color="auto"/>
            <w:bottom w:val="none" w:sz="0" w:space="0" w:color="auto"/>
            <w:right w:val="none" w:sz="0" w:space="0" w:color="auto"/>
          </w:divBdr>
        </w:div>
      </w:divsChild>
    </w:div>
    <w:div w:id="1551571628">
      <w:bodyDiv w:val="1"/>
      <w:marLeft w:val="0"/>
      <w:marRight w:val="0"/>
      <w:marTop w:val="0"/>
      <w:marBottom w:val="0"/>
      <w:divBdr>
        <w:top w:val="none" w:sz="0" w:space="0" w:color="auto"/>
        <w:left w:val="none" w:sz="0" w:space="0" w:color="auto"/>
        <w:bottom w:val="none" w:sz="0" w:space="0" w:color="auto"/>
        <w:right w:val="none" w:sz="0" w:space="0" w:color="auto"/>
      </w:divBdr>
    </w:div>
    <w:div w:id="1569725285">
      <w:bodyDiv w:val="1"/>
      <w:marLeft w:val="0"/>
      <w:marRight w:val="0"/>
      <w:marTop w:val="0"/>
      <w:marBottom w:val="0"/>
      <w:divBdr>
        <w:top w:val="none" w:sz="0" w:space="0" w:color="auto"/>
        <w:left w:val="none" w:sz="0" w:space="0" w:color="auto"/>
        <w:bottom w:val="none" w:sz="0" w:space="0" w:color="auto"/>
        <w:right w:val="none" w:sz="0" w:space="0" w:color="auto"/>
      </w:divBdr>
    </w:div>
    <w:div w:id="1574581458">
      <w:bodyDiv w:val="1"/>
      <w:marLeft w:val="0"/>
      <w:marRight w:val="0"/>
      <w:marTop w:val="0"/>
      <w:marBottom w:val="0"/>
      <w:divBdr>
        <w:top w:val="none" w:sz="0" w:space="0" w:color="auto"/>
        <w:left w:val="none" w:sz="0" w:space="0" w:color="auto"/>
        <w:bottom w:val="none" w:sz="0" w:space="0" w:color="auto"/>
        <w:right w:val="none" w:sz="0" w:space="0" w:color="auto"/>
      </w:divBdr>
    </w:div>
    <w:div w:id="1582065424">
      <w:bodyDiv w:val="1"/>
      <w:marLeft w:val="0"/>
      <w:marRight w:val="0"/>
      <w:marTop w:val="0"/>
      <w:marBottom w:val="0"/>
      <w:divBdr>
        <w:top w:val="none" w:sz="0" w:space="0" w:color="auto"/>
        <w:left w:val="none" w:sz="0" w:space="0" w:color="auto"/>
        <w:bottom w:val="none" w:sz="0" w:space="0" w:color="auto"/>
        <w:right w:val="none" w:sz="0" w:space="0" w:color="auto"/>
      </w:divBdr>
    </w:div>
    <w:div w:id="1588801838">
      <w:bodyDiv w:val="1"/>
      <w:marLeft w:val="0"/>
      <w:marRight w:val="0"/>
      <w:marTop w:val="0"/>
      <w:marBottom w:val="0"/>
      <w:divBdr>
        <w:top w:val="none" w:sz="0" w:space="0" w:color="auto"/>
        <w:left w:val="none" w:sz="0" w:space="0" w:color="auto"/>
        <w:bottom w:val="none" w:sz="0" w:space="0" w:color="auto"/>
        <w:right w:val="none" w:sz="0" w:space="0" w:color="auto"/>
      </w:divBdr>
    </w:div>
    <w:div w:id="1600412120">
      <w:bodyDiv w:val="1"/>
      <w:marLeft w:val="0"/>
      <w:marRight w:val="0"/>
      <w:marTop w:val="0"/>
      <w:marBottom w:val="0"/>
      <w:divBdr>
        <w:top w:val="none" w:sz="0" w:space="0" w:color="auto"/>
        <w:left w:val="none" w:sz="0" w:space="0" w:color="auto"/>
        <w:bottom w:val="none" w:sz="0" w:space="0" w:color="auto"/>
        <w:right w:val="none" w:sz="0" w:space="0" w:color="auto"/>
      </w:divBdr>
    </w:div>
    <w:div w:id="1613829460">
      <w:bodyDiv w:val="1"/>
      <w:marLeft w:val="0"/>
      <w:marRight w:val="0"/>
      <w:marTop w:val="0"/>
      <w:marBottom w:val="0"/>
      <w:divBdr>
        <w:top w:val="none" w:sz="0" w:space="0" w:color="auto"/>
        <w:left w:val="none" w:sz="0" w:space="0" w:color="auto"/>
        <w:bottom w:val="none" w:sz="0" w:space="0" w:color="auto"/>
        <w:right w:val="none" w:sz="0" w:space="0" w:color="auto"/>
      </w:divBdr>
    </w:div>
    <w:div w:id="1628048288">
      <w:bodyDiv w:val="1"/>
      <w:marLeft w:val="0"/>
      <w:marRight w:val="0"/>
      <w:marTop w:val="0"/>
      <w:marBottom w:val="0"/>
      <w:divBdr>
        <w:top w:val="none" w:sz="0" w:space="0" w:color="auto"/>
        <w:left w:val="none" w:sz="0" w:space="0" w:color="auto"/>
        <w:bottom w:val="none" w:sz="0" w:space="0" w:color="auto"/>
        <w:right w:val="none" w:sz="0" w:space="0" w:color="auto"/>
      </w:divBdr>
    </w:div>
    <w:div w:id="1644001052">
      <w:bodyDiv w:val="1"/>
      <w:marLeft w:val="0"/>
      <w:marRight w:val="0"/>
      <w:marTop w:val="0"/>
      <w:marBottom w:val="0"/>
      <w:divBdr>
        <w:top w:val="none" w:sz="0" w:space="0" w:color="auto"/>
        <w:left w:val="none" w:sz="0" w:space="0" w:color="auto"/>
        <w:bottom w:val="none" w:sz="0" w:space="0" w:color="auto"/>
        <w:right w:val="none" w:sz="0" w:space="0" w:color="auto"/>
      </w:divBdr>
    </w:div>
    <w:div w:id="1668093168">
      <w:bodyDiv w:val="1"/>
      <w:marLeft w:val="0"/>
      <w:marRight w:val="0"/>
      <w:marTop w:val="0"/>
      <w:marBottom w:val="0"/>
      <w:divBdr>
        <w:top w:val="none" w:sz="0" w:space="0" w:color="auto"/>
        <w:left w:val="none" w:sz="0" w:space="0" w:color="auto"/>
        <w:bottom w:val="none" w:sz="0" w:space="0" w:color="auto"/>
        <w:right w:val="none" w:sz="0" w:space="0" w:color="auto"/>
      </w:divBdr>
    </w:div>
    <w:div w:id="1713532906">
      <w:bodyDiv w:val="1"/>
      <w:marLeft w:val="0"/>
      <w:marRight w:val="0"/>
      <w:marTop w:val="0"/>
      <w:marBottom w:val="0"/>
      <w:divBdr>
        <w:top w:val="none" w:sz="0" w:space="0" w:color="auto"/>
        <w:left w:val="none" w:sz="0" w:space="0" w:color="auto"/>
        <w:bottom w:val="none" w:sz="0" w:space="0" w:color="auto"/>
        <w:right w:val="none" w:sz="0" w:space="0" w:color="auto"/>
      </w:divBdr>
    </w:div>
    <w:div w:id="1722024080">
      <w:bodyDiv w:val="1"/>
      <w:marLeft w:val="0"/>
      <w:marRight w:val="0"/>
      <w:marTop w:val="0"/>
      <w:marBottom w:val="0"/>
      <w:divBdr>
        <w:top w:val="none" w:sz="0" w:space="0" w:color="auto"/>
        <w:left w:val="none" w:sz="0" w:space="0" w:color="auto"/>
        <w:bottom w:val="none" w:sz="0" w:space="0" w:color="auto"/>
        <w:right w:val="none" w:sz="0" w:space="0" w:color="auto"/>
      </w:divBdr>
    </w:div>
    <w:div w:id="1737849831">
      <w:bodyDiv w:val="1"/>
      <w:marLeft w:val="0"/>
      <w:marRight w:val="0"/>
      <w:marTop w:val="0"/>
      <w:marBottom w:val="0"/>
      <w:divBdr>
        <w:top w:val="none" w:sz="0" w:space="0" w:color="auto"/>
        <w:left w:val="none" w:sz="0" w:space="0" w:color="auto"/>
        <w:bottom w:val="none" w:sz="0" w:space="0" w:color="auto"/>
        <w:right w:val="none" w:sz="0" w:space="0" w:color="auto"/>
      </w:divBdr>
    </w:div>
    <w:div w:id="1746994971">
      <w:bodyDiv w:val="1"/>
      <w:marLeft w:val="0"/>
      <w:marRight w:val="0"/>
      <w:marTop w:val="0"/>
      <w:marBottom w:val="0"/>
      <w:divBdr>
        <w:top w:val="none" w:sz="0" w:space="0" w:color="auto"/>
        <w:left w:val="none" w:sz="0" w:space="0" w:color="auto"/>
        <w:bottom w:val="none" w:sz="0" w:space="0" w:color="auto"/>
        <w:right w:val="none" w:sz="0" w:space="0" w:color="auto"/>
      </w:divBdr>
    </w:div>
    <w:div w:id="1748959615">
      <w:bodyDiv w:val="1"/>
      <w:marLeft w:val="0"/>
      <w:marRight w:val="0"/>
      <w:marTop w:val="0"/>
      <w:marBottom w:val="0"/>
      <w:divBdr>
        <w:top w:val="none" w:sz="0" w:space="0" w:color="auto"/>
        <w:left w:val="none" w:sz="0" w:space="0" w:color="auto"/>
        <w:bottom w:val="none" w:sz="0" w:space="0" w:color="auto"/>
        <w:right w:val="none" w:sz="0" w:space="0" w:color="auto"/>
      </w:divBdr>
    </w:div>
    <w:div w:id="1781410620">
      <w:bodyDiv w:val="1"/>
      <w:marLeft w:val="0"/>
      <w:marRight w:val="0"/>
      <w:marTop w:val="0"/>
      <w:marBottom w:val="0"/>
      <w:divBdr>
        <w:top w:val="none" w:sz="0" w:space="0" w:color="auto"/>
        <w:left w:val="none" w:sz="0" w:space="0" w:color="auto"/>
        <w:bottom w:val="none" w:sz="0" w:space="0" w:color="auto"/>
        <w:right w:val="none" w:sz="0" w:space="0" w:color="auto"/>
      </w:divBdr>
    </w:div>
    <w:div w:id="1788155915">
      <w:bodyDiv w:val="1"/>
      <w:marLeft w:val="0"/>
      <w:marRight w:val="0"/>
      <w:marTop w:val="0"/>
      <w:marBottom w:val="0"/>
      <w:divBdr>
        <w:top w:val="none" w:sz="0" w:space="0" w:color="auto"/>
        <w:left w:val="none" w:sz="0" w:space="0" w:color="auto"/>
        <w:bottom w:val="none" w:sz="0" w:space="0" w:color="auto"/>
        <w:right w:val="none" w:sz="0" w:space="0" w:color="auto"/>
      </w:divBdr>
    </w:div>
    <w:div w:id="1792170135">
      <w:bodyDiv w:val="1"/>
      <w:marLeft w:val="0"/>
      <w:marRight w:val="0"/>
      <w:marTop w:val="0"/>
      <w:marBottom w:val="0"/>
      <w:divBdr>
        <w:top w:val="none" w:sz="0" w:space="0" w:color="auto"/>
        <w:left w:val="none" w:sz="0" w:space="0" w:color="auto"/>
        <w:bottom w:val="none" w:sz="0" w:space="0" w:color="auto"/>
        <w:right w:val="none" w:sz="0" w:space="0" w:color="auto"/>
      </w:divBdr>
    </w:div>
    <w:div w:id="1799689580">
      <w:bodyDiv w:val="1"/>
      <w:marLeft w:val="0"/>
      <w:marRight w:val="0"/>
      <w:marTop w:val="0"/>
      <w:marBottom w:val="0"/>
      <w:divBdr>
        <w:top w:val="none" w:sz="0" w:space="0" w:color="auto"/>
        <w:left w:val="none" w:sz="0" w:space="0" w:color="auto"/>
        <w:bottom w:val="none" w:sz="0" w:space="0" w:color="auto"/>
        <w:right w:val="none" w:sz="0" w:space="0" w:color="auto"/>
      </w:divBdr>
    </w:div>
    <w:div w:id="1806197851">
      <w:bodyDiv w:val="1"/>
      <w:marLeft w:val="0"/>
      <w:marRight w:val="0"/>
      <w:marTop w:val="0"/>
      <w:marBottom w:val="0"/>
      <w:divBdr>
        <w:top w:val="none" w:sz="0" w:space="0" w:color="auto"/>
        <w:left w:val="none" w:sz="0" w:space="0" w:color="auto"/>
        <w:bottom w:val="none" w:sz="0" w:space="0" w:color="auto"/>
        <w:right w:val="none" w:sz="0" w:space="0" w:color="auto"/>
      </w:divBdr>
    </w:div>
    <w:div w:id="1949770995">
      <w:bodyDiv w:val="1"/>
      <w:marLeft w:val="0"/>
      <w:marRight w:val="0"/>
      <w:marTop w:val="0"/>
      <w:marBottom w:val="0"/>
      <w:divBdr>
        <w:top w:val="none" w:sz="0" w:space="0" w:color="auto"/>
        <w:left w:val="none" w:sz="0" w:space="0" w:color="auto"/>
        <w:bottom w:val="none" w:sz="0" w:space="0" w:color="auto"/>
        <w:right w:val="none" w:sz="0" w:space="0" w:color="auto"/>
      </w:divBdr>
    </w:div>
    <w:div w:id="1965578412">
      <w:bodyDiv w:val="1"/>
      <w:marLeft w:val="0"/>
      <w:marRight w:val="0"/>
      <w:marTop w:val="0"/>
      <w:marBottom w:val="0"/>
      <w:divBdr>
        <w:top w:val="none" w:sz="0" w:space="0" w:color="auto"/>
        <w:left w:val="none" w:sz="0" w:space="0" w:color="auto"/>
        <w:bottom w:val="none" w:sz="0" w:space="0" w:color="auto"/>
        <w:right w:val="none" w:sz="0" w:space="0" w:color="auto"/>
      </w:divBdr>
    </w:div>
    <w:div w:id="1994606292">
      <w:bodyDiv w:val="1"/>
      <w:marLeft w:val="0"/>
      <w:marRight w:val="0"/>
      <w:marTop w:val="0"/>
      <w:marBottom w:val="0"/>
      <w:divBdr>
        <w:top w:val="none" w:sz="0" w:space="0" w:color="auto"/>
        <w:left w:val="none" w:sz="0" w:space="0" w:color="auto"/>
        <w:bottom w:val="none" w:sz="0" w:space="0" w:color="auto"/>
        <w:right w:val="none" w:sz="0" w:space="0" w:color="auto"/>
      </w:divBdr>
    </w:div>
    <w:div w:id="2006591333">
      <w:bodyDiv w:val="1"/>
      <w:marLeft w:val="0"/>
      <w:marRight w:val="0"/>
      <w:marTop w:val="0"/>
      <w:marBottom w:val="0"/>
      <w:divBdr>
        <w:top w:val="none" w:sz="0" w:space="0" w:color="auto"/>
        <w:left w:val="none" w:sz="0" w:space="0" w:color="auto"/>
        <w:bottom w:val="none" w:sz="0" w:space="0" w:color="auto"/>
        <w:right w:val="none" w:sz="0" w:space="0" w:color="auto"/>
      </w:divBdr>
    </w:div>
    <w:div w:id="2008435860">
      <w:bodyDiv w:val="1"/>
      <w:marLeft w:val="0"/>
      <w:marRight w:val="0"/>
      <w:marTop w:val="0"/>
      <w:marBottom w:val="0"/>
      <w:divBdr>
        <w:top w:val="none" w:sz="0" w:space="0" w:color="auto"/>
        <w:left w:val="none" w:sz="0" w:space="0" w:color="auto"/>
        <w:bottom w:val="none" w:sz="0" w:space="0" w:color="auto"/>
        <w:right w:val="none" w:sz="0" w:space="0" w:color="auto"/>
      </w:divBdr>
    </w:div>
    <w:div w:id="2034989690">
      <w:bodyDiv w:val="1"/>
      <w:marLeft w:val="0"/>
      <w:marRight w:val="0"/>
      <w:marTop w:val="0"/>
      <w:marBottom w:val="0"/>
      <w:divBdr>
        <w:top w:val="none" w:sz="0" w:space="0" w:color="auto"/>
        <w:left w:val="none" w:sz="0" w:space="0" w:color="auto"/>
        <w:bottom w:val="none" w:sz="0" w:space="0" w:color="auto"/>
        <w:right w:val="none" w:sz="0" w:space="0" w:color="auto"/>
      </w:divBdr>
    </w:div>
    <w:div w:id="2035381041">
      <w:bodyDiv w:val="1"/>
      <w:marLeft w:val="0"/>
      <w:marRight w:val="0"/>
      <w:marTop w:val="0"/>
      <w:marBottom w:val="0"/>
      <w:divBdr>
        <w:top w:val="none" w:sz="0" w:space="0" w:color="auto"/>
        <w:left w:val="none" w:sz="0" w:space="0" w:color="auto"/>
        <w:bottom w:val="none" w:sz="0" w:space="0" w:color="auto"/>
        <w:right w:val="none" w:sz="0" w:space="0" w:color="auto"/>
      </w:divBdr>
    </w:div>
    <w:div w:id="2072732422">
      <w:bodyDiv w:val="1"/>
      <w:marLeft w:val="0"/>
      <w:marRight w:val="0"/>
      <w:marTop w:val="0"/>
      <w:marBottom w:val="0"/>
      <w:divBdr>
        <w:top w:val="none" w:sz="0" w:space="0" w:color="auto"/>
        <w:left w:val="none" w:sz="0" w:space="0" w:color="auto"/>
        <w:bottom w:val="none" w:sz="0" w:space="0" w:color="auto"/>
        <w:right w:val="none" w:sz="0" w:space="0" w:color="auto"/>
      </w:divBdr>
      <w:divsChild>
        <w:div w:id="841429489">
          <w:marLeft w:val="0"/>
          <w:marRight w:val="0"/>
          <w:marTop w:val="0"/>
          <w:marBottom w:val="0"/>
          <w:divBdr>
            <w:top w:val="none" w:sz="0" w:space="0" w:color="auto"/>
            <w:left w:val="none" w:sz="0" w:space="0" w:color="auto"/>
            <w:bottom w:val="none" w:sz="0" w:space="0" w:color="auto"/>
            <w:right w:val="none" w:sz="0" w:space="0" w:color="auto"/>
          </w:divBdr>
          <w:divsChild>
            <w:div w:id="1990014774">
              <w:marLeft w:val="0"/>
              <w:marRight w:val="0"/>
              <w:marTop w:val="0"/>
              <w:marBottom w:val="0"/>
              <w:divBdr>
                <w:top w:val="none" w:sz="0" w:space="0" w:color="auto"/>
                <w:left w:val="none" w:sz="0" w:space="0" w:color="auto"/>
                <w:bottom w:val="none" w:sz="0" w:space="0" w:color="auto"/>
                <w:right w:val="none" w:sz="0" w:space="0" w:color="auto"/>
              </w:divBdr>
              <w:divsChild>
                <w:div w:id="656884527">
                  <w:marLeft w:val="0"/>
                  <w:marRight w:val="0"/>
                  <w:marTop w:val="0"/>
                  <w:marBottom w:val="0"/>
                  <w:divBdr>
                    <w:top w:val="none" w:sz="0" w:space="0" w:color="auto"/>
                    <w:left w:val="none" w:sz="0" w:space="0" w:color="auto"/>
                    <w:bottom w:val="none" w:sz="0" w:space="0" w:color="auto"/>
                    <w:right w:val="none" w:sz="0" w:space="0" w:color="auto"/>
                  </w:divBdr>
                  <w:divsChild>
                    <w:div w:id="154929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926850">
      <w:bodyDiv w:val="1"/>
      <w:marLeft w:val="0"/>
      <w:marRight w:val="0"/>
      <w:marTop w:val="0"/>
      <w:marBottom w:val="0"/>
      <w:divBdr>
        <w:top w:val="none" w:sz="0" w:space="0" w:color="auto"/>
        <w:left w:val="none" w:sz="0" w:space="0" w:color="auto"/>
        <w:bottom w:val="none" w:sz="0" w:space="0" w:color="auto"/>
        <w:right w:val="none" w:sz="0" w:space="0" w:color="auto"/>
      </w:divBdr>
    </w:div>
    <w:div w:id="2080443387">
      <w:bodyDiv w:val="1"/>
      <w:marLeft w:val="0"/>
      <w:marRight w:val="0"/>
      <w:marTop w:val="0"/>
      <w:marBottom w:val="0"/>
      <w:divBdr>
        <w:top w:val="none" w:sz="0" w:space="0" w:color="auto"/>
        <w:left w:val="none" w:sz="0" w:space="0" w:color="auto"/>
        <w:bottom w:val="none" w:sz="0" w:space="0" w:color="auto"/>
        <w:right w:val="none" w:sz="0" w:space="0" w:color="auto"/>
      </w:divBdr>
    </w:div>
    <w:div w:id="2095473337">
      <w:bodyDiv w:val="1"/>
      <w:marLeft w:val="0"/>
      <w:marRight w:val="0"/>
      <w:marTop w:val="0"/>
      <w:marBottom w:val="0"/>
      <w:divBdr>
        <w:top w:val="none" w:sz="0" w:space="0" w:color="auto"/>
        <w:left w:val="none" w:sz="0" w:space="0" w:color="auto"/>
        <w:bottom w:val="none" w:sz="0" w:space="0" w:color="auto"/>
        <w:right w:val="none" w:sz="0" w:space="0" w:color="auto"/>
      </w:divBdr>
    </w:div>
    <w:div w:id="2108651566">
      <w:bodyDiv w:val="1"/>
      <w:marLeft w:val="0"/>
      <w:marRight w:val="0"/>
      <w:marTop w:val="0"/>
      <w:marBottom w:val="0"/>
      <w:divBdr>
        <w:top w:val="none" w:sz="0" w:space="0" w:color="auto"/>
        <w:left w:val="none" w:sz="0" w:space="0" w:color="auto"/>
        <w:bottom w:val="none" w:sz="0" w:space="0" w:color="auto"/>
        <w:right w:val="none" w:sz="0" w:space="0" w:color="auto"/>
      </w:divBdr>
    </w:div>
    <w:div w:id="2126653667">
      <w:bodyDiv w:val="1"/>
      <w:marLeft w:val="0"/>
      <w:marRight w:val="0"/>
      <w:marTop w:val="0"/>
      <w:marBottom w:val="0"/>
      <w:divBdr>
        <w:top w:val="none" w:sz="0" w:space="0" w:color="auto"/>
        <w:left w:val="none" w:sz="0" w:space="0" w:color="auto"/>
        <w:bottom w:val="none" w:sz="0" w:space="0" w:color="auto"/>
        <w:right w:val="none" w:sz="0" w:space="0" w:color="auto"/>
      </w:divBdr>
    </w:div>
    <w:div w:id="2127381721">
      <w:bodyDiv w:val="1"/>
      <w:marLeft w:val="0"/>
      <w:marRight w:val="0"/>
      <w:marTop w:val="0"/>
      <w:marBottom w:val="0"/>
      <w:divBdr>
        <w:top w:val="none" w:sz="0" w:space="0" w:color="auto"/>
        <w:left w:val="none" w:sz="0" w:space="0" w:color="auto"/>
        <w:bottom w:val="none" w:sz="0" w:space="0" w:color="auto"/>
        <w:right w:val="none" w:sz="0" w:space="0" w:color="auto"/>
      </w:divBdr>
    </w:div>
    <w:div w:id="2134320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58C937-2244-467B-9956-9FA52E1F998C}" type="doc">
      <dgm:prSet loTypeId="urn:microsoft.com/office/officeart/2005/8/layout/list1" loCatId="list" qsTypeId="urn:microsoft.com/office/officeart/2005/8/quickstyle/simple3" qsCatId="simple" csTypeId="urn:microsoft.com/office/officeart/2005/8/colors/colorful1" csCatId="colorful" phldr="1"/>
      <dgm:spPr/>
      <dgm:t>
        <a:bodyPr/>
        <a:lstStyle/>
        <a:p>
          <a:endParaRPr lang="en-GB"/>
        </a:p>
      </dgm:t>
    </dgm:pt>
    <dgm:pt modelId="{401C9CA5-F958-4647-9A40-23EBEFD711F1}">
      <dgm:prSet phldrT="[Text]" custT="1"/>
      <dgm:spPr/>
      <dgm:t>
        <a:bodyPr/>
        <a:lstStyle/>
        <a:p>
          <a:pPr algn="ctr"/>
          <a:r>
            <a:rPr lang="en-GB" sz="1200">
              <a:latin typeface="Times New Roman" panose="02020603050405020304" pitchFamily="18" charset="0"/>
              <a:cs typeface="Times New Roman" panose="02020603050405020304" pitchFamily="18" charset="0"/>
            </a:rPr>
            <a:t>Chapter 1: Introduction</a:t>
          </a:r>
        </a:p>
      </dgm:t>
    </dgm:pt>
    <dgm:pt modelId="{E951AB49-BDE7-41D1-BCDE-3E47C7510085}" type="parTrans" cxnId="{430D2030-B753-4C8E-8F10-0A09A24C730D}">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8934949D-EC43-459B-8DE0-C63EBA75BBFE}" type="sibTrans" cxnId="{430D2030-B753-4C8E-8F10-0A09A24C730D}">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EB59ADFC-8F80-4FC0-AEBE-BABD040D1A28}">
      <dgm:prSet phldrT="[Text]" custT="1"/>
      <dgm:spPr/>
      <dgm:t>
        <a:bodyPr/>
        <a:lstStyle/>
        <a:p>
          <a:pPr algn="ctr"/>
          <a:r>
            <a:rPr lang="en-GB" sz="1200">
              <a:latin typeface="Times New Roman" panose="02020603050405020304" pitchFamily="18" charset="0"/>
              <a:cs typeface="Times New Roman" panose="02020603050405020304" pitchFamily="18" charset="0"/>
            </a:rPr>
            <a:t>Chapter 4: Results and Findings</a:t>
          </a:r>
        </a:p>
      </dgm:t>
    </dgm:pt>
    <dgm:pt modelId="{FFA82A8A-F7A4-4AE1-BFFA-848D5FA3CC55}" type="parTrans" cxnId="{20631CB2-5901-47DB-803D-16AAAF089157}">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0A131E99-E061-4181-B532-0C7C949A6DCD}" type="sibTrans" cxnId="{20631CB2-5901-47DB-803D-16AAAF089157}">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1BC26CAD-0FEA-48D7-AC44-43370B940BDD}">
      <dgm:prSet phldrT="[Text]" custT="1"/>
      <dgm:spPr/>
      <dgm:t>
        <a:bodyPr/>
        <a:lstStyle/>
        <a:p>
          <a:pPr algn="ctr"/>
          <a:r>
            <a:rPr lang="en-GB" sz="1200">
              <a:latin typeface="Times New Roman" panose="02020603050405020304" pitchFamily="18" charset="0"/>
              <a:cs typeface="Times New Roman" panose="02020603050405020304" pitchFamily="18" charset="0"/>
            </a:rPr>
            <a:t>Chapter 5: Analysis and Discussions </a:t>
          </a:r>
        </a:p>
      </dgm:t>
    </dgm:pt>
    <dgm:pt modelId="{E05B590F-1FF4-46F7-8C0F-5982BEE60C38}" type="parTrans" cxnId="{F3D57EF9-8666-440A-A594-281C124F9A85}">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605B2C56-D7CD-4058-A904-E30E06A94873}" type="sibTrans" cxnId="{F3D57EF9-8666-440A-A594-281C124F9A85}">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FA78F691-73F6-4B57-9DCB-C81D4DC3FC68}">
      <dgm:prSet custT="1"/>
      <dgm:spPr/>
      <dgm:t>
        <a:bodyPr/>
        <a:lstStyle/>
        <a:p>
          <a:pPr algn="ctr"/>
          <a:r>
            <a:rPr lang="en-GB" sz="1200">
              <a:latin typeface="Times New Roman" panose="02020603050405020304" pitchFamily="18" charset="0"/>
              <a:cs typeface="Times New Roman" panose="02020603050405020304" pitchFamily="18" charset="0"/>
            </a:rPr>
            <a:t>Chapter 2: Literature Review</a:t>
          </a:r>
        </a:p>
      </dgm:t>
    </dgm:pt>
    <dgm:pt modelId="{9579A787-923D-49F6-ABF5-105A22D78B7B}" type="parTrans" cxnId="{02D018DE-B2F1-40EE-B7E7-A4BAD5E8D2DB}">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AB888787-F14A-462C-850D-948DC150F1DE}" type="sibTrans" cxnId="{02D018DE-B2F1-40EE-B7E7-A4BAD5E8D2DB}">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2E56C917-F85F-461B-B419-A4751DB6C49F}">
      <dgm:prSet custT="1"/>
      <dgm:spPr/>
      <dgm:t>
        <a:bodyPr/>
        <a:lstStyle/>
        <a:p>
          <a:pPr algn="ctr"/>
          <a:r>
            <a:rPr lang="en-GB" sz="1200">
              <a:latin typeface="Times New Roman" panose="02020603050405020304" pitchFamily="18" charset="0"/>
              <a:cs typeface="Times New Roman" panose="02020603050405020304" pitchFamily="18" charset="0"/>
            </a:rPr>
            <a:t>Chapter 3: Research Methodology</a:t>
          </a:r>
        </a:p>
      </dgm:t>
    </dgm:pt>
    <dgm:pt modelId="{0D9C2672-3AD1-4283-8D52-81A302EB1FCD}" type="parTrans" cxnId="{7B57BFFA-B6F6-4B06-8559-EF6863409D78}">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1D45E2A6-0DD5-4B22-AE26-82C66A9977E2}" type="sibTrans" cxnId="{7B57BFFA-B6F6-4B06-8559-EF6863409D78}">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64C1BE85-8372-4ECB-96E8-A5E8B35B0CA5}">
      <dgm:prSet custT="1"/>
      <dgm:spPr/>
      <dgm:t>
        <a:bodyPr/>
        <a:lstStyle/>
        <a:p>
          <a:pPr algn="ctr"/>
          <a:r>
            <a:rPr lang="en-GB" sz="1200">
              <a:latin typeface="Times New Roman" panose="02020603050405020304" pitchFamily="18" charset="0"/>
              <a:cs typeface="Times New Roman" panose="02020603050405020304" pitchFamily="18" charset="0"/>
            </a:rPr>
            <a:t>Chapter 6: Conclusion, Limitations and Recommendations</a:t>
          </a:r>
        </a:p>
      </dgm:t>
    </dgm:pt>
    <dgm:pt modelId="{62C4B3B6-269E-4045-8779-8E2A683BEDB5}" type="parTrans" cxnId="{DB765B87-CFE1-449D-A06D-A1F882BBAAA0}">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FFA1CBB0-9332-48B8-BA43-8C1F4847AD2A}" type="sibTrans" cxnId="{DB765B87-CFE1-449D-A06D-A1F882BBAAA0}">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3EFA0AF8-75AD-4675-A4DD-76825595751B}" type="pres">
      <dgm:prSet presAssocID="{2858C937-2244-467B-9956-9FA52E1F998C}" presName="linear" presStyleCnt="0">
        <dgm:presLayoutVars>
          <dgm:dir/>
          <dgm:animLvl val="lvl"/>
          <dgm:resizeHandles val="exact"/>
        </dgm:presLayoutVars>
      </dgm:prSet>
      <dgm:spPr/>
    </dgm:pt>
    <dgm:pt modelId="{BFF70BE4-3AA2-4E98-A028-94F00B441851}" type="pres">
      <dgm:prSet presAssocID="{401C9CA5-F958-4647-9A40-23EBEFD711F1}" presName="parentLin" presStyleCnt="0"/>
      <dgm:spPr/>
    </dgm:pt>
    <dgm:pt modelId="{F1D3D9DB-BAAF-4F68-A0E8-B89002CE348A}" type="pres">
      <dgm:prSet presAssocID="{401C9CA5-F958-4647-9A40-23EBEFD711F1}" presName="parentLeftMargin" presStyleLbl="node1" presStyleIdx="0" presStyleCnt="6"/>
      <dgm:spPr/>
    </dgm:pt>
    <dgm:pt modelId="{B85641DA-5B94-47D9-B6BB-8ADA839A1E25}" type="pres">
      <dgm:prSet presAssocID="{401C9CA5-F958-4647-9A40-23EBEFD711F1}" presName="parentText" presStyleLbl="node1" presStyleIdx="0" presStyleCnt="6">
        <dgm:presLayoutVars>
          <dgm:chMax val="0"/>
          <dgm:bulletEnabled val="1"/>
        </dgm:presLayoutVars>
      </dgm:prSet>
      <dgm:spPr/>
    </dgm:pt>
    <dgm:pt modelId="{FDF2BBEB-5F28-48A8-9294-7835295CA8D4}" type="pres">
      <dgm:prSet presAssocID="{401C9CA5-F958-4647-9A40-23EBEFD711F1}" presName="negativeSpace" presStyleCnt="0"/>
      <dgm:spPr/>
    </dgm:pt>
    <dgm:pt modelId="{C19F626C-D24C-46C2-B2F0-BC156034CE9F}" type="pres">
      <dgm:prSet presAssocID="{401C9CA5-F958-4647-9A40-23EBEFD711F1}" presName="childText" presStyleLbl="conFgAcc1" presStyleIdx="0" presStyleCnt="6">
        <dgm:presLayoutVars>
          <dgm:bulletEnabled val="1"/>
        </dgm:presLayoutVars>
      </dgm:prSet>
      <dgm:spPr/>
    </dgm:pt>
    <dgm:pt modelId="{4D189B68-0DA5-405E-BE57-1155C36F9723}" type="pres">
      <dgm:prSet presAssocID="{8934949D-EC43-459B-8DE0-C63EBA75BBFE}" presName="spaceBetweenRectangles" presStyleCnt="0"/>
      <dgm:spPr/>
    </dgm:pt>
    <dgm:pt modelId="{1105BDA9-B7E9-4670-8F27-8B70952E797A}" type="pres">
      <dgm:prSet presAssocID="{FA78F691-73F6-4B57-9DCB-C81D4DC3FC68}" presName="parentLin" presStyleCnt="0"/>
      <dgm:spPr/>
    </dgm:pt>
    <dgm:pt modelId="{EF6767AA-4D04-4108-A63C-3DAC7942417D}" type="pres">
      <dgm:prSet presAssocID="{FA78F691-73F6-4B57-9DCB-C81D4DC3FC68}" presName="parentLeftMargin" presStyleLbl="node1" presStyleIdx="0" presStyleCnt="6"/>
      <dgm:spPr/>
    </dgm:pt>
    <dgm:pt modelId="{EB7430CB-D07B-4406-827E-47FF6EA8CE1B}" type="pres">
      <dgm:prSet presAssocID="{FA78F691-73F6-4B57-9DCB-C81D4DC3FC68}" presName="parentText" presStyleLbl="node1" presStyleIdx="1" presStyleCnt="6">
        <dgm:presLayoutVars>
          <dgm:chMax val="0"/>
          <dgm:bulletEnabled val="1"/>
        </dgm:presLayoutVars>
      </dgm:prSet>
      <dgm:spPr/>
    </dgm:pt>
    <dgm:pt modelId="{7035469F-915A-4E75-A927-BE41B94F00D3}" type="pres">
      <dgm:prSet presAssocID="{FA78F691-73F6-4B57-9DCB-C81D4DC3FC68}" presName="negativeSpace" presStyleCnt="0"/>
      <dgm:spPr/>
    </dgm:pt>
    <dgm:pt modelId="{965B8E0A-DC4D-4EDC-840C-E3025EB911AA}" type="pres">
      <dgm:prSet presAssocID="{FA78F691-73F6-4B57-9DCB-C81D4DC3FC68}" presName="childText" presStyleLbl="conFgAcc1" presStyleIdx="1" presStyleCnt="6">
        <dgm:presLayoutVars>
          <dgm:bulletEnabled val="1"/>
        </dgm:presLayoutVars>
      </dgm:prSet>
      <dgm:spPr/>
    </dgm:pt>
    <dgm:pt modelId="{F3ABB440-28AA-4D1D-826E-2FE0333590FA}" type="pres">
      <dgm:prSet presAssocID="{AB888787-F14A-462C-850D-948DC150F1DE}" presName="spaceBetweenRectangles" presStyleCnt="0"/>
      <dgm:spPr/>
    </dgm:pt>
    <dgm:pt modelId="{BAD0B074-D723-46FE-B37F-3D44A7181F18}" type="pres">
      <dgm:prSet presAssocID="{2E56C917-F85F-461B-B419-A4751DB6C49F}" presName="parentLin" presStyleCnt="0"/>
      <dgm:spPr/>
    </dgm:pt>
    <dgm:pt modelId="{B02FD92C-A2ED-4503-9D9A-A19713AC09EA}" type="pres">
      <dgm:prSet presAssocID="{2E56C917-F85F-461B-B419-A4751DB6C49F}" presName="parentLeftMargin" presStyleLbl="node1" presStyleIdx="1" presStyleCnt="6"/>
      <dgm:spPr/>
    </dgm:pt>
    <dgm:pt modelId="{9345C461-8F54-4875-A124-330F24878273}" type="pres">
      <dgm:prSet presAssocID="{2E56C917-F85F-461B-B419-A4751DB6C49F}" presName="parentText" presStyleLbl="node1" presStyleIdx="2" presStyleCnt="6">
        <dgm:presLayoutVars>
          <dgm:chMax val="0"/>
          <dgm:bulletEnabled val="1"/>
        </dgm:presLayoutVars>
      </dgm:prSet>
      <dgm:spPr/>
    </dgm:pt>
    <dgm:pt modelId="{20DC7E0C-1641-46DE-8A20-0EB08478DF39}" type="pres">
      <dgm:prSet presAssocID="{2E56C917-F85F-461B-B419-A4751DB6C49F}" presName="negativeSpace" presStyleCnt="0"/>
      <dgm:spPr/>
    </dgm:pt>
    <dgm:pt modelId="{8391B8EE-9F8A-40A8-886D-526AD5B5C787}" type="pres">
      <dgm:prSet presAssocID="{2E56C917-F85F-461B-B419-A4751DB6C49F}" presName="childText" presStyleLbl="conFgAcc1" presStyleIdx="2" presStyleCnt="6">
        <dgm:presLayoutVars>
          <dgm:bulletEnabled val="1"/>
        </dgm:presLayoutVars>
      </dgm:prSet>
      <dgm:spPr/>
    </dgm:pt>
    <dgm:pt modelId="{8143BC33-1E3B-443A-83F7-2955177ABF93}" type="pres">
      <dgm:prSet presAssocID="{1D45E2A6-0DD5-4B22-AE26-82C66A9977E2}" presName="spaceBetweenRectangles" presStyleCnt="0"/>
      <dgm:spPr/>
    </dgm:pt>
    <dgm:pt modelId="{4B56410C-723A-4826-A1BC-B2A76BDB5725}" type="pres">
      <dgm:prSet presAssocID="{EB59ADFC-8F80-4FC0-AEBE-BABD040D1A28}" presName="parentLin" presStyleCnt="0"/>
      <dgm:spPr/>
    </dgm:pt>
    <dgm:pt modelId="{1F94287F-225F-4E66-99A3-29056159256C}" type="pres">
      <dgm:prSet presAssocID="{EB59ADFC-8F80-4FC0-AEBE-BABD040D1A28}" presName="parentLeftMargin" presStyleLbl="node1" presStyleIdx="2" presStyleCnt="6"/>
      <dgm:spPr/>
    </dgm:pt>
    <dgm:pt modelId="{2943CB50-8AA3-4267-8FA1-11E8DFF64784}" type="pres">
      <dgm:prSet presAssocID="{EB59ADFC-8F80-4FC0-AEBE-BABD040D1A28}" presName="parentText" presStyleLbl="node1" presStyleIdx="3" presStyleCnt="6">
        <dgm:presLayoutVars>
          <dgm:chMax val="0"/>
          <dgm:bulletEnabled val="1"/>
        </dgm:presLayoutVars>
      </dgm:prSet>
      <dgm:spPr/>
    </dgm:pt>
    <dgm:pt modelId="{2136CAC2-8506-4C91-9C97-7276D6301228}" type="pres">
      <dgm:prSet presAssocID="{EB59ADFC-8F80-4FC0-AEBE-BABD040D1A28}" presName="negativeSpace" presStyleCnt="0"/>
      <dgm:spPr/>
    </dgm:pt>
    <dgm:pt modelId="{7B702BA5-F6DA-4A6F-8ED5-DE323D355B29}" type="pres">
      <dgm:prSet presAssocID="{EB59ADFC-8F80-4FC0-AEBE-BABD040D1A28}" presName="childText" presStyleLbl="conFgAcc1" presStyleIdx="3" presStyleCnt="6">
        <dgm:presLayoutVars>
          <dgm:bulletEnabled val="1"/>
        </dgm:presLayoutVars>
      </dgm:prSet>
      <dgm:spPr/>
    </dgm:pt>
    <dgm:pt modelId="{9A00FB9D-DE32-4E84-A306-475374393705}" type="pres">
      <dgm:prSet presAssocID="{0A131E99-E061-4181-B532-0C7C949A6DCD}" presName="spaceBetweenRectangles" presStyleCnt="0"/>
      <dgm:spPr/>
    </dgm:pt>
    <dgm:pt modelId="{3560AEB5-6B5B-49C1-AE9D-BFBCA9D73CFD}" type="pres">
      <dgm:prSet presAssocID="{1BC26CAD-0FEA-48D7-AC44-43370B940BDD}" presName="parentLin" presStyleCnt="0"/>
      <dgm:spPr/>
    </dgm:pt>
    <dgm:pt modelId="{12FB2603-85A7-408A-951B-29CC058389C3}" type="pres">
      <dgm:prSet presAssocID="{1BC26CAD-0FEA-48D7-AC44-43370B940BDD}" presName="parentLeftMargin" presStyleLbl="node1" presStyleIdx="3" presStyleCnt="6"/>
      <dgm:spPr/>
    </dgm:pt>
    <dgm:pt modelId="{8281A95A-6ADF-4CCF-A596-C4B4A6C5FB35}" type="pres">
      <dgm:prSet presAssocID="{1BC26CAD-0FEA-48D7-AC44-43370B940BDD}" presName="parentText" presStyleLbl="node1" presStyleIdx="4" presStyleCnt="6">
        <dgm:presLayoutVars>
          <dgm:chMax val="0"/>
          <dgm:bulletEnabled val="1"/>
        </dgm:presLayoutVars>
      </dgm:prSet>
      <dgm:spPr/>
    </dgm:pt>
    <dgm:pt modelId="{8FF3DA40-FE26-4D3E-A719-B3B99FEC01AE}" type="pres">
      <dgm:prSet presAssocID="{1BC26CAD-0FEA-48D7-AC44-43370B940BDD}" presName="negativeSpace" presStyleCnt="0"/>
      <dgm:spPr/>
    </dgm:pt>
    <dgm:pt modelId="{0186C6F4-DF0F-4B5F-98A5-A52AD3B49A6B}" type="pres">
      <dgm:prSet presAssocID="{1BC26CAD-0FEA-48D7-AC44-43370B940BDD}" presName="childText" presStyleLbl="conFgAcc1" presStyleIdx="4" presStyleCnt="6">
        <dgm:presLayoutVars>
          <dgm:bulletEnabled val="1"/>
        </dgm:presLayoutVars>
      </dgm:prSet>
      <dgm:spPr/>
    </dgm:pt>
    <dgm:pt modelId="{2F7A094D-982B-4BAE-95AD-F8981799F2BB}" type="pres">
      <dgm:prSet presAssocID="{605B2C56-D7CD-4058-A904-E30E06A94873}" presName="spaceBetweenRectangles" presStyleCnt="0"/>
      <dgm:spPr/>
    </dgm:pt>
    <dgm:pt modelId="{3989D7D0-FD53-4978-BD23-3146F561531F}" type="pres">
      <dgm:prSet presAssocID="{64C1BE85-8372-4ECB-96E8-A5E8B35B0CA5}" presName="parentLin" presStyleCnt="0"/>
      <dgm:spPr/>
    </dgm:pt>
    <dgm:pt modelId="{1D3B22D6-529F-4915-8CC7-ECB86555B1CC}" type="pres">
      <dgm:prSet presAssocID="{64C1BE85-8372-4ECB-96E8-A5E8B35B0CA5}" presName="parentLeftMargin" presStyleLbl="node1" presStyleIdx="4" presStyleCnt="6"/>
      <dgm:spPr/>
    </dgm:pt>
    <dgm:pt modelId="{77046F8F-967D-4E3F-8643-A4FD97BB4FC1}" type="pres">
      <dgm:prSet presAssocID="{64C1BE85-8372-4ECB-96E8-A5E8B35B0CA5}" presName="parentText" presStyleLbl="node1" presStyleIdx="5" presStyleCnt="6">
        <dgm:presLayoutVars>
          <dgm:chMax val="0"/>
          <dgm:bulletEnabled val="1"/>
        </dgm:presLayoutVars>
      </dgm:prSet>
      <dgm:spPr/>
    </dgm:pt>
    <dgm:pt modelId="{4E819236-50CA-45C4-BD93-5581472B4ECD}" type="pres">
      <dgm:prSet presAssocID="{64C1BE85-8372-4ECB-96E8-A5E8B35B0CA5}" presName="negativeSpace" presStyleCnt="0"/>
      <dgm:spPr/>
    </dgm:pt>
    <dgm:pt modelId="{8E68E916-D68B-4B4D-A111-DA0E00014C55}" type="pres">
      <dgm:prSet presAssocID="{64C1BE85-8372-4ECB-96E8-A5E8B35B0CA5}" presName="childText" presStyleLbl="conFgAcc1" presStyleIdx="5" presStyleCnt="6">
        <dgm:presLayoutVars>
          <dgm:bulletEnabled val="1"/>
        </dgm:presLayoutVars>
      </dgm:prSet>
      <dgm:spPr/>
    </dgm:pt>
  </dgm:ptLst>
  <dgm:cxnLst>
    <dgm:cxn modelId="{77BC6606-9DD9-4CF3-B9D6-FF66A8CB6324}" type="presOf" srcId="{1BC26CAD-0FEA-48D7-AC44-43370B940BDD}" destId="{8281A95A-6ADF-4CCF-A596-C4B4A6C5FB35}" srcOrd="1" destOrd="0" presId="urn:microsoft.com/office/officeart/2005/8/layout/list1"/>
    <dgm:cxn modelId="{4913DF06-2D3B-4D23-BA67-0BFE340C2C7C}" type="presOf" srcId="{1BC26CAD-0FEA-48D7-AC44-43370B940BDD}" destId="{12FB2603-85A7-408A-951B-29CC058389C3}" srcOrd="0" destOrd="0" presId="urn:microsoft.com/office/officeart/2005/8/layout/list1"/>
    <dgm:cxn modelId="{7AEEC409-422D-4FB6-AC8F-9896FCF36DB1}" type="presOf" srcId="{401C9CA5-F958-4647-9A40-23EBEFD711F1}" destId="{F1D3D9DB-BAAF-4F68-A0E8-B89002CE348A}" srcOrd="0" destOrd="0" presId="urn:microsoft.com/office/officeart/2005/8/layout/list1"/>
    <dgm:cxn modelId="{81B17F10-7C56-48D9-8395-1F68B48BDA4C}" type="presOf" srcId="{2E56C917-F85F-461B-B419-A4751DB6C49F}" destId="{B02FD92C-A2ED-4503-9D9A-A19713AC09EA}" srcOrd="0" destOrd="0" presId="urn:microsoft.com/office/officeart/2005/8/layout/list1"/>
    <dgm:cxn modelId="{430D2030-B753-4C8E-8F10-0A09A24C730D}" srcId="{2858C937-2244-467B-9956-9FA52E1F998C}" destId="{401C9CA5-F958-4647-9A40-23EBEFD711F1}" srcOrd="0" destOrd="0" parTransId="{E951AB49-BDE7-41D1-BCDE-3E47C7510085}" sibTransId="{8934949D-EC43-459B-8DE0-C63EBA75BBFE}"/>
    <dgm:cxn modelId="{9DFC6A35-4729-4F83-AD29-B38560E7E574}" type="presOf" srcId="{2E56C917-F85F-461B-B419-A4751DB6C49F}" destId="{9345C461-8F54-4875-A124-330F24878273}" srcOrd="1" destOrd="0" presId="urn:microsoft.com/office/officeart/2005/8/layout/list1"/>
    <dgm:cxn modelId="{87CFAA5F-AE26-44D6-B1A2-A918105A3818}" type="presOf" srcId="{401C9CA5-F958-4647-9A40-23EBEFD711F1}" destId="{B85641DA-5B94-47D9-B6BB-8ADA839A1E25}" srcOrd="1" destOrd="0" presId="urn:microsoft.com/office/officeart/2005/8/layout/list1"/>
    <dgm:cxn modelId="{4A216963-53EA-4F24-B2D6-102EC65643BD}" type="presOf" srcId="{2858C937-2244-467B-9956-9FA52E1F998C}" destId="{3EFA0AF8-75AD-4675-A4DD-76825595751B}" srcOrd="0" destOrd="0" presId="urn:microsoft.com/office/officeart/2005/8/layout/list1"/>
    <dgm:cxn modelId="{0C636B6B-EF92-4F70-A23C-E3309AE5CF19}" type="presOf" srcId="{FA78F691-73F6-4B57-9DCB-C81D4DC3FC68}" destId="{EB7430CB-D07B-4406-827E-47FF6EA8CE1B}" srcOrd="1" destOrd="0" presId="urn:microsoft.com/office/officeart/2005/8/layout/list1"/>
    <dgm:cxn modelId="{DB765B87-CFE1-449D-A06D-A1F882BBAAA0}" srcId="{2858C937-2244-467B-9956-9FA52E1F998C}" destId="{64C1BE85-8372-4ECB-96E8-A5E8B35B0CA5}" srcOrd="5" destOrd="0" parTransId="{62C4B3B6-269E-4045-8779-8E2A683BEDB5}" sibTransId="{FFA1CBB0-9332-48B8-BA43-8C1F4847AD2A}"/>
    <dgm:cxn modelId="{0C7B588F-8CD5-479C-813F-388FF90150C8}" type="presOf" srcId="{64C1BE85-8372-4ECB-96E8-A5E8B35B0CA5}" destId="{1D3B22D6-529F-4915-8CC7-ECB86555B1CC}" srcOrd="0" destOrd="0" presId="urn:microsoft.com/office/officeart/2005/8/layout/list1"/>
    <dgm:cxn modelId="{E907B295-E41B-4460-A2F3-72DE81F2DC00}" type="presOf" srcId="{EB59ADFC-8F80-4FC0-AEBE-BABD040D1A28}" destId="{2943CB50-8AA3-4267-8FA1-11E8DFF64784}" srcOrd="1" destOrd="0" presId="urn:microsoft.com/office/officeart/2005/8/layout/list1"/>
    <dgm:cxn modelId="{F80FD098-F175-4146-A2AE-A95A3C8A283D}" type="presOf" srcId="{FA78F691-73F6-4B57-9DCB-C81D4DC3FC68}" destId="{EF6767AA-4D04-4108-A63C-3DAC7942417D}" srcOrd="0" destOrd="0" presId="urn:microsoft.com/office/officeart/2005/8/layout/list1"/>
    <dgm:cxn modelId="{20631CB2-5901-47DB-803D-16AAAF089157}" srcId="{2858C937-2244-467B-9956-9FA52E1F998C}" destId="{EB59ADFC-8F80-4FC0-AEBE-BABD040D1A28}" srcOrd="3" destOrd="0" parTransId="{FFA82A8A-F7A4-4AE1-BFFA-848D5FA3CC55}" sibTransId="{0A131E99-E061-4181-B532-0C7C949A6DCD}"/>
    <dgm:cxn modelId="{496F51BC-E2E8-4EF2-B941-06CD8E05C451}" type="presOf" srcId="{EB59ADFC-8F80-4FC0-AEBE-BABD040D1A28}" destId="{1F94287F-225F-4E66-99A3-29056159256C}" srcOrd="0" destOrd="0" presId="urn:microsoft.com/office/officeart/2005/8/layout/list1"/>
    <dgm:cxn modelId="{02D018DE-B2F1-40EE-B7E7-A4BAD5E8D2DB}" srcId="{2858C937-2244-467B-9956-9FA52E1F998C}" destId="{FA78F691-73F6-4B57-9DCB-C81D4DC3FC68}" srcOrd="1" destOrd="0" parTransId="{9579A787-923D-49F6-ABF5-105A22D78B7B}" sibTransId="{AB888787-F14A-462C-850D-948DC150F1DE}"/>
    <dgm:cxn modelId="{DBAB2AEC-2B00-44F3-8D9B-A43069929338}" type="presOf" srcId="{64C1BE85-8372-4ECB-96E8-A5E8B35B0CA5}" destId="{77046F8F-967D-4E3F-8643-A4FD97BB4FC1}" srcOrd="1" destOrd="0" presId="urn:microsoft.com/office/officeart/2005/8/layout/list1"/>
    <dgm:cxn modelId="{F3D57EF9-8666-440A-A594-281C124F9A85}" srcId="{2858C937-2244-467B-9956-9FA52E1F998C}" destId="{1BC26CAD-0FEA-48D7-AC44-43370B940BDD}" srcOrd="4" destOrd="0" parTransId="{E05B590F-1FF4-46F7-8C0F-5982BEE60C38}" sibTransId="{605B2C56-D7CD-4058-A904-E30E06A94873}"/>
    <dgm:cxn modelId="{7B57BFFA-B6F6-4B06-8559-EF6863409D78}" srcId="{2858C937-2244-467B-9956-9FA52E1F998C}" destId="{2E56C917-F85F-461B-B419-A4751DB6C49F}" srcOrd="2" destOrd="0" parTransId="{0D9C2672-3AD1-4283-8D52-81A302EB1FCD}" sibTransId="{1D45E2A6-0DD5-4B22-AE26-82C66A9977E2}"/>
    <dgm:cxn modelId="{66C445DD-E092-4D10-B9D9-67BA983974AB}" type="presParOf" srcId="{3EFA0AF8-75AD-4675-A4DD-76825595751B}" destId="{BFF70BE4-3AA2-4E98-A028-94F00B441851}" srcOrd="0" destOrd="0" presId="urn:microsoft.com/office/officeart/2005/8/layout/list1"/>
    <dgm:cxn modelId="{1F28D452-5779-48B8-89C4-2A3098432A36}" type="presParOf" srcId="{BFF70BE4-3AA2-4E98-A028-94F00B441851}" destId="{F1D3D9DB-BAAF-4F68-A0E8-B89002CE348A}" srcOrd="0" destOrd="0" presId="urn:microsoft.com/office/officeart/2005/8/layout/list1"/>
    <dgm:cxn modelId="{867C64FD-2E94-4F92-90AA-42C7519CE67C}" type="presParOf" srcId="{BFF70BE4-3AA2-4E98-A028-94F00B441851}" destId="{B85641DA-5B94-47D9-B6BB-8ADA839A1E25}" srcOrd="1" destOrd="0" presId="urn:microsoft.com/office/officeart/2005/8/layout/list1"/>
    <dgm:cxn modelId="{00BBC78B-C158-43D2-9CE4-131CD739FEE8}" type="presParOf" srcId="{3EFA0AF8-75AD-4675-A4DD-76825595751B}" destId="{FDF2BBEB-5F28-48A8-9294-7835295CA8D4}" srcOrd="1" destOrd="0" presId="urn:microsoft.com/office/officeart/2005/8/layout/list1"/>
    <dgm:cxn modelId="{7B3F2695-9225-4BA7-BA74-D98E83F4B9C5}" type="presParOf" srcId="{3EFA0AF8-75AD-4675-A4DD-76825595751B}" destId="{C19F626C-D24C-46C2-B2F0-BC156034CE9F}" srcOrd="2" destOrd="0" presId="urn:microsoft.com/office/officeart/2005/8/layout/list1"/>
    <dgm:cxn modelId="{A862F647-A93E-40B1-A2F3-0DE97AC1AE2B}" type="presParOf" srcId="{3EFA0AF8-75AD-4675-A4DD-76825595751B}" destId="{4D189B68-0DA5-405E-BE57-1155C36F9723}" srcOrd="3" destOrd="0" presId="urn:microsoft.com/office/officeart/2005/8/layout/list1"/>
    <dgm:cxn modelId="{EB98E5CF-87AC-466F-9431-81D6D700E24E}" type="presParOf" srcId="{3EFA0AF8-75AD-4675-A4DD-76825595751B}" destId="{1105BDA9-B7E9-4670-8F27-8B70952E797A}" srcOrd="4" destOrd="0" presId="urn:microsoft.com/office/officeart/2005/8/layout/list1"/>
    <dgm:cxn modelId="{F07BD251-7D05-49B9-B33A-2069B6BCF3D8}" type="presParOf" srcId="{1105BDA9-B7E9-4670-8F27-8B70952E797A}" destId="{EF6767AA-4D04-4108-A63C-3DAC7942417D}" srcOrd="0" destOrd="0" presId="urn:microsoft.com/office/officeart/2005/8/layout/list1"/>
    <dgm:cxn modelId="{158D6267-D2A3-4766-BD6C-A2B5AF1A0092}" type="presParOf" srcId="{1105BDA9-B7E9-4670-8F27-8B70952E797A}" destId="{EB7430CB-D07B-4406-827E-47FF6EA8CE1B}" srcOrd="1" destOrd="0" presId="urn:microsoft.com/office/officeart/2005/8/layout/list1"/>
    <dgm:cxn modelId="{5624D2AB-91A3-499F-8322-A28AAAA4ADEB}" type="presParOf" srcId="{3EFA0AF8-75AD-4675-A4DD-76825595751B}" destId="{7035469F-915A-4E75-A927-BE41B94F00D3}" srcOrd="5" destOrd="0" presId="urn:microsoft.com/office/officeart/2005/8/layout/list1"/>
    <dgm:cxn modelId="{A9B57EE9-4239-430F-87A6-93C79CE51367}" type="presParOf" srcId="{3EFA0AF8-75AD-4675-A4DD-76825595751B}" destId="{965B8E0A-DC4D-4EDC-840C-E3025EB911AA}" srcOrd="6" destOrd="0" presId="urn:microsoft.com/office/officeart/2005/8/layout/list1"/>
    <dgm:cxn modelId="{5D87D610-F86C-48B0-AF07-B4892303689F}" type="presParOf" srcId="{3EFA0AF8-75AD-4675-A4DD-76825595751B}" destId="{F3ABB440-28AA-4D1D-826E-2FE0333590FA}" srcOrd="7" destOrd="0" presId="urn:microsoft.com/office/officeart/2005/8/layout/list1"/>
    <dgm:cxn modelId="{16A56A3A-FAA9-49AA-8959-53A8BB6C5069}" type="presParOf" srcId="{3EFA0AF8-75AD-4675-A4DD-76825595751B}" destId="{BAD0B074-D723-46FE-B37F-3D44A7181F18}" srcOrd="8" destOrd="0" presId="urn:microsoft.com/office/officeart/2005/8/layout/list1"/>
    <dgm:cxn modelId="{37D37F47-C16E-4BD6-846B-26269A51CA57}" type="presParOf" srcId="{BAD0B074-D723-46FE-B37F-3D44A7181F18}" destId="{B02FD92C-A2ED-4503-9D9A-A19713AC09EA}" srcOrd="0" destOrd="0" presId="urn:microsoft.com/office/officeart/2005/8/layout/list1"/>
    <dgm:cxn modelId="{DB55F85A-FF10-478C-966D-4170BC0C9A37}" type="presParOf" srcId="{BAD0B074-D723-46FE-B37F-3D44A7181F18}" destId="{9345C461-8F54-4875-A124-330F24878273}" srcOrd="1" destOrd="0" presId="urn:microsoft.com/office/officeart/2005/8/layout/list1"/>
    <dgm:cxn modelId="{8FD5BDBE-6E57-4BDA-AF36-402FBB9BF6F1}" type="presParOf" srcId="{3EFA0AF8-75AD-4675-A4DD-76825595751B}" destId="{20DC7E0C-1641-46DE-8A20-0EB08478DF39}" srcOrd="9" destOrd="0" presId="urn:microsoft.com/office/officeart/2005/8/layout/list1"/>
    <dgm:cxn modelId="{BA4A7773-012B-490A-B916-83A8BC32F778}" type="presParOf" srcId="{3EFA0AF8-75AD-4675-A4DD-76825595751B}" destId="{8391B8EE-9F8A-40A8-886D-526AD5B5C787}" srcOrd="10" destOrd="0" presId="urn:microsoft.com/office/officeart/2005/8/layout/list1"/>
    <dgm:cxn modelId="{93D6FF2B-B736-4947-B153-122358F589A1}" type="presParOf" srcId="{3EFA0AF8-75AD-4675-A4DD-76825595751B}" destId="{8143BC33-1E3B-443A-83F7-2955177ABF93}" srcOrd="11" destOrd="0" presId="urn:microsoft.com/office/officeart/2005/8/layout/list1"/>
    <dgm:cxn modelId="{456530EA-CB6B-4DB6-83AF-D7E9D2994168}" type="presParOf" srcId="{3EFA0AF8-75AD-4675-A4DD-76825595751B}" destId="{4B56410C-723A-4826-A1BC-B2A76BDB5725}" srcOrd="12" destOrd="0" presId="urn:microsoft.com/office/officeart/2005/8/layout/list1"/>
    <dgm:cxn modelId="{E4187669-73A6-487C-A0D2-6E8C4FC8BD1E}" type="presParOf" srcId="{4B56410C-723A-4826-A1BC-B2A76BDB5725}" destId="{1F94287F-225F-4E66-99A3-29056159256C}" srcOrd="0" destOrd="0" presId="urn:microsoft.com/office/officeart/2005/8/layout/list1"/>
    <dgm:cxn modelId="{26180E1A-C137-4993-B8F9-914886FAFA5D}" type="presParOf" srcId="{4B56410C-723A-4826-A1BC-B2A76BDB5725}" destId="{2943CB50-8AA3-4267-8FA1-11E8DFF64784}" srcOrd="1" destOrd="0" presId="urn:microsoft.com/office/officeart/2005/8/layout/list1"/>
    <dgm:cxn modelId="{A6106D30-1B56-4376-B0E1-8516E5752D3F}" type="presParOf" srcId="{3EFA0AF8-75AD-4675-A4DD-76825595751B}" destId="{2136CAC2-8506-4C91-9C97-7276D6301228}" srcOrd="13" destOrd="0" presId="urn:microsoft.com/office/officeart/2005/8/layout/list1"/>
    <dgm:cxn modelId="{BD150532-8F5B-4E21-8CF7-6B9282F22D1C}" type="presParOf" srcId="{3EFA0AF8-75AD-4675-A4DD-76825595751B}" destId="{7B702BA5-F6DA-4A6F-8ED5-DE323D355B29}" srcOrd="14" destOrd="0" presId="urn:microsoft.com/office/officeart/2005/8/layout/list1"/>
    <dgm:cxn modelId="{67D6F6FA-20C8-4DF2-AA67-B19F48C0264B}" type="presParOf" srcId="{3EFA0AF8-75AD-4675-A4DD-76825595751B}" destId="{9A00FB9D-DE32-4E84-A306-475374393705}" srcOrd="15" destOrd="0" presId="urn:microsoft.com/office/officeart/2005/8/layout/list1"/>
    <dgm:cxn modelId="{52F624ED-0704-4F47-B5CD-0D71C965C5B1}" type="presParOf" srcId="{3EFA0AF8-75AD-4675-A4DD-76825595751B}" destId="{3560AEB5-6B5B-49C1-AE9D-BFBCA9D73CFD}" srcOrd="16" destOrd="0" presId="urn:microsoft.com/office/officeart/2005/8/layout/list1"/>
    <dgm:cxn modelId="{26B3A8FB-BE72-4B7B-A8FC-6E58CD50A0CB}" type="presParOf" srcId="{3560AEB5-6B5B-49C1-AE9D-BFBCA9D73CFD}" destId="{12FB2603-85A7-408A-951B-29CC058389C3}" srcOrd="0" destOrd="0" presId="urn:microsoft.com/office/officeart/2005/8/layout/list1"/>
    <dgm:cxn modelId="{94E049BD-D116-4A96-9D6D-D2165EE29A9B}" type="presParOf" srcId="{3560AEB5-6B5B-49C1-AE9D-BFBCA9D73CFD}" destId="{8281A95A-6ADF-4CCF-A596-C4B4A6C5FB35}" srcOrd="1" destOrd="0" presId="urn:microsoft.com/office/officeart/2005/8/layout/list1"/>
    <dgm:cxn modelId="{F299E938-4976-43A4-AC78-EFC3A36F5A2D}" type="presParOf" srcId="{3EFA0AF8-75AD-4675-A4DD-76825595751B}" destId="{8FF3DA40-FE26-4D3E-A719-B3B99FEC01AE}" srcOrd="17" destOrd="0" presId="urn:microsoft.com/office/officeart/2005/8/layout/list1"/>
    <dgm:cxn modelId="{C7DC8222-2E4E-4FA0-AB86-810D18182A6D}" type="presParOf" srcId="{3EFA0AF8-75AD-4675-A4DD-76825595751B}" destId="{0186C6F4-DF0F-4B5F-98A5-A52AD3B49A6B}" srcOrd="18" destOrd="0" presId="urn:microsoft.com/office/officeart/2005/8/layout/list1"/>
    <dgm:cxn modelId="{B5BC01C3-1F47-4897-B90C-FBDC8A19D417}" type="presParOf" srcId="{3EFA0AF8-75AD-4675-A4DD-76825595751B}" destId="{2F7A094D-982B-4BAE-95AD-F8981799F2BB}" srcOrd="19" destOrd="0" presId="urn:microsoft.com/office/officeart/2005/8/layout/list1"/>
    <dgm:cxn modelId="{0F4D9E79-87E5-41C5-B22C-BFB5F7B9CA2E}" type="presParOf" srcId="{3EFA0AF8-75AD-4675-A4DD-76825595751B}" destId="{3989D7D0-FD53-4978-BD23-3146F561531F}" srcOrd="20" destOrd="0" presId="urn:microsoft.com/office/officeart/2005/8/layout/list1"/>
    <dgm:cxn modelId="{C224D0CF-A8D1-4EE1-A077-9031933AAECE}" type="presParOf" srcId="{3989D7D0-FD53-4978-BD23-3146F561531F}" destId="{1D3B22D6-529F-4915-8CC7-ECB86555B1CC}" srcOrd="0" destOrd="0" presId="urn:microsoft.com/office/officeart/2005/8/layout/list1"/>
    <dgm:cxn modelId="{0D099234-3843-46A7-B2BC-9110345936D3}" type="presParOf" srcId="{3989D7D0-FD53-4978-BD23-3146F561531F}" destId="{77046F8F-967D-4E3F-8643-A4FD97BB4FC1}" srcOrd="1" destOrd="0" presId="urn:microsoft.com/office/officeart/2005/8/layout/list1"/>
    <dgm:cxn modelId="{8EDF880E-6C07-438D-901A-FED83991FA58}" type="presParOf" srcId="{3EFA0AF8-75AD-4675-A4DD-76825595751B}" destId="{4E819236-50CA-45C4-BD93-5581472B4ECD}" srcOrd="21" destOrd="0" presId="urn:microsoft.com/office/officeart/2005/8/layout/list1"/>
    <dgm:cxn modelId="{9A620F8E-1040-4776-8663-F4D3F960BCF9}" type="presParOf" srcId="{3EFA0AF8-75AD-4675-A4DD-76825595751B}" destId="{8E68E916-D68B-4B4D-A111-DA0E00014C55}" srcOrd="22"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F626C-D24C-46C2-B2F0-BC156034CE9F}">
      <dsp:nvSpPr>
        <dsp:cNvPr id="0" name=""/>
        <dsp:cNvSpPr/>
      </dsp:nvSpPr>
      <dsp:spPr>
        <a:xfrm>
          <a:off x="0" y="207240"/>
          <a:ext cx="5913120" cy="3024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B85641DA-5B94-47D9-B6BB-8ADA839A1E25}">
      <dsp:nvSpPr>
        <dsp:cNvPr id="0" name=""/>
        <dsp:cNvSpPr/>
      </dsp:nvSpPr>
      <dsp:spPr>
        <a:xfrm>
          <a:off x="295656" y="30120"/>
          <a:ext cx="4139184" cy="35424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1: Introduction</a:t>
          </a:r>
        </a:p>
      </dsp:txBody>
      <dsp:txXfrm>
        <a:off x="312949" y="47413"/>
        <a:ext cx="4104598" cy="319654"/>
      </dsp:txXfrm>
    </dsp:sp>
    <dsp:sp modelId="{965B8E0A-DC4D-4EDC-840C-E3025EB911AA}">
      <dsp:nvSpPr>
        <dsp:cNvPr id="0" name=""/>
        <dsp:cNvSpPr/>
      </dsp:nvSpPr>
      <dsp:spPr>
        <a:xfrm>
          <a:off x="0" y="751560"/>
          <a:ext cx="5913120" cy="3024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EB7430CB-D07B-4406-827E-47FF6EA8CE1B}">
      <dsp:nvSpPr>
        <dsp:cNvPr id="0" name=""/>
        <dsp:cNvSpPr/>
      </dsp:nvSpPr>
      <dsp:spPr>
        <a:xfrm>
          <a:off x="295656" y="574440"/>
          <a:ext cx="4139184" cy="354240"/>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2: Literature Review</a:t>
          </a:r>
        </a:p>
      </dsp:txBody>
      <dsp:txXfrm>
        <a:off x="312949" y="591733"/>
        <a:ext cx="4104598" cy="319654"/>
      </dsp:txXfrm>
    </dsp:sp>
    <dsp:sp modelId="{8391B8EE-9F8A-40A8-886D-526AD5B5C787}">
      <dsp:nvSpPr>
        <dsp:cNvPr id="0" name=""/>
        <dsp:cNvSpPr/>
      </dsp:nvSpPr>
      <dsp:spPr>
        <a:xfrm>
          <a:off x="0" y="1295880"/>
          <a:ext cx="5913120" cy="3024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9345C461-8F54-4875-A124-330F24878273}">
      <dsp:nvSpPr>
        <dsp:cNvPr id="0" name=""/>
        <dsp:cNvSpPr/>
      </dsp:nvSpPr>
      <dsp:spPr>
        <a:xfrm>
          <a:off x="295656" y="1118760"/>
          <a:ext cx="4139184" cy="354240"/>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3: Research Methodology</a:t>
          </a:r>
        </a:p>
      </dsp:txBody>
      <dsp:txXfrm>
        <a:off x="312949" y="1136053"/>
        <a:ext cx="4104598" cy="319654"/>
      </dsp:txXfrm>
    </dsp:sp>
    <dsp:sp modelId="{7B702BA5-F6DA-4A6F-8ED5-DE323D355B29}">
      <dsp:nvSpPr>
        <dsp:cNvPr id="0" name=""/>
        <dsp:cNvSpPr/>
      </dsp:nvSpPr>
      <dsp:spPr>
        <a:xfrm>
          <a:off x="0" y="1840199"/>
          <a:ext cx="5913120" cy="3024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2943CB50-8AA3-4267-8FA1-11E8DFF64784}">
      <dsp:nvSpPr>
        <dsp:cNvPr id="0" name=""/>
        <dsp:cNvSpPr/>
      </dsp:nvSpPr>
      <dsp:spPr>
        <a:xfrm>
          <a:off x="295656" y="1663080"/>
          <a:ext cx="4139184" cy="35424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4: Results and Findings</a:t>
          </a:r>
        </a:p>
      </dsp:txBody>
      <dsp:txXfrm>
        <a:off x="312949" y="1680373"/>
        <a:ext cx="4104598" cy="319654"/>
      </dsp:txXfrm>
    </dsp:sp>
    <dsp:sp modelId="{0186C6F4-DF0F-4B5F-98A5-A52AD3B49A6B}">
      <dsp:nvSpPr>
        <dsp:cNvPr id="0" name=""/>
        <dsp:cNvSpPr/>
      </dsp:nvSpPr>
      <dsp:spPr>
        <a:xfrm>
          <a:off x="0" y="2384519"/>
          <a:ext cx="5913120" cy="302400"/>
        </a:xfrm>
        <a:prstGeom prst="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8281A95A-6ADF-4CCF-A596-C4B4A6C5FB35}">
      <dsp:nvSpPr>
        <dsp:cNvPr id="0" name=""/>
        <dsp:cNvSpPr/>
      </dsp:nvSpPr>
      <dsp:spPr>
        <a:xfrm>
          <a:off x="295656" y="2207399"/>
          <a:ext cx="4139184" cy="35424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5: Analysis and Discussions </a:t>
          </a:r>
        </a:p>
      </dsp:txBody>
      <dsp:txXfrm>
        <a:off x="312949" y="2224692"/>
        <a:ext cx="4104598" cy="319654"/>
      </dsp:txXfrm>
    </dsp:sp>
    <dsp:sp modelId="{8E68E916-D68B-4B4D-A111-DA0E00014C55}">
      <dsp:nvSpPr>
        <dsp:cNvPr id="0" name=""/>
        <dsp:cNvSpPr/>
      </dsp:nvSpPr>
      <dsp:spPr>
        <a:xfrm>
          <a:off x="0" y="2928839"/>
          <a:ext cx="5913120" cy="3024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77046F8F-967D-4E3F-8643-A4FD97BB4FC1}">
      <dsp:nvSpPr>
        <dsp:cNvPr id="0" name=""/>
        <dsp:cNvSpPr/>
      </dsp:nvSpPr>
      <dsp:spPr>
        <a:xfrm>
          <a:off x="295656" y="2751719"/>
          <a:ext cx="4139184" cy="35424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51" tIns="0" rIns="156451"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Chapter 6: Conclusion, Limitations and Recommendations</a:t>
          </a:r>
        </a:p>
      </dsp:txBody>
      <dsp:txXfrm>
        <a:off x="312949" y="2769012"/>
        <a:ext cx="4104598"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741A8-F13A-4DC5-BD1E-459913D4D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17168</Words>
  <Characters>97861</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2024-06-17T06:32:00Z</dcterms:created>
  <dcterms:modified xsi:type="dcterms:W3CDTF">2024-06-17T06:32:00Z</dcterms:modified>
</cp:coreProperties>
</file>