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Segoe UI" w:hAnsi="Segoe UI" w:cs="Segoe UI" w:eastAsia="Segoe UI"/>
          <w:color w:val="auto"/>
          <w:spacing w:val="0"/>
          <w:position w:val="0"/>
          <w:sz w:val="20"/>
          <w:shd w:fill="auto" w:val="clear"/>
        </w:rPr>
      </w:pPr>
      <w:r>
        <w:object w:dxaOrig="5000" w:dyaOrig="2227">
          <v:rect xmlns:o="urn:schemas-microsoft-com:office:office" xmlns:v="urn:schemas-microsoft-com:vml" id="rectole0000000000" style="width:250.000000pt;height:111.3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Name: Saiqa Munir</w:t>
      </w: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Student ID: 2330363</w:t>
      </w: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Module Code: (LCHS4001_BIRM)</w:t>
      </w: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Module: </w:t>
      </w: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Lecturer: Reza Taghizadeh</w:t>
      </w: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ab/>
        <w:tab/>
        <w:tab/>
        <w:tab/>
        <w:t xml:space="preserve">Submitted on:    </w:t>
      </w: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b/>
          <w:color w:val="auto"/>
          <w:spacing w:val="0"/>
          <w:position w:val="0"/>
          <w:sz w:val="21"/>
          <w:shd w:fill="auto" w:val="clear"/>
        </w:rPr>
      </w:pPr>
      <w:r>
        <w:rPr>
          <w:rFonts w:ascii="Segoe UI" w:hAnsi="Segoe UI" w:cs="Segoe UI" w:eastAsia="Segoe UI"/>
          <w:b/>
          <w:color w:val="auto"/>
          <w:spacing w:val="0"/>
          <w:position w:val="0"/>
          <w:sz w:val="21"/>
          <w:shd w:fill="auto" w:val="clear"/>
        </w:rPr>
        <w:t xml:space="preserve"> </w:t>
      </w:r>
    </w:p>
    <w:p>
      <w:pPr>
        <w:spacing w:before="0" w:after="160" w:line="259"/>
        <w:ind w:right="0" w:left="0" w:firstLine="0"/>
        <w:jc w:val="left"/>
        <w:rPr>
          <w:rFonts w:ascii="Segoe UI" w:hAnsi="Segoe UI" w:cs="Segoe UI" w:eastAsia="Segoe UI"/>
          <w:b/>
          <w:color w:val="auto"/>
          <w:spacing w:val="0"/>
          <w:position w:val="0"/>
          <w:sz w:val="21"/>
          <w:shd w:fill="auto" w:val="clear"/>
        </w:rPr>
      </w:pPr>
    </w:p>
    <w:p>
      <w:pPr>
        <w:keepNext w:val="true"/>
        <w:keepLines w:val="true"/>
        <w:spacing w:before="240" w:after="0" w:line="259"/>
        <w:ind w:right="0" w:left="0" w:firstLine="0"/>
        <w:jc w:val="left"/>
        <w:rPr>
          <w:rFonts w:ascii="Segoe UI" w:hAnsi="Segoe UI" w:cs="Segoe UI" w:eastAsia="Segoe UI"/>
          <w:b/>
          <w:color w:val="4472C4"/>
          <w:spacing w:val="0"/>
          <w:position w:val="0"/>
          <w:sz w:val="32"/>
          <w:shd w:fill="auto" w:val="clear"/>
        </w:rPr>
      </w:pPr>
      <w:r>
        <w:rPr>
          <w:rFonts w:ascii="Segoe UI" w:hAnsi="Segoe UI" w:cs="Segoe UI" w:eastAsia="Segoe UI"/>
          <w:b/>
          <w:color w:val="4472C4"/>
          <w:spacing w:val="0"/>
          <w:position w:val="0"/>
          <w:sz w:val="32"/>
          <w:shd w:fill="auto" w:val="clear"/>
        </w:rPr>
        <w:t xml:space="preserve">1: Written Report</w:t>
      </w:r>
    </w:p>
    <w:p>
      <w:pPr>
        <w:keepNext w:val="true"/>
        <w:keepLines w:val="true"/>
        <w:spacing w:before="40" w:after="0" w:line="259"/>
        <w:ind w:right="0" w:left="0" w:firstLine="0"/>
        <w:jc w:val="left"/>
        <w:rPr>
          <w:rFonts w:ascii="Segoe UI" w:hAnsi="Segoe UI" w:cs="Segoe UI" w:eastAsia="Segoe UI"/>
          <w:color w:val="4472C4"/>
          <w:spacing w:val="0"/>
          <w:position w:val="0"/>
          <w:sz w:val="28"/>
          <w:shd w:fill="auto" w:val="clear"/>
        </w:rPr>
      </w:pPr>
      <w:r>
        <w:rPr>
          <w:rFonts w:ascii="Segoe UI" w:hAnsi="Segoe UI" w:cs="Segoe UI" w:eastAsia="Segoe UI"/>
          <w:color w:val="4472C4"/>
          <w:spacing w:val="0"/>
          <w:position w:val="0"/>
          <w:sz w:val="28"/>
          <w:shd w:fill="auto" w:val="clear"/>
        </w:rPr>
        <w:t xml:space="preserve">1.1 Introduction</w:t>
      </w:r>
    </w:p>
    <w:p>
      <w:pPr>
        <w:spacing w:before="0" w:after="0" w:line="240"/>
        <w:ind w:right="0" w:left="0" w:firstLine="0"/>
        <w:jc w:val="both"/>
        <w:rPr>
          <w:rFonts w:ascii="Segoe UI" w:hAnsi="Segoe UI" w:cs="Segoe UI" w:eastAsia="Segoe UI"/>
          <w:color w:val="4472C4"/>
          <w:spacing w:val="0"/>
          <w:position w:val="0"/>
          <w:sz w:val="28"/>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1. The Registered Nurse (RN) is a regulated healthcare professional responsible for delivering safe, compotent, ethical and substantion-informed care across the lifetime.</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2. I chose the RN position because it represents the largest regulated healthcare profession encyclopedecally and serves as the critical link between cases and the healthcare system. RNs operate in nearly every care setting</w:t>
      </w:r>
      <w:r>
        <w:rPr>
          <w:rFonts w:ascii="Segoe UI" w:hAnsi="Segoe UI" w:cs="Segoe UI" w:eastAsia="Segoe UI"/>
          <w:color w:val="auto"/>
          <w:spacing w:val="0"/>
          <w:position w:val="0"/>
          <w:sz w:val="21"/>
          <w:shd w:fill="auto" w:val="clear"/>
        </w:rPr>
        <w:t xml:space="preserve">—</w:t>
      </w:r>
      <w:r>
        <w:rPr>
          <w:rFonts w:ascii="Segoe UI" w:hAnsi="Segoe UI" w:cs="Segoe UI" w:eastAsia="Segoe UI"/>
          <w:color w:val="auto"/>
          <w:spacing w:val="0"/>
          <w:position w:val="0"/>
          <w:sz w:val="21"/>
          <w:shd w:fill="auto" w:val="clear"/>
        </w:rPr>
        <w:t xml:space="preserve">from extremity departments to community conventions making their capabilities widely applicable and essential for healthcare delivery.</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3. Registered Nurses are essential to healthcare quality and patient safety. According to the Nursing and Midwifery Councils, RNs must deliver high-quality essential care to all persons, act to secure the public and be responsible for safe, person-centered, substantiation-grounded practice. Without RNs, healthcare systems would collapse under the weight of gawky, unsafe case care.</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4. This report will:</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a) describe the RN job's background and core duties</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b) estimate three critical chops with supporting substantiation and real-world exemplifications</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c) propose three enhancement strategies with practical operations</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d) conclude with the overarching significance of nursing excellence to healthcare issues.</w:t>
      </w:r>
    </w:p>
    <w:p>
      <w:pPr>
        <w:spacing w:before="0" w:after="0" w:line="240"/>
        <w:ind w:right="0" w:left="0" w:firstLine="0"/>
        <w:jc w:val="both"/>
        <w:rPr>
          <w:rFonts w:ascii="Segoe UI" w:hAnsi="Segoe UI" w:cs="Segoe UI" w:eastAsia="Segoe UI"/>
          <w:color w:val="auto"/>
          <w:spacing w:val="0"/>
          <w:position w:val="0"/>
          <w:sz w:val="21"/>
          <w:shd w:fill="auto" w:val="clear"/>
        </w:rPr>
      </w:pPr>
    </w:p>
    <w:p>
      <w:pPr>
        <w:keepNext w:val="true"/>
        <w:keepLines w:val="true"/>
        <w:spacing w:before="40" w:after="0" w:line="259"/>
        <w:ind w:right="0" w:left="0" w:firstLine="0"/>
        <w:jc w:val="left"/>
        <w:rPr>
          <w:rFonts w:ascii="Segoe UI" w:hAnsi="Segoe UI" w:cs="Segoe UI" w:eastAsia="Segoe UI"/>
          <w:color w:val="4472C4"/>
          <w:spacing w:val="0"/>
          <w:position w:val="0"/>
          <w:sz w:val="28"/>
          <w:shd w:fill="auto" w:val="clear"/>
        </w:rPr>
      </w:pPr>
      <w:r>
        <w:rPr>
          <w:rFonts w:ascii="Segoe UI" w:hAnsi="Segoe UI" w:cs="Segoe UI" w:eastAsia="Segoe UI"/>
          <w:color w:val="4472C4"/>
          <w:spacing w:val="0"/>
          <w:position w:val="0"/>
          <w:sz w:val="28"/>
          <w:shd w:fill="auto" w:val="clear"/>
        </w:rPr>
        <w:t xml:space="preserve">1.2 Description of, and background to, [Your Role] in Healthcare </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Registered nursing surfaced from professionalisation of healthcare in the 19th century, evolving from informal caregiving to a wisdom-grounded discipline taking formal education and non-supervisory oversight. RNs complete university-position education and must demonstrate capability across four disciplines professional values, communication and interpersonal chops, nursing practice, and decision-timber, and leadership, operation, and crew working.</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1. Duties performed by RNs include:</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Conducting holistic case assessments and covering vital signs</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 Administering specifics safely using the 'five rights' (right case, drug, cure, route, and time)</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Developing and enforcing personalised care plans in collaboration with cases and families</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Coordinating care across multidisciplinary brigades and managing care transitions</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Furnishing health education and promoting illness forestallment</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Maintaining accurate attestation and icing confidentiality.</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2. The most important duty is icing patient safety through clinical judgement and rapid-fire response to deterioration. The NMC norm emphasise that RNs must "honour and responds incontinently when customer safety is affected" and when "customer's condition is deteriorating".</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3. Crucial chops needed included clinical capability (crack, care, drug administration, exigency response), communication capacities (active listening, health education, attestation), critical thinking (clinical logic, problem-working, decision-timber), and leadership capabilities (crew collaboration, advocacy, delegation)</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4472C4"/>
          <w:spacing w:val="0"/>
          <w:position w:val="0"/>
          <w:sz w:val="28"/>
          <w:shd w:fill="auto" w:val="clear"/>
        </w:rPr>
      </w:pPr>
      <w:r>
        <w:rPr>
          <w:rFonts w:ascii="Segoe UI" w:hAnsi="Segoe UI" w:cs="Segoe UI" w:eastAsia="Segoe UI"/>
          <w:color w:val="4472C4"/>
          <w:spacing w:val="0"/>
          <w:position w:val="0"/>
          <w:sz w:val="28"/>
          <w:shd w:fill="auto" w:val="clear"/>
        </w:rPr>
        <w:t xml:space="preserve">1.3 Evaluation of the skills needed for [Your Role] in Healthcare</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Three utmost Important expertise:</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1. Clinical capability and Case Assessment Clinical capability represents the foundation of safe nursing practice. RNs must master patient assessment, drug administration, infection control, crack care, and extremity response. According to the Centers for Disease Control and Prevention, nurses serve as frontline leaders in precluding healthcare-associated infections.</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Why this skill matters:</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Clinical Capability directly impacts patient mortality and morbidity. For illustration, an RN recognising early sepsis signs </w:t>
      </w: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can spark rapid-fire response protocols and save lives. Exploration indicates that nurses are frequently the first to notice patient deterioration, making assessment chops critical for precluding cardiac apprehensions and unanticipated deaths.</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Consequences of insufficiency:</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Without clinical capability, drug crimes do, infections spread, and patient deterioration goes uncelebrated. A nurse unfit to interpret cardiac measures might miss atrial fibrillation, leading to stroke. Poor injection fashions cand induce whim-whams damage or sepsis. These failiures compromise patient safety and expose healthcare associations to action.</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2. Communication and Interpersonal expertise Effective communication encompasses verbal, non-verbal and written exchanges with cases, families, and healthcare brigades. The Nursing and Midwifery Council requires RNs to "make hookups and remedial cases through safe, effective and non-discriminatory communication".</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Why this skill matters:</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Communication crimes contribute to 70% of guard events in healthcare. RNs must restate complex medical information into accessible language for cases while directky conveying critical information to physicians. Cross-cultural empathy is essential </w:t>
      </w: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during an extremity department shift, nurses minding for a Muslim family injured during Eid fests demonstrated artistic perceptivity by requesting femenine providers for femenine cases and using sequestration defenses, thereby maintaining trust while delivering critical care.</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Consequences of insufficiency:</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Poor communication leads to drug crimes, missed judgements, and patient dissatisfaction. An RN who documents unclearly might induce a physician to order contraindicated specifics. Failiure to hear laboriously can affect in missed patient enterprises, delayed opinion, or complaints of negligence. Eventually, communication failiures erode remedial connections and compromise care collaboration. </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3. Critical Thinking and Clinical Decision-Making Critical thinking enables RNs to "assay and interpret data attained in customer assessment to inform ongoing decision-making" and "anticipate factual and implicit health pitfalls". This skill involves clinical logic, problem-working, and judgement under pressure.</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Why this skill matters:</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Heathcare surroundings are dynamic and changeable. An RN in a medical-surgical unit might notice apost-operative patient developing adding pain, tachycardia and anxiety </w:t>
      </w: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recognising these as implicit pulmonary embolism symptoms rather than simplypost-surgical discomfort. This critical thinking triggers applicable interventions (oxygen, anticoagulation announcement, extremity crew activation) before cardiac collapse occurs.</w:t>
      </w:r>
    </w:p>
    <w:p>
      <w:pPr>
        <w:spacing w:before="0" w:after="0" w:line="240"/>
        <w:ind w:right="0" w:left="0" w:firstLine="0"/>
        <w:jc w:val="both"/>
        <w:rPr>
          <w:rFonts w:ascii="Segoe UI" w:hAnsi="Segoe UI" w:cs="Segoe UI" w:eastAsia="Segoe UI"/>
          <w:color w:val="auto"/>
          <w:spacing w:val="0"/>
          <w:position w:val="0"/>
          <w:sz w:val="21"/>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Consequences of insufficiency:</w:t>
      </w:r>
    </w:p>
    <w:p>
      <w:pPr>
        <w:spacing w:before="0" w:after="0" w:line="240"/>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Nurses lacking critical thinking come task-acquainted rather than case-centered. They may follow protocols strictly without recognising when exceptions are demanded, fail to prioritise contending demands, or miss subtle deterioration signs. This 'failiure to deliver' contributes to preventable deaths and represents a significant patient safety concerns.</w:t>
      </w:r>
    </w:p>
    <w:p>
      <w:pPr>
        <w:spacing w:before="0" w:after="0" w:line="240"/>
        <w:ind w:right="0" w:left="0" w:firstLine="0"/>
        <w:jc w:val="both"/>
        <w:rPr>
          <w:rFonts w:ascii="Segoe UI" w:hAnsi="Segoe UI" w:cs="Segoe UI" w:eastAsia="Segoe UI"/>
          <w:color w:val="auto"/>
          <w:spacing w:val="0"/>
          <w:position w:val="0"/>
          <w:sz w:val="21"/>
          <w:shd w:fill="auto" w:val="clear"/>
        </w:rPr>
      </w:pPr>
    </w:p>
    <w:p>
      <w:pPr>
        <w:keepNext w:val="true"/>
        <w:keepLines w:val="true"/>
        <w:spacing w:before="40" w:after="0" w:line="259"/>
        <w:ind w:right="0" w:left="0" w:firstLine="0"/>
        <w:jc w:val="left"/>
        <w:rPr>
          <w:rFonts w:ascii="Segoe UI" w:hAnsi="Segoe UI" w:cs="Segoe UI" w:eastAsia="Segoe UI"/>
          <w:color w:val="4472C4"/>
          <w:spacing w:val="0"/>
          <w:position w:val="0"/>
          <w:sz w:val="28"/>
          <w:shd w:fill="auto" w:val="clear"/>
        </w:rPr>
      </w:pPr>
      <w:r>
        <w:rPr>
          <w:rFonts w:ascii="Segoe UI" w:hAnsi="Segoe UI" w:cs="Segoe UI" w:eastAsia="Segoe UI"/>
          <w:color w:val="4472C4"/>
          <w:spacing w:val="0"/>
          <w:position w:val="0"/>
          <w:sz w:val="28"/>
          <w:shd w:fill="auto" w:val="clear"/>
        </w:rPr>
        <w:t xml:space="preserve">1.4 Strategies to improve the skills for [Your Role]</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auto"/>
          <w:spacing w:val="0"/>
          <w:position w:val="0"/>
          <w:sz w:val="21"/>
          <w:u w:val="single"/>
          <w:shd w:fill="auto" w:val="clear"/>
        </w:rPr>
      </w:pPr>
      <w:r>
        <w:rPr>
          <w:rFonts w:ascii="Segoe UI" w:hAnsi="Segoe UI" w:cs="Segoe UI" w:eastAsia="Segoe UI"/>
          <w:color w:val="auto"/>
          <w:spacing w:val="0"/>
          <w:position w:val="0"/>
          <w:sz w:val="21"/>
          <w:u w:val="single"/>
          <w:shd w:fill="auto" w:val="clear"/>
        </w:rPr>
        <w:t xml:space="preserve">Strategy 1</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Simulation- Grounded Training and Expertise Labs</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Simulation provides safe, controlled surroundings for rehearsing high-threat, low-frequence procedures without case detriment. High-dedication mannequins can mimic cardiac apprehensions, postpartum hemorrhages, or anaphylactic responses, allowing RNs to develop muscle memory and decision-making speed.</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How it works:</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Simulation scripts present realistic clinical situations taking rapid-fire assessemnt, intervention, and crew collaboration. Debriefing sessions subsequently allow reflection on performance gaps. For illustration, an RN rehearsing central line insertion in simulation masters strerile fashion before performing on factual cases, reducing bloodstream injection pitfalls.</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Why chosen:</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Research demonstrates that simulation improves clinical capability, communication, and critical thinking comtemporaneously. The Lynn Community Heal Centre utilises simulation training for enhancing critical thinking and problem-working expertise through case study reviews. This strategy addresses all three essential expertise in an intertwined manner.</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auto"/>
          <w:spacing w:val="0"/>
          <w:position w:val="0"/>
          <w:sz w:val="21"/>
          <w:u w:val="single"/>
          <w:shd w:fill="auto" w:val="clear"/>
        </w:rPr>
      </w:pPr>
      <w:r>
        <w:rPr>
          <w:rFonts w:ascii="Segoe UI" w:hAnsi="Segoe UI" w:cs="Segoe UI" w:eastAsia="Segoe UI"/>
          <w:color w:val="auto"/>
          <w:spacing w:val="0"/>
          <w:position w:val="0"/>
          <w:sz w:val="21"/>
          <w:u w:val="single"/>
          <w:shd w:fill="auto" w:val="clear"/>
        </w:rPr>
        <w:t xml:space="preserve">Strategy 2</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Reflective Practice and Clinical Supervision</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Reflective practice involves totally reviewing clinical gests to identify literacy requirements and ameliorate unborn performance. The NMC norms bear RNs to "be tone-apprehensive and honour how their own values, principles and hypotheticals may affect their practice" through "supervision, feedback, reflection and evaluation".</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How it works:</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RNs maintain reflective journals or share in structured clinical supervision sessions where they bandy grueling cases, emotional responses, and indispensable approaches. For case, after a drug near-miss, an RN might reflect on distraction factors, verification processes, and system advancements </w:t>
      </w: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transubstantiating crimes into literacy openings.</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Why chosen:</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Reflection develops tone-mindfulness, emotional adaptability, and nonstop enhancement mindsets. Mental health nursing norms specifically emphasise "clinical supervision and reflections, within a values-grounded internal health frame, to explore how their values, beliefs and feelings affect their leadership, operation and practice". This strategy particularly strengthens communication and critical thinking exxpertise.</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auto"/>
          <w:spacing w:val="0"/>
          <w:position w:val="0"/>
          <w:sz w:val="21"/>
          <w:u w:val="single"/>
          <w:shd w:fill="auto" w:val="clear"/>
        </w:rPr>
      </w:pPr>
      <w:r>
        <w:rPr>
          <w:rFonts w:ascii="Segoe UI" w:hAnsi="Segoe UI" w:cs="Segoe UI" w:eastAsia="Segoe UI"/>
          <w:color w:val="auto"/>
          <w:spacing w:val="0"/>
          <w:position w:val="0"/>
          <w:sz w:val="21"/>
          <w:u w:val="single"/>
          <w:shd w:fill="auto" w:val="clear"/>
        </w:rPr>
        <w:t xml:space="preserve">Strategy 3</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Continuing Professional Development (CPD) and Mentorship CPD encompasses formal education, shops, e-learning, and faculty assessments needed for enrollment conservation. The NMC authorisations that RNs "assess own practice and individual capability to identify literacy requirements" and "develop a literacy plan using a variety of sources".</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How it works:</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RNs engage in regular training updates similar as Advanced Cardiac Life Support (ACLS) recertification, crack care instrument, or communication expertise shops. Preceptorship programs brace new graduates, easing knowledge transfers. For illustration, a nurse completing a diabetic bottom care instrument improves assessment expertise and patient education capabilities, directly reducing amputauion rates among diabetic cases.</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Why chosen:</w:t>
      </w:r>
    </w:p>
    <w:p>
      <w:pPr>
        <w:spacing w:before="0" w:after="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Healthcare knowledge evolves speedily; CPD ensures capability remains current. The Singapore nursing frame emphasises that RNs must demonstrate "nonstop/life-long literacy" and "commitment to professional development". This strategy provides structured pathways for maintaining and advancing all three essential expertise throughout careers.</w:t>
      </w: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color w:val="4472C4"/>
          <w:spacing w:val="0"/>
          <w:position w:val="0"/>
          <w:sz w:val="28"/>
          <w:shd w:fill="auto" w:val="clear"/>
        </w:rPr>
      </w:pPr>
      <w:r>
        <w:rPr>
          <w:rFonts w:ascii="Segoe UI" w:hAnsi="Segoe UI" w:cs="Segoe UI" w:eastAsia="Segoe UI"/>
          <w:color w:val="4472C4"/>
          <w:spacing w:val="0"/>
          <w:position w:val="0"/>
          <w:sz w:val="28"/>
          <w:shd w:fill="auto" w:val="clear"/>
        </w:rPr>
        <w:t xml:space="preserve">1.5 Conclusion</w:t>
      </w:r>
    </w:p>
    <w:p>
      <w:pPr>
        <w:spacing w:before="0" w:after="0" w:line="240"/>
        <w:ind w:right="0" w:left="0" w:firstLine="0"/>
        <w:jc w:val="left"/>
        <w:rPr>
          <w:rFonts w:ascii="Segoe UI" w:hAnsi="Segoe UI" w:cs="Segoe UI" w:eastAsia="Segoe UI"/>
          <w:color w:val="auto"/>
          <w:spacing w:val="0"/>
          <w:position w:val="0"/>
          <w:sz w:val="21"/>
          <w:shd w:fill="auto" w:val="clear"/>
        </w:rPr>
      </w:pPr>
    </w:p>
    <w:p>
      <w:pPr>
        <w:spacing w:before="0" w:after="0" w:line="240"/>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The Registered Nurse job remains necessary to safe, high-quality healthcare delivery. This report has outlined the RN's multifaceted duties gauging clinical care, collaboration, and advocacy; estimated three essential expertise </w:t>
      </w: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clinical capability, communication, and critical thinking </w:t>
      </w:r>
      <w:r>
        <w:rPr>
          <w:rFonts w:ascii="Segoe UI" w:hAnsi="Segoe UI" w:cs="Segoe UI" w:eastAsia="Segoe UI"/>
          <w:color w:val="auto"/>
          <w:spacing w:val="0"/>
          <w:position w:val="0"/>
          <w:sz w:val="21"/>
          <w:shd w:fill="auto" w:val="clear"/>
        </w:rPr>
        <w:t xml:space="preserve">— </w:t>
      </w:r>
      <w:r>
        <w:rPr>
          <w:rFonts w:ascii="Segoe UI" w:hAnsi="Segoe UI" w:cs="Segoe UI" w:eastAsia="Segoe UI"/>
          <w:color w:val="auto"/>
          <w:spacing w:val="0"/>
          <w:position w:val="0"/>
          <w:sz w:val="21"/>
          <w:shd w:fill="auto" w:val="clear"/>
        </w:rPr>
        <w:t xml:space="preserve">demonstrating their direct impact on patient issues and the severe consequences of their absence; and presented substantiation-grounded enhancement strategies including simulation training, reflective practice, and continuing professional development. As healthcare systems face adding complexity and case perceptivity, investing in nursing excellence represents not simply professional development but a abecedarian case safety imperative. The future of healthcare depends upon nurses who are clinically complete, compassionately communicative, and critically sharp.</w:t>
      </w:r>
    </w:p>
    <w:p>
      <w:pPr>
        <w:spacing w:before="0" w:after="0" w:line="240"/>
        <w:ind w:right="0" w:left="0" w:firstLine="0"/>
        <w:jc w:val="left"/>
        <w:rPr>
          <w:rFonts w:ascii="Segoe UI" w:hAnsi="Segoe UI" w:cs="Segoe UI" w:eastAsia="Segoe UI"/>
          <w:color w:val="auto"/>
          <w:spacing w:val="0"/>
          <w:position w:val="0"/>
          <w:sz w:val="21"/>
          <w:shd w:fill="auto" w:val="clear"/>
        </w:rPr>
      </w:pPr>
    </w:p>
    <w:p>
      <w:pPr>
        <w:spacing w:before="0" w:after="0" w:line="240"/>
        <w:ind w:right="0" w:left="0" w:firstLine="0"/>
        <w:jc w:val="left"/>
        <w:rPr>
          <w:rFonts w:ascii="Segoe UI" w:hAnsi="Segoe UI" w:cs="Segoe UI" w:eastAsia="Segoe UI"/>
          <w:color w:val="4472C4"/>
          <w:spacing w:val="0"/>
          <w:position w:val="0"/>
          <w:sz w:val="28"/>
          <w:shd w:fill="auto" w:val="clear"/>
        </w:rPr>
      </w:pPr>
      <w:r>
        <w:rPr>
          <w:rFonts w:ascii="Segoe UI" w:hAnsi="Segoe UI" w:cs="Segoe UI" w:eastAsia="Segoe UI"/>
          <w:color w:val="4472C4"/>
          <w:spacing w:val="0"/>
          <w:position w:val="0"/>
          <w:sz w:val="28"/>
          <w:shd w:fill="auto" w:val="clear"/>
        </w:rPr>
        <w:t xml:space="preserve">1.6 Reference List</w:t>
      </w:r>
    </w:p>
    <w:p>
      <w:pPr>
        <w:spacing w:before="0" w:after="0" w:line="240"/>
        <w:ind w:right="0" w:left="0" w:firstLine="0"/>
        <w:jc w:val="left"/>
        <w:rPr>
          <w:rFonts w:ascii="Segoe UI" w:hAnsi="Segoe UI" w:cs="Segoe UI" w:eastAsia="Segoe UI"/>
          <w:color w:val="auto"/>
          <w:spacing w:val="0"/>
          <w:position w:val="0"/>
          <w:sz w:val="21"/>
          <w:shd w:fill="auto" w:val="clear"/>
        </w:rPr>
      </w:pPr>
    </w:p>
    <w:p>
      <w:pPr>
        <w:spacing w:before="0" w:after="0" w:line="240"/>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NHS Health Careers. Nursing careers.</w:t>
      </w:r>
    </w:p>
    <w:p>
      <w:pPr>
        <w:spacing w:before="0" w:after="0" w:line="240"/>
        <w:ind w:right="0" w:left="0" w:firstLine="0"/>
        <w:jc w:val="left"/>
        <w:rPr>
          <w:rFonts w:ascii="Segoe UI" w:hAnsi="Segoe UI" w:cs="Segoe UI" w:eastAsia="Segoe UI"/>
          <w:color w:val="auto"/>
          <w:spacing w:val="0"/>
          <w:position w:val="0"/>
          <w:sz w:val="21"/>
          <w:shd w:fill="auto" w:val="clear"/>
        </w:rPr>
      </w:pPr>
      <w:hyperlink xmlns:r="http://schemas.openxmlformats.org/officeDocument/2006/relationships" r:id="docRId2">
        <w:r>
          <w:rPr>
            <w:rFonts w:ascii="Segoe UI" w:hAnsi="Segoe UI" w:cs="Segoe UI" w:eastAsia="Segoe UI"/>
            <w:color w:val="0000FF"/>
            <w:spacing w:val="0"/>
            <w:position w:val="0"/>
            <w:sz w:val="21"/>
            <w:u w:val="single"/>
            <w:shd w:fill="auto" w:val="clear"/>
          </w:rPr>
          <w:t xml:space="preserve">https://www.healthcareers.nhs.uk/we-are-the-nhs/nursing-careers</w:t>
        </w:r>
      </w:hyperlink>
    </w:p>
    <w:p>
      <w:pPr>
        <w:spacing w:before="0" w:after="0" w:line="240"/>
        <w:ind w:right="0" w:left="0" w:firstLine="0"/>
        <w:jc w:val="left"/>
        <w:rPr>
          <w:rFonts w:ascii="Segoe UI" w:hAnsi="Segoe UI" w:cs="Segoe UI" w:eastAsia="Segoe UI"/>
          <w:color w:val="auto"/>
          <w:spacing w:val="0"/>
          <w:position w:val="0"/>
          <w:sz w:val="21"/>
          <w:shd w:fill="auto" w:val="clear"/>
        </w:rPr>
      </w:pPr>
    </w:p>
    <w:p>
      <w:pPr>
        <w:spacing w:before="0" w:after="0" w:line="240"/>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NHS Health Careers. How to become a nurse.</w:t>
      </w:r>
    </w:p>
    <w:p>
      <w:pPr>
        <w:spacing w:before="0" w:after="0" w:line="240"/>
        <w:ind w:right="0" w:left="0" w:firstLine="0"/>
        <w:jc w:val="left"/>
        <w:rPr>
          <w:rFonts w:ascii="Segoe UI" w:hAnsi="Segoe UI" w:cs="Segoe UI" w:eastAsia="Segoe UI"/>
          <w:color w:val="auto"/>
          <w:spacing w:val="0"/>
          <w:position w:val="0"/>
          <w:sz w:val="21"/>
          <w:shd w:fill="auto" w:val="clear"/>
        </w:rPr>
      </w:pPr>
      <w:hyperlink xmlns:r="http://schemas.openxmlformats.org/officeDocument/2006/relationships" r:id="docRId3">
        <w:r>
          <w:rPr>
            <w:rFonts w:ascii="Segoe UI" w:hAnsi="Segoe UI" w:cs="Segoe UI" w:eastAsia="Segoe UI"/>
            <w:color w:val="0000FF"/>
            <w:spacing w:val="0"/>
            <w:position w:val="0"/>
            <w:sz w:val="21"/>
            <w:u w:val="single"/>
            <w:shd w:fill="auto" w:val="clear"/>
          </w:rPr>
          <w:t xml:space="preserve">https://www.healthcareers.nhs.uk/explore-roles/nursing/how-become-nurse?career=Nurse</w:t>
        </w:r>
      </w:hyperlink>
    </w:p>
    <w:p>
      <w:pPr>
        <w:spacing w:before="0" w:after="0" w:line="240"/>
        <w:ind w:right="0" w:left="0" w:firstLine="0"/>
        <w:jc w:val="left"/>
        <w:rPr>
          <w:rFonts w:ascii="Segoe UI" w:hAnsi="Segoe UI" w:cs="Segoe UI" w:eastAsia="Segoe UI"/>
          <w:color w:val="auto"/>
          <w:spacing w:val="0"/>
          <w:position w:val="0"/>
          <w:sz w:val="21"/>
          <w:shd w:fill="auto" w:val="clear"/>
        </w:rPr>
      </w:pPr>
    </w:p>
    <w:p>
      <w:pPr>
        <w:spacing w:before="0" w:after="0" w:line="240"/>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NHS Professionals. Careers in healthcare: Nursing</w:t>
      </w:r>
    </w:p>
    <w:p>
      <w:pPr>
        <w:spacing w:before="0" w:after="0" w:line="240"/>
        <w:ind w:right="0" w:left="0" w:firstLine="0"/>
        <w:jc w:val="left"/>
        <w:rPr>
          <w:rFonts w:ascii="Segoe UI" w:hAnsi="Segoe UI" w:cs="Segoe UI" w:eastAsia="Segoe UI"/>
          <w:color w:val="auto"/>
          <w:spacing w:val="0"/>
          <w:position w:val="0"/>
          <w:sz w:val="21"/>
          <w:shd w:fill="auto" w:val="clear"/>
        </w:rPr>
      </w:pPr>
      <w:hyperlink xmlns:r="http://schemas.openxmlformats.org/officeDocument/2006/relationships" r:id="docRId4">
        <w:r>
          <w:rPr>
            <w:rFonts w:ascii="Segoe UI" w:hAnsi="Segoe UI" w:cs="Segoe UI" w:eastAsia="Segoe UI"/>
            <w:color w:val="0000FF"/>
            <w:spacing w:val="0"/>
            <w:position w:val="0"/>
            <w:sz w:val="21"/>
            <w:u w:val="single"/>
            <w:shd w:fill="auto" w:val="clear"/>
          </w:rPr>
          <w:t xml:space="preserve">https://www.nhsprofessionals.nhs.uk/nhs-staffing-pool-hub/careers-in-healthcare/nursing</w:t>
        </w:r>
      </w:hyperlink>
    </w:p>
    <w:p>
      <w:pPr>
        <w:spacing w:before="0" w:after="0" w:line="240"/>
        <w:ind w:right="0" w:left="0" w:firstLine="0"/>
        <w:jc w:val="left"/>
        <w:rPr>
          <w:rFonts w:ascii="Segoe UI" w:hAnsi="Segoe UI" w:cs="Segoe UI" w:eastAsia="Segoe UI"/>
          <w:color w:val="auto"/>
          <w:spacing w:val="0"/>
          <w:position w:val="0"/>
          <w:sz w:val="21"/>
          <w:shd w:fill="auto" w:val="clear"/>
        </w:rPr>
      </w:pPr>
    </w:p>
    <w:p>
      <w:pPr>
        <w:spacing w:before="0" w:after="0" w:line="240"/>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Royal College of Nursing (2022). Workforce standards.</w:t>
      </w:r>
    </w:p>
    <w:p>
      <w:pPr>
        <w:spacing w:before="0" w:after="0" w:line="240"/>
        <w:ind w:right="0" w:left="0" w:firstLine="0"/>
        <w:jc w:val="left"/>
        <w:rPr>
          <w:rFonts w:ascii="Segoe UI" w:hAnsi="Segoe UI" w:cs="Segoe UI" w:eastAsia="Segoe UI"/>
          <w:color w:val="auto"/>
          <w:spacing w:val="0"/>
          <w:position w:val="0"/>
          <w:sz w:val="21"/>
          <w:shd w:fill="auto" w:val="clear"/>
        </w:rPr>
      </w:pPr>
      <w:hyperlink xmlns:r="http://schemas.openxmlformats.org/officeDocument/2006/relationships" r:id="docRId5">
        <w:r>
          <w:rPr>
            <w:rFonts w:ascii="Segoe UI" w:hAnsi="Segoe UI" w:cs="Segoe UI" w:eastAsia="Segoe UI"/>
            <w:color w:val="0000FF"/>
            <w:spacing w:val="0"/>
            <w:position w:val="0"/>
            <w:sz w:val="21"/>
            <w:u w:val="single"/>
            <w:shd w:fill="auto" w:val="clear"/>
          </w:rPr>
          <w:t xml:space="preserve">https://www.rcn.org.uk/professional-development/publications</w:t>
        </w:r>
      </w:hyperlink>
    </w:p>
    <w:p>
      <w:pPr>
        <w:spacing w:before="0" w:after="0" w:line="240"/>
        <w:ind w:right="0" w:left="0" w:firstLine="0"/>
        <w:jc w:val="left"/>
        <w:rPr>
          <w:rFonts w:ascii="Segoe UI" w:hAnsi="Segoe UI" w:cs="Segoe UI" w:eastAsia="Segoe UI"/>
          <w:color w:val="auto"/>
          <w:spacing w:val="0"/>
          <w:position w:val="0"/>
          <w:sz w:val="21"/>
          <w:shd w:fill="auto" w:val="clear"/>
        </w:rPr>
      </w:pPr>
    </w:p>
    <w:p>
      <w:pPr>
        <w:spacing w:before="0" w:after="0" w:line="240"/>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World Health Organistaion (2020) State of the world's nursing 2020.</w:t>
      </w:r>
    </w:p>
    <w:p>
      <w:pPr>
        <w:spacing w:before="0" w:after="0" w:line="240"/>
        <w:ind w:right="0" w:left="0" w:firstLine="0"/>
        <w:jc w:val="left"/>
        <w:rPr>
          <w:rFonts w:ascii="Segoe UI" w:hAnsi="Segoe UI" w:cs="Segoe UI" w:eastAsia="Segoe UI"/>
          <w:color w:val="4472C4"/>
          <w:spacing w:val="0"/>
          <w:position w:val="0"/>
          <w:sz w:val="28"/>
          <w:shd w:fill="auto" w:val="clear"/>
        </w:rPr>
      </w:pPr>
      <w:hyperlink xmlns:r="http://schemas.openxmlformats.org/officeDocument/2006/relationships" r:id="docRId6">
        <w:r>
          <w:rPr>
            <w:rFonts w:ascii="Segoe UI" w:hAnsi="Segoe UI" w:cs="Segoe UI" w:eastAsia="Segoe UI"/>
            <w:color w:val="0000FF"/>
            <w:spacing w:val="0"/>
            <w:position w:val="0"/>
            <w:sz w:val="21"/>
            <w:u w:val="single"/>
            <w:shd w:fill="auto" w:val="clear"/>
          </w:rPr>
          <w:t xml:space="preserve">https://www.who.int/publications/i/item/9789240003279</w:t>
        </w:r>
      </w:hyperlink>
    </w:p>
    <w:p>
      <w:pPr>
        <w:spacing w:before="0" w:after="160" w:line="259"/>
        <w:ind w:right="0" w:left="0" w:firstLine="0"/>
        <w:jc w:val="left"/>
        <w:rPr>
          <w:rFonts w:ascii="Segoe UI" w:hAnsi="Segoe UI" w:cs="Segoe UI" w:eastAsia="Segoe UI"/>
          <w:color w:val="FF0000"/>
          <w:spacing w:val="0"/>
          <w:position w:val="0"/>
          <w:sz w:val="2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healthcareers.nhs.uk/explore-roles/nursing/how-become-nurse?career=Nurse" Id="docRId3" Type="http://schemas.openxmlformats.org/officeDocument/2006/relationships/hyperlink" /><Relationship Target="numbering.xml" Id="docRId7" Type="http://schemas.openxmlformats.org/officeDocument/2006/relationships/numbering" /><Relationship Target="embeddings/oleObject0.bin" Id="docRId0" Type="http://schemas.openxmlformats.org/officeDocument/2006/relationships/oleObject" /><Relationship TargetMode="External" Target="https://www.healthcareers.nhs.uk/we-are-the-nhs/nursing-careers" Id="docRId2" Type="http://schemas.openxmlformats.org/officeDocument/2006/relationships/hyperlink" /><Relationship TargetMode="External" Target="https://www.nhsprofessionals.nhs.uk/nhs-staffing-pool-hub/careers-in-healthcare/nursing" Id="docRId4" Type="http://schemas.openxmlformats.org/officeDocument/2006/relationships/hyperlink" /><Relationship TargetMode="External" Target="https://www.who.int/publications/i/item/9789240003279" Id="docRId6" Type="http://schemas.openxmlformats.org/officeDocument/2006/relationships/hyperlink" /><Relationship Target="styles.xml" Id="docRId8" Type="http://schemas.openxmlformats.org/officeDocument/2006/relationships/styles" /><Relationship Target="media/image0.wmf" Id="docRId1" Type="http://schemas.openxmlformats.org/officeDocument/2006/relationships/image" /><Relationship TargetMode="External" Target="https://www.rcn.org.uk/professional-development/publications" Id="docRId5" Type="http://schemas.openxmlformats.org/officeDocument/2006/relationships/hyperlink" /></Relationships>
</file>