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B06158" w14:textId="2892ADC4" w:rsidR="008B0C53" w:rsidRPr="00612BAF" w:rsidRDefault="009F7A20" w:rsidP="002D08FF">
      <w:pPr>
        <w:pStyle w:val="NormalWeb"/>
        <w:spacing w:before="0" w:beforeAutospacing="0" w:after="0" w:afterAutospacing="0" w:line="480" w:lineRule="auto"/>
        <w:rPr>
          <w:rFonts w:asciiTheme="minorHAnsi" w:hAnsiTheme="minorHAnsi" w:cstheme="minorHAnsi"/>
        </w:rPr>
      </w:pPr>
      <w:r w:rsidRPr="00612BAF">
        <w:rPr>
          <w:rFonts w:asciiTheme="minorHAnsi" w:hAnsiTheme="minorHAnsi" w:cstheme="minorHAnsi"/>
        </w:rPr>
        <w:t xml:space="preserve">Genesis 22, the Binding of Isaac (Akedah) is a timeless, well-structured, well-paced narrative. </w:t>
      </w:r>
      <w:r w:rsidR="004B65C1" w:rsidRPr="00612BAF">
        <w:rPr>
          <w:rFonts w:asciiTheme="minorHAnsi" w:hAnsiTheme="minorHAnsi" w:cstheme="minorHAnsi"/>
        </w:rPr>
        <w:t xml:space="preserve">This exegesis </w:t>
      </w:r>
      <w:r w:rsidR="00D55C08" w:rsidRPr="00612BAF">
        <w:rPr>
          <w:rFonts w:asciiTheme="minorHAnsi" w:hAnsiTheme="minorHAnsi" w:cstheme="minorHAnsi"/>
        </w:rPr>
        <w:t xml:space="preserve">critically </w:t>
      </w:r>
      <w:r w:rsidR="00EF2C45" w:rsidRPr="00612BAF">
        <w:rPr>
          <w:rFonts w:asciiTheme="minorHAnsi" w:hAnsiTheme="minorHAnsi" w:cstheme="minorHAnsi"/>
        </w:rPr>
        <w:t>explores</w:t>
      </w:r>
      <w:r w:rsidR="004B65C1" w:rsidRPr="00612BAF">
        <w:rPr>
          <w:rFonts w:asciiTheme="minorHAnsi" w:hAnsiTheme="minorHAnsi" w:cstheme="minorHAnsi"/>
        </w:rPr>
        <w:t xml:space="preserve"> </w:t>
      </w:r>
      <w:r w:rsidR="00EF2C45" w:rsidRPr="00612BAF">
        <w:rPr>
          <w:rFonts w:asciiTheme="minorHAnsi" w:hAnsiTheme="minorHAnsi" w:cstheme="minorHAnsi"/>
        </w:rPr>
        <w:t xml:space="preserve">aspects of </w:t>
      </w:r>
      <w:r w:rsidR="00D35666" w:rsidRPr="00612BAF">
        <w:rPr>
          <w:rFonts w:asciiTheme="minorHAnsi" w:hAnsiTheme="minorHAnsi" w:cstheme="minorHAnsi"/>
        </w:rPr>
        <w:t>its</w:t>
      </w:r>
      <w:r w:rsidR="004B65C1" w:rsidRPr="00612BAF">
        <w:rPr>
          <w:rFonts w:asciiTheme="minorHAnsi" w:hAnsiTheme="minorHAnsi" w:cstheme="minorHAnsi"/>
        </w:rPr>
        <w:t xml:space="preserve"> literary</w:t>
      </w:r>
      <w:r w:rsidR="00D35666" w:rsidRPr="00612BAF">
        <w:rPr>
          <w:rFonts w:asciiTheme="minorHAnsi" w:hAnsiTheme="minorHAnsi" w:cstheme="minorHAnsi"/>
        </w:rPr>
        <w:t xml:space="preserve">, </w:t>
      </w:r>
      <w:r w:rsidR="008E760A" w:rsidRPr="00612BAF">
        <w:rPr>
          <w:rFonts w:asciiTheme="minorHAnsi" w:hAnsiTheme="minorHAnsi" w:cstheme="minorHAnsi"/>
        </w:rPr>
        <w:t>theological</w:t>
      </w:r>
      <w:r w:rsidR="00D35666" w:rsidRPr="00612BAF">
        <w:rPr>
          <w:rFonts w:asciiTheme="minorHAnsi" w:hAnsiTheme="minorHAnsi" w:cstheme="minorHAnsi"/>
        </w:rPr>
        <w:t xml:space="preserve"> </w:t>
      </w:r>
      <w:r w:rsidRPr="00612BAF">
        <w:rPr>
          <w:rFonts w:asciiTheme="minorHAnsi" w:hAnsiTheme="minorHAnsi" w:cstheme="minorHAnsi"/>
        </w:rPr>
        <w:t xml:space="preserve">and </w:t>
      </w:r>
      <w:r w:rsidR="008E7061" w:rsidRPr="00612BAF">
        <w:rPr>
          <w:rFonts w:asciiTheme="minorHAnsi" w:hAnsiTheme="minorHAnsi" w:cstheme="minorHAnsi"/>
        </w:rPr>
        <w:t>ethical</w:t>
      </w:r>
      <w:r w:rsidR="008E760A" w:rsidRPr="00612BAF">
        <w:rPr>
          <w:rFonts w:asciiTheme="minorHAnsi" w:hAnsiTheme="minorHAnsi" w:cstheme="minorHAnsi"/>
        </w:rPr>
        <w:t xml:space="preserve"> </w:t>
      </w:r>
      <w:r w:rsidR="004B65C1" w:rsidRPr="00612BAF">
        <w:rPr>
          <w:rFonts w:asciiTheme="minorHAnsi" w:hAnsiTheme="minorHAnsi" w:cstheme="minorHAnsi"/>
        </w:rPr>
        <w:t>context</w:t>
      </w:r>
      <w:r w:rsidR="00D35666" w:rsidRPr="00612BAF">
        <w:rPr>
          <w:rFonts w:asciiTheme="minorHAnsi" w:hAnsiTheme="minorHAnsi" w:cstheme="minorHAnsi"/>
        </w:rPr>
        <w:t xml:space="preserve"> within</w:t>
      </w:r>
      <w:r w:rsidR="00216B29" w:rsidRPr="00612BAF">
        <w:rPr>
          <w:rFonts w:asciiTheme="minorHAnsi" w:hAnsiTheme="minorHAnsi" w:cstheme="minorHAnsi"/>
        </w:rPr>
        <w:t xml:space="preserve"> the context of Jewish and subsequent Christian Scriptures then and </w:t>
      </w:r>
      <w:r w:rsidR="00D35666" w:rsidRPr="00612BAF">
        <w:rPr>
          <w:rFonts w:asciiTheme="minorHAnsi" w:hAnsiTheme="minorHAnsi" w:cstheme="minorHAnsi"/>
        </w:rPr>
        <w:t>now</w:t>
      </w:r>
      <w:r w:rsidR="00216B29" w:rsidRPr="00612BAF">
        <w:rPr>
          <w:rFonts w:asciiTheme="minorHAnsi" w:hAnsiTheme="minorHAnsi" w:cstheme="minorHAnsi"/>
        </w:rPr>
        <w:t>.</w:t>
      </w:r>
    </w:p>
    <w:p w14:paraId="79F0B7DA" w14:textId="2AA12B0A" w:rsidR="00371392" w:rsidRPr="00612BAF" w:rsidRDefault="00371392" w:rsidP="002D08FF">
      <w:pPr>
        <w:pStyle w:val="NormalWeb"/>
        <w:spacing w:before="0" w:beforeAutospacing="0" w:after="0" w:afterAutospacing="0" w:line="480" w:lineRule="auto"/>
        <w:rPr>
          <w:rFonts w:asciiTheme="minorHAnsi" w:hAnsiTheme="minorHAnsi" w:cstheme="minorHAnsi"/>
        </w:rPr>
      </w:pPr>
    </w:p>
    <w:p w14:paraId="5D60A736" w14:textId="7C343FB1" w:rsidR="00371392" w:rsidRPr="00612BAF" w:rsidRDefault="00371392" w:rsidP="002D08FF">
      <w:pPr>
        <w:spacing w:line="480" w:lineRule="auto"/>
        <w:rPr>
          <w:rFonts w:asciiTheme="minorHAnsi" w:hAnsiTheme="minorHAnsi" w:cstheme="minorHAnsi"/>
        </w:rPr>
      </w:pPr>
      <w:r w:rsidRPr="00612BAF">
        <w:rPr>
          <w:rFonts w:asciiTheme="minorHAnsi" w:hAnsiTheme="minorHAnsi" w:cstheme="minorHAnsi"/>
        </w:rPr>
        <w:t>Genesis concerns existential beginnings, a pre-history of the nation of Israel and the foundational</w:t>
      </w:r>
      <w:r w:rsidR="00216B29" w:rsidRPr="00612BAF">
        <w:rPr>
          <w:rFonts w:asciiTheme="minorHAnsi" w:hAnsiTheme="minorHAnsi" w:cstheme="minorHAnsi"/>
        </w:rPr>
        <w:t>,</w:t>
      </w:r>
      <w:r w:rsidRPr="00612BAF">
        <w:rPr>
          <w:rFonts w:asciiTheme="minorHAnsi" w:hAnsiTheme="minorHAnsi" w:cstheme="minorHAnsi"/>
        </w:rPr>
        <w:t xml:space="preserve"> relation</w:t>
      </w:r>
      <w:r w:rsidR="00216B29" w:rsidRPr="00612BAF">
        <w:rPr>
          <w:rFonts w:asciiTheme="minorHAnsi" w:hAnsiTheme="minorHAnsi" w:cstheme="minorHAnsi"/>
        </w:rPr>
        <w:t>al covenant</w:t>
      </w:r>
      <w:r w:rsidRPr="00612BAF">
        <w:rPr>
          <w:rFonts w:asciiTheme="minorHAnsi" w:hAnsiTheme="minorHAnsi" w:cstheme="minorHAnsi"/>
        </w:rPr>
        <w:t xml:space="preserve"> between God and humanity. The detailed account of Abraham’s life of faith (12:1-25:10) establishes that </w:t>
      </w:r>
      <w:r w:rsidR="00D20921" w:rsidRPr="00612BAF">
        <w:rPr>
          <w:rFonts w:asciiTheme="minorHAnsi" w:hAnsiTheme="minorHAnsi" w:cstheme="minorHAnsi"/>
        </w:rPr>
        <w:t>nation</w:t>
      </w:r>
      <w:r w:rsidRPr="00612BAF">
        <w:rPr>
          <w:rFonts w:asciiTheme="minorHAnsi" w:hAnsiTheme="minorHAnsi" w:cstheme="minorHAnsi"/>
        </w:rPr>
        <w:t>, guided by his unflinching obedience to God. Genesis 22 presents a critical test for Abraham, ‘a counterpart to the call of faith at the beginning of the cycle (12:1-4a)’</w:t>
      </w:r>
      <w:r w:rsidRPr="00612BAF">
        <w:rPr>
          <w:rStyle w:val="FootnoteReference"/>
          <w:rFonts w:asciiTheme="minorHAnsi" w:hAnsiTheme="minorHAnsi" w:cstheme="minorHAnsi"/>
        </w:rPr>
        <w:footnoteReference w:id="1"/>
      </w:r>
      <w:r w:rsidR="00216B29" w:rsidRPr="00612BAF">
        <w:rPr>
          <w:rFonts w:asciiTheme="minorHAnsi" w:hAnsiTheme="minorHAnsi" w:cstheme="minorHAnsi"/>
        </w:rPr>
        <w:t xml:space="preserve">. </w:t>
      </w:r>
    </w:p>
    <w:p w14:paraId="333278D3" w14:textId="32520D1F" w:rsidR="008E0D5D" w:rsidRPr="00612BAF" w:rsidRDefault="008E0D5D" w:rsidP="002D08FF">
      <w:pPr>
        <w:spacing w:line="480" w:lineRule="auto"/>
        <w:rPr>
          <w:rFonts w:asciiTheme="minorHAnsi" w:hAnsiTheme="minorHAnsi" w:cstheme="minorHAnsi"/>
        </w:rPr>
      </w:pPr>
    </w:p>
    <w:p w14:paraId="676C0B78" w14:textId="77777777" w:rsidR="008E0D5D" w:rsidRPr="00612BAF" w:rsidRDefault="008E0D5D" w:rsidP="002D08FF">
      <w:pPr>
        <w:spacing w:line="480" w:lineRule="auto"/>
        <w:rPr>
          <w:rFonts w:asciiTheme="minorHAnsi" w:hAnsiTheme="minorHAnsi" w:cstheme="minorHAnsi"/>
          <w:b/>
          <w:bCs/>
        </w:rPr>
      </w:pPr>
      <w:r w:rsidRPr="00612BAF">
        <w:rPr>
          <w:rFonts w:asciiTheme="minorHAnsi" w:hAnsiTheme="minorHAnsi" w:cstheme="minorHAnsi"/>
          <w:b/>
          <w:bCs/>
        </w:rPr>
        <w:t>Historical context and narrative style</w:t>
      </w:r>
    </w:p>
    <w:p w14:paraId="14572CA7" w14:textId="17B3270A" w:rsidR="00A10298" w:rsidRPr="00612BAF" w:rsidRDefault="00A10298" w:rsidP="002D08FF">
      <w:pPr>
        <w:spacing w:line="480" w:lineRule="auto"/>
        <w:rPr>
          <w:rFonts w:asciiTheme="minorHAnsi" w:hAnsiTheme="minorHAnsi" w:cstheme="minorHAnsi"/>
        </w:rPr>
      </w:pPr>
      <w:r w:rsidRPr="00612BAF">
        <w:rPr>
          <w:rFonts w:asciiTheme="minorHAnsi" w:hAnsiTheme="minorHAnsi" w:cstheme="minorHAnsi"/>
        </w:rPr>
        <w:t>S</w:t>
      </w:r>
      <w:r w:rsidR="00371392" w:rsidRPr="00612BAF">
        <w:rPr>
          <w:rFonts w:asciiTheme="minorHAnsi" w:hAnsiTheme="minorHAnsi" w:cstheme="minorHAnsi"/>
        </w:rPr>
        <w:t xml:space="preserve">cholarly </w:t>
      </w:r>
      <w:r w:rsidRPr="00612BAF">
        <w:rPr>
          <w:rFonts w:asciiTheme="minorHAnsi" w:hAnsiTheme="minorHAnsi" w:cstheme="minorHAnsi"/>
        </w:rPr>
        <w:t>discussion</w:t>
      </w:r>
      <w:r w:rsidR="00371392" w:rsidRPr="00612BAF">
        <w:rPr>
          <w:rFonts w:asciiTheme="minorHAnsi" w:hAnsiTheme="minorHAnsi" w:cstheme="minorHAnsi"/>
        </w:rPr>
        <w:t xml:space="preserve"> </w:t>
      </w:r>
      <w:r w:rsidRPr="00612BAF">
        <w:rPr>
          <w:rFonts w:asciiTheme="minorHAnsi" w:hAnsiTheme="minorHAnsi" w:cstheme="minorHAnsi"/>
        </w:rPr>
        <w:t xml:space="preserve">continues </w:t>
      </w:r>
      <w:r w:rsidR="00371392" w:rsidRPr="00612BAF">
        <w:rPr>
          <w:rFonts w:asciiTheme="minorHAnsi" w:hAnsiTheme="minorHAnsi" w:cstheme="minorHAnsi"/>
        </w:rPr>
        <w:t xml:space="preserve">over the </w:t>
      </w:r>
      <w:r w:rsidRPr="00612BAF">
        <w:rPr>
          <w:rFonts w:asciiTheme="minorHAnsi" w:hAnsiTheme="minorHAnsi" w:cstheme="minorHAnsi"/>
        </w:rPr>
        <w:t>literary nature</w:t>
      </w:r>
      <w:r w:rsidR="00371392" w:rsidRPr="00612BAF">
        <w:rPr>
          <w:rFonts w:asciiTheme="minorHAnsi" w:hAnsiTheme="minorHAnsi" w:cstheme="minorHAnsi"/>
        </w:rPr>
        <w:t xml:space="preserve"> of Genesis and</w:t>
      </w:r>
      <w:r w:rsidR="00D20921" w:rsidRPr="00612BAF">
        <w:rPr>
          <w:rFonts w:asciiTheme="minorHAnsi" w:hAnsiTheme="minorHAnsi" w:cstheme="minorHAnsi"/>
        </w:rPr>
        <w:t>, within it</w:t>
      </w:r>
      <w:r w:rsidR="00371899" w:rsidRPr="00612BAF">
        <w:rPr>
          <w:rFonts w:asciiTheme="minorHAnsi" w:hAnsiTheme="minorHAnsi" w:cstheme="minorHAnsi"/>
        </w:rPr>
        <w:t xml:space="preserve">, </w:t>
      </w:r>
      <w:r w:rsidR="00371392" w:rsidRPr="00612BAF">
        <w:rPr>
          <w:rFonts w:asciiTheme="minorHAnsi" w:hAnsiTheme="minorHAnsi" w:cstheme="minorHAnsi"/>
        </w:rPr>
        <w:t>chapter 22</w:t>
      </w:r>
      <w:r w:rsidRPr="00612BAF">
        <w:rPr>
          <w:rFonts w:asciiTheme="minorHAnsi" w:hAnsiTheme="minorHAnsi" w:cstheme="minorHAnsi"/>
        </w:rPr>
        <w:t xml:space="preserve">, </w:t>
      </w:r>
      <w:r w:rsidR="00371392" w:rsidRPr="00612BAF">
        <w:rPr>
          <w:rFonts w:asciiTheme="minorHAnsi" w:hAnsiTheme="minorHAnsi" w:cstheme="minorHAnsi"/>
        </w:rPr>
        <w:t>origins</w:t>
      </w:r>
      <w:r w:rsidRPr="00612BAF">
        <w:rPr>
          <w:rFonts w:asciiTheme="minorHAnsi" w:hAnsiTheme="minorHAnsi" w:cstheme="minorHAnsi"/>
        </w:rPr>
        <w:t xml:space="preserve"> </w:t>
      </w:r>
      <w:r w:rsidR="00371392" w:rsidRPr="00612BAF">
        <w:rPr>
          <w:rFonts w:asciiTheme="minorHAnsi" w:hAnsiTheme="minorHAnsi" w:cstheme="minorHAnsi"/>
        </w:rPr>
        <w:t>and</w:t>
      </w:r>
      <w:r w:rsidRPr="00612BAF">
        <w:rPr>
          <w:rFonts w:asciiTheme="minorHAnsi" w:hAnsiTheme="minorHAnsi" w:cstheme="minorHAnsi"/>
        </w:rPr>
        <w:t xml:space="preserve"> date of composition. R. Moberly and Victor Hamilton summarise ongoing debate about the nature of the narrative</w:t>
      </w:r>
      <w:r w:rsidRPr="00612BAF">
        <w:rPr>
          <w:rStyle w:val="FootnoteReference"/>
          <w:rFonts w:asciiTheme="minorHAnsi" w:hAnsiTheme="minorHAnsi" w:cstheme="minorHAnsi"/>
        </w:rPr>
        <w:footnoteReference w:id="2"/>
      </w:r>
      <w:r w:rsidRPr="00612BAF">
        <w:rPr>
          <w:rFonts w:asciiTheme="minorHAnsi" w:hAnsiTheme="minorHAnsi" w:cstheme="minorHAnsi"/>
        </w:rPr>
        <w:t xml:space="preserve"> as </w:t>
      </w:r>
      <w:r w:rsidR="00847D56" w:rsidRPr="00612BAF">
        <w:rPr>
          <w:rFonts w:asciiTheme="minorHAnsi" w:hAnsiTheme="minorHAnsi" w:cstheme="minorHAnsi"/>
        </w:rPr>
        <w:t xml:space="preserve">factual </w:t>
      </w:r>
      <w:r w:rsidRPr="00612BAF">
        <w:rPr>
          <w:rFonts w:asciiTheme="minorHAnsi" w:hAnsiTheme="minorHAnsi" w:cstheme="minorHAnsi"/>
        </w:rPr>
        <w:t xml:space="preserve">history, legend or myth. </w:t>
      </w:r>
      <w:r w:rsidR="00CF40F9" w:rsidRPr="00612BAF">
        <w:rPr>
          <w:rFonts w:asciiTheme="minorHAnsi" w:hAnsiTheme="minorHAnsi" w:cstheme="minorHAnsi"/>
        </w:rPr>
        <w:t>M</w:t>
      </w:r>
      <w:r w:rsidRPr="00612BAF">
        <w:rPr>
          <w:rFonts w:asciiTheme="minorHAnsi" w:hAnsiTheme="minorHAnsi" w:cstheme="minorHAnsi"/>
        </w:rPr>
        <w:t>yth, ‘truths about human life that cannot adequately be described in terms of science or history’</w:t>
      </w:r>
      <w:r w:rsidRPr="00612BAF">
        <w:rPr>
          <w:rStyle w:val="FootnoteReference"/>
          <w:rFonts w:asciiTheme="minorHAnsi" w:hAnsiTheme="minorHAnsi" w:cstheme="minorHAnsi"/>
        </w:rPr>
        <w:footnoteReference w:id="3"/>
      </w:r>
      <w:r w:rsidRPr="00612BAF">
        <w:rPr>
          <w:rFonts w:asciiTheme="minorHAnsi" w:hAnsiTheme="minorHAnsi" w:cstheme="minorHAnsi"/>
        </w:rPr>
        <w:t>, theological messages with some historical foundation - ‘theology in pictures’</w:t>
      </w:r>
      <w:r w:rsidRPr="00612BAF">
        <w:rPr>
          <w:rStyle w:val="FootnoteReference"/>
          <w:rFonts w:asciiTheme="minorHAnsi" w:hAnsiTheme="minorHAnsi" w:cstheme="minorHAnsi"/>
        </w:rPr>
        <w:footnoteReference w:id="4"/>
      </w:r>
      <w:r w:rsidRPr="00612BAF">
        <w:rPr>
          <w:rFonts w:asciiTheme="minorHAnsi" w:hAnsiTheme="minorHAnsi" w:cstheme="minorHAnsi"/>
        </w:rPr>
        <w:t>,</w:t>
      </w:r>
      <w:r w:rsidR="00CF40F9" w:rsidRPr="00612BAF">
        <w:rPr>
          <w:rFonts w:asciiTheme="minorHAnsi" w:hAnsiTheme="minorHAnsi" w:cstheme="minorHAnsi"/>
        </w:rPr>
        <w:t xml:space="preserve"> fits Genesis aptly,</w:t>
      </w:r>
      <w:r w:rsidRPr="00612BAF">
        <w:rPr>
          <w:rFonts w:asciiTheme="minorHAnsi" w:hAnsiTheme="minorHAnsi" w:cstheme="minorHAnsi"/>
        </w:rPr>
        <w:t xml:space="preserve"> prompt</w:t>
      </w:r>
      <w:r w:rsidR="00CF40F9" w:rsidRPr="00612BAF">
        <w:rPr>
          <w:rFonts w:asciiTheme="minorHAnsi" w:hAnsiTheme="minorHAnsi" w:cstheme="minorHAnsi"/>
        </w:rPr>
        <w:t>ing, however,</w:t>
      </w:r>
      <w:r w:rsidRPr="00612BAF">
        <w:rPr>
          <w:rFonts w:asciiTheme="minorHAnsi" w:hAnsiTheme="minorHAnsi" w:cstheme="minorHAnsi"/>
        </w:rPr>
        <w:t xml:space="preserve"> unresolvable questions about all Scripture as the inerrant Word of God, ‘God-breathed’</w:t>
      </w:r>
      <w:r w:rsidRPr="00612BAF">
        <w:rPr>
          <w:rStyle w:val="FootnoteReference"/>
          <w:rFonts w:asciiTheme="minorHAnsi" w:hAnsiTheme="minorHAnsi" w:cstheme="minorHAnsi"/>
        </w:rPr>
        <w:footnoteReference w:id="5"/>
      </w:r>
      <w:r w:rsidRPr="00612BAF">
        <w:rPr>
          <w:rFonts w:asciiTheme="minorHAnsi" w:hAnsiTheme="minorHAnsi" w:cstheme="minorHAnsi"/>
        </w:rPr>
        <w:t>.</w:t>
      </w:r>
    </w:p>
    <w:p w14:paraId="472F79A5" w14:textId="07FB16E5" w:rsidR="00A10298" w:rsidRPr="00612BAF" w:rsidRDefault="00A10298" w:rsidP="002D08FF">
      <w:pPr>
        <w:spacing w:line="480" w:lineRule="auto"/>
        <w:rPr>
          <w:rFonts w:asciiTheme="minorHAnsi" w:hAnsiTheme="minorHAnsi" w:cstheme="minorHAnsi"/>
        </w:rPr>
      </w:pPr>
    </w:p>
    <w:p w14:paraId="12338DC3" w14:textId="178A2A24" w:rsidR="00271363" w:rsidRPr="00612BAF" w:rsidRDefault="00D25E1E" w:rsidP="002D08FF">
      <w:pPr>
        <w:spacing w:line="480" w:lineRule="auto"/>
        <w:rPr>
          <w:rFonts w:asciiTheme="minorHAnsi" w:hAnsiTheme="minorHAnsi" w:cstheme="minorHAnsi"/>
        </w:rPr>
      </w:pPr>
      <w:r w:rsidRPr="00612BAF">
        <w:rPr>
          <w:rFonts w:asciiTheme="minorHAnsi" w:hAnsiTheme="minorHAnsi" w:cstheme="minorHAnsi"/>
        </w:rPr>
        <w:lastRenderedPageBreak/>
        <w:t>T</w:t>
      </w:r>
      <w:r>
        <w:rPr>
          <w:rFonts w:asciiTheme="minorHAnsi" w:hAnsiTheme="minorHAnsi" w:cstheme="minorHAnsi"/>
        </w:rPr>
        <w:t xml:space="preserve">extual redactions </w:t>
      </w:r>
      <w:r>
        <w:rPr>
          <w:rFonts w:asciiTheme="minorHAnsi" w:hAnsiTheme="minorHAnsi" w:cstheme="minorHAnsi"/>
        </w:rPr>
        <w:t>point to a composition date after t</w:t>
      </w:r>
      <w:r w:rsidRPr="00612BAF">
        <w:rPr>
          <w:rFonts w:asciiTheme="minorHAnsi" w:hAnsiTheme="minorHAnsi" w:cstheme="minorHAnsi"/>
        </w:rPr>
        <w:t>he fall of Jerusalem (587 BCE)</w:t>
      </w:r>
      <w:r w:rsidR="00B71BDB">
        <w:rPr>
          <w:rFonts w:asciiTheme="minorHAnsi" w:hAnsiTheme="minorHAnsi" w:cstheme="minorHAnsi"/>
        </w:rPr>
        <w:t xml:space="preserve">, </w:t>
      </w:r>
      <w:r>
        <w:rPr>
          <w:rFonts w:asciiTheme="minorHAnsi" w:hAnsiTheme="minorHAnsi" w:cstheme="minorHAnsi"/>
        </w:rPr>
        <w:t xml:space="preserve">the </w:t>
      </w:r>
      <w:r w:rsidRPr="00612BAF">
        <w:rPr>
          <w:rFonts w:asciiTheme="minorHAnsi" w:hAnsiTheme="minorHAnsi" w:cstheme="minorHAnsi"/>
        </w:rPr>
        <w:t xml:space="preserve">people enslaved once more in an alien pagan land and culture, mourning their destroyed Temple in Jerusalem, their worship and communing place with God in compliance with their Torah. </w:t>
      </w:r>
      <w:r w:rsidR="00A10298" w:rsidRPr="00612BAF">
        <w:rPr>
          <w:rFonts w:asciiTheme="minorHAnsi" w:hAnsiTheme="minorHAnsi" w:cstheme="minorHAnsi"/>
        </w:rPr>
        <w:t>Jordan Scheetz</w:t>
      </w:r>
      <w:r w:rsidR="000B4186" w:rsidRPr="00612BAF">
        <w:rPr>
          <w:rStyle w:val="FootnoteReference"/>
          <w:rFonts w:asciiTheme="minorHAnsi" w:hAnsiTheme="minorHAnsi" w:cstheme="minorHAnsi"/>
        </w:rPr>
        <w:footnoteReference w:id="6"/>
      </w:r>
      <w:r>
        <w:rPr>
          <w:rFonts w:asciiTheme="minorHAnsi" w:hAnsiTheme="minorHAnsi" w:cstheme="minorHAnsi"/>
        </w:rPr>
        <w:t>, for example,</w:t>
      </w:r>
      <w:r w:rsidR="000B4186" w:rsidRPr="00612BAF">
        <w:rPr>
          <w:rFonts w:asciiTheme="minorHAnsi" w:hAnsiTheme="minorHAnsi" w:cstheme="minorHAnsi"/>
        </w:rPr>
        <w:t xml:space="preserve"> </w:t>
      </w:r>
      <w:r>
        <w:rPr>
          <w:rFonts w:asciiTheme="minorHAnsi" w:hAnsiTheme="minorHAnsi" w:cstheme="minorHAnsi"/>
        </w:rPr>
        <w:t xml:space="preserve">shows </w:t>
      </w:r>
      <w:r>
        <w:rPr>
          <w:rFonts w:asciiTheme="minorHAnsi" w:hAnsiTheme="minorHAnsi" w:cstheme="minorHAnsi"/>
        </w:rPr>
        <w:t>proof</w:t>
      </w:r>
      <w:r w:rsidRPr="00612BAF">
        <w:rPr>
          <w:rFonts w:asciiTheme="minorHAnsi" w:hAnsiTheme="minorHAnsi" w:cstheme="minorHAnsi"/>
        </w:rPr>
        <w:t xml:space="preserve"> of redaction</w:t>
      </w:r>
      <w:r w:rsidRPr="00612BAF">
        <w:rPr>
          <w:rFonts w:asciiTheme="minorHAnsi" w:hAnsiTheme="minorHAnsi" w:cstheme="minorHAnsi"/>
        </w:rPr>
        <w:t xml:space="preserve"> </w:t>
      </w:r>
      <w:r>
        <w:rPr>
          <w:rFonts w:asciiTheme="minorHAnsi" w:hAnsiTheme="minorHAnsi" w:cstheme="minorHAnsi"/>
        </w:rPr>
        <w:t xml:space="preserve">by </w:t>
      </w:r>
      <w:r w:rsidR="000B4186" w:rsidRPr="00612BAF">
        <w:rPr>
          <w:rFonts w:asciiTheme="minorHAnsi" w:hAnsiTheme="minorHAnsi" w:cstheme="minorHAnsi"/>
        </w:rPr>
        <w:t>compar</w:t>
      </w:r>
      <w:r>
        <w:rPr>
          <w:rFonts w:asciiTheme="minorHAnsi" w:hAnsiTheme="minorHAnsi" w:cstheme="minorHAnsi"/>
        </w:rPr>
        <w:t>ing</w:t>
      </w:r>
      <w:r w:rsidR="000B4186" w:rsidRPr="00612BAF">
        <w:rPr>
          <w:rFonts w:asciiTheme="minorHAnsi" w:hAnsiTheme="minorHAnsi" w:cstheme="minorHAnsi"/>
        </w:rPr>
        <w:t xml:space="preserve"> Masoretic and Targum </w:t>
      </w:r>
      <w:proofErr w:type="spellStart"/>
      <w:r w:rsidR="000B4186" w:rsidRPr="00612BAF">
        <w:rPr>
          <w:rFonts w:asciiTheme="minorHAnsi" w:hAnsiTheme="minorHAnsi" w:cstheme="minorHAnsi"/>
        </w:rPr>
        <w:t>Onkelos</w:t>
      </w:r>
      <w:proofErr w:type="spellEnd"/>
      <w:r w:rsidR="000B4186" w:rsidRPr="00612BAF">
        <w:rPr>
          <w:rFonts w:asciiTheme="minorHAnsi" w:hAnsiTheme="minorHAnsi" w:cstheme="minorHAnsi"/>
        </w:rPr>
        <w:t xml:space="preserve"> translations</w:t>
      </w:r>
      <w:r>
        <w:rPr>
          <w:rFonts w:asciiTheme="minorHAnsi" w:hAnsiTheme="minorHAnsi" w:cstheme="minorHAnsi"/>
        </w:rPr>
        <w:t xml:space="preserve">. </w:t>
      </w:r>
      <w:proofErr w:type="spellStart"/>
      <w:r>
        <w:rPr>
          <w:rFonts w:asciiTheme="minorHAnsi" w:hAnsiTheme="minorHAnsi" w:cstheme="minorHAnsi"/>
        </w:rPr>
        <w:t xml:space="preserve">These </w:t>
      </w:r>
      <w:r w:rsidR="000B4186" w:rsidRPr="00612BAF">
        <w:rPr>
          <w:rFonts w:asciiTheme="minorHAnsi" w:hAnsiTheme="minorHAnsi" w:cstheme="minorHAnsi"/>
        </w:rPr>
        <w:t>evidenc</w:t>
      </w:r>
      <w:proofErr w:type="spellEnd"/>
      <w:r w:rsidR="000B4186" w:rsidRPr="00612BAF">
        <w:rPr>
          <w:rFonts w:asciiTheme="minorHAnsi" w:hAnsiTheme="minorHAnsi" w:cstheme="minorHAnsi"/>
        </w:rPr>
        <w:t xml:space="preserve">e the deliberate substitution of the </w:t>
      </w:r>
      <w:r>
        <w:rPr>
          <w:rFonts w:asciiTheme="minorHAnsi" w:hAnsiTheme="minorHAnsi" w:cstheme="minorHAnsi"/>
        </w:rPr>
        <w:t xml:space="preserve">later </w:t>
      </w:r>
      <w:r w:rsidR="000B4186" w:rsidRPr="00612BAF">
        <w:rPr>
          <w:rFonts w:asciiTheme="minorHAnsi" w:hAnsiTheme="minorHAnsi" w:cstheme="minorHAnsi"/>
        </w:rPr>
        <w:t>Yahwist name for God (22:20-24)</w:t>
      </w:r>
      <w:r>
        <w:rPr>
          <w:rFonts w:asciiTheme="minorHAnsi" w:hAnsiTheme="minorHAnsi" w:cstheme="minorHAnsi"/>
        </w:rPr>
        <w:t xml:space="preserve">, </w:t>
      </w:r>
      <w:r w:rsidR="000B4186" w:rsidRPr="00612BAF">
        <w:rPr>
          <w:rFonts w:asciiTheme="minorHAnsi" w:hAnsiTheme="minorHAnsi" w:cstheme="minorHAnsi"/>
        </w:rPr>
        <w:t xml:space="preserve">God’s </w:t>
      </w:r>
      <w:r w:rsidR="00A10298" w:rsidRPr="00612BAF">
        <w:rPr>
          <w:rFonts w:asciiTheme="minorHAnsi" w:hAnsiTheme="minorHAnsi" w:cstheme="minorHAnsi"/>
        </w:rPr>
        <w:t xml:space="preserve">specifically </w:t>
      </w:r>
      <w:r w:rsidR="000B4186" w:rsidRPr="00612BAF">
        <w:rPr>
          <w:rFonts w:asciiTheme="minorHAnsi" w:hAnsiTheme="minorHAnsi" w:cstheme="minorHAnsi"/>
        </w:rPr>
        <w:t xml:space="preserve">Israel-focused </w:t>
      </w:r>
      <w:r w:rsidR="00A10298" w:rsidRPr="00612BAF">
        <w:rPr>
          <w:rFonts w:asciiTheme="minorHAnsi" w:hAnsiTheme="minorHAnsi" w:cstheme="minorHAnsi"/>
        </w:rPr>
        <w:t>covenantal</w:t>
      </w:r>
      <w:r w:rsidR="000B4186" w:rsidRPr="00612BAF">
        <w:rPr>
          <w:rFonts w:asciiTheme="minorHAnsi" w:hAnsiTheme="minorHAnsi" w:cstheme="minorHAnsi"/>
        </w:rPr>
        <w:t xml:space="preserve"> name</w:t>
      </w:r>
      <w:r w:rsidR="00A10298" w:rsidRPr="00612BAF">
        <w:rPr>
          <w:rFonts w:asciiTheme="minorHAnsi" w:hAnsiTheme="minorHAnsi" w:cstheme="minorHAnsi"/>
        </w:rPr>
        <w:t>, replac</w:t>
      </w:r>
      <w:r>
        <w:rPr>
          <w:rFonts w:asciiTheme="minorHAnsi" w:hAnsiTheme="minorHAnsi" w:cstheme="minorHAnsi"/>
        </w:rPr>
        <w:t>ing</w:t>
      </w:r>
      <w:r w:rsidR="00A10298" w:rsidRPr="00612BAF">
        <w:rPr>
          <w:rFonts w:asciiTheme="minorHAnsi" w:hAnsiTheme="minorHAnsi" w:cstheme="minorHAnsi"/>
        </w:rPr>
        <w:t xml:space="preserve"> </w:t>
      </w:r>
      <w:r w:rsidR="00A10298" w:rsidRPr="00D25E1E">
        <w:rPr>
          <w:rFonts w:asciiTheme="minorHAnsi" w:hAnsiTheme="minorHAnsi" w:cstheme="minorHAnsi"/>
          <w:i/>
          <w:iCs/>
        </w:rPr>
        <w:t>Elohim</w:t>
      </w:r>
      <w:r w:rsidR="00A10298" w:rsidRPr="00612BAF">
        <w:rPr>
          <w:rFonts w:asciiTheme="minorHAnsi" w:hAnsiTheme="minorHAnsi" w:cstheme="minorHAnsi"/>
        </w:rPr>
        <w:t>, the</w:t>
      </w:r>
      <w:r w:rsidR="000B4186" w:rsidRPr="00612BAF">
        <w:rPr>
          <w:rFonts w:asciiTheme="minorHAnsi" w:hAnsiTheme="minorHAnsi" w:cstheme="minorHAnsi"/>
        </w:rPr>
        <w:t xml:space="preserve"> non-specific </w:t>
      </w:r>
      <w:r w:rsidR="00A10298" w:rsidRPr="00612BAF">
        <w:rPr>
          <w:rFonts w:asciiTheme="minorHAnsi" w:hAnsiTheme="minorHAnsi" w:cstheme="minorHAnsi"/>
        </w:rPr>
        <w:t>name</w:t>
      </w:r>
      <w:r w:rsidR="000B4186" w:rsidRPr="00612BAF">
        <w:rPr>
          <w:rFonts w:asciiTheme="minorHAnsi" w:hAnsiTheme="minorHAnsi" w:cstheme="minorHAnsi"/>
        </w:rPr>
        <w:t xml:space="preserve"> ‘god’,</w:t>
      </w:r>
      <w:r w:rsidR="00A10298" w:rsidRPr="00612BAF">
        <w:rPr>
          <w:rFonts w:asciiTheme="minorHAnsi" w:hAnsiTheme="minorHAnsi" w:cstheme="minorHAnsi"/>
        </w:rPr>
        <w:t xml:space="preserve"> which </w:t>
      </w:r>
      <w:r w:rsidR="000B4186" w:rsidRPr="00612BAF">
        <w:rPr>
          <w:rFonts w:asciiTheme="minorHAnsi" w:hAnsiTheme="minorHAnsi" w:cstheme="minorHAnsi"/>
        </w:rPr>
        <w:t xml:space="preserve">can be pluralised. </w:t>
      </w:r>
      <w:r w:rsidR="00271363" w:rsidRPr="00612BAF">
        <w:rPr>
          <w:rFonts w:asciiTheme="minorHAnsi" w:hAnsiTheme="minorHAnsi" w:cstheme="minorHAnsi"/>
        </w:rPr>
        <w:t xml:space="preserve">The redacted text infers their plight is already </w:t>
      </w:r>
      <w:r w:rsidR="006631FA" w:rsidRPr="00612BAF">
        <w:rPr>
          <w:rFonts w:asciiTheme="minorHAnsi" w:hAnsiTheme="minorHAnsi" w:cstheme="minorHAnsi"/>
        </w:rPr>
        <w:t>accounted for</w:t>
      </w:r>
      <w:r w:rsidR="00271363" w:rsidRPr="00612BAF">
        <w:rPr>
          <w:rFonts w:asciiTheme="minorHAnsi" w:hAnsiTheme="minorHAnsi" w:cstheme="minorHAnsi"/>
        </w:rPr>
        <w:t xml:space="preserve"> in the nation’s pre-history.</w:t>
      </w:r>
    </w:p>
    <w:p w14:paraId="2060CE87" w14:textId="2AA3B4C9" w:rsidR="00F90AEC" w:rsidRPr="00612BAF" w:rsidRDefault="00F90AEC" w:rsidP="002D08FF">
      <w:pPr>
        <w:spacing w:line="480" w:lineRule="auto"/>
        <w:rPr>
          <w:rFonts w:asciiTheme="minorHAnsi" w:hAnsiTheme="minorHAnsi" w:cstheme="minorHAnsi"/>
        </w:rPr>
      </w:pPr>
    </w:p>
    <w:p w14:paraId="795A3FE1" w14:textId="4572DCDE" w:rsidR="00F90AEC" w:rsidRPr="00612BAF" w:rsidRDefault="00F90AEC" w:rsidP="002D08FF">
      <w:pPr>
        <w:spacing w:line="480" w:lineRule="auto"/>
        <w:rPr>
          <w:rFonts w:asciiTheme="minorHAnsi" w:hAnsiTheme="minorHAnsi" w:cstheme="minorHAnsi"/>
        </w:rPr>
      </w:pPr>
      <w:r w:rsidRPr="00612BAF">
        <w:rPr>
          <w:rFonts w:asciiTheme="minorHAnsi" w:hAnsiTheme="minorHAnsi" w:cstheme="minorHAnsi"/>
        </w:rPr>
        <w:t xml:space="preserve">The lack of descriptive colour, staccato speech and rapid-fire verbs heighten the narrative’s fast-paced tension. With Abraham’s knife raised, action halts </w:t>
      </w:r>
      <w:r w:rsidR="00D25E1E" w:rsidRPr="00612BAF">
        <w:rPr>
          <w:rFonts w:asciiTheme="minorHAnsi" w:hAnsiTheme="minorHAnsi" w:cstheme="minorHAnsi"/>
        </w:rPr>
        <w:t>abrupt</w:t>
      </w:r>
      <w:r w:rsidR="00D25E1E">
        <w:rPr>
          <w:rFonts w:asciiTheme="minorHAnsi" w:hAnsiTheme="minorHAnsi" w:cstheme="minorHAnsi"/>
        </w:rPr>
        <w:t>ly</w:t>
      </w:r>
      <w:r w:rsidR="00D25E1E" w:rsidRPr="00612BAF">
        <w:rPr>
          <w:rFonts w:asciiTheme="minorHAnsi" w:hAnsiTheme="minorHAnsi" w:cstheme="minorHAnsi"/>
        </w:rPr>
        <w:t xml:space="preserve"> </w:t>
      </w:r>
      <w:r w:rsidRPr="00612BAF">
        <w:rPr>
          <w:rFonts w:asciiTheme="minorHAnsi" w:hAnsiTheme="minorHAnsi" w:cstheme="minorHAnsi"/>
        </w:rPr>
        <w:t>through the intervention of God’s messenger, decelerating the pace towards the conclusion.</w:t>
      </w:r>
    </w:p>
    <w:p w14:paraId="46AA09B6" w14:textId="5ED2246A" w:rsidR="00A10298" w:rsidRPr="00612BAF" w:rsidRDefault="00A10298" w:rsidP="002D08FF">
      <w:pPr>
        <w:spacing w:line="480" w:lineRule="auto"/>
        <w:rPr>
          <w:rFonts w:asciiTheme="minorHAnsi" w:hAnsiTheme="minorHAnsi" w:cstheme="minorHAnsi"/>
        </w:rPr>
      </w:pPr>
    </w:p>
    <w:p w14:paraId="365B66C4" w14:textId="541AAEC8" w:rsidR="008E7061" w:rsidRPr="00612BAF" w:rsidRDefault="008E7061" w:rsidP="002D08FF">
      <w:pPr>
        <w:spacing w:line="480" w:lineRule="auto"/>
        <w:rPr>
          <w:rFonts w:asciiTheme="minorHAnsi" w:hAnsiTheme="minorHAnsi" w:cstheme="minorHAnsi"/>
          <w:b/>
          <w:bCs/>
        </w:rPr>
      </w:pPr>
      <w:r w:rsidRPr="00612BAF">
        <w:rPr>
          <w:rFonts w:asciiTheme="minorHAnsi" w:hAnsiTheme="minorHAnsi" w:cstheme="minorHAnsi"/>
          <w:b/>
          <w:bCs/>
        </w:rPr>
        <w:t>Theological/religious/ethical issues</w:t>
      </w:r>
    </w:p>
    <w:p w14:paraId="55DBB5BF" w14:textId="62A1CF10" w:rsidR="00271363" w:rsidRPr="00612BAF" w:rsidRDefault="0015056B" w:rsidP="002D08FF">
      <w:pPr>
        <w:spacing w:line="480" w:lineRule="auto"/>
        <w:rPr>
          <w:rFonts w:asciiTheme="minorHAnsi" w:hAnsiTheme="minorHAnsi" w:cstheme="minorHAnsi"/>
        </w:rPr>
      </w:pPr>
      <w:r w:rsidRPr="00612BAF">
        <w:rPr>
          <w:rFonts w:asciiTheme="minorHAnsi" w:hAnsiTheme="minorHAnsi" w:cstheme="minorHAnsi"/>
        </w:rPr>
        <w:t>‘And it came to pass after these things’</w:t>
      </w:r>
      <w:r w:rsidRPr="00612BAF">
        <w:rPr>
          <w:rStyle w:val="FootnoteReference"/>
          <w:rFonts w:asciiTheme="minorHAnsi" w:hAnsiTheme="minorHAnsi" w:cstheme="minorHAnsi"/>
        </w:rPr>
        <w:footnoteReference w:id="7"/>
      </w:r>
      <w:r w:rsidRPr="00612BAF">
        <w:rPr>
          <w:rFonts w:asciiTheme="minorHAnsi" w:hAnsiTheme="minorHAnsi" w:cstheme="minorHAnsi"/>
        </w:rPr>
        <w:t xml:space="preserve"> (22:1) </w:t>
      </w:r>
      <w:r w:rsidR="00271363" w:rsidRPr="00612BAF">
        <w:rPr>
          <w:rFonts w:asciiTheme="minorHAnsi" w:hAnsiTheme="minorHAnsi" w:cstheme="minorHAnsi"/>
        </w:rPr>
        <w:t>relates the chapter back to the last major events</w:t>
      </w:r>
      <w:r w:rsidR="009A303C" w:rsidRPr="00612BAF">
        <w:rPr>
          <w:rFonts w:asciiTheme="minorHAnsi" w:hAnsiTheme="minorHAnsi" w:cstheme="minorHAnsi"/>
        </w:rPr>
        <w:t xml:space="preserve"> (21:1-34) and acknowledgement of covenantal beginnings. </w:t>
      </w:r>
      <w:r w:rsidR="00F90AEC" w:rsidRPr="00612BAF">
        <w:rPr>
          <w:rFonts w:asciiTheme="minorHAnsi" w:hAnsiTheme="minorHAnsi" w:cstheme="minorHAnsi"/>
        </w:rPr>
        <w:t xml:space="preserve">This is a test of faith, with, ironically, the audience aware and Abraham totally ignorant (22:1). </w:t>
      </w:r>
      <w:r w:rsidRPr="00612BAF">
        <w:rPr>
          <w:rFonts w:asciiTheme="minorHAnsi" w:hAnsiTheme="minorHAnsi" w:cstheme="minorHAnsi"/>
        </w:rPr>
        <w:t xml:space="preserve">It </w:t>
      </w:r>
      <w:r w:rsidR="00CF40F9" w:rsidRPr="00612BAF">
        <w:rPr>
          <w:rFonts w:asciiTheme="minorHAnsi" w:hAnsiTheme="minorHAnsi" w:cstheme="minorHAnsi"/>
        </w:rPr>
        <w:t>echoes</w:t>
      </w:r>
      <w:r w:rsidRPr="00612BAF">
        <w:rPr>
          <w:rFonts w:asciiTheme="minorHAnsi" w:hAnsiTheme="minorHAnsi" w:cstheme="minorHAnsi"/>
        </w:rPr>
        <w:t xml:space="preserve"> Job’s testing (Job 1:6-12)</w:t>
      </w:r>
      <w:r w:rsidR="006631FA" w:rsidRPr="00612BAF">
        <w:rPr>
          <w:rFonts w:asciiTheme="minorHAnsi" w:hAnsiTheme="minorHAnsi" w:cstheme="minorHAnsi"/>
        </w:rPr>
        <w:t xml:space="preserve"> but</w:t>
      </w:r>
      <w:r w:rsidR="00CF40F9" w:rsidRPr="00612BAF">
        <w:rPr>
          <w:rFonts w:asciiTheme="minorHAnsi" w:hAnsiTheme="minorHAnsi" w:cstheme="minorHAnsi"/>
        </w:rPr>
        <w:t>,</w:t>
      </w:r>
      <w:r w:rsidR="006631FA" w:rsidRPr="00612BAF">
        <w:rPr>
          <w:rFonts w:asciiTheme="minorHAnsi" w:hAnsiTheme="minorHAnsi" w:cstheme="minorHAnsi"/>
        </w:rPr>
        <w:t xml:space="preserve"> </w:t>
      </w:r>
      <w:r w:rsidR="00CF40F9" w:rsidRPr="00612BAF">
        <w:rPr>
          <w:rFonts w:asciiTheme="minorHAnsi" w:hAnsiTheme="minorHAnsi" w:cstheme="minorHAnsi"/>
        </w:rPr>
        <w:t xml:space="preserve">there, </w:t>
      </w:r>
      <w:r w:rsidR="006631FA" w:rsidRPr="00612BAF">
        <w:rPr>
          <w:rFonts w:asciiTheme="minorHAnsi" w:hAnsiTheme="minorHAnsi" w:cstheme="minorHAnsi"/>
        </w:rPr>
        <w:t xml:space="preserve">God </w:t>
      </w:r>
      <w:r w:rsidR="00CF40F9" w:rsidRPr="00612BAF">
        <w:rPr>
          <w:rFonts w:asciiTheme="minorHAnsi" w:hAnsiTheme="minorHAnsi" w:cstheme="minorHAnsi"/>
        </w:rPr>
        <w:t>is</w:t>
      </w:r>
      <w:r w:rsidR="006631FA" w:rsidRPr="00612BAF">
        <w:rPr>
          <w:rFonts w:asciiTheme="minorHAnsi" w:hAnsiTheme="minorHAnsi" w:cstheme="minorHAnsi"/>
        </w:rPr>
        <w:t xml:space="preserve"> confiden</w:t>
      </w:r>
      <w:r w:rsidR="00CF40F9" w:rsidRPr="00612BAF">
        <w:rPr>
          <w:rFonts w:asciiTheme="minorHAnsi" w:hAnsiTheme="minorHAnsi" w:cstheme="minorHAnsi"/>
        </w:rPr>
        <w:t>t of</w:t>
      </w:r>
      <w:r w:rsidR="006631FA" w:rsidRPr="00612BAF">
        <w:rPr>
          <w:rFonts w:asciiTheme="minorHAnsi" w:hAnsiTheme="minorHAnsi" w:cstheme="minorHAnsi"/>
        </w:rPr>
        <w:t xml:space="preserve"> Job’s faith. Here, the test impl</w:t>
      </w:r>
      <w:r w:rsidR="00D20921" w:rsidRPr="00612BAF">
        <w:rPr>
          <w:rFonts w:asciiTheme="minorHAnsi" w:hAnsiTheme="minorHAnsi" w:cstheme="minorHAnsi"/>
        </w:rPr>
        <w:t>ies</w:t>
      </w:r>
      <w:r w:rsidR="006631FA" w:rsidRPr="00612BAF">
        <w:rPr>
          <w:rFonts w:asciiTheme="minorHAnsi" w:hAnsiTheme="minorHAnsi" w:cstheme="minorHAnsi"/>
        </w:rPr>
        <w:t xml:space="preserve"> possible negative outcomes and the abrupt end of the covenant</w:t>
      </w:r>
      <w:r w:rsidR="004512A1" w:rsidRPr="00612BAF">
        <w:rPr>
          <w:rFonts w:asciiTheme="minorHAnsi" w:hAnsiTheme="minorHAnsi" w:cstheme="minorHAnsi"/>
        </w:rPr>
        <w:t>, as if God needs confidence in Abraham’s faith before contemplating pursuance of the Covenant</w:t>
      </w:r>
      <w:r w:rsidR="006631FA" w:rsidRPr="00612BAF">
        <w:rPr>
          <w:rFonts w:asciiTheme="minorHAnsi" w:hAnsiTheme="minorHAnsi" w:cstheme="minorHAnsi"/>
        </w:rPr>
        <w:t xml:space="preserve">. It </w:t>
      </w:r>
      <w:r w:rsidR="00CF40F9" w:rsidRPr="00612BAF">
        <w:rPr>
          <w:rFonts w:asciiTheme="minorHAnsi" w:hAnsiTheme="minorHAnsi" w:cstheme="minorHAnsi"/>
        </w:rPr>
        <w:t>echoes</w:t>
      </w:r>
      <w:r w:rsidR="006631FA" w:rsidRPr="00612BAF">
        <w:rPr>
          <w:rFonts w:asciiTheme="minorHAnsi" w:hAnsiTheme="minorHAnsi" w:cstheme="minorHAnsi"/>
        </w:rPr>
        <w:t xml:space="preserve"> Joseph</w:t>
      </w:r>
      <w:r w:rsidR="004512A1" w:rsidRPr="00612BAF">
        <w:rPr>
          <w:rFonts w:asciiTheme="minorHAnsi" w:hAnsiTheme="minorHAnsi" w:cstheme="minorHAnsi"/>
        </w:rPr>
        <w:t>’s faith</w:t>
      </w:r>
      <w:r w:rsidR="006631FA" w:rsidRPr="00612BAF">
        <w:rPr>
          <w:rFonts w:asciiTheme="minorHAnsi" w:hAnsiTheme="minorHAnsi" w:cstheme="minorHAnsi"/>
        </w:rPr>
        <w:t xml:space="preserve"> </w:t>
      </w:r>
      <w:r w:rsidR="006631FA" w:rsidRPr="00612BAF">
        <w:rPr>
          <w:rFonts w:asciiTheme="minorHAnsi" w:hAnsiTheme="minorHAnsi" w:cstheme="minorHAnsi"/>
        </w:rPr>
        <w:lastRenderedPageBreak/>
        <w:t>and blessing</w:t>
      </w:r>
      <w:r w:rsidR="004512A1" w:rsidRPr="00612BAF">
        <w:rPr>
          <w:rFonts w:asciiTheme="minorHAnsi" w:hAnsiTheme="minorHAnsi" w:cstheme="minorHAnsi"/>
        </w:rPr>
        <w:t>s</w:t>
      </w:r>
      <w:r w:rsidR="006631FA" w:rsidRPr="00612BAF">
        <w:rPr>
          <w:rFonts w:asciiTheme="minorHAnsi" w:hAnsiTheme="minorHAnsi" w:cstheme="minorHAnsi"/>
        </w:rPr>
        <w:t xml:space="preserve"> </w:t>
      </w:r>
      <w:r w:rsidR="00E55B82">
        <w:rPr>
          <w:rFonts w:asciiTheme="minorHAnsi" w:hAnsiTheme="minorHAnsi" w:cstheme="minorHAnsi"/>
        </w:rPr>
        <w:t xml:space="preserve">from </w:t>
      </w:r>
      <w:r w:rsidR="006631FA" w:rsidRPr="00612BAF">
        <w:rPr>
          <w:rFonts w:asciiTheme="minorHAnsi" w:hAnsiTheme="minorHAnsi" w:cstheme="minorHAnsi"/>
        </w:rPr>
        <w:t xml:space="preserve">God throughout his desperate difficulties, leading </w:t>
      </w:r>
      <w:r w:rsidR="00CF40F9" w:rsidRPr="00612BAF">
        <w:rPr>
          <w:rFonts w:asciiTheme="minorHAnsi" w:hAnsiTheme="minorHAnsi" w:cstheme="minorHAnsi"/>
        </w:rPr>
        <w:t>the Hebrews</w:t>
      </w:r>
      <w:r w:rsidR="006631FA" w:rsidRPr="00612BAF">
        <w:rPr>
          <w:rFonts w:asciiTheme="minorHAnsi" w:hAnsiTheme="minorHAnsi" w:cstheme="minorHAnsi"/>
        </w:rPr>
        <w:t xml:space="preserve"> to </w:t>
      </w:r>
      <w:r w:rsidR="00847D56" w:rsidRPr="00612BAF">
        <w:rPr>
          <w:rFonts w:asciiTheme="minorHAnsi" w:hAnsiTheme="minorHAnsi" w:cstheme="minorHAnsi"/>
        </w:rPr>
        <w:t xml:space="preserve">prosperity in the alien culture of Egypt. </w:t>
      </w:r>
      <w:r w:rsidR="00B504F6" w:rsidRPr="00612BAF">
        <w:rPr>
          <w:rFonts w:asciiTheme="minorHAnsi" w:hAnsiTheme="minorHAnsi" w:cstheme="minorHAnsi"/>
        </w:rPr>
        <w:t>For exiled Israel, t</w:t>
      </w:r>
      <w:r w:rsidR="004512A1" w:rsidRPr="00612BAF">
        <w:rPr>
          <w:rFonts w:asciiTheme="minorHAnsi" w:hAnsiTheme="minorHAnsi" w:cstheme="minorHAnsi"/>
        </w:rPr>
        <w:t>he redacted narrative provides a strong signal to encourage confidence and hope,</w:t>
      </w:r>
      <w:r w:rsidR="00D20921" w:rsidRPr="00612BAF">
        <w:rPr>
          <w:rFonts w:asciiTheme="minorHAnsi" w:hAnsiTheme="minorHAnsi" w:cstheme="minorHAnsi"/>
        </w:rPr>
        <w:t xml:space="preserve"> </w:t>
      </w:r>
      <w:r w:rsidR="00B504F6" w:rsidRPr="00612BAF">
        <w:rPr>
          <w:rFonts w:asciiTheme="minorHAnsi" w:hAnsiTheme="minorHAnsi" w:cstheme="minorHAnsi"/>
        </w:rPr>
        <w:t xml:space="preserve">and </w:t>
      </w:r>
      <w:r w:rsidR="00D20921" w:rsidRPr="00612BAF">
        <w:rPr>
          <w:rFonts w:asciiTheme="minorHAnsi" w:hAnsiTheme="minorHAnsi" w:cstheme="minorHAnsi"/>
        </w:rPr>
        <w:t>even the future</w:t>
      </w:r>
      <w:r w:rsidR="004512A1" w:rsidRPr="00612BAF">
        <w:rPr>
          <w:rFonts w:asciiTheme="minorHAnsi" w:hAnsiTheme="minorHAnsi" w:cstheme="minorHAnsi"/>
        </w:rPr>
        <w:t xml:space="preserve"> rebuilding </w:t>
      </w:r>
      <w:r w:rsidR="00B504F6" w:rsidRPr="00612BAF">
        <w:rPr>
          <w:rFonts w:asciiTheme="minorHAnsi" w:hAnsiTheme="minorHAnsi" w:cstheme="minorHAnsi"/>
        </w:rPr>
        <w:t xml:space="preserve">of </w:t>
      </w:r>
      <w:r w:rsidR="004512A1" w:rsidRPr="00612BAF">
        <w:rPr>
          <w:rFonts w:asciiTheme="minorHAnsi" w:hAnsiTheme="minorHAnsi" w:cstheme="minorHAnsi"/>
        </w:rPr>
        <w:t>the Temple</w:t>
      </w:r>
      <w:r w:rsidR="00D20921" w:rsidRPr="00612BAF">
        <w:rPr>
          <w:rFonts w:asciiTheme="minorHAnsi" w:hAnsiTheme="minorHAnsi" w:cstheme="minorHAnsi"/>
        </w:rPr>
        <w:t xml:space="preserve">, </w:t>
      </w:r>
      <w:r w:rsidR="00B504F6" w:rsidRPr="00612BAF">
        <w:rPr>
          <w:rFonts w:asciiTheme="minorHAnsi" w:hAnsiTheme="minorHAnsi" w:cstheme="minorHAnsi"/>
        </w:rPr>
        <w:t>and similarly</w:t>
      </w:r>
      <w:r w:rsidR="00D20921" w:rsidRPr="00612BAF">
        <w:rPr>
          <w:rFonts w:asciiTheme="minorHAnsi" w:hAnsiTheme="minorHAnsi" w:cstheme="minorHAnsi"/>
        </w:rPr>
        <w:t xml:space="preserve"> </w:t>
      </w:r>
      <w:r w:rsidR="004512A1" w:rsidRPr="00612BAF">
        <w:rPr>
          <w:rFonts w:asciiTheme="minorHAnsi" w:hAnsiTheme="minorHAnsi" w:cstheme="minorHAnsi"/>
        </w:rPr>
        <w:t>for Jews and Christians</w:t>
      </w:r>
      <w:r w:rsidR="00D20921" w:rsidRPr="00612BAF">
        <w:rPr>
          <w:rFonts w:asciiTheme="minorHAnsi" w:hAnsiTheme="minorHAnsi" w:cstheme="minorHAnsi"/>
        </w:rPr>
        <w:t xml:space="preserve"> today</w:t>
      </w:r>
      <w:r w:rsidR="00B504F6" w:rsidRPr="00612BAF">
        <w:rPr>
          <w:rFonts w:asciiTheme="minorHAnsi" w:hAnsiTheme="minorHAnsi" w:cstheme="minorHAnsi"/>
        </w:rPr>
        <w:t xml:space="preserve"> (see Jer. 29:13)</w:t>
      </w:r>
      <w:r w:rsidR="004512A1" w:rsidRPr="00612BAF">
        <w:rPr>
          <w:rFonts w:asciiTheme="minorHAnsi" w:hAnsiTheme="minorHAnsi" w:cstheme="minorHAnsi"/>
        </w:rPr>
        <w:t>.</w:t>
      </w:r>
    </w:p>
    <w:p w14:paraId="76CB15CC" w14:textId="77777777" w:rsidR="004512A1" w:rsidRPr="00612BAF" w:rsidRDefault="004512A1" w:rsidP="002D08FF">
      <w:pPr>
        <w:spacing w:line="480" w:lineRule="auto"/>
        <w:rPr>
          <w:rFonts w:asciiTheme="minorHAnsi" w:hAnsiTheme="minorHAnsi" w:cstheme="minorHAnsi"/>
        </w:rPr>
      </w:pPr>
    </w:p>
    <w:p w14:paraId="37D8603A" w14:textId="7F9504C0" w:rsidR="00847D56" w:rsidRPr="00612BAF" w:rsidRDefault="00847D56" w:rsidP="002D08FF">
      <w:pPr>
        <w:spacing w:line="480" w:lineRule="auto"/>
        <w:rPr>
          <w:rFonts w:asciiTheme="minorHAnsi" w:hAnsiTheme="minorHAnsi" w:cstheme="minorHAnsi"/>
          <w:b/>
          <w:bCs/>
        </w:rPr>
      </w:pPr>
      <w:r w:rsidRPr="00612BAF">
        <w:rPr>
          <w:rFonts w:asciiTheme="minorHAnsi" w:hAnsiTheme="minorHAnsi" w:cstheme="minorHAnsi"/>
          <w:b/>
          <w:bCs/>
        </w:rPr>
        <w:t>Obedience</w:t>
      </w:r>
    </w:p>
    <w:p w14:paraId="02F07268" w14:textId="438EDE13" w:rsidR="00847D56" w:rsidRPr="00612BAF" w:rsidRDefault="00AA6524" w:rsidP="002D08FF">
      <w:pPr>
        <w:spacing w:line="480" w:lineRule="auto"/>
        <w:rPr>
          <w:rFonts w:asciiTheme="minorHAnsi" w:hAnsiTheme="minorHAnsi" w:cstheme="minorHAnsi"/>
        </w:rPr>
      </w:pPr>
      <w:r w:rsidRPr="00612BAF">
        <w:rPr>
          <w:rFonts w:asciiTheme="minorHAnsi" w:hAnsiTheme="minorHAnsi" w:cstheme="minorHAnsi"/>
        </w:rPr>
        <w:t>Abraham’s fear of God is crucial for a successful outcome of God’s testing</w:t>
      </w:r>
      <w:r w:rsidRPr="00612BAF">
        <w:rPr>
          <w:rStyle w:val="FootnoteReference"/>
          <w:rFonts w:asciiTheme="minorHAnsi" w:hAnsiTheme="minorHAnsi" w:cstheme="minorHAnsi"/>
        </w:rPr>
        <w:footnoteReference w:id="8"/>
      </w:r>
      <w:r w:rsidR="00354743" w:rsidRPr="00612BAF">
        <w:rPr>
          <w:rFonts w:asciiTheme="minorHAnsi" w:hAnsiTheme="minorHAnsi" w:cstheme="minorHAnsi"/>
        </w:rPr>
        <w:t xml:space="preserve">. </w:t>
      </w:r>
      <w:r w:rsidR="00DF31EE" w:rsidRPr="00612BAF">
        <w:rPr>
          <w:rFonts w:asciiTheme="minorHAnsi" w:hAnsiTheme="minorHAnsi" w:cstheme="minorHAnsi"/>
        </w:rPr>
        <w:t xml:space="preserve">The translation of </w:t>
      </w:r>
      <w:proofErr w:type="spellStart"/>
      <w:r w:rsidR="00DF31EE" w:rsidRPr="00612BAF">
        <w:rPr>
          <w:rFonts w:asciiTheme="minorHAnsi" w:hAnsiTheme="minorHAnsi" w:cstheme="minorHAnsi"/>
          <w:i/>
          <w:iCs/>
        </w:rPr>
        <w:t>y</w:t>
      </w:r>
      <w:r w:rsidR="00354743" w:rsidRPr="00612BAF">
        <w:rPr>
          <w:rFonts w:asciiTheme="minorHAnsi" w:hAnsiTheme="minorHAnsi" w:cstheme="minorHAnsi"/>
          <w:i/>
          <w:iCs/>
        </w:rPr>
        <w:t>ārē</w:t>
      </w:r>
      <w:proofErr w:type="spellEnd"/>
      <w:r w:rsidR="00354743" w:rsidRPr="00612BAF">
        <w:rPr>
          <w:rFonts w:asciiTheme="minorHAnsi" w:hAnsiTheme="minorHAnsi" w:cstheme="minorHAnsi"/>
          <w:i/>
          <w:iCs/>
        </w:rPr>
        <w:t>’</w:t>
      </w:r>
      <w:r w:rsidR="00354743" w:rsidRPr="00612BAF">
        <w:rPr>
          <w:rFonts w:asciiTheme="minorHAnsi" w:hAnsiTheme="minorHAnsi" w:cstheme="minorHAnsi"/>
        </w:rPr>
        <w:t xml:space="preserve"> </w:t>
      </w:r>
      <w:r w:rsidR="005C6E63" w:rsidRPr="00612BAF">
        <w:rPr>
          <w:rFonts w:asciiTheme="minorHAnsi" w:hAnsiTheme="minorHAnsi" w:cstheme="minorHAnsi"/>
        </w:rPr>
        <w:t>‘be afraid</w:t>
      </w:r>
      <w:r w:rsidR="00D20921" w:rsidRPr="00612BAF">
        <w:rPr>
          <w:rFonts w:asciiTheme="minorHAnsi" w:hAnsiTheme="minorHAnsi" w:cstheme="minorHAnsi"/>
        </w:rPr>
        <w:t>/</w:t>
      </w:r>
      <w:r w:rsidR="005C6E63" w:rsidRPr="00612BAF">
        <w:rPr>
          <w:rFonts w:asciiTheme="minorHAnsi" w:hAnsiTheme="minorHAnsi" w:cstheme="minorHAnsi"/>
        </w:rPr>
        <w:t>revere’</w:t>
      </w:r>
      <w:r w:rsidR="005C6E63" w:rsidRPr="00612BAF">
        <w:rPr>
          <w:rStyle w:val="FootnoteReference"/>
          <w:rFonts w:asciiTheme="minorHAnsi" w:hAnsiTheme="minorHAnsi" w:cstheme="minorHAnsi"/>
        </w:rPr>
        <w:footnoteReference w:id="9"/>
      </w:r>
      <w:r w:rsidR="00D20921" w:rsidRPr="00612BAF">
        <w:rPr>
          <w:rFonts w:asciiTheme="minorHAnsi" w:hAnsiTheme="minorHAnsi" w:cstheme="minorHAnsi"/>
        </w:rPr>
        <w:t xml:space="preserve"> </w:t>
      </w:r>
      <w:r w:rsidR="005C6E63" w:rsidRPr="00612BAF">
        <w:rPr>
          <w:rFonts w:asciiTheme="minorHAnsi" w:hAnsiTheme="minorHAnsi" w:cstheme="minorHAnsi"/>
        </w:rPr>
        <w:t>depend</w:t>
      </w:r>
      <w:r w:rsidR="00DF31EE" w:rsidRPr="00612BAF">
        <w:rPr>
          <w:rFonts w:asciiTheme="minorHAnsi" w:hAnsiTheme="minorHAnsi" w:cstheme="minorHAnsi"/>
        </w:rPr>
        <w:t>s</w:t>
      </w:r>
      <w:r w:rsidR="005C6E63" w:rsidRPr="00612BAF">
        <w:rPr>
          <w:rFonts w:asciiTheme="minorHAnsi" w:hAnsiTheme="minorHAnsi" w:cstheme="minorHAnsi"/>
        </w:rPr>
        <w:t xml:space="preserve"> as much on translat</w:t>
      </w:r>
      <w:r w:rsidR="00CF40F9" w:rsidRPr="00612BAF">
        <w:rPr>
          <w:rFonts w:asciiTheme="minorHAnsi" w:hAnsiTheme="minorHAnsi" w:cstheme="minorHAnsi"/>
        </w:rPr>
        <w:t>or</w:t>
      </w:r>
      <w:r w:rsidR="005C6E63" w:rsidRPr="00612BAF">
        <w:rPr>
          <w:rFonts w:asciiTheme="minorHAnsi" w:hAnsiTheme="minorHAnsi" w:cstheme="minorHAnsi"/>
        </w:rPr>
        <w:t xml:space="preserve"> as</w:t>
      </w:r>
      <w:r w:rsidR="00DF31EE" w:rsidRPr="00612BAF">
        <w:rPr>
          <w:rFonts w:asciiTheme="minorHAnsi" w:hAnsiTheme="minorHAnsi" w:cstheme="minorHAnsi"/>
        </w:rPr>
        <w:t xml:space="preserve"> context</w:t>
      </w:r>
      <w:r w:rsidR="00CF40F9" w:rsidRPr="00612BAF">
        <w:rPr>
          <w:rFonts w:asciiTheme="minorHAnsi" w:hAnsiTheme="minorHAnsi" w:cstheme="minorHAnsi"/>
        </w:rPr>
        <w:t>;</w:t>
      </w:r>
      <w:r w:rsidR="00D20921" w:rsidRPr="00612BAF">
        <w:rPr>
          <w:rFonts w:asciiTheme="minorHAnsi" w:hAnsiTheme="minorHAnsi" w:cstheme="minorHAnsi"/>
        </w:rPr>
        <w:t xml:space="preserve"> </w:t>
      </w:r>
      <w:r w:rsidR="00DF31EE" w:rsidRPr="00612BAF">
        <w:rPr>
          <w:rFonts w:asciiTheme="minorHAnsi" w:hAnsiTheme="minorHAnsi" w:cstheme="minorHAnsi"/>
        </w:rPr>
        <w:t>God desires reverence and awesome respect</w:t>
      </w:r>
      <w:r w:rsidR="00AF5436" w:rsidRPr="00612BAF">
        <w:rPr>
          <w:rFonts w:asciiTheme="minorHAnsi" w:hAnsiTheme="minorHAnsi" w:cstheme="minorHAnsi"/>
        </w:rPr>
        <w:t>,</w:t>
      </w:r>
      <w:r w:rsidR="00DF31EE" w:rsidRPr="00612BAF">
        <w:rPr>
          <w:rFonts w:asciiTheme="minorHAnsi" w:hAnsiTheme="minorHAnsi" w:cstheme="minorHAnsi"/>
        </w:rPr>
        <w:t xml:space="preserve"> not fear-motivated </w:t>
      </w:r>
      <w:r w:rsidR="00257627" w:rsidRPr="00612BAF">
        <w:rPr>
          <w:rFonts w:asciiTheme="minorHAnsi" w:hAnsiTheme="minorHAnsi" w:cstheme="minorHAnsi"/>
        </w:rPr>
        <w:t>obedience</w:t>
      </w:r>
      <w:r w:rsidR="00DF31EE" w:rsidRPr="00612BAF">
        <w:rPr>
          <w:rFonts w:asciiTheme="minorHAnsi" w:hAnsiTheme="minorHAnsi" w:cstheme="minorHAnsi"/>
        </w:rPr>
        <w:t xml:space="preserve"> </w:t>
      </w:r>
      <w:r w:rsidR="00D20921" w:rsidRPr="00612BAF">
        <w:rPr>
          <w:rFonts w:asciiTheme="minorHAnsi" w:hAnsiTheme="minorHAnsi" w:cstheme="minorHAnsi"/>
        </w:rPr>
        <w:t xml:space="preserve">(compare Exod. </w:t>
      </w:r>
      <w:r w:rsidR="00AF551B" w:rsidRPr="00612BAF">
        <w:rPr>
          <w:rFonts w:asciiTheme="minorHAnsi" w:hAnsiTheme="minorHAnsi" w:cstheme="minorHAnsi"/>
        </w:rPr>
        <w:t xml:space="preserve">15:26, </w:t>
      </w:r>
      <w:r w:rsidR="00D20921" w:rsidRPr="00612BAF">
        <w:rPr>
          <w:rFonts w:asciiTheme="minorHAnsi" w:hAnsiTheme="minorHAnsi" w:cstheme="minorHAnsi"/>
        </w:rPr>
        <w:t>20:20; Psa. 139:14; Isa. 35:4). He</w:t>
      </w:r>
      <w:r w:rsidR="00DF31EE" w:rsidRPr="00612BAF">
        <w:rPr>
          <w:rFonts w:asciiTheme="minorHAnsi" w:hAnsiTheme="minorHAnsi" w:cstheme="minorHAnsi"/>
        </w:rPr>
        <w:t xml:space="preserve"> finds reassurance in Abraham.</w:t>
      </w:r>
      <w:r w:rsidR="00257627" w:rsidRPr="00612BAF">
        <w:rPr>
          <w:rFonts w:asciiTheme="minorHAnsi" w:hAnsiTheme="minorHAnsi" w:cstheme="minorHAnsi"/>
        </w:rPr>
        <w:t xml:space="preserve"> </w:t>
      </w:r>
      <w:r w:rsidR="00AF5436" w:rsidRPr="00612BAF">
        <w:rPr>
          <w:rFonts w:asciiTheme="minorHAnsi" w:hAnsiTheme="minorHAnsi" w:cstheme="minorHAnsi"/>
        </w:rPr>
        <w:t>Abraham becomes the embodiment of ‘Israel’s Torah-shaped obedience to God’</w:t>
      </w:r>
      <w:r w:rsidR="00AF5436" w:rsidRPr="00612BAF">
        <w:rPr>
          <w:rStyle w:val="FootnoteReference"/>
          <w:rFonts w:asciiTheme="minorHAnsi" w:hAnsiTheme="minorHAnsi" w:cstheme="minorHAnsi"/>
        </w:rPr>
        <w:footnoteReference w:id="10"/>
      </w:r>
      <w:r w:rsidR="00AF5436" w:rsidRPr="00612BAF">
        <w:rPr>
          <w:rFonts w:asciiTheme="minorHAnsi" w:hAnsiTheme="minorHAnsi" w:cstheme="minorHAnsi"/>
        </w:rPr>
        <w:t xml:space="preserve">. </w:t>
      </w:r>
      <w:r w:rsidR="00257627" w:rsidRPr="00612BAF">
        <w:rPr>
          <w:rFonts w:asciiTheme="minorHAnsi" w:hAnsiTheme="minorHAnsi" w:cstheme="minorHAnsi"/>
        </w:rPr>
        <w:t xml:space="preserve">Testing Israel’s obedience </w:t>
      </w:r>
      <w:r w:rsidR="00D20921" w:rsidRPr="00612BAF">
        <w:rPr>
          <w:rFonts w:asciiTheme="minorHAnsi" w:hAnsiTheme="minorHAnsi" w:cstheme="minorHAnsi"/>
        </w:rPr>
        <w:t xml:space="preserve">occurs </w:t>
      </w:r>
      <w:r w:rsidR="00CF40F9" w:rsidRPr="00612BAF">
        <w:rPr>
          <w:rFonts w:asciiTheme="minorHAnsi" w:hAnsiTheme="minorHAnsi" w:cstheme="minorHAnsi"/>
        </w:rPr>
        <w:t>spasmodically</w:t>
      </w:r>
      <w:r w:rsidR="00257627" w:rsidRPr="00612BAF">
        <w:rPr>
          <w:rFonts w:asciiTheme="minorHAnsi" w:hAnsiTheme="minorHAnsi" w:cstheme="minorHAnsi"/>
        </w:rPr>
        <w:t xml:space="preserve">, sometimes </w:t>
      </w:r>
      <w:r w:rsidR="00CF40F9" w:rsidRPr="00612BAF">
        <w:rPr>
          <w:rFonts w:asciiTheme="minorHAnsi" w:hAnsiTheme="minorHAnsi" w:cstheme="minorHAnsi"/>
        </w:rPr>
        <w:t>checking</w:t>
      </w:r>
      <w:r w:rsidR="00257627" w:rsidRPr="00612BAF">
        <w:rPr>
          <w:rFonts w:asciiTheme="minorHAnsi" w:hAnsiTheme="minorHAnsi" w:cstheme="minorHAnsi"/>
        </w:rPr>
        <w:t>, sometimes correct</w:t>
      </w:r>
      <w:r w:rsidR="00A3473A" w:rsidRPr="00612BAF">
        <w:rPr>
          <w:rFonts w:asciiTheme="minorHAnsi" w:hAnsiTheme="minorHAnsi" w:cstheme="minorHAnsi"/>
        </w:rPr>
        <w:t>ing</w:t>
      </w:r>
      <w:r w:rsidR="00257627" w:rsidRPr="00612BAF">
        <w:rPr>
          <w:rFonts w:asciiTheme="minorHAnsi" w:hAnsiTheme="minorHAnsi" w:cstheme="minorHAnsi"/>
        </w:rPr>
        <w:t xml:space="preserve"> (Exod. 16:4; Deut. 8:2, 13:3, 33:8-9; Judg. 2:22, 3:4), draw</w:t>
      </w:r>
      <w:r w:rsidR="009A303C" w:rsidRPr="00612BAF">
        <w:rPr>
          <w:rFonts w:asciiTheme="minorHAnsi" w:hAnsiTheme="minorHAnsi" w:cstheme="minorHAnsi"/>
        </w:rPr>
        <w:t>ing</w:t>
      </w:r>
      <w:r w:rsidR="00257627" w:rsidRPr="00612BAF">
        <w:rPr>
          <w:rFonts w:asciiTheme="minorHAnsi" w:hAnsiTheme="minorHAnsi" w:cstheme="minorHAnsi"/>
        </w:rPr>
        <w:t xml:space="preserve"> them to greater Torah observance.</w:t>
      </w:r>
      <w:r w:rsidR="009A303C" w:rsidRPr="00612BAF">
        <w:rPr>
          <w:rFonts w:asciiTheme="minorHAnsi" w:hAnsiTheme="minorHAnsi" w:cstheme="minorHAnsi"/>
        </w:rPr>
        <w:t xml:space="preserve"> </w:t>
      </w:r>
      <w:r w:rsidR="00AF5436" w:rsidRPr="00612BAF">
        <w:rPr>
          <w:rFonts w:asciiTheme="minorHAnsi" w:hAnsiTheme="minorHAnsi" w:cstheme="minorHAnsi"/>
        </w:rPr>
        <w:t xml:space="preserve">Tempted in the desert, </w:t>
      </w:r>
      <w:r w:rsidR="009A303C" w:rsidRPr="00612BAF">
        <w:rPr>
          <w:rFonts w:asciiTheme="minorHAnsi" w:hAnsiTheme="minorHAnsi" w:cstheme="minorHAnsi"/>
        </w:rPr>
        <w:t>Jesus</w:t>
      </w:r>
      <w:r w:rsidR="00AF5436" w:rsidRPr="00612BAF">
        <w:rPr>
          <w:rFonts w:asciiTheme="minorHAnsi" w:hAnsiTheme="minorHAnsi" w:cstheme="minorHAnsi"/>
        </w:rPr>
        <w:t xml:space="preserve"> </w:t>
      </w:r>
      <w:r w:rsidR="008630CA" w:rsidRPr="00612BAF">
        <w:rPr>
          <w:rFonts w:asciiTheme="minorHAnsi" w:hAnsiTheme="minorHAnsi" w:cstheme="minorHAnsi"/>
        </w:rPr>
        <w:t>affirms</w:t>
      </w:r>
      <w:r w:rsidR="00AF5436" w:rsidRPr="00612BAF">
        <w:rPr>
          <w:rFonts w:asciiTheme="minorHAnsi" w:hAnsiTheme="minorHAnsi" w:cstheme="minorHAnsi"/>
        </w:rPr>
        <w:t xml:space="preserve"> this reverence (Mt. 4:10).</w:t>
      </w:r>
      <w:r w:rsidR="009A303C" w:rsidRPr="00612BAF">
        <w:rPr>
          <w:rFonts w:asciiTheme="minorHAnsi" w:hAnsiTheme="minorHAnsi" w:cstheme="minorHAnsi"/>
        </w:rPr>
        <w:t xml:space="preserve"> </w:t>
      </w:r>
    </w:p>
    <w:p w14:paraId="08BF3229" w14:textId="77777777" w:rsidR="009A303C" w:rsidRPr="00612BAF" w:rsidRDefault="009A303C" w:rsidP="002D08FF">
      <w:pPr>
        <w:spacing w:line="480" w:lineRule="auto"/>
        <w:rPr>
          <w:rFonts w:asciiTheme="minorHAnsi" w:hAnsiTheme="minorHAnsi" w:cstheme="minorHAnsi"/>
        </w:rPr>
      </w:pPr>
    </w:p>
    <w:p w14:paraId="5D61B162" w14:textId="77777777" w:rsidR="00847D56" w:rsidRPr="00612BAF" w:rsidRDefault="00847D56" w:rsidP="002D08FF">
      <w:pPr>
        <w:spacing w:line="480" w:lineRule="auto"/>
        <w:rPr>
          <w:rFonts w:asciiTheme="minorHAnsi" w:hAnsiTheme="minorHAnsi" w:cstheme="minorHAnsi"/>
          <w:b/>
          <w:bCs/>
        </w:rPr>
      </w:pPr>
      <w:r w:rsidRPr="00612BAF">
        <w:rPr>
          <w:rFonts w:asciiTheme="minorHAnsi" w:hAnsiTheme="minorHAnsi" w:cstheme="minorHAnsi"/>
          <w:b/>
          <w:bCs/>
        </w:rPr>
        <w:t>Child sacrifice</w:t>
      </w:r>
    </w:p>
    <w:p w14:paraId="263D2C9C" w14:textId="5E8266BB" w:rsidR="00B9455A" w:rsidRPr="00612BAF" w:rsidRDefault="00AF5436" w:rsidP="002D08FF">
      <w:pPr>
        <w:pStyle w:val="NormalWeb"/>
        <w:spacing w:before="0" w:beforeAutospacing="0" w:after="0" w:afterAutospacing="0" w:line="480" w:lineRule="auto"/>
        <w:rPr>
          <w:rFonts w:asciiTheme="minorHAnsi" w:hAnsiTheme="minorHAnsi" w:cstheme="minorHAnsi"/>
        </w:rPr>
      </w:pPr>
      <w:r w:rsidRPr="00612BAF">
        <w:rPr>
          <w:rFonts w:asciiTheme="minorHAnsi" w:hAnsiTheme="minorHAnsi" w:cstheme="minorHAnsi"/>
        </w:rPr>
        <w:t>Child sacrifice is associated with pagan worship, not Godly reverence</w:t>
      </w:r>
      <w:r w:rsidR="00A3473A" w:rsidRPr="00612BAF">
        <w:rPr>
          <w:rFonts w:asciiTheme="minorHAnsi" w:hAnsiTheme="minorHAnsi" w:cstheme="minorHAnsi"/>
        </w:rPr>
        <w:t>.</w:t>
      </w:r>
      <w:r w:rsidR="004077EC" w:rsidRPr="00612BAF">
        <w:rPr>
          <w:rFonts w:asciiTheme="minorHAnsi" w:hAnsiTheme="minorHAnsi" w:cstheme="minorHAnsi"/>
        </w:rPr>
        <w:t xml:space="preserve"> </w:t>
      </w:r>
      <w:r w:rsidR="00A3473A" w:rsidRPr="00612BAF">
        <w:rPr>
          <w:rFonts w:asciiTheme="minorHAnsi" w:hAnsiTheme="minorHAnsi" w:cstheme="minorHAnsi"/>
        </w:rPr>
        <w:t>It</w:t>
      </w:r>
      <w:r w:rsidR="004077EC" w:rsidRPr="00612BAF">
        <w:rPr>
          <w:rFonts w:asciiTheme="minorHAnsi" w:hAnsiTheme="minorHAnsi" w:cstheme="minorHAnsi"/>
        </w:rPr>
        <w:t xml:space="preserve"> is morally indefensible </w:t>
      </w:r>
      <w:r w:rsidR="00FE1DDF" w:rsidRPr="00612BAF">
        <w:rPr>
          <w:rFonts w:asciiTheme="minorHAnsi" w:hAnsiTheme="minorHAnsi" w:cstheme="minorHAnsi"/>
        </w:rPr>
        <w:t>for</w:t>
      </w:r>
      <w:r w:rsidR="004077EC" w:rsidRPr="00612BAF">
        <w:rPr>
          <w:rFonts w:asciiTheme="minorHAnsi" w:hAnsiTheme="minorHAnsi" w:cstheme="minorHAnsi"/>
        </w:rPr>
        <w:t xml:space="preserve"> modern cultures. </w:t>
      </w:r>
      <w:r w:rsidR="00B504F6" w:rsidRPr="00612BAF">
        <w:rPr>
          <w:rFonts w:asciiTheme="minorHAnsi" w:hAnsiTheme="minorHAnsi" w:cstheme="minorHAnsi"/>
        </w:rPr>
        <w:t xml:space="preserve">Is </w:t>
      </w:r>
      <w:r w:rsidR="00FE1DDF" w:rsidRPr="00612BAF">
        <w:rPr>
          <w:rFonts w:asciiTheme="minorHAnsi" w:hAnsiTheme="minorHAnsi" w:cstheme="minorHAnsi"/>
        </w:rPr>
        <w:t>God purposely reckless and cruel</w:t>
      </w:r>
      <w:r w:rsidR="00E55B82">
        <w:rPr>
          <w:rFonts w:asciiTheme="minorHAnsi" w:hAnsiTheme="minorHAnsi" w:cstheme="minorHAnsi"/>
        </w:rPr>
        <w:t>?</w:t>
      </w:r>
      <w:r w:rsidR="00B504F6" w:rsidRPr="00612BAF">
        <w:rPr>
          <w:rFonts w:asciiTheme="minorHAnsi" w:hAnsiTheme="minorHAnsi" w:cstheme="minorHAnsi"/>
        </w:rPr>
        <w:t xml:space="preserve"> </w:t>
      </w:r>
      <w:r w:rsidR="00E55B82">
        <w:rPr>
          <w:rFonts w:asciiTheme="minorHAnsi" w:hAnsiTheme="minorHAnsi" w:cstheme="minorHAnsi"/>
        </w:rPr>
        <w:t>That</w:t>
      </w:r>
      <w:r w:rsidR="00B504F6" w:rsidRPr="00612BAF">
        <w:rPr>
          <w:rFonts w:asciiTheme="minorHAnsi" w:hAnsiTheme="minorHAnsi" w:cstheme="minorHAnsi"/>
        </w:rPr>
        <w:t xml:space="preserve"> appears</w:t>
      </w:r>
      <w:r w:rsidR="00FE1DDF" w:rsidRPr="00612BAF">
        <w:rPr>
          <w:rFonts w:asciiTheme="minorHAnsi" w:hAnsiTheme="minorHAnsi" w:cstheme="minorHAnsi"/>
        </w:rPr>
        <w:t xml:space="preserve"> unresolved</w:t>
      </w:r>
      <w:r w:rsidR="00B504F6" w:rsidRPr="00612BAF">
        <w:rPr>
          <w:rFonts w:asciiTheme="minorHAnsi" w:hAnsiTheme="minorHAnsi" w:cstheme="minorHAnsi"/>
        </w:rPr>
        <w:t>.</w:t>
      </w:r>
      <w:r w:rsidR="00FE1DDF" w:rsidRPr="00612BAF">
        <w:rPr>
          <w:rFonts w:asciiTheme="minorHAnsi" w:hAnsiTheme="minorHAnsi" w:cstheme="minorHAnsi"/>
        </w:rPr>
        <w:t xml:space="preserve"> God’s purpose </w:t>
      </w:r>
      <w:r w:rsidR="00FE1DDF" w:rsidRPr="00612BAF">
        <w:rPr>
          <w:rFonts w:asciiTheme="minorHAnsi" w:hAnsiTheme="minorHAnsi" w:cstheme="minorHAnsi"/>
          <w:b/>
          <w:bCs/>
        </w:rPr>
        <w:t>is</w:t>
      </w:r>
      <w:r w:rsidR="00FE1DDF" w:rsidRPr="00612BAF">
        <w:rPr>
          <w:rFonts w:asciiTheme="minorHAnsi" w:hAnsiTheme="minorHAnsi" w:cstheme="minorHAnsi"/>
        </w:rPr>
        <w:t xml:space="preserve"> this ultimate test.</w:t>
      </w:r>
      <w:r w:rsidRPr="00612BAF">
        <w:rPr>
          <w:rFonts w:asciiTheme="minorHAnsi" w:hAnsiTheme="minorHAnsi" w:cstheme="minorHAnsi"/>
        </w:rPr>
        <w:t xml:space="preserve"> </w:t>
      </w:r>
      <w:r w:rsidR="00FE1DDF" w:rsidRPr="00612BAF">
        <w:rPr>
          <w:rFonts w:asciiTheme="minorHAnsi" w:hAnsiTheme="minorHAnsi" w:cstheme="minorHAnsi"/>
        </w:rPr>
        <w:t>The outcome proves</w:t>
      </w:r>
      <w:r w:rsidR="00284B75" w:rsidRPr="00612BAF">
        <w:rPr>
          <w:rFonts w:asciiTheme="minorHAnsi" w:hAnsiTheme="minorHAnsi" w:cstheme="minorHAnsi"/>
        </w:rPr>
        <w:t xml:space="preserve"> Abraham’s unswerving obedience (22:12). T</w:t>
      </w:r>
      <w:r w:rsidR="0010407E" w:rsidRPr="00612BAF">
        <w:rPr>
          <w:rFonts w:asciiTheme="minorHAnsi" w:hAnsiTheme="minorHAnsi" w:cstheme="minorHAnsi"/>
        </w:rPr>
        <w:t xml:space="preserve">he </w:t>
      </w:r>
      <w:proofErr w:type="spellStart"/>
      <w:r w:rsidR="0010407E" w:rsidRPr="00612BAF">
        <w:rPr>
          <w:rFonts w:asciiTheme="minorHAnsi" w:hAnsiTheme="minorHAnsi" w:cstheme="minorHAnsi"/>
          <w:i/>
          <w:iCs/>
        </w:rPr>
        <w:t>deus</w:t>
      </w:r>
      <w:proofErr w:type="spellEnd"/>
      <w:r w:rsidR="0010407E" w:rsidRPr="00612BAF">
        <w:rPr>
          <w:rFonts w:asciiTheme="minorHAnsi" w:hAnsiTheme="minorHAnsi" w:cstheme="minorHAnsi"/>
          <w:i/>
          <w:iCs/>
        </w:rPr>
        <w:t xml:space="preserve"> ex </w:t>
      </w:r>
      <w:proofErr w:type="spellStart"/>
      <w:r w:rsidR="0010407E" w:rsidRPr="00612BAF">
        <w:rPr>
          <w:rFonts w:asciiTheme="minorHAnsi" w:hAnsiTheme="minorHAnsi" w:cstheme="minorHAnsi"/>
          <w:i/>
          <w:iCs/>
        </w:rPr>
        <w:t>machina</w:t>
      </w:r>
      <w:proofErr w:type="spellEnd"/>
      <w:r w:rsidR="0010407E" w:rsidRPr="00612BAF">
        <w:rPr>
          <w:rFonts w:asciiTheme="minorHAnsi" w:hAnsiTheme="minorHAnsi" w:cstheme="minorHAnsi"/>
        </w:rPr>
        <w:t xml:space="preserve"> </w:t>
      </w:r>
      <w:r w:rsidR="00284B75" w:rsidRPr="00612BAF">
        <w:rPr>
          <w:rFonts w:asciiTheme="minorHAnsi" w:hAnsiTheme="minorHAnsi" w:cstheme="minorHAnsi"/>
        </w:rPr>
        <w:t xml:space="preserve">provision of a ram </w:t>
      </w:r>
      <w:r w:rsidR="00AD6852" w:rsidRPr="00612BAF">
        <w:rPr>
          <w:rFonts w:asciiTheme="minorHAnsi" w:hAnsiTheme="minorHAnsi" w:cstheme="minorHAnsi"/>
        </w:rPr>
        <w:t>as a</w:t>
      </w:r>
      <w:r w:rsidR="00284B75" w:rsidRPr="00612BAF">
        <w:rPr>
          <w:rFonts w:asciiTheme="minorHAnsi" w:hAnsiTheme="minorHAnsi" w:cstheme="minorHAnsi"/>
        </w:rPr>
        <w:t xml:space="preserve"> substitut</w:t>
      </w:r>
      <w:r w:rsidR="00AD6852" w:rsidRPr="00612BAF">
        <w:rPr>
          <w:rFonts w:asciiTheme="minorHAnsi" w:hAnsiTheme="minorHAnsi" w:cstheme="minorHAnsi"/>
        </w:rPr>
        <w:t xml:space="preserve">e completes the sacrificial act for </w:t>
      </w:r>
      <w:r w:rsidR="00FE1DDF" w:rsidRPr="00612BAF">
        <w:rPr>
          <w:rFonts w:asciiTheme="minorHAnsi" w:hAnsiTheme="minorHAnsi" w:cstheme="minorHAnsi"/>
        </w:rPr>
        <w:t>God to reopen his fulfilment of the covenant.</w:t>
      </w:r>
      <w:r w:rsidR="0010407E" w:rsidRPr="00612BAF">
        <w:rPr>
          <w:rFonts w:asciiTheme="minorHAnsi" w:hAnsiTheme="minorHAnsi" w:cstheme="minorHAnsi"/>
        </w:rPr>
        <w:t xml:space="preserve"> </w:t>
      </w:r>
    </w:p>
    <w:p w14:paraId="2A5E071D" w14:textId="77777777" w:rsidR="00B9455A" w:rsidRPr="00612BAF" w:rsidRDefault="00B9455A" w:rsidP="002D08FF">
      <w:pPr>
        <w:pStyle w:val="NormalWeb"/>
        <w:spacing w:before="0" w:beforeAutospacing="0" w:after="0" w:afterAutospacing="0" w:line="480" w:lineRule="auto"/>
        <w:rPr>
          <w:rFonts w:asciiTheme="minorHAnsi" w:hAnsiTheme="minorHAnsi" w:cstheme="minorHAnsi"/>
        </w:rPr>
      </w:pPr>
    </w:p>
    <w:p w14:paraId="072643E8" w14:textId="77777777" w:rsidR="00B9455A" w:rsidRPr="00612BAF" w:rsidRDefault="00B9455A" w:rsidP="002D08FF">
      <w:pPr>
        <w:spacing w:line="480" w:lineRule="auto"/>
        <w:ind w:left="720" w:right="798"/>
        <w:rPr>
          <w:rFonts w:asciiTheme="minorHAnsi" w:hAnsiTheme="minorHAnsi" w:cstheme="minorHAnsi"/>
        </w:rPr>
      </w:pPr>
      <w:r w:rsidRPr="00612BAF">
        <w:rPr>
          <w:rFonts w:asciiTheme="minorHAnsi" w:hAnsiTheme="minorHAnsi" w:cstheme="minorHAnsi"/>
        </w:rPr>
        <w:t>‘Jewish traditions record a historical event on Moriah that teaches the importance of unimpeded obedience to God whereas Christianity identifies the sacrifice of Isaac as a prefiguration of God’s sacrifice of Jesus’</w:t>
      </w:r>
      <w:r w:rsidRPr="00612BAF">
        <w:rPr>
          <w:rStyle w:val="FootnoteReference"/>
          <w:rFonts w:asciiTheme="minorHAnsi" w:hAnsiTheme="minorHAnsi" w:cstheme="minorHAnsi"/>
        </w:rPr>
        <w:footnoteReference w:id="11"/>
      </w:r>
      <w:r w:rsidRPr="00612BAF">
        <w:rPr>
          <w:rFonts w:asciiTheme="minorHAnsi" w:hAnsiTheme="minorHAnsi" w:cstheme="minorHAnsi"/>
        </w:rPr>
        <w:t xml:space="preserve">. </w:t>
      </w:r>
    </w:p>
    <w:p w14:paraId="594F8972" w14:textId="77777777" w:rsidR="00B9455A" w:rsidRPr="00612BAF" w:rsidRDefault="00B9455A" w:rsidP="002D08FF">
      <w:pPr>
        <w:pStyle w:val="NormalWeb"/>
        <w:spacing w:before="0" w:beforeAutospacing="0" w:after="0" w:afterAutospacing="0" w:line="480" w:lineRule="auto"/>
        <w:rPr>
          <w:rFonts w:asciiTheme="minorHAnsi" w:hAnsiTheme="minorHAnsi" w:cstheme="minorHAnsi"/>
        </w:rPr>
      </w:pPr>
    </w:p>
    <w:p w14:paraId="54DA0679" w14:textId="38B1A6D6" w:rsidR="00236E19" w:rsidRPr="00612BAF" w:rsidRDefault="0061402E" w:rsidP="002D08FF">
      <w:pPr>
        <w:pStyle w:val="NormalWeb"/>
        <w:spacing w:before="0" w:beforeAutospacing="0" w:after="0" w:afterAutospacing="0" w:line="480" w:lineRule="auto"/>
        <w:rPr>
          <w:rFonts w:asciiTheme="minorHAnsi" w:hAnsiTheme="minorHAnsi" w:cstheme="minorHAnsi"/>
        </w:rPr>
      </w:pPr>
      <w:r w:rsidRPr="00612BAF">
        <w:rPr>
          <w:rFonts w:asciiTheme="minorHAnsi" w:hAnsiTheme="minorHAnsi" w:cstheme="minorHAnsi"/>
        </w:rPr>
        <w:t>Interpretation of the story depend</w:t>
      </w:r>
      <w:r w:rsidR="00FE1DDF" w:rsidRPr="00612BAF">
        <w:rPr>
          <w:rFonts w:asciiTheme="minorHAnsi" w:hAnsiTheme="minorHAnsi" w:cstheme="minorHAnsi"/>
        </w:rPr>
        <w:t>s</w:t>
      </w:r>
      <w:r w:rsidRPr="00612BAF">
        <w:rPr>
          <w:rFonts w:asciiTheme="minorHAnsi" w:hAnsiTheme="minorHAnsi" w:cstheme="minorHAnsi"/>
        </w:rPr>
        <w:t xml:space="preserve"> on prevailing culture.</w:t>
      </w:r>
      <w:r w:rsidR="0010407E" w:rsidRPr="00612BAF">
        <w:rPr>
          <w:rFonts w:asciiTheme="minorHAnsi" w:hAnsiTheme="minorHAnsi" w:cstheme="minorHAnsi"/>
        </w:rPr>
        <w:t xml:space="preserve"> </w:t>
      </w:r>
      <w:r w:rsidR="00E55B82">
        <w:rPr>
          <w:rFonts w:asciiTheme="minorHAnsi" w:hAnsiTheme="minorHAnsi" w:cstheme="minorHAnsi"/>
        </w:rPr>
        <w:t xml:space="preserve">This can be seen effectively in children’s Bible story-telling. </w:t>
      </w:r>
      <w:r w:rsidR="00B71BDB">
        <w:rPr>
          <w:rFonts w:asciiTheme="minorHAnsi" w:hAnsiTheme="minorHAnsi" w:cstheme="minorHAnsi"/>
        </w:rPr>
        <w:t xml:space="preserve">Highlighting this, </w:t>
      </w:r>
      <w:r w:rsidR="004077EC" w:rsidRPr="00612BAF">
        <w:rPr>
          <w:rFonts w:asciiTheme="minorHAnsi" w:hAnsiTheme="minorHAnsi" w:cstheme="minorHAnsi"/>
        </w:rPr>
        <w:t>M. Tyler Sasser</w:t>
      </w:r>
      <w:r w:rsidR="00E55B82">
        <w:rPr>
          <w:rFonts w:asciiTheme="minorHAnsi" w:hAnsiTheme="minorHAnsi" w:cstheme="minorHAnsi"/>
        </w:rPr>
        <w:t>’s</w:t>
      </w:r>
      <w:r w:rsidR="004077EC" w:rsidRPr="00612BAF">
        <w:rPr>
          <w:rFonts w:asciiTheme="minorHAnsi" w:hAnsiTheme="minorHAnsi" w:cstheme="minorHAnsi"/>
        </w:rPr>
        <w:t xml:space="preserve"> </w:t>
      </w:r>
      <w:r w:rsidR="00236E19" w:rsidRPr="00612BAF">
        <w:rPr>
          <w:rFonts w:asciiTheme="minorHAnsi" w:hAnsiTheme="minorHAnsi" w:cstheme="minorHAnsi"/>
        </w:rPr>
        <w:t>compar</w:t>
      </w:r>
      <w:r w:rsidR="00E55B82">
        <w:rPr>
          <w:rFonts w:asciiTheme="minorHAnsi" w:hAnsiTheme="minorHAnsi" w:cstheme="minorHAnsi"/>
        </w:rPr>
        <w:t>ison</w:t>
      </w:r>
      <w:r w:rsidR="00236E19" w:rsidRPr="00612BAF">
        <w:rPr>
          <w:rFonts w:asciiTheme="minorHAnsi" w:hAnsiTheme="minorHAnsi" w:cstheme="minorHAnsi"/>
        </w:rPr>
        <w:t xml:space="preserve"> of contemporary Jewish </w:t>
      </w:r>
      <w:r w:rsidR="00E55B82">
        <w:rPr>
          <w:rFonts w:asciiTheme="minorHAnsi" w:hAnsiTheme="minorHAnsi" w:cstheme="minorHAnsi"/>
        </w:rPr>
        <w:t>stories,</w:t>
      </w:r>
      <w:r w:rsidR="00236E19" w:rsidRPr="00612BAF">
        <w:rPr>
          <w:rFonts w:asciiTheme="minorHAnsi" w:hAnsiTheme="minorHAnsi" w:cstheme="minorHAnsi"/>
        </w:rPr>
        <w:t xml:space="preserve"> </w:t>
      </w:r>
      <w:r w:rsidR="00CF348F" w:rsidRPr="00612BAF">
        <w:rPr>
          <w:rFonts w:asciiTheme="minorHAnsi" w:hAnsiTheme="minorHAnsi" w:cstheme="minorHAnsi"/>
        </w:rPr>
        <w:t xml:space="preserve">focusing on Abraham’s absolute obedience to God, </w:t>
      </w:r>
      <w:r w:rsidR="00B71BDB">
        <w:rPr>
          <w:rFonts w:asciiTheme="minorHAnsi" w:hAnsiTheme="minorHAnsi" w:cstheme="minorHAnsi"/>
        </w:rPr>
        <w:t xml:space="preserve">with </w:t>
      </w:r>
      <w:r w:rsidR="00CF348F" w:rsidRPr="00612BAF">
        <w:rPr>
          <w:rFonts w:asciiTheme="minorHAnsi" w:hAnsiTheme="minorHAnsi" w:cstheme="minorHAnsi"/>
        </w:rPr>
        <w:t xml:space="preserve">American middle-class </w:t>
      </w:r>
      <w:r w:rsidR="00B71BDB">
        <w:rPr>
          <w:rFonts w:asciiTheme="minorHAnsi" w:hAnsiTheme="minorHAnsi" w:cstheme="minorHAnsi"/>
        </w:rPr>
        <w:t>narrations</w:t>
      </w:r>
      <w:r w:rsidR="00E55B82">
        <w:rPr>
          <w:rFonts w:asciiTheme="minorHAnsi" w:hAnsiTheme="minorHAnsi" w:cstheme="minorHAnsi"/>
        </w:rPr>
        <w:t xml:space="preserve">, focusing on </w:t>
      </w:r>
      <w:r w:rsidR="00CF348F" w:rsidRPr="00612BAF">
        <w:rPr>
          <w:rFonts w:asciiTheme="minorHAnsi" w:hAnsiTheme="minorHAnsi" w:cstheme="minorHAnsi"/>
        </w:rPr>
        <w:t>family values and their attention to father-son relationships</w:t>
      </w:r>
      <w:r w:rsidRPr="00612BAF">
        <w:rPr>
          <w:rFonts w:asciiTheme="minorHAnsi" w:hAnsiTheme="minorHAnsi" w:cstheme="minorHAnsi"/>
        </w:rPr>
        <w:t>. Both</w:t>
      </w:r>
      <w:r w:rsidR="00174F94" w:rsidRPr="00612BAF">
        <w:rPr>
          <w:rFonts w:asciiTheme="minorHAnsi" w:hAnsiTheme="minorHAnsi" w:cstheme="minorHAnsi"/>
        </w:rPr>
        <w:t xml:space="preserve"> appropriate the Akedah to downplay </w:t>
      </w:r>
      <w:r w:rsidR="0010407E" w:rsidRPr="00612BAF">
        <w:rPr>
          <w:rFonts w:asciiTheme="minorHAnsi" w:hAnsiTheme="minorHAnsi" w:cstheme="minorHAnsi"/>
        </w:rPr>
        <w:t xml:space="preserve">the </w:t>
      </w:r>
      <w:r w:rsidR="00FE1DDF" w:rsidRPr="00612BAF">
        <w:rPr>
          <w:rFonts w:asciiTheme="minorHAnsi" w:hAnsiTheme="minorHAnsi" w:cstheme="minorHAnsi"/>
        </w:rPr>
        <w:t>overt</w:t>
      </w:r>
      <w:r w:rsidR="00174F94" w:rsidRPr="00612BAF">
        <w:rPr>
          <w:rFonts w:asciiTheme="minorHAnsi" w:hAnsiTheme="minorHAnsi" w:cstheme="minorHAnsi"/>
        </w:rPr>
        <w:t xml:space="preserve"> </w:t>
      </w:r>
      <w:r w:rsidR="0010407E" w:rsidRPr="00612BAF">
        <w:rPr>
          <w:rFonts w:asciiTheme="minorHAnsi" w:hAnsiTheme="minorHAnsi" w:cstheme="minorHAnsi"/>
        </w:rPr>
        <w:t>violence</w:t>
      </w:r>
      <w:r w:rsidR="00174F94" w:rsidRPr="00612BAF">
        <w:rPr>
          <w:rFonts w:asciiTheme="minorHAnsi" w:hAnsiTheme="minorHAnsi" w:cstheme="minorHAnsi"/>
        </w:rPr>
        <w:t xml:space="preserve"> and focus on obedience, despite Isaac’s </w:t>
      </w:r>
      <w:r w:rsidR="00FE1DDF" w:rsidRPr="00612BAF">
        <w:rPr>
          <w:rFonts w:asciiTheme="minorHAnsi" w:hAnsiTheme="minorHAnsi" w:cstheme="minorHAnsi"/>
        </w:rPr>
        <w:t>innocent</w:t>
      </w:r>
      <w:r w:rsidR="00174F94" w:rsidRPr="00612BAF">
        <w:rPr>
          <w:rFonts w:asciiTheme="minorHAnsi" w:hAnsiTheme="minorHAnsi" w:cstheme="minorHAnsi"/>
        </w:rPr>
        <w:t xml:space="preserve"> compliance </w:t>
      </w:r>
      <w:r w:rsidR="00FE1DDF" w:rsidRPr="00612BAF">
        <w:rPr>
          <w:rFonts w:asciiTheme="minorHAnsi" w:hAnsiTheme="minorHAnsi" w:cstheme="minorHAnsi"/>
        </w:rPr>
        <w:t>with</w:t>
      </w:r>
      <w:r w:rsidR="00174F94" w:rsidRPr="00612BAF">
        <w:rPr>
          <w:rFonts w:asciiTheme="minorHAnsi" w:hAnsiTheme="minorHAnsi" w:cstheme="minorHAnsi"/>
        </w:rPr>
        <w:t xml:space="preserve"> </w:t>
      </w:r>
      <w:r w:rsidR="004077EC" w:rsidRPr="00612BAF">
        <w:rPr>
          <w:rFonts w:asciiTheme="minorHAnsi" w:hAnsiTheme="minorHAnsi" w:cstheme="minorHAnsi"/>
        </w:rPr>
        <w:t xml:space="preserve">Abraham’s instructions. </w:t>
      </w:r>
      <w:r w:rsidR="00CF348F" w:rsidRPr="00612BAF">
        <w:rPr>
          <w:rFonts w:asciiTheme="minorHAnsi" w:hAnsiTheme="minorHAnsi" w:cstheme="minorHAnsi"/>
        </w:rPr>
        <w:t>But Jewish authors often see links with other cataclysmic events, such as the Holocaust, whereas ‘Christian picture books imbue Isaac with carefree innocence’</w:t>
      </w:r>
      <w:r w:rsidR="00CF348F" w:rsidRPr="00612BAF">
        <w:rPr>
          <w:rStyle w:val="FootnoteReference"/>
          <w:rFonts w:asciiTheme="minorHAnsi" w:hAnsiTheme="minorHAnsi" w:cstheme="minorHAnsi"/>
        </w:rPr>
        <w:footnoteReference w:id="12"/>
      </w:r>
      <w:r w:rsidR="00CF348F" w:rsidRPr="00612BAF">
        <w:rPr>
          <w:rFonts w:asciiTheme="minorHAnsi" w:hAnsiTheme="minorHAnsi" w:cstheme="minorHAnsi"/>
        </w:rPr>
        <w:t xml:space="preserve">. </w:t>
      </w:r>
      <w:r w:rsidR="00B504F6" w:rsidRPr="00612BAF">
        <w:rPr>
          <w:rFonts w:asciiTheme="minorHAnsi" w:hAnsiTheme="minorHAnsi" w:cstheme="minorHAnsi"/>
        </w:rPr>
        <w:t>A</w:t>
      </w:r>
      <w:r w:rsidRPr="00612BAF">
        <w:rPr>
          <w:rFonts w:asciiTheme="minorHAnsi" w:hAnsiTheme="minorHAnsi" w:cstheme="minorHAnsi"/>
        </w:rPr>
        <w:t>uthors</w:t>
      </w:r>
      <w:r w:rsidR="004077EC" w:rsidRPr="00612BAF">
        <w:rPr>
          <w:rFonts w:asciiTheme="minorHAnsi" w:hAnsiTheme="minorHAnsi" w:cstheme="minorHAnsi"/>
        </w:rPr>
        <w:t xml:space="preserve"> question to whom blind faith should be given</w:t>
      </w:r>
      <w:r w:rsidR="00B504F6" w:rsidRPr="00612BAF">
        <w:rPr>
          <w:rFonts w:asciiTheme="minorHAnsi" w:hAnsiTheme="minorHAnsi" w:cstheme="minorHAnsi"/>
        </w:rPr>
        <w:t>:</w:t>
      </w:r>
      <w:r w:rsidR="004077EC" w:rsidRPr="00612BAF">
        <w:rPr>
          <w:rFonts w:asciiTheme="minorHAnsi" w:hAnsiTheme="minorHAnsi" w:cstheme="minorHAnsi"/>
        </w:rPr>
        <w:t xml:space="preserve"> </w:t>
      </w:r>
      <w:r w:rsidR="00CF348F" w:rsidRPr="00612BAF">
        <w:rPr>
          <w:rFonts w:asciiTheme="minorHAnsi" w:hAnsiTheme="minorHAnsi" w:cstheme="minorHAnsi"/>
        </w:rPr>
        <w:t>Jewish books focus on Abraham’s unquestioning obedience to God. Christian authors support parental obedience.</w:t>
      </w:r>
    </w:p>
    <w:p w14:paraId="0585EF1F" w14:textId="77777777" w:rsidR="00847D56" w:rsidRPr="00612BAF" w:rsidRDefault="00847D56" w:rsidP="002D08FF">
      <w:pPr>
        <w:spacing w:line="480" w:lineRule="auto"/>
        <w:rPr>
          <w:rFonts w:asciiTheme="minorHAnsi" w:hAnsiTheme="minorHAnsi" w:cstheme="minorHAnsi"/>
          <w:b/>
          <w:bCs/>
        </w:rPr>
      </w:pPr>
    </w:p>
    <w:p w14:paraId="7E3329C9" w14:textId="2F402B3D" w:rsidR="00847D56" w:rsidRPr="00612BAF" w:rsidRDefault="00847D56" w:rsidP="002D08FF">
      <w:pPr>
        <w:spacing w:line="480" w:lineRule="auto"/>
        <w:rPr>
          <w:rFonts w:asciiTheme="minorHAnsi" w:hAnsiTheme="minorHAnsi" w:cstheme="minorHAnsi"/>
          <w:b/>
          <w:bCs/>
        </w:rPr>
      </w:pPr>
      <w:r w:rsidRPr="00612BAF">
        <w:rPr>
          <w:rFonts w:asciiTheme="minorHAnsi" w:hAnsiTheme="minorHAnsi" w:cstheme="minorHAnsi"/>
          <w:b/>
          <w:bCs/>
        </w:rPr>
        <w:t>Moriah</w:t>
      </w:r>
    </w:p>
    <w:p w14:paraId="60E59BBD" w14:textId="39CC78DF" w:rsidR="005641BE" w:rsidRPr="00612BAF" w:rsidRDefault="00FB5B9A" w:rsidP="002D08FF">
      <w:pPr>
        <w:spacing w:line="480" w:lineRule="auto"/>
        <w:rPr>
          <w:rFonts w:asciiTheme="minorHAnsi" w:hAnsiTheme="minorHAnsi" w:cstheme="minorHAnsi"/>
        </w:rPr>
      </w:pPr>
      <w:r w:rsidRPr="00612BAF">
        <w:rPr>
          <w:rFonts w:asciiTheme="minorHAnsi" w:hAnsiTheme="minorHAnsi" w:cstheme="minorHAnsi"/>
        </w:rPr>
        <w:t>The place prepared for the sacrifice opens another key theological question, the link between Mount Moriah and the Temple in Jerusalem. Moriah is mentioned by name only twice (22:2; 2 Chron. 3:1)</w:t>
      </w:r>
      <w:r w:rsidR="00164E9E" w:rsidRPr="00612BAF">
        <w:rPr>
          <w:rFonts w:asciiTheme="minorHAnsi" w:hAnsiTheme="minorHAnsi" w:cstheme="minorHAnsi"/>
        </w:rPr>
        <w:t xml:space="preserve">, implying </w:t>
      </w:r>
      <w:r w:rsidR="00DF203F" w:rsidRPr="00612BAF">
        <w:rPr>
          <w:rFonts w:asciiTheme="minorHAnsi" w:hAnsiTheme="minorHAnsi" w:cstheme="minorHAnsi"/>
        </w:rPr>
        <w:t>the Chronicle</w:t>
      </w:r>
      <w:r w:rsidR="00164E9E" w:rsidRPr="00612BAF">
        <w:rPr>
          <w:rFonts w:asciiTheme="minorHAnsi" w:hAnsiTheme="minorHAnsi" w:cstheme="minorHAnsi"/>
        </w:rPr>
        <w:t>r</w:t>
      </w:r>
      <w:r w:rsidR="00DF203F" w:rsidRPr="00612BAF">
        <w:rPr>
          <w:rFonts w:asciiTheme="minorHAnsi" w:hAnsiTheme="minorHAnsi" w:cstheme="minorHAnsi"/>
        </w:rPr>
        <w:t>’</w:t>
      </w:r>
      <w:r w:rsidR="00164E9E" w:rsidRPr="00612BAF">
        <w:rPr>
          <w:rFonts w:asciiTheme="minorHAnsi" w:hAnsiTheme="minorHAnsi" w:cstheme="minorHAnsi"/>
        </w:rPr>
        <w:t xml:space="preserve">s </w:t>
      </w:r>
      <w:r w:rsidR="00DF203F" w:rsidRPr="00612BAF">
        <w:rPr>
          <w:rFonts w:asciiTheme="minorHAnsi" w:hAnsiTheme="minorHAnsi" w:cstheme="minorHAnsi"/>
        </w:rPr>
        <w:t xml:space="preserve">knowledge of Genesis 22. </w:t>
      </w:r>
      <w:r w:rsidR="00164E9E" w:rsidRPr="00612BAF">
        <w:rPr>
          <w:rFonts w:asciiTheme="minorHAnsi" w:hAnsiTheme="minorHAnsi" w:cstheme="minorHAnsi"/>
        </w:rPr>
        <w:t>I</w:t>
      </w:r>
      <w:r w:rsidR="00DF203F" w:rsidRPr="00612BAF">
        <w:rPr>
          <w:rFonts w:asciiTheme="minorHAnsi" w:hAnsiTheme="minorHAnsi" w:cstheme="minorHAnsi"/>
        </w:rPr>
        <w:t xml:space="preserve">t is no coincidence that Moriah is where Solomon </w:t>
      </w:r>
      <w:r w:rsidR="00164E9E" w:rsidRPr="00612BAF">
        <w:rPr>
          <w:rFonts w:asciiTheme="minorHAnsi" w:hAnsiTheme="minorHAnsi" w:cstheme="minorHAnsi"/>
        </w:rPr>
        <w:t>built the Temple referring back to</w:t>
      </w:r>
      <w:r w:rsidRPr="00612BAF">
        <w:rPr>
          <w:rFonts w:asciiTheme="minorHAnsi" w:hAnsiTheme="minorHAnsi" w:cstheme="minorHAnsi"/>
        </w:rPr>
        <w:t xml:space="preserve"> David</w:t>
      </w:r>
      <w:r w:rsidR="00164E9E" w:rsidRPr="00612BAF">
        <w:rPr>
          <w:rFonts w:asciiTheme="minorHAnsi" w:hAnsiTheme="minorHAnsi" w:cstheme="minorHAnsi"/>
        </w:rPr>
        <w:t xml:space="preserve">’s </w:t>
      </w:r>
      <w:r w:rsidR="00164E9E" w:rsidRPr="00612BAF">
        <w:rPr>
          <w:rFonts w:asciiTheme="minorHAnsi" w:hAnsiTheme="minorHAnsi" w:cstheme="minorHAnsi"/>
        </w:rPr>
        <w:lastRenderedPageBreak/>
        <w:t xml:space="preserve">establishment of Jerusalem </w:t>
      </w:r>
      <w:r w:rsidRPr="00612BAF">
        <w:rPr>
          <w:rFonts w:asciiTheme="minorHAnsi" w:hAnsiTheme="minorHAnsi" w:cstheme="minorHAnsi"/>
        </w:rPr>
        <w:t xml:space="preserve">(2 Sam.24; 1 Chron. 21). </w:t>
      </w:r>
      <w:r w:rsidR="00E60C8C" w:rsidRPr="00612BAF">
        <w:rPr>
          <w:rFonts w:asciiTheme="minorHAnsi" w:hAnsiTheme="minorHAnsi" w:cstheme="minorHAnsi"/>
        </w:rPr>
        <w:t>The ‘mountain of Yahweh’ (22:14b) links with the supreme place of sacrifice and is nearly always linked to Jerusalem (Ps. 24:3; Isa 2:3; Zech. 8:3)</w:t>
      </w:r>
      <w:r w:rsidR="00E60C8C" w:rsidRPr="00612BAF">
        <w:rPr>
          <w:rStyle w:val="FootnoteReference"/>
          <w:rFonts w:asciiTheme="minorHAnsi" w:hAnsiTheme="minorHAnsi" w:cstheme="minorHAnsi"/>
        </w:rPr>
        <w:footnoteReference w:id="13"/>
      </w:r>
      <w:r w:rsidR="00E60C8C" w:rsidRPr="00612BAF">
        <w:rPr>
          <w:rFonts w:asciiTheme="minorHAnsi" w:hAnsiTheme="minorHAnsi" w:cstheme="minorHAnsi"/>
        </w:rPr>
        <w:t xml:space="preserve">. </w:t>
      </w:r>
      <w:r w:rsidR="00FE1DDF" w:rsidRPr="00612BAF">
        <w:rPr>
          <w:rFonts w:asciiTheme="minorHAnsi" w:hAnsiTheme="minorHAnsi" w:cstheme="minorHAnsi"/>
        </w:rPr>
        <w:t>God’s</w:t>
      </w:r>
      <w:r w:rsidR="00164E9E" w:rsidRPr="00612BAF">
        <w:rPr>
          <w:rFonts w:asciiTheme="minorHAnsi" w:hAnsiTheme="minorHAnsi" w:cstheme="minorHAnsi"/>
        </w:rPr>
        <w:t xml:space="preserve"> emphatic threefold </w:t>
      </w:r>
      <w:r w:rsidR="00171CCF" w:rsidRPr="00612BAF">
        <w:rPr>
          <w:rFonts w:asciiTheme="minorHAnsi" w:hAnsiTheme="minorHAnsi" w:cstheme="minorHAnsi"/>
        </w:rPr>
        <w:t>mention of</w:t>
      </w:r>
      <w:r w:rsidR="00164E9E" w:rsidRPr="00612BAF">
        <w:rPr>
          <w:rFonts w:asciiTheme="minorHAnsi" w:hAnsiTheme="minorHAnsi" w:cstheme="minorHAnsi"/>
        </w:rPr>
        <w:t xml:space="preserve"> ‘your son, your only son Isaac, whom you love’ (22:</w:t>
      </w:r>
      <w:r w:rsidR="00171CCF" w:rsidRPr="00612BAF">
        <w:rPr>
          <w:rFonts w:asciiTheme="minorHAnsi" w:hAnsiTheme="minorHAnsi" w:cstheme="minorHAnsi"/>
        </w:rPr>
        <w:t xml:space="preserve">2) </w:t>
      </w:r>
      <w:r w:rsidR="00FE1DDF" w:rsidRPr="00612BAF">
        <w:rPr>
          <w:rFonts w:asciiTheme="minorHAnsi" w:hAnsiTheme="minorHAnsi" w:cstheme="minorHAnsi"/>
        </w:rPr>
        <w:t>echo</w:t>
      </w:r>
      <w:r w:rsidR="00B504F6" w:rsidRPr="00612BAF">
        <w:rPr>
          <w:rFonts w:asciiTheme="minorHAnsi" w:hAnsiTheme="minorHAnsi" w:cstheme="minorHAnsi"/>
        </w:rPr>
        <w:t>es</w:t>
      </w:r>
      <w:r w:rsidR="00FE1DDF" w:rsidRPr="00612BAF">
        <w:rPr>
          <w:rFonts w:asciiTheme="minorHAnsi" w:hAnsiTheme="minorHAnsi" w:cstheme="minorHAnsi"/>
        </w:rPr>
        <w:t xml:space="preserve"> </w:t>
      </w:r>
      <w:r w:rsidR="00B5564A" w:rsidRPr="00612BAF">
        <w:rPr>
          <w:rFonts w:asciiTheme="minorHAnsi" w:hAnsiTheme="minorHAnsi" w:cstheme="minorHAnsi"/>
        </w:rPr>
        <w:t>with</w:t>
      </w:r>
      <w:r w:rsidR="00171CCF" w:rsidRPr="00612BAF">
        <w:rPr>
          <w:rFonts w:asciiTheme="minorHAnsi" w:hAnsiTheme="minorHAnsi" w:cstheme="minorHAnsi"/>
        </w:rPr>
        <w:t xml:space="preserve"> </w:t>
      </w:r>
      <w:r w:rsidR="00B5564A" w:rsidRPr="00612BAF">
        <w:rPr>
          <w:rFonts w:asciiTheme="minorHAnsi" w:hAnsiTheme="minorHAnsi" w:cstheme="minorHAnsi"/>
        </w:rPr>
        <w:t>God’s pronouncements at</w:t>
      </w:r>
      <w:r w:rsidR="00171CCF" w:rsidRPr="00612BAF">
        <w:rPr>
          <w:rFonts w:asciiTheme="minorHAnsi" w:hAnsiTheme="minorHAnsi" w:cstheme="minorHAnsi"/>
        </w:rPr>
        <w:t xml:space="preserve"> Jesus</w:t>
      </w:r>
      <w:r w:rsidR="00B5564A" w:rsidRPr="00612BAF">
        <w:rPr>
          <w:rFonts w:asciiTheme="minorHAnsi" w:hAnsiTheme="minorHAnsi" w:cstheme="minorHAnsi"/>
        </w:rPr>
        <w:t>’</w:t>
      </w:r>
      <w:r w:rsidR="00171CCF" w:rsidRPr="00612BAF">
        <w:rPr>
          <w:rFonts w:asciiTheme="minorHAnsi" w:hAnsiTheme="minorHAnsi" w:cstheme="minorHAnsi"/>
        </w:rPr>
        <w:t xml:space="preserve"> baptism (</w:t>
      </w:r>
      <w:r w:rsidR="00E60C8C" w:rsidRPr="00612BAF">
        <w:rPr>
          <w:rFonts w:asciiTheme="minorHAnsi" w:hAnsiTheme="minorHAnsi" w:cstheme="minorHAnsi"/>
        </w:rPr>
        <w:t>Lk. 3:22)</w:t>
      </w:r>
      <w:r w:rsidR="00171CCF" w:rsidRPr="00612BAF">
        <w:rPr>
          <w:rFonts w:asciiTheme="minorHAnsi" w:hAnsiTheme="minorHAnsi" w:cstheme="minorHAnsi"/>
        </w:rPr>
        <w:t>, Transfiguration</w:t>
      </w:r>
      <w:r w:rsidR="00E60C8C" w:rsidRPr="00612BAF">
        <w:rPr>
          <w:rFonts w:asciiTheme="minorHAnsi" w:hAnsiTheme="minorHAnsi" w:cstheme="minorHAnsi"/>
        </w:rPr>
        <w:t xml:space="preserve"> (Lk. 9:35)</w:t>
      </w:r>
      <w:r w:rsidR="00171CCF" w:rsidRPr="00612BAF">
        <w:rPr>
          <w:rFonts w:asciiTheme="minorHAnsi" w:hAnsiTheme="minorHAnsi" w:cstheme="minorHAnsi"/>
        </w:rPr>
        <w:t xml:space="preserve"> and </w:t>
      </w:r>
      <w:r w:rsidR="00E60C8C" w:rsidRPr="00612BAF">
        <w:rPr>
          <w:rFonts w:asciiTheme="minorHAnsi" w:hAnsiTheme="minorHAnsi" w:cstheme="minorHAnsi"/>
        </w:rPr>
        <w:t xml:space="preserve">in Jesus’ </w:t>
      </w:r>
      <w:r w:rsidR="00FE1DDF" w:rsidRPr="00612BAF">
        <w:rPr>
          <w:rFonts w:asciiTheme="minorHAnsi" w:hAnsiTheme="minorHAnsi" w:cstheme="minorHAnsi"/>
        </w:rPr>
        <w:t xml:space="preserve">exhortation </w:t>
      </w:r>
      <w:r w:rsidR="00E60C8C" w:rsidRPr="00612BAF">
        <w:rPr>
          <w:rFonts w:asciiTheme="minorHAnsi" w:hAnsiTheme="minorHAnsi" w:cstheme="minorHAnsi"/>
        </w:rPr>
        <w:t xml:space="preserve">in John 1:1-5 </w:t>
      </w:r>
      <w:r w:rsidR="00FE1DDF" w:rsidRPr="00612BAF">
        <w:rPr>
          <w:rFonts w:asciiTheme="minorHAnsi" w:hAnsiTheme="minorHAnsi" w:cstheme="minorHAnsi"/>
        </w:rPr>
        <w:t xml:space="preserve">and </w:t>
      </w:r>
      <w:r w:rsidR="00E60C8C" w:rsidRPr="00612BAF">
        <w:rPr>
          <w:rFonts w:asciiTheme="minorHAnsi" w:hAnsiTheme="minorHAnsi" w:cstheme="minorHAnsi"/>
        </w:rPr>
        <w:t>witness to God’s continued covenant with his people.</w:t>
      </w:r>
      <w:r w:rsidR="005641BE" w:rsidRPr="00612BAF">
        <w:rPr>
          <w:rFonts w:asciiTheme="minorHAnsi" w:hAnsiTheme="minorHAnsi" w:cstheme="minorHAnsi"/>
        </w:rPr>
        <w:t xml:space="preserve"> </w:t>
      </w:r>
    </w:p>
    <w:p w14:paraId="650D032D" w14:textId="77777777" w:rsidR="00B5564A" w:rsidRPr="00612BAF" w:rsidRDefault="00B5564A" w:rsidP="002D08FF">
      <w:pPr>
        <w:pStyle w:val="NormalWeb"/>
        <w:spacing w:before="0" w:beforeAutospacing="0" w:after="0" w:afterAutospacing="0" w:line="480" w:lineRule="auto"/>
        <w:rPr>
          <w:rFonts w:asciiTheme="minorHAnsi" w:hAnsiTheme="minorHAnsi" w:cstheme="minorHAnsi"/>
        </w:rPr>
      </w:pPr>
    </w:p>
    <w:p w14:paraId="4A9D7079" w14:textId="15D19243" w:rsidR="00271363" w:rsidRPr="00612BAF" w:rsidRDefault="00847D56" w:rsidP="002D08FF">
      <w:pPr>
        <w:pStyle w:val="NormalWeb"/>
        <w:spacing w:before="0" w:beforeAutospacing="0" w:after="0" w:afterAutospacing="0" w:line="480" w:lineRule="auto"/>
        <w:rPr>
          <w:rFonts w:asciiTheme="minorHAnsi" w:hAnsiTheme="minorHAnsi" w:cstheme="minorHAnsi"/>
        </w:rPr>
      </w:pPr>
      <w:proofErr w:type="spellStart"/>
      <w:r w:rsidRPr="00612BAF">
        <w:rPr>
          <w:rFonts w:asciiTheme="minorHAnsi" w:hAnsiTheme="minorHAnsi" w:cstheme="minorHAnsi"/>
        </w:rPr>
        <w:t>Martien</w:t>
      </w:r>
      <w:proofErr w:type="spellEnd"/>
      <w:r w:rsidRPr="00612BAF">
        <w:rPr>
          <w:rFonts w:asciiTheme="minorHAnsi" w:hAnsiTheme="minorHAnsi" w:cstheme="minorHAnsi"/>
        </w:rPr>
        <w:t xml:space="preserve"> Halvorson-Taylor concludes pessimistically, ‘the sacrifice</w:t>
      </w:r>
      <w:r w:rsidR="004306F6" w:rsidRPr="00612BAF">
        <w:rPr>
          <w:rFonts w:asciiTheme="minorHAnsi" w:hAnsiTheme="minorHAnsi" w:cstheme="minorHAnsi"/>
        </w:rPr>
        <w:t xml:space="preserve"> </w:t>
      </w:r>
      <w:r w:rsidRPr="00612BAF">
        <w:rPr>
          <w:rFonts w:asciiTheme="minorHAnsi" w:hAnsiTheme="minorHAnsi" w:cstheme="minorHAnsi"/>
        </w:rPr>
        <w:t>is averted, but the event marks the end of the unity of the first family of the covenant and will reverberate throughout Abraham’s life’</w:t>
      </w:r>
      <w:r w:rsidRPr="00612BAF">
        <w:rPr>
          <w:rStyle w:val="FootnoteReference"/>
          <w:rFonts w:asciiTheme="minorHAnsi" w:hAnsiTheme="minorHAnsi" w:cstheme="minorHAnsi"/>
        </w:rPr>
        <w:footnoteReference w:id="14"/>
      </w:r>
      <w:r w:rsidRPr="00612BAF">
        <w:rPr>
          <w:rFonts w:asciiTheme="minorHAnsi" w:hAnsiTheme="minorHAnsi" w:cstheme="minorHAnsi"/>
        </w:rPr>
        <w:t>, linking th</w:t>
      </w:r>
      <w:r w:rsidR="004306F6" w:rsidRPr="00612BAF">
        <w:rPr>
          <w:rFonts w:asciiTheme="minorHAnsi" w:hAnsiTheme="minorHAnsi" w:cstheme="minorHAnsi"/>
        </w:rPr>
        <w:t>e</w:t>
      </w:r>
      <w:r w:rsidRPr="00612BAF">
        <w:rPr>
          <w:rFonts w:asciiTheme="minorHAnsi" w:hAnsiTheme="minorHAnsi" w:cstheme="minorHAnsi"/>
        </w:rPr>
        <w:t xml:space="preserve"> narrative with humanity’s increasingly ruptured relationship with God already found in the opening chapters of Genesis</w:t>
      </w:r>
      <w:r w:rsidR="004306F6" w:rsidRPr="00612BAF">
        <w:rPr>
          <w:rFonts w:asciiTheme="minorHAnsi" w:hAnsiTheme="minorHAnsi" w:cstheme="minorHAnsi"/>
        </w:rPr>
        <w:t xml:space="preserve"> and its final rupturing through humanity’s adoption of kings. </w:t>
      </w:r>
      <w:r w:rsidR="00EB34A5" w:rsidRPr="00612BAF">
        <w:rPr>
          <w:rFonts w:asciiTheme="minorHAnsi" w:hAnsiTheme="minorHAnsi" w:cstheme="minorHAnsi"/>
        </w:rPr>
        <w:t>Th</w:t>
      </w:r>
      <w:r w:rsidR="00B71BDB">
        <w:rPr>
          <w:rFonts w:asciiTheme="minorHAnsi" w:hAnsiTheme="minorHAnsi" w:cstheme="minorHAnsi"/>
        </w:rPr>
        <w:t>at said, the</w:t>
      </w:r>
      <w:r w:rsidR="00EB34A5" w:rsidRPr="00612BAF">
        <w:rPr>
          <w:rFonts w:asciiTheme="minorHAnsi" w:hAnsiTheme="minorHAnsi" w:cstheme="minorHAnsi"/>
        </w:rPr>
        <w:t xml:space="preserve"> redacted Genesis 22 presages the prophesied impending destruction of the second Temple</w:t>
      </w:r>
      <w:r w:rsidR="00EB34A5">
        <w:rPr>
          <w:rFonts w:asciiTheme="minorHAnsi" w:hAnsiTheme="minorHAnsi" w:cstheme="minorHAnsi"/>
        </w:rPr>
        <w:t xml:space="preserve">. </w:t>
      </w:r>
      <w:r w:rsidR="004306F6" w:rsidRPr="00612BAF">
        <w:rPr>
          <w:rFonts w:asciiTheme="minorHAnsi" w:hAnsiTheme="minorHAnsi" w:cstheme="minorHAnsi"/>
        </w:rPr>
        <w:t xml:space="preserve">It took the final </w:t>
      </w:r>
      <w:r w:rsidR="00EB34A5" w:rsidRPr="00612BAF">
        <w:rPr>
          <w:rFonts w:asciiTheme="minorHAnsi" w:hAnsiTheme="minorHAnsi" w:cstheme="minorHAnsi"/>
        </w:rPr>
        <w:t>substitute sacrificial lamb</w:t>
      </w:r>
      <w:r w:rsidR="00EB34A5">
        <w:rPr>
          <w:rFonts w:asciiTheme="minorHAnsi" w:hAnsiTheme="minorHAnsi" w:cstheme="minorHAnsi"/>
        </w:rPr>
        <w:t xml:space="preserve">, </w:t>
      </w:r>
      <w:r w:rsidR="004306F6" w:rsidRPr="00612BAF">
        <w:rPr>
          <w:rFonts w:asciiTheme="minorHAnsi" w:hAnsiTheme="minorHAnsi" w:cstheme="minorHAnsi"/>
        </w:rPr>
        <w:t xml:space="preserve">God’s own son, Jesus, on the Cross to re-establish the </w:t>
      </w:r>
      <w:r w:rsidR="00C92436" w:rsidRPr="00612BAF">
        <w:rPr>
          <w:rFonts w:asciiTheme="minorHAnsi" w:hAnsiTheme="minorHAnsi" w:cstheme="minorHAnsi"/>
        </w:rPr>
        <w:t>relationship</w:t>
      </w:r>
      <w:r w:rsidR="004306F6" w:rsidRPr="00612BAF">
        <w:rPr>
          <w:rFonts w:asciiTheme="minorHAnsi" w:hAnsiTheme="minorHAnsi" w:cstheme="minorHAnsi"/>
        </w:rPr>
        <w:t xml:space="preserve"> (</w:t>
      </w:r>
      <w:r w:rsidR="00B84903" w:rsidRPr="00612BAF">
        <w:rPr>
          <w:rFonts w:asciiTheme="minorHAnsi" w:hAnsiTheme="minorHAnsi" w:cstheme="minorHAnsi"/>
        </w:rPr>
        <w:t xml:space="preserve">see </w:t>
      </w:r>
      <w:r w:rsidR="004306F6" w:rsidRPr="00612BAF">
        <w:rPr>
          <w:rFonts w:asciiTheme="minorHAnsi" w:hAnsiTheme="minorHAnsi" w:cstheme="minorHAnsi"/>
        </w:rPr>
        <w:t>Jn. 3:1-21; 1</w:t>
      </w:r>
      <w:r w:rsidR="009F7A20" w:rsidRPr="00612BAF">
        <w:rPr>
          <w:rFonts w:asciiTheme="minorHAnsi" w:hAnsiTheme="minorHAnsi" w:cstheme="minorHAnsi"/>
        </w:rPr>
        <w:t>1:15-16).</w:t>
      </w:r>
    </w:p>
    <w:p w14:paraId="396BE9D4" w14:textId="77777777" w:rsidR="005641BE" w:rsidRPr="00612BAF" w:rsidRDefault="005641BE" w:rsidP="002D08FF">
      <w:pPr>
        <w:spacing w:line="480" w:lineRule="auto"/>
        <w:rPr>
          <w:rFonts w:asciiTheme="minorHAnsi" w:hAnsiTheme="minorHAnsi" w:cstheme="minorHAnsi"/>
        </w:rPr>
      </w:pPr>
    </w:p>
    <w:p w14:paraId="1A7DCDC8" w14:textId="41A0305B" w:rsidR="004F1DB1" w:rsidRPr="00612BAF" w:rsidRDefault="004F1DB1" w:rsidP="002D08FF">
      <w:pPr>
        <w:spacing w:line="480" w:lineRule="auto"/>
        <w:rPr>
          <w:rFonts w:asciiTheme="minorHAnsi" w:hAnsiTheme="minorHAnsi" w:cstheme="minorHAnsi"/>
          <w:b/>
          <w:bCs/>
        </w:rPr>
      </w:pPr>
      <w:r w:rsidRPr="00612BAF">
        <w:rPr>
          <w:rFonts w:asciiTheme="minorHAnsi" w:hAnsiTheme="minorHAnsi" w:cstheme="minorHAnsi"/>
          <w:b/>
          <w:bCs/>
        </w:rPr>
        <w:t>Conclusion</w:t>
      </w:r>
    </w:p>
    <w:p w14:paraId="57890B94" w14:textId="020E47D4" w:rsidR="004F1DB1" w:rsidRPr="00612BAF" w:rsidRDefault="00FE1DDF" w:rsidP="002D08FF">
      <w:pPr>
        <w:spacing w:line="480" w:lineRule="auto"/>
        <w:rPr>
          <w:rFonts w:asciiTheme="minorHAnsi" w:hAnsiTheme="minorHAnsi" w:cstheme="minorHAnsi"/>
        </w:rPr>
      </w:pPr>
      <w:r w:rsidRPr="00612BAF">
        <w:rPr>
          <w:rFonts w:asciiTheme="minorHAnsi" w:hAnsiTheme="minorHAnsi" w:cstheme="minorHAnsi"/>
        </w:rPr>
        <w:t xml:space="preserve">It is no surprise that this remains a well-loved memorable story for all </w:t>
      </w:r>
      <w:r w:rsidR="00406C20" w:rsidRPr="00612BAF">
        <w:rPr>
          <w:rFonts w:asciiTheme="minorHAnsi" w:hAnsiTheme="minorHAnsi" w:cstheme="minorHAnsi"/>
        </w:rPr>
        <w:t xml:space="preserve">ages and </w:t>
      </w:r>
      <w:r w:rsidRPr="00612BAF">
        <w:rPr>
          <w:rFonts w:asciiTheme="minorHAnsi" w:hAnsiTheme="minorHAnsi" w:cstheme="minorHAnsi"/>
        </w:rPr>
        <w:t>generations.</w:t>
      </w:r>
      <w:r w:rsidR="005641BE" w:rsidRPr="00612BAF">
        <w:rPr>
          <w:rFonts w:asciiTheme="minorHAnsi" w:hAnsiTheme="minorHAnsi" w:cstheme="minorHAnsi"/>
        </w:rPr>
        <w:t xml:space="preserve"> This short exploration has shown how the text has been redacted, with implications for dating</w:t>
      </w:r>
      <w:r w:rsidRPr="00612BAF">
        <w:rPr>
          <w:rFonts w:asciiTheme="minorHAnsi" w:hAnsiTheme="minorHAnsi" w:cstheme="minorHAnsi"/>
        </w:rPr>
        <w:t xml:space="preserve">, </w:t>
      </w:r>
      <w:r w:rsidR="005641BE" w:rsidRPr="00612BAF">
        <w:rPr>
          <w:rFonts w:asciiTheme="minorHAnsi" w:hAnsiTheme="minorHAnsi" w:cstheme="minorHAnsi"/>
        </w:rPr>
        <w:t>for inspiring confidence</w:t>
      </w:r>
      <w:r w:rsidRPr="00612BAF">
        <w:rPr>
          <w:rFonts w:asciiTheme="minorHAnsi" w:hAnsiTheme="minorHAnsi" w:cstheme="minorHAnsi"/>
        </w:rPr>
        <w:t xml:space="preserve">, </w:t>
      </w:r>
      <w:r w:rsidR="00B504F6" w:rsidRPr="00612BAF">
        <w:rPr>
          <w:rFonts w:asciiTheme="minorHAnsi" w:hAnsiTheme="minorHAnsi" w:cstheme="minorHAnsi"/>
        </w:rPr>
        <w:t xml:space="preserve">bringing to an exiled people </w:t>
      </w:r>
      <w:r w:rsidR="005641BE" w:rsidRPr="00612BAF">
        <w:rPr>
          <w:rFonts w:asciiTheme="minorHAnsi" w:hAnsiTheme="minorHAnsi" w:cstheme="minorHAnsi"/>
        </w:rPr>
        <w:t>hope</w:t>
      </w:r>
      <w:r w:rsidR="00B504F6" w:rsidRPr="00612BAF">
        <w:rPr>
          <w:rFonts w:asciiTheme="minorHAnsi" w:hAnsiTheme="minorHAnsi" w:cstheme="minorHAnsi"/>
        </w:rPr>
        <w:t xml:space="preserve"> </w:t>
      </w:r>
      <w:r w:rsidR="005641BE" w:rsidRPr="00612BAF">
        <w:rPr>
          <w:rFonts w:asciiTheme="minorHAnsi" w:hAnsiTheme="minorHAnsi" w:cstheme="minorHAnsi"/>
        </w:rPr>
        <w:t xml:space="preserve">and the power of true obedience to God. </w:t>
      </w:r>
      <w:r w:rsidR="00B504F6" w:rsidRPr="00612BAF">
        <w:rPr>
          <w:rFonts w:asciiTheme="minorHAnsi" w:hAnsiTheme="minorHAnsi" w:cstheme="minorHAnsi"/>
        </w:rPr>
        <w:t>Genesis</w:t>
      </w:r>
      <w:r w:rsidR="00CB7F45" w:rsidRPr="00612BAF">
        <w:rPr>
          <w:rFonts w:asciiTheme="minorHAnsi" w:hAnsiTheme="minorHAnsi" w:cstheme="minorHAnsi"/>
        </w:rPr>
        <w:t xml:space="preserve"> provokes </w:t>
      </w:r>
      <w:r w:rsidR="00B504F6" w:rsidRPr="00612BAF">
        <w:rPr>
          <w:rFonts w:asciiTheme="minorHAnsi" w:hAnsiTheme="minorHAnsi" w:cstheme="minorHAnsi"/>
        </w:rPr>
        <w:t>deep</w:t>
      </w:r>
      <w:r w:rsidR="00CB7F45" w:rsidRPr="00612BAF">
        <w:rPr>
          <w:rFonts w:asciiTheme="minorHAnsi" w:hAnsiTheme="minorHAnsi" w:cstheme="minorHAnsi"/>
        </w:rPr>
        <w:t xml:space="preserve"> reflection for people of faith</w:t>
      </w:r>
      <w:r w:rsidR="00B504F6" w:rsidRPr="00612BAF">
        <w:rPr>
          <w:rFonts w:asciiTheme="minorHAnsi" w:hAnsiTheme="minorHAnsi" w:cstheme="minorHAnsi"/>
        </w:rPr>
        <w:t xml:space="preserve"> </w:t>
      </w:r>
      <w:r w:rsidR="00CB7F45" w:rsidRPr="00612BAF">
        <w:rPr>
          <w:rFonts w:asciiTheme="minorHAnsi" w:hAnsiTheme="minorHAnsi" w:cstheme="minorHAnsi"/>
        </w:rPr>
        <w:t xml:space="preserve">and alternative </w:t>
      </w:r>
      <w:r w:rsidR="00CB7F45" w:rsidRPr="00612BAF">
        <w:rPr>
          <w:rFonts w:asciiTheme="minorHAnsi" w:hAnsiTheme="minorHAnsi" w:cstheme="minorHAnsi"/>
        </w:rPr>
        <w:lastRenderedPageBreak/>
        <w:t>worldview</w:t>
      </w:r>
      <w:r w:rsidR="00B504F6" w:rsidRPr="00612BAF">
        <w:rPr>
          <w:rFonts w:asciiTheme="minorHAnsi" w:hAnsiTheme="minorHAnsi" w:cstheme="minorHAnsi"/>
        </w:rPr>
        <w:t>s</w:t>
      </w:r>
      <w:r w:rsidR="00CB7F45" w:rsidRPr="00612BAF">
        <w:rPr>
          <w:rFonts w:asciiTheme="minorHAnsi" w:hAnsiTheme="minorHAnsi" w:cstheme="minorHAnsi"/>
        </w:rPr>
        <w:t xml:space="preserve"> alike. </w:t>
      </w:r>
      <w:r w:rsidR="00C16BAB" w:rsidRPr="00612BAF">
        <w:rPr>
          <w:rFonts w:asciiTheme="minorHAnsi" w:hAnsiTheme="minorHAnsi" w:cstheme="minorHAnsi"/>
        </w:rPr>
        <w:t>The narrator successfully evidences</w:t>
      </w:r>
      <w:r w:rsidR="00406C20" w:rsidRPr="00612BAF">
        <w:rPr>
          <w:rFonts w:asciiTheme="minorHAnsi" w:hAnsiTheme="minorHAnsi" w:cstheme="minorHAnsi"/>
        </w:rPr>
        <w:t>,</w:t>
      </w:r>
      <w:r w:rsidR="00C16BAB" w:rsidRPr="00612BAF">
        <w:rPr>
          <w:rFonts w:asciiTheme="minorHAnsi" w:hAnsiTheme="minorHAnsi" w:cstheme="minorHAnsi"/>
        </w:rPr>
        <w:t xml:space="preserve"> through</w:t>
      </w:r>
      <w:r w:rsidR="005641BE" w:rsidRPr="00612BAF">
        <w:rPr>
          <w:rFonts w:asciiTheme="minorHAnsi" w:hAnsiTheme="minorHAnsi" w:cstheme="minorHAnsi"/>
        </w:rPr>
        <w:t xml:space="preserve"> the ultimate test</w:t>
      </w:r>
      <w:r w:rsidR="00CB7F45" w:rsidRPr="00612BAF">
        <w:rPr>
          <w:rFonts w:asciiTheme="minorHAnsi" w:hAnsiTheme="minorHAnsi" w:cstheme="minorHAnsi"/>
        </w:rPr>
        <w:t xml:space="preserve"> and the continued </w:t>
      </w:r>
      <w:r w:rsidR="00C16BAB" w:rsidRPr="00612BAF">
        <w:rPr>
          <w:rFonts w:asciiTheme="minorHAnsi" w:hAnsiTheme="minorHAnsi" w:cstheme="minorHAnsi"/>
        </w:rPr>
        <w:t xml:space="preserve">human </w:t>
      </w:r>
      <w:r w:rsidR="00CB7F45" w:rsidRPr="00612BAF">
        <w:rPr>
          <w:rFonts w:asciiTheme="minorHAnsi" w:hAnsiTheme="minorHAnsi" w:cstheme="minorHAnsi"/>
        </w:rPr>
        <w:t xml:space="preserve">disruption to God’s loving </w:t>
      </w:r>
      <w:r w:rsidR="00C16BAB" w:rsidRPr="00612BAF">
        <w:rPr>
          <w:rFonts w:asciiTheme="minorHAnsi" w:hAnsiTheme="minorHAnsi" w:cstheme="minorHAnsi"/>
        </w:rPr>
        <w:t xml:space="preserve">covenantal </w:t>
      </w:r>
      <w:r w:rsidR="00CB7F45" w:rsidRPr="00612BAF">
        <w:rPr>
          <w:rFonts w:asciiTheme="minorHAnsi" w:hAnsiTheme="minorHAnsi" w:cstheme="minorHAnsi"/>
        </w:rPr>
        <w:t>relationship</w:t>
      </w:r>
      <w:r w:rsidR="00406C20" w:rsidRPr="00612BAF">
        <w:rPr>
          <w:rFonts w:asciiTheme="minorHAnsi" w:hAnsiTheme="minorHAnsi" w:cstheme="minorHAnsi"/>
        </w:rPr>
        <w:t>,</w:t>
      </w:r>
      <w:r w:rsidR="00CB7F45" w:rsidRPr="00612BAF">
        <w:rPr>
          <w:rFonts w:asciiTheme="minorHAnsi" w:hAnsiTheme="minorHAnsi" w:cstheme="minorHAnsi"/>
        </w:rPr>
        <w:t xml:space="preserve"> </w:t>
      </w:r>
      <w:r w:rsidRPr="00612BAF">
        <w:rPr>
          <w:rFonts w:asciiTheme="minorHAnsi" w:hAnsiTheme="minorHAnsi" w:cstheme="minorHAnsi"/>
        </w:rPr>
        <w:t>God’s</w:t>
      </w:r>
      <w:r w:rsidR="00CB7F45" w:rsidRPr="00612BAF">
        <w:rPr>
          <w:rFonts w:asciiTheme="minorHAnsi" w:hAnsiTheme="minorHAnsi" w:cstheme="minorHAnsi"/>
        </w:rPr>
        <w:t xml:space="preserve"> confidence </w:t>
      </w:r>
      <w:r w:rsidRPr="00612BAF">
        <w:rPr>
          <w:rFonts w:asciiTheme="minorHAnsi" w:hAnsiTheme="minorHAnsi" w:cstheme="minorHAnsi"/>
        </w:rPr>
        <w:t xml:space="preserve">to </w:t>
      </w:r>
      <w:r w:rsidR="00CB7F45" w:rsidRPr="00612BAF">
        <w:rPr>
          <w:rFonts w:asciiTheme="minorHAnsi" w:hAnsiTheme="minorHAnsi" w:cstheme="minorHAnsi"/>
        </w:rPr>
        <w:t>fulfil his plan for the Jews, for those who truly follow Jesus</w:t>
      </w:r>
      <w:r w:rsidR="005641BE" w:rsidRPr="00612BAF">
        <w:rPr>
          <w:rFonts w:asciiTheme="minorHAnsi" w:hAnsiTheme="minorHAnsi" w:cstheme="minorHAnsi"/>
        </w:rPr>
        <w:t xml:space="preserve"> </w:t>
      </w:r>
      <w:r w:rsidR="00CB7F45" w:rsidRPr="00612BAF">
        <w:rPr>
          <w:rFonts w:asciiTheme="minorHAnsi" w:hAnsiTheme="minorHAnsi" w:cstheme="minorHAnsi"/>
        </w:rPr>
        <w:t xml:space="preserve">and for all who seek a living relationship with God. </w:t>
      </w:r>
    </w:p>
    <w:p w14:paraId="7A31EBF4" w14:textId="7170566C" w:rsidR="00B1125B" w:rsidRPr="00612BAF" w:rsidRDefault="00B1125B">
      <w:pPr>
        <w:rPr>
          <w:rFonts w:asciiTheme="minorHAnsi" w:hAnsiTheme="minorHAnsi" w:cstheme="minorHAnsi"/>
        </w:rPr>
      </w:pPr>
    </w:p>
    <w:p w14:paraId="631DBCB8" w14:textId="56946310" w:rsidR="00585872" w:rsidRPr="00612BAF" w:rsidRDefault="00585872">
      <w:pPr>
        <w:rPr>
          <w:rFonts w:asciiTheme="minorHAnsi" w:hAnsiTheme="minorHAnsi" w:cstheme="minorHAnsi"/>
        </w:rPr>
      </w:pPr>
    </w:p>
    <w:p w14:paraId="6FAD58D7" w14:textId="76A05FC3" w:rsidR="00B1125B" w:rsidRPr="00612BAF" w:rsidRDefault="00B1125B">
      <w:pPr>
        <w:rPr>
          <w:rFonts w:asciiTheme="minorHAnsi" w:hAnsiTheme="minorHAnsi" w:cstheme="minorHAnsi"/>
          <w:b/>
          <w:bCs/>
        </w:rPr>
      </w:pPr>
      <w:r w:rsidRPr="00612BAF">
        <w:rPr>
          <w:rFonts w:asciiTheme="minorHAnsi" w:hAnsiTheme="minorHAnsi" w:cstheme="minorHAnsi"/>
          <w:b/>
          <w:bCs/>
        </w:rPr>
        <w:t>Bibliography</w:t>
      </w:r>
    </w:p>
    <w:p w14:paraId="0186A63E" w14:textId="25A4494E" w:rsidR="00B1125B" w:rsidRPr="00612BAF" w:rsidRDefault="00B1125B">
      <w:pPr>
        <w:rPr>
          <w:rFonts w:asciiTheme="minorHAnsi" w:hAnsiTheme="minorHAnsi" w:cstheme="minorHAnsi"/>
          <w:b/>
          <w:bCs/>
        </w:rPr>
      </w:pPr>
    </w:p>
    <w:p w14:paraId="73B90291" w14:textId="77777777" w:rsidR="00B1125B" w:rsidRPr="00612BAF" w:rsidRDefault="00B1125B" w:rsidP="00B1125B">
      <w:pPr>
        <w:rPr>
          <w:rFonts w:asciiTheme="minorHAnsi" w:hAnsiTheme="minorHAnsi" w:cstheme="minorHAnsi"/>
        </w:rPr>
      </w:pPr>
      <w:r w:rsidRPr="00612BAF">
        <w:rPr>
          <w:rFonts w:asciiTheme="minorHAnsi" w:hAnsiTheme="minorHAnsi" w:cstheme="minorHAnsi"/>
        </w:rPr>
        <w:t xml:space="preserve">Unless otherwise indicated, all Bible references are taken from </w:t>
      </w:r>
      <w:r w:rsidRPr="00612BAF">
        <w:rPr>
          <w:rFonts w:asciiTheme="minorHAnsi" w:hAnsiTheme="minorHAnsi" w:cstheme="minorHAnsi"/>
        </w:rPr>
        <w:fldChar w:fldCharType="begin"/>
      </w:r>
      <w:r w:rsidRPr="00612BAF">
        <w:rPr>
          <w:rFonts w:asciiTheme="minorHAnsi" w:hAnsiTheme="minorHAnsi" w:cstheme="minorHAnsi"/>
        </w:rPr>
        <w:instrText xml:space="preserve"> ADDIN ZOTERO_ITEM CSL_CITATION {"citationID":"uXsw6fY8","properties":{"formattedCitation":"{\\i{}The Holy Bible: New Revised Standard Version\\uc0\\u8239{}; Containing the Old and New Testaments with the Apocryphal/Deuterocanonical Books}, Anglicized ed (Oxford: Oxford Univ. Press, 1995).","plainCitation":"The Holy Bible: New Revised Standard Version ; Containing the Old and New Testaments with the Apocryphal/Deuterocanonical Books, Anglicized ed (Oxford: Oxford Univ. Press, 1995).","noteIndex":0},"citationItems":[{"id":86,"uris":["http://zotero.org/users/7540819/items/BFS9QS3F"],"uri":["http://zotero.org/users/7540819/items/BFS9QS3F"],"itemData":{"id":86,"type":"book","edition":"Anglicized ed","event-place":"Oxford","ISBN":"978-0-19-107001-3","language":"eng","note":"OCLC: 833259225","number-of-pages":"905","publisher":"Oxford Univ. Press","publisher-place":"Oxford","source":"Gemeinsamer Bibliotheksverbund ISBN","title":"The Holy Bible: New Revised Standard Version ; containing the Old and New Testaments with the Apocryphal/Deuterocanonical books","title-short":"The Holy Bible","issued":{"date-parts":[["1995"]]}}}],"schema":"https://github.com/citation-style-language/schema/raw/master/csl-citation.json"} </w:instrText>
      </w:r>
      <w:r w:rsidRPr="00612BAF">
        <w:rPr>
          <w:rFonts w:asciiTheme="minorHAnsi" w:hAnsiTheme="minorHAnsi" w:cstheme="minorHAnsi"/>
        </w:rPr>
        <w:fldChar w:fldCharType="separate"/>
      </w:r>
      <w:r w:rsidRPr="00612BAF">
        <w:rPr>
          <w:rFonts w:asciiTheme="minorHAnsi" w:hAnsiTheme="minorHAnsi" w:cstheme="minorHAnsi"/>
          <w:i/>
          <w:iCs/>
          <w:lang w:val="en-US"/>
        </w:rPr>
        <w:t>The Holy Bible: New Revised Standard Version ; Containing the Old and New Testaments with the Apocryphal/Deuterocanonical Books</w:t>
      </w:r>
      <w:r w:rsidRPr="00612BAF">
        <w:rPr>
          <w:rFonts w:asciiTheme="minorHAnsi" w:hAnsiTheme="minorHAnsi" w:cstheme="minorHAnsi"/>
          <w:lang w:val="en-US"/>
        </w:rPr>
        <w:t>, Anglicized ed (Oxford: Oxford Univ. Press, 1995).</w:t>
      </w:r>
      <w:r w:rsidRPr="00612BAF">
        <w:rPr>
          <w:rFonts w:asciiTheme="minorHAnsi" w:hAnsiTheme="minorHAnsi" w:cstheme="minorHAnsi"/>
        </w:rPr>
        <w:fldChar w:fldCharType="end"/>
      </w:r>
    </w:p>
    <w:p w14:paraId="1911CACF" w14:textId="68AA652C" w:rsidR="005641BE" w:rsidRPr="00612BAF" w:rsidRDefault="005641BE" w:rsidP="00B1125B">
      <w:pPr>
        <w:rPr>
          <w:rFonts w:asciiTheme="minorHAnsi" w:hAnsiTheme="minorHAnsi" w:cstheme="minorHAnsi"/>
        </w:rPr>
      </w:pPr>
    </w:p>
    <w:p w14:paraId="15988763"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Brueggemann, Walter. </w:t>
      </w:r>
      <w:r w:rsidRPr="00612BAF">
        <w:rPr>
          <w:rFonts w:asciiTheme="minorHAnsi" w:hAnsiTheme="minorHAnsi" w:cstheme="minorHAnsi"/>
          <w:i/>
          <w:iCs/>
        </w:rPr>
        <w:t>An Unsettling God: The Heart of the Hebrew Bible</w:t>
      </w:r>
      <w:r w:rsidRPr="00612BAF">
        <w:rPr>
          <w:rFonts w:asciiTheme="minorHAnsi" w:hAnsiTheme="minorHAnsi" w:cstheme="minorHAnsi"/>
        </w:rPr>
        <w:t>. Minneapolis: Fortress Press, 2009.</w:t>
      </w:r>
    </w:p>
    <w:p w14:paraId="178E8CBA"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 </w:t>
      </w:r>
      <w:r w:rsidRPr="00612BAF">
        <w:rPr>
          <w:rFonts w:asciiTheme="minorHAnsi" w:hAnsiTheme="minorHAnsi" w:cstheme="minorHAnsi"/>
          <w:i/>
          <w:iCs/>
        </w:rPr>
        <w:t>Genesis</w:t>
      </w:r>
      <w:r w:rsidRPr="00612BAF">
        <w:rPr>
          <w:rFonts w:asciiTheme="minorHAnsi" w:hAnsiTheme="minorHAnsi" w:cstheme="minorHAnsi"/>
        </w:rPr>
        <w:t xml:space="preserve">. 1st ed. Interpretation : A Bible Commentary for Teaching and Preaching. Louisville, Ky: </w:t>
      </w:r>
      <w:proofErr w:type="spellStart"/>
      <w:r w:rsidRPr="00612BAF">
        <w:rPr>
          <w:rFonts w:asciiTheme="minorHAnsi" w:hAnsiTheme="minorHAnsi" w:cstheme="minorHAnsi"/>
        </w:rPr>
        <w:t>Westminister</w:t>
      </w:r>
      <w:proofErr w:type="spellEnd"/>
      <w:r w:rsidRPr="00612BAF">
        <w:rPr>
          <w:rFonts w:asciiTheme="minorHAnsi" w:hAnsiTheme="minorHAnsi" w:cstheme="minorHAnsi"/>
        </w:rPr>
        <w:t xml:space="preserve"> John Knox Press, 2010.</w:t>
      </w:r>
    </w:p>
    <w:p w14:paraId="52B9720B" w14:textId="77777777" w:rsidR="00612BAF" w:rsidRPr="00612BAF" w:rsidRDefault="00612BAF" w:rsidP="00612BAF">
      <w:pPr>
        <w:ind w:hanging="480"/>
        <w:rPr>
          <w:rFonts w:asciiTheme="minorHAnsi" w:hAnsiTheme="minorHAnsi" w:cstheme="minorHAnsi"/>
        </w:rPr>
      </w:pPr>
      <w:proofErr w:type="spellStart"/>
      <w:r w:rsidRPr="00612BAF">
        <w:rPr>
          <w:rFonts w:asciiTheme="minorHAnsi" w:hAnsiTheme="minorHAnsi" w:cstheme="minorHAnsi"/>
        </w:rPr>
        <w:t>Drane</w:t>
      </w:r>
      <w:proofErr w:type="spellEnd"/>
      <w:r w:rsidRPr="00612BAF">
        <w:rPr>
          <w:rFonts w:asciiTheme="minorHAnsi" w:hAnsiTheme="minorHAnsi" w:cstheme="minorHAnsi"/>
        </w:rPr>
        <w:t xml:space="preserve">, John William. </w:t>
      </w:r>
      <w:r w:rsidRPr="00612BAF">
        <w:rPr>
          <w:rFonts w:asciiTheme="minorHAnsi" w:hAnsiTheme="minorHAnsi" w:cstheme="minorHAnsi"/>
          <w:i/>
          <w:iCs/>
        </w:rPr>
        <w:t>Introducing the Old Testament</w:t>
      </w:r>
      <w:r w:rsidRPr="00612BAF">
        <w:rPr>
          <w:rFonts w:asciiTheme="minorHAnsi" w:hAnsiTheme="minorHAnsi" w:cstheme="minorHAnsi"/>
        </w:rPr>
        <w:t>. Reprint. Oxford: Lion Book, 1989.</w:t>
      </w:r>
    </w:p>
    <w:p w14:paraId="2F58EBDC"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‘Genesis 22 - Hebrew English Translation </w:t>
      </w:r>
      <w:proofErr w:type="spellStart"/>
      <w:r w:rsidRPr="00612BAF">
        <w:rPr>
          <w:rFonts w:asciiTheme="minorHAnsi" w:hAnsiTheme="minorHAnsi" w:cstheme="minorHAnsi"/>
        </w:rPr>
        <w:t>Massoretic</w:t>
      </w:r>
      <w:proofErr w:type="spellEnd"/>
      <w:r w:rsidRPr="00612BAF">
        <w:rPr>
          <w:rFonts w:asciiTheme="minorHAnsi" w:hAnsiTheme="minorHAnsi" w:cstheme="minorHAnsi"/>
        </w:rPr>
        <w:t xml:space="preserve"> Text MT Interlinear Holy Name King James Version KJV Strong’s Concordance Online Parallel Bible Study’, n.d. </w:t>
      </w:r>
      <w:hyperlink r:id="rId7" w:history="1">
        <w:r w:rsidRPr="00612BAF">
          <w:rPr>
            <w:rStyle w:val="Hyperlink"/>
            <w:rFonts w:asciiTheme="minorHAnsi" w:hAnsiTheme="minorHAnsi" w:cstheme="minorHAnsi"/>
          </w:rPr>
          <w:t>http://www.qbible.com/hebrew-old-testament/genesis/22.html</w:t>
        </w:r>
      </w:hyperlink>
      <w:r w:rsidRPr="00612BAF">
        <w:rPr>
          <w:rFonts w:asciiTheme="minorHAnsi" w:hAnsiTheme="minorHAnsi" w:cstheme="minorHAnsi"/>
        </w:rPr>
        <w:t>.</w:t>
      </w:r>
    </w:p>
    <w:p w14:paraId="015D24ED"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biblestudytools.com. ‘Genesis 22 - LXX Bible - Bible Study Tools’. Accessed 22 July 2021. </w:t>
      </w:r>
      <w:hyperlink r:id="rId8" w:history="1">
        <w:r w:rsidRPr="00612BAF">
          <w:rPr>
            <w:rStyle w:val="Hyperlink"/>
            <w:rFonts w:asciiTheme="minorHAnsi" w:hAnsiTheme="minorHAnsi" w:cstheme="minorHAnsi"/>
          </w:rPr>
          <w:t>https://www.biblestudytools.com/lxx/genesis/22.html</w:t>
        </w:r>
      </w:hyperlink>
      <w:r w:rsidRPr="00612BAF">
        <w:rPr>
          <w:rFonts w:asciiTheme="minorHAnsi" w:hAnsiTheme="minorHAnsi" w:cstheme="minorHAnsi"/>
        </w:rPr>
        <w:t>.</w:t>
      </w:r>
    </w:p>
    <w:p w14:paraId="6D5E4EF1"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Blue Letter Bible. ‘H3372 - </w:t>
      </w:r>
      <w:proofErr w:type="spellStart"/>
      <w:r w:rsidRPr="00612BAF">
        <w:rPr>
          <w:rFonts w:asciiTheme="minorHAnsi" w:hAnsiTheme="minorHAnsi" w:cstheme="minorHAnsi"/>
        </w:rPr>
        <w:t>Yārē</w:t>
      </w:r>
      <w:proofErr w:type="spellEnd"/>
      <w:r w:rsidRPr="00612BAF">
        <w:rPr>
          <w:rFonts w:asciiTheme="minorHAnsi" w:hAnsiTheme="minorHAnsi" w:cstheme="minorHAnsi"/>
        </w:rPr>
        <w:t>’ - Strong’s Hebrew Lexicon (</w:t>
      </w:r>
      <w:proofErr w:type="spellStart"/>
      <w:r w:rsidRPr="00612BAF">
        <w:rPr>
          <w:rFonts w:asciiTheme="minorHAnsi" w:hAnsiTheme="minorHAnsi" w:cstheme="minorHAnsi"/>
        </w:rPr>
        <w:t>Kjv</w:t>
      </w:r>
      <w:proofErr w:type="spellEnd"/>
      <w:r w:rsidRPr="00612BAF">
        <w:rPr>
          <w:rFonts w:asciiTheme="minorHAnsi" w:hAnsiTheme="minorHAnsi" w:cstheme="minorHAnsi"/>
        </w:rPr>
        <w:t xml:space="preserve">)’. Accessed 19 July 2021. </w:t>
      </w:r>
      <w:hyperlink r:id="rId9" w:history="1">
        <w:r w:rsidRPr="00612BAF">
          <w:rPr>
            <w:rStyle w:val="Hyperlink"/>
            <w:rFonts w:asciiTheme="minorHAnsi" w:hAnsiTheme="minorHAnsi" w:cstheme="minorHAnsi"/>
          </w:rPr>
          <w:t>https://www.blueletterbible.org/kjv/gen/1/1/s_1001</w:t>
        </w:r>
      </w:hyperlink>
      <w:r w:rsidRPr="00612BAF">
        <w:rPr>
          <w:rFonts w:asciiTheme="minorHAnsi" w:hAnsiTheme="minorHAnsi" w:cstheme="minorHAnsi"/>
        </w:rPr>
        <w:t>.</w:t>
      </w:r>
    </w:p>
    <w:p w14:paraId="56077241"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Halvorson-Taylor, </w:t>
      </w:r>
      <w:proofErr w:type="spellStart"/>
      <w:r w:rsidRPr="00612BAF">
        <w:rPr>
          <w:rFonts w:asciiTheme="minorHAnsi" w:hAnsiTheme="minorHAnsi" w:cstheme="minorHAnsi"/>
        </w:rPr>
        <w:t>Martien</w:t>
      </w:r>
      <w:proofErr w:type="spellEnd"/>
      <w:r w:rsidRPr="00612BAF">
        <w:rPr>
          <w:rFonts w:asciiTheme="minorHAnsi" w:hAnsiTheme="minorHAnsi" w:cstheme="minorHAnsi"/>
        </w:rPr>
        <w:t xml:space="preserve"> A. ‘Genesis 22 in the Context of the Abraham Cycle’. Bible </w:t>
      </w:r>
      <w:proofErr w:type="spellStart"/>
      <w:r w:rsidRPr="00612BAF">
        <w:rPr>
          <w:rFonts w:asciiTheme="minorHAnsi" w:hAnsiTheme="minorHAnsi" w:cstheme="minorHAnsi"/>
        </w:rPr>
        <w:t>Odessey</w:t>
      </w:r>
      <w:proofErr w:type="spellEnd"/>
      <w:r w:rsidRPr="00612BAF">
        <w:rPr>
          <w:rFonts w:asciiTheme="minorHAnsi" w:hAnsiTheme="minorHAnsi" w:cstheme="minorHAnsi"/>
        </w:rPr>
        <w:t xml:space="preserve">. Accessed 12 July 2021. </w:t>
      </w:r>
      <w:hyperlink r:id="rId10" w:history="1">
        <w:r w:rsidRPr="00612BAF">
          <w:rPr>
            <w:rStyle w:val="Hyperlink"/>
            <w:rFonts w:asciiTheme="minorHAnsi" w:hAnsiTheme="minorHAnsi" w:cstheme="minorHAnsi"/>
          </w:rPr>
          <w:t>https://www.bibleodyssey.org/en/passages/related-articles/genesis-22-in-the-context-of-the-abraham-cycle</w:t>
        </w:r>
      </w:hyperlink>
      <w:r w:rsidRPr="00612BAF">
        <w:rPr>
          <w:rFonts w:asciiTheme="minorHAnsi" w:hAnsiTheme="minorHAnsi" w:cstheme="minorHAnsi"/>
        </w:rPr>
        <w:t>.</w:t>
      </w:r>
    </w:p>
    <w:p w14:paraId="76B712FC"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Hamilton, Victor P. </w:t>
      </w:r>
      <w:r w:rsidRPr="00612BAF">
        <w:rPr>
          <w:rFonts w:asciiTheme="minorHAnsi" w:hAnsiTheme="minorHAnsi" w:cstheme="minorHAnsi"/>
          <w:i/>
          <w:iCs/>
        </w:rPr>
        <w:t>The Book of Genesis. Chapters 1 - 17</w:t>
      </w:r>
      <w:r w:rsidRPr="00612BAF">
        <w:rPr>
          <w:rFonts w:asciiTheme="minorHAnsi" w:hAnsiTheme="minorHAnsi" w:cstheme="minorHAnsi"/>
        </w:rPr>
        <w:t xml:space="preserve">. </w:t>
      </w:r>
      <w:proofErr w:type="spellStart"/>
      <w:r w:rsidRPr="00612BAF">
        <w:rPr>
          <w:rFonts w:asciiTheme="minorHAnsi" w:hAnsiTheme="minorHAnsi" w:cstheme="minorHAnsi"/>
        </w:rPr>
        <w:t>Nachdr</w:t>
      </w:r>
      <w:proofErr w:type="spellEnd"/>
      <w:r w:rsidRPr="00612BAF">
        <w:rPr>
          <w:rFonts w:asciiTheme="minorHAnsi" w:hAnsiTheme="minorHAnsi" w:cstheme="minorHAnsi"/>
        </w:rPr>
        <w:t xml:space="preserve">. The New International Commentary on the Old Testament. Grand Rapids, </w:t>
      </w:r>
      <w:proofErr w:type="spellStart"/>
      <w:r w:rsidRPr="00612BAF">
        <w:rPr>
          <w:rFonts w:asciiTheme="minorHAnsi" w:hAnsiTheme="minorHAnsi" w:cstheme="minorHAnsi"/>
        </w:rPr>
        <w:t>Mich</w:t>
      </w:r>
      <w:proofErr w:type="spellEnd"/>
      <w:r w:rsidRPr="00612BAF">
        <w:rPr>
          <w:rFonts w:asciiTheme="minorHAnsi" w:hAnsiTheme="minorHAnsi" w:cstheme="minorHAnsi"/>
        </w:rPr>
        <w:t>: Eerdmans, 2006.</w:t>
      </w:r>
    </w:p>
    <w:p w14:paraId="6860328C"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i/>
          <w:iCs/>
        </w:rPr>
        <w:t>Holy Bible: NIV : New International Version.</w:t>
      </w:r>
      <w:r w:rsidRPr="00612BAF">
        <w:rPr>
          <w:rFonts w:asciiTheme="minorHAnsi" w:hAnsiTheme="minorHAnsi" w:cstheme="minorHAnsi"/>
        </w:rPr>
        <w:t xml:space="preserve"> London: Hodder &amp; Stoughton, 2011.</w:t>
      </w:r>
    </w:p>
    <w:p w14:paraId="4D801F5E"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Moberly, R. W. L. </w:t>
      </w:r>
      <w:r w:rsidRPr="00612BAF">
        <w:rPr>
          <w:rFonts w:asciiTheme="minorHAnsi" w:hAnsiTheme="minorHAnsi" w:cstheme="minorHAnsi"/>
          <w:i/>
          <w:iCs/>
        </w:rPr>
        <w:t>Genesis 12-50 [Electronic Resource] / R. W. L. Moberly.</w:t>
      </w:r>
      <w:r w:rsidRPr="00612BAF">
        <w:rPr>
          <w:rFonts w:asciiTheme="minorHAnsi" w:hAnsiTheme="minorHAnsi" w:cstheme="minorHAnsi"/>
        </w:rPr>
        <w:t xml:space="preserve"> Old Testament Guides. Sheffield: JSOT Press, 1992.</w:t>
      </w:r>
    </w:p>
    <w:p w14:paraId="47403250"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Sasser, M. Tyler. ‘The Binding of Isaac: Jewish and Christian Appropriations of the Akedah (Genesis 22) in Contemporary Picture Books’. </w:t>
      </w:r>
      <w:r w:rsidRPr="00612BAF">
        <w:rPr>
          <w:rFonts w:asciiTheme="minorHAnsi" w:hAnsiTheme="minorHAnsi" w:cstheme="minorHAnsi"/>
          <w:i/>
          <w:iCs/>
        </w:rPr>
        <w:t>Children’s Literature</w:t>
      </w:r>
      <w:r w:rsidRPr="00612BAF">
        <w:rPr>
          <w:rFonts w:asciiTheme="minorHAnsi" w:hAnsiTheme="minorHAnsi" w:cstheme="minorHAnsi"/>
        </w:rPr>
        <w:t xml:space="preserve"> 45, no. 1 (2017): 138–63. </w:t>
      </w:r>
      <w:hyperlink r:id="rId11" w:history="1">
        <w:r w:rsidRPr="00612BAF">
          <w:rPr>
            <w:rStyle w:val="Hyperlink"/>
            <w:rFonts w:asciiTheme="minorHAnsi" w:hAnsiTheme="minorHAnsi" w:cstheme="minorHAnsi"/>
          </w:rPr>
          <w:t>https://doi.org/10.1353/chl.2017.0007</w:t>
        </w:r>
      </w:hyperlink>
      <w:r w:rsidRPr="00612BAF">
        <w:rPr>
          <w:rFonts w:asciiTheme="minorHAnsi" w:hAnsiTheme="minorHAnsi" w:cstheme="minorHAnsi"/>
        </w:rPr>
        <w:t>.</w:t>
      </w:r>
    </w:p>
    <w:p w14:paraId="04D706C0" w14:textId="77777777" w:rsidR="00612BAF" w:rsidRPr="00612BAF" w:rsidRDefault="00612BAF" w:rsidP="00612BAF">
      <w:pPr>
        <w:ind w:hanging="480"/>
        <w:rPr>
          <w:rFonts w:asciiTheme="minorHAnsi" w:hAnsiTheme="minorHAnsi" w:cstheme="minorHAnsi"/>
        </w:rPr>
      </w:pPr>
      <w:r w:rsidRPr="00612BAF">
        <w:rPr>
          <w:rFonts w:asciiTheme="minorHAnsi" w:hAnsiTheme="minorHAnsi" w:cstheme="minorHAnsi"/>
        </w:rPr>
        <w:t xml:space="preserve">Scheetz, Jordan M. ‘Canon-Conscious Interpretation : Genesis 22, the Masoretic Text, and Targum </w:t>
      </w:r>
      <w:proofErr w:type="spellStart"/>
      <w:r w:rsidRPr="00612BAF">
        <w:rPr>
          <w:rFonts w:asciiTheme="minorHAnsi" w:hAnsiTheme="minorHAnsi" w:cstheme="minorHAnsi"/>
        </w:rPr>
        <w:t>Onkelos</w:t>
      </w:r>
      <w:proofErr w:type="spellEnd"/>
      <w:r w:rsidRPr="00612BAF">
        <w:rPr>
          <w:rFonts w:asciiTheme="minorHAnsi" w:hAnsiTheme="minorHAnsi" w:cstheme="minorHAnsi"/>
        </w:rPr>
        <w:t>’, n.d., 22.</w:t>
      </w:r>
    </w:p>
    <w:p w14:paraId="6BF8358E" w14:textId="77777777" w:rsidR="00612BAF" w:rsidRPr="00612BAF" w:rsidRDefault="00612BAF" w:rsidP="00B1125B">
      <w:pPr>
        <w:rPr>
          <w:rFonts w:asciiTheme="minorHAnsi" w:hAnsiTheme="minorHAnsi" w:cstheme="minorHAnsi"/>
        </w:rPr>
      </w:pPr>
    </w:p>
    <w:sectPr w:rsidR="00612BAF" w:rsidRPr="00612BAF" w:rsidSect="005729FD">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04FBF3" w14:textId="77777777" w:rsidR="00B9467D" w:rsidRDefault="00B9467D" w:rsidP="00802497">
      <w:r>
        <w:separator/>
      </w:r>
    </w:p>
  </w:endnote>
  <w:endnote w:type="continuationSeparator" w:id="0">
    <w:p w14:paraId="143F7D05" w14:textId="77777777" w:rsidR="00B9467D" w:rsidRDefault="00B9467D" w:rsidP="00802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EC9EB5" w14:textId="41EAAB9A" w:rsidR="00C14EDD" w:rsidRDefault="00802497">
    <w:pPr>
      <w:pStyle w:val="Footer"/>
      <w:rPr>
        <w:rFonts w:ascii="Times New Roman" w:hAnsi="Times New Roman" w:cs="Times New Roman"/>
        <w:b/>
        <w:bCs/>
      </w:rPr>
    </w:pPr>
    <w:r>
      <w:rPr>
        <w:rFonts w:ascii="Times New Roman" w:hAnsi="Times New Roman" w:cs="Times New Roman"/>
      </w:rPr>
      <w:fldChar w:fldCharType="begin"/>
    </w:r>
    <w:r>
      <w:rPr>
        <w:rFonts w:ascii="Times New Roman" w:hAnsi="Times New Roman" w:cs="Times New Roman"/>
      </w:rPr>
      <w:instrText xml:space="preserve"> AUTHOR </w:instrText>
    </w:r>
    <w:r>
      <w:rPr>
        <w:rFonts w:ascii="Times New Roman" w:hAnsi="Times New Roman" w:cs="Times New Roman"/>
      </w:rPr>
      <w:fldChar w:fldCharType="separate"/>
    </w:r>
    <w:r>
      <w:rPr>
        <w:rFonts w:ascii="Times New Roman" w:hAnsi="Times New Roman" w:cs="Times New Roman"/>
        <w:noProof/>
      </w:rPr>
      <w:t>Douglas Spenceley</w:t>
    </w:r>
    <w:r>
      <w:rPr>
        <w:rFonts w:ascii="Times New Roman" w:hAnsi="Times New Roman" w:cs="Times New Roman"/>
      </w:rPr>
      <w:fldChar w:fldCharType="end"/>
    </w:r>
    <w:r>
      <w:rPr>
        <w:rFonts w:ascii="Times New Roman" w:hAnsi="Times New Roman" w:cs="Times New Roman"/>
      </w:rPr>
      <w:tab/>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noProof/>
      </w:rPr>
      <w:t>1</w:t>
    </w:r>
    <w:r>
      <w:rPr>
        <w:rFonts w:ascii="Times New Roman" w:hAnsi="Times New Roman" w:cs="Times New Roman"/>
      </w:rPr>
      <w:fldChar w:fldCharType="end"/>
    </w:r>
    <w:r>
      <w:rPr>
        <w:rFonts w:ascii="Times New Roman" w:hAnsi="Times New Roman" w:cs="Times New Roman"/>
      </w:rPr>
      <w:tab/>
    </w:r>
    <w:r w:rsidR="002D08FF">
      <w:rPr>
        <w:rFonts w:ascii="Times New Roman" w:hAnsi="Times New Roman" w:cs="Times New Roman"/>
        <w:b/>
        <w:bCs/>
      </w:rPr>
      <w:t>UWTSD2026303</w:t>
    </w:r>
  </w:p>
  <w:p w14:paraId="3CB0C659" w14:textId="77777777" w:rsidR="00540A76" w:rsidRPr="00C14EDD" w:rsidRDefault="00540A76">
    <w:pPr>
      <w:pStyle w:val="Footer"/>
      <w:rPr>
        <w:rFonts w:ascii="Times New Roman" w:hAnsi="Times New Roman" w:cs="Times New Roman"/>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C2008B" w14:textId="77777777" w:rsidR="00B9467D" w:rsidRDefault="00B9467D" w:rsidP="00802497">
      <w:r>
        <w:separator/>
      </w:r>
    </w:p>
  </w:footnote>
  <w:footnote w:type="continuationSeparator" w:id="0">
    <w:p w14:paraId="7480FC9D" w14:textId="77777777" w:rsidR="00B9467D" w:rsidRDefault="00B9467D" w:rsidP="00802497">
      <w:r>
        <w:continuationSeparator/>
      </w:r>
    </w:p>
  </w:footnote>
  <w:footnote w:id="1">
    <w:p w14:paraId="5648BCA9" w14:textId="1ECF52C7" w:rsidR="00371392" w:rsidRDefault="00371392" w:rsidP="00371392">
      <w:pPr>
        <w:pStyle w:val="FootnoteText"/>
      </w:pPr>
      <w:r>
        <w:rPr>
          <w:rStyle w:val="FootnoteReference"/>
        </w:rPr>
        <w:footnoteRef/>
      </w:r>
      <w:r>
        <w:t xml:space="preserve"> </w:t>
      </w:r>
      <w:r>
        <w:fldChar w:fldCharType="begin"/>
      </w:r>
      <w:r w:rsidR="00AA6524">
        <w:instrText xml:space="preserve"> ADDIN ZOTERO_ITEM CSL_CITATION {"citationID":"dz0amPqi","properties":{"formattedCitation":"Walter Brueggemann, {\\i{}Genesis}, 1st ed, Interpretation\\uc0\\u8239{}: A Bible Commentary for Teaching and Preaching (Louisville, Ky: Westminister John Knox Press, 2010).","plainCitation":"Walter Brueggemann, Genesis, 1st ed, Interpretation : A Bible Commentary for Teaching and Preaching (Louisville, Ky: Westminister John Knox Press, 2010).","dontUpdate":true,"noteIndex":1},"citationItems":[{"id":327,"uris":["http://zotero.org/users/7540819/items/KDC4827U"],"uri":["http://zotero.org/users/7540819/items/KDC4827U"],"itemData":{"id":327,"type":"book","call-number":"BS1235.53 .B78 2010","collection-title":"Interpretation : a Bible commentary for teaching and preaching","edition":"1st ed","event-place":"Louisville, Ky","ISBN":"978-0-664-23437-9","note":"OCLC: ocn430056875","number-of-pages":"384","publisher":"Westminister John Knox Press","publisher-place":"Louisville, Ky","source":"Library of Congress ISBN","title":"Genesis","author":[{"family":"Brueggemann","given":"Walter"}],"issued":{"date-parts":[["2010"]]}}}],"schema":"https://github.com/citation-style-language/schema/raw/master/csl-citation.json"} </w:instrText>
      </w:r>
      <w:r>
        <w:fldChar w:fldCharType="separate"/>
      </w:r>
      <w:r w:rsidRPr="004D6920">
        <w:rPr>
          <w:rFonts w:ascii="Calibri" w:cs="Calibri"/>
        </w:rPr>
        <w:t xml:space="preserve">Walter Brueggemann, </w:t>
      </w:r>
      <w:r w:rsidRPr="004D6920">
        <w:rPr>
          <w:rFonts w:ascii="Calibri" w:cs="Calibri"/>
          <w:i/>
          <w:iCs/>
        </w:rPr>
        <w:t>Genesis</w:t>
      </w:r>
      <w:r w:rsidRPr="004D6920">
        <w:rPr>
          <w:rFonts w:ascii="Calibri" w:cs="Calibri"/>
        </w:rPr>
        <w:t>, 1st ed, Interpretation : A Bible Commentary for Teaching and Preaching (Louisville, Ky: Westminister John Knox Press, 2010</w:t>
      </w:r>
      <w:r>
        <w:rPr>
          <w:rFonts w:ascii="Calibri" w:cs="Calibri"/>
        </w:rPr>
        <w:t>, 185</w:t>
      </w:r>
      <w:r w:rsidRPr="004D6920">
        <w:rPr>
          <w:rFonts w:ascii="Calibri" w:cs="Calibri"/>
        </w:rPr>
        <w:t>).</w:t>
      </w:r>
      <w:r>
        <w:fldChar w:fldCharType="end"/>
      </w:r>
    </w:p>
  </w:footnote>
  <w:footnote w:id="2">
    <w:p w14:paraId="3B0B2733" w14:textId="3F266FE2" w:rsidR="00A10298" w:rsidRPr="00742790" w:rsidRDefault="00A10298" w:rsidP="00A10298">
      <w:pPr>
        <w:rPr>
          <w:rFonts w:cstheme="minorHAnsi"/>
          <w:sz w:val="20"/>
          <w:szCs w:val="20"/>
        </w:rPr>
      </w:pPr>
      <w:r>
        <w:rPr>
          <w:rStyle w:val="FootnoteReference"/>
        </w:rPr>
        <w:footnoteRef/>
      </w:r>
      <w:r>
        <w:t xml:space="preserve"> </w:t>
      </w:r>
      <w:r w:rsidRPr="00742790">
        <w:rPr>
          <w:rFonts w:cstheme="minorHAnsi"/>
          <w:sz w:val="20"/>
          <w:szCs w:val="20"/>
        </w:rPr>
        <w:fldChar w:fldCharType="begin"/>
      </w:r>
      <w:r w:rsidR="00AA6524">
        <w:rPr>
          <w:rFonts w:cstheme="minorHAnsi"/>
          <w:sz w:val="20"/>
          <w:szCs w:val="20"/>
        </w:rPr>
        <w:instrText xml:space="preserve"> ADDIN ZOTERO_ITEM CSL_CITATION {"citationID":"q7uT435N","properties":{"formattedCitation":"R. W. L. Moberly, {\\i{}Genesis 12-50 [Electronic Resource] / R. W. L. Moberly.}, Old Testament Guides (Sheffield: JSOT Press, 1992).","plainCitation":"R. W. L. Moberly, Genesis 12-50 [Electronic Resource] / R. W. L. Moberly., Old Testament Guides (Sheffield: JSOT Press, 1992).","dontUpdate":true,"noteIndex":2},"citationItems":[{"id":321,"uris":["http://zotero.org/users/7540819/items/X8L9UNNZ"],"uri":["http://zotero.org/users/7540819/items/X8L9UNNZ"],"itemData":{"id":321,"type":"book","abstract":"Walter Moberly's study Guide to Genesis 12-50 provides an invaluable introduction to the second part of Genesis and is essential reading for anyone interested in the patriarchal narratives and the earliest history of the people of Israel.","collection-title":"Old Testament guides","event-place":"Sheffield","ISBN":"1-283-27087-0","publisher":"JSOT Press","publisher-place":"Sheffield","title":"Genesis 12-50 [electronic resource] / R. W. L. Moberly.","author":[{"family":"Moberly","given":"R. W. L."}],"issued":{"date-parts":[["1992"]]}}}],"schema":"https://github.com/citation-style-language/schema/raw/master/csl-citation.json"} </w:instrText>
      </w:r>
      <w:r w:rsidRPr="00742790">
        <w:rPr>
          <w:rFonts w:cstheme="minorHAnsi"/>
          <w:sz w:val="20"/>
          <w:szCs w:val="20"/>
        </w:rPr>
        <w:fldChar w:fldCharType="separate"/>
      </w:r>
      <w:r w:rsidRPr="00742790">
        <w:rPr>
          <w:rFonts w:cstheme="minorHAnsi"/>
          <w:sz w:val="20"/>
          <w:szCs w:val="20"/>
        </w:rPr>
        <w:t xml:space="preserve">R. W. L. Moberly, </w:t>
      </w:r>
      <w:r w:rsidRPr="00742790">
        <w:rPr>
          <w:rFonts w:cstheme="minorHAnsi"/>
          <w:i/>
          <w:iCs/>
          <w:sz w:val="20"/>
          <w:szCs w:val="20"/>
        </w:rPr>
        <w:t>Genesis 12-50 [Electronic Resource] / R. W. L. Moberly.</w:t>
      </w:r>
      <w:r w:rsidRPr="00742790">
        <w:rPr>
          <w:rFonts w:cstheme="minorHAnsi"/>
          <w:sz w:val="20"/>
          <w:szCs w:val="20"/>
        </w:rPr>
        <w:t>, Old Testament Guides (Sheffield: JSOT Press, 1992), 136</w:t>
      </w:r>
      <w:r>
        <w:rPr>
          <w:rFonts w:cstheme="minorHAnsi"/>
          <w:sz w:val="20"/>
          <w:szCs w:val="20"/>
        </w:rPr>
        <w:t>-137</w:t>
      </w:r>
      <w:r w:rsidRPr="00742790">
        <w:rPr>
          <w:rFonts w:cstheme="minorHAnsi"/>
          <w:sz w:val="20"/>
          <w:szCs w:val="20"/>
        </w:rPr>
        <w:t>.</w:t>
      </w:r>
      <w:r w:rsidRPr="00742790">
        <w:rPr>
          <w:rFonts w:cstheme="minorHAnsi"/>
          <w:sz w:val="20"/>
          <w:szCs w:val="20"/>
        </w:rPr>
        <w:fldChar w:fldCharType="end"/>
      </w:r>
      <w:r w:rsidRPr="00742790">
        <w:rPr>
          <w:rFonts w:cstheme="minorHAnsi"/>
          <w:sz w:val="20"/>
          <w:szCs w:val="20"/>
        </w:rPr>
        <w:t xml:space="preserve"> Hamilton, Victor P. </w:t>
      </w:r>
      <w:r w:rsidRPr="00742790">
        <w:rPr>
          <w:rFonts w:cstheme="minorHAnsi"/>
          <w:i/>
          <w:iCs/>
          <w:sz w:val="20"/>
          <w:szCs w:val="20"/>
        </w:rPr>
        <w:t>The Book of Genesis. Chapters 1 - 17</w:t>
      </w:r>
      <w:r w:rsidRPr="00742790">
        <w:rPr>
          <w:rFonts w:cstheme="minorHAnsi"/>
          <w:sz w:val="20"/>
          <w:szCs w:val="20"/>
        </w:rPr>
        <w:t xml:space="preserve">. </w:t>
      </w:r>
      <w:proofErr w:type="spellStart"/>
      <w:r w:rsidRPr="00742790">
        <w:rPr>
          <w:rFonts w:cstheme="minorHAnsi"/>
          <w:sz w:val="20"/>
          <w:szCs w:val="20"/>
        </w:rPr>
        <w:t>Nachdr</w:t>
      </w:r>
      <w:proofErr w:type="spellEnd"/>
      <w:r w:rsidRPr="00742790">
        <w:rPr>
          <w:rFonts w:cstheme="minorHAnsi"/>
          <w:sz w:val="20"/>
          <w:szCs w:val="20"/>
        </w:rPr>
        <w:t xml:space="preserve">. The New International Commentary on the Old Testament. Grand Rapids, </w:t>
      </w:r>
      <w:proofErr w:type="spellStart"/>
      <w:r w:rsidRPr="00742790">
        <w:rPr>
          <w:rFonts w:cstheme="minorHAnsi"/>
          <w:sz w:val="20"/>
          <w:szCs w:val="20"/>
        </w:rPr>
        <w:t>Mich</w:t>
      </w:r>
      <w:proofErr w:type="spellEnd"/>
      <w:r w:rsidRPr="00742790">
        <w:rPr>
          <w:rFonts w:cstheme="minorHAnsi"/>
          <w:sz w:val="20"/>
          <w:szCs w:val="20"/>
        </w:rPr>
        <w:t>: Eerdmans, 2006, 56-59.</w:t>
      </w:r>
    </w:p>
  </w:footnote>
  <w:footnote w:id="3">
    <w:p w14:paraId="35EB9416" w14:textId="1F9062A9" w:rsidR="00A10298" w:rsidRDefault="00A10298" w:rsidP="00A10298">
      <w:pPr>
        <w:pStyle w:val="FootnoteText"/>
      </w:pPr>
      <w:r>
        <w:rPr>
          <w:rStyle w:val="FootnoteReference"/>
        </w:rPr>
        <w:footnoteRef/>
      </w:r>
      <w:r>
        <w:t xml:space="preserve"> </w:t>
      </w:r>
      <w:r>
        <w:fldChar w:fldCharType="begin"/>
      </w:r>
      <w:r w:rsidR="00AA6524">
        <w:instrText xml:space="preserve"> ADDIN ZOTERO_ITEM CSL_CITATION {"citationID":"fcM1tcWl","properties":{"formattedCitation":"John William Drane, {\\i{}Introducing the Old Testament}, Reprint (Oxford: Lion Book, 1989).","plainCitation":"John William Drane, Introducing the Old Testament, Reprint (Oxford: Lion Book, 1989).","dontUpdate":true,"noteIndex":3},"citationItems":[{"id":316,"uris":["http://zotero.org/users/7540819/items/WMBPBZFP"],"uri":["http://zotero.org/users/7540819/items/WMBPBZFP"],"itemData":{"id":316,"type":"book","edition":"Reprint","event-place":"Oxford","ISBN":"978-0-7459-1349-0","language":"eng","number-of-pages":"352","publisher":"Lion Book","publisher-place":"Oxford","source":"K10plus ISBN","title":"Introducing the Old Testament","author":[{"family":"Drane","given":"John William"}],"issued":{"date-parts":[["1989"]]}}}],"schema":"https://github.com/citation-style-language/schema/raw/master/csl-citation.json"} </w:instrText>
      </w:r>
      <w:r>
        <w:fldChar w:fldCharType="separate"/>
      </w:r>
      <w:r w:rsidRPr="006E3B38">
        <w:rPr>
          <w:rFonts w:ascii="Calibri" w:cs="Calibri"/>
        </w:rPr>
        <w:t xml:space="preserve">John William Drane, </w:t>
      </w:r>
      <w:r w:rsidRPr="006E3B38">
        <w:rPr>
          <w:rFonts w:ascii="Calibri" w:cs="Calibri"/>
          <w:i/>
          <w:iCs/>
        </w:rPr>
        <w:t>Introducing the Old Testament</w:t>
      </w:r>
      <w:r w:rsidRPr="006E3B38">
        <w:rPr>
          <w:rFonts w:ascii="Calibri" w:cs="Calibri"/>
        </w:rPr>
        <w:t>, Reprint (Oxford: Lion Book, 1989)</w:t>
      </w:r>
      <w:r>
        <w:rPr>
          <w:rFonts w:ascii="Calibri" w:cs="Calibri"/>
        </w:rPr>
        <w:t>, 244-245</w:t>
      </w:r>
      <w:r w:rsidRPr="006E3B38">
        <w:rPr>
          <w:rFonts w:ascii="Calibri" w:cs="Calibri"/>
        </w:rPr>
        <w:t>.</w:t>
      </w:r>
      <w:r>
        <w:fldChar w:fldCharType="end"/>
      </w:r>
    </w:p>
  </w:footnote>
  <w:footnote w:id="4">
    <w:p w14:paraId="299CF18D" w14:textId="71023C54" w:rsidR="00A10298" w:rsidRDefault="00A10298" w:rsidP="00A10298">
      <w:pPr>
        <w:pStyle w:val="FootnoteText"/>
      </w:pPr>
      <w:r>
        <w:rPr>
          <w:rStyle w:val="FootnoteReference"/>
        </w:rPr>
        <w:footnoteRef/>
      </w:r>
      <w:r>
        <w:t xml:space="preserve"> </w:t>
      </w:r>
      <w:r>
        <w:fldChar w:fldCharType="begin"/>
      </w:r>
      <w:r w:rsidR="00AA6524">
        <w:instrText xml:space="preserve"> ADDIN ZOTERO_ITEM CSL_CITATION {"citationID":"T2Rbq41O","properties":{"formattedCitation":"John William Drane, {\\i{}Introducing the Old Testament}, Reprint (Oxford: Lion Book, 1989).","plainCitation":"John William Drane, Introducing the Old Testament, Reprint (Oxford: Lion Book, 1989).","dontUpdate":true,"noteIndex":4},"citationItems":[{"id":316,"uris":["http://zotero.org/users/7540819/items/WMBPBZFP"],"uri":["http://zotero.org/users/7540819/items/WMBPBZFP"],"itemData":{"id":316,"type":"book","edition":"Reprint","event-place":"Oxford","ISBN":"978-0-7459-1349-0","language":"eng","number-of-pages":"352","publisher":"Lion Book","publisher-place":"Oxford","source":"K10plus ISBN","title":"Introducing the Old Testament","author":[{"family":"Drane","given":"John William"}],"issued":{"date-parts":[["1989"]]}}}],"schema":"https://github.com/citation-style-language/schema/raw/master/csl-citation.json"} </w:instrText>
      </w:r>
      <w:r>
        <w:fldChar w:fldCharType="separate"/>
      </w:r>
      <w:r w:rsidRPr="0063089B">
        <w:rPr>
          <w:rFonts w:ascii="Calibri" w:cs="Calibri"/>
        </w:rPr>
        <w:t xml:space="preserve">John William Drane, </w:t>
      </w:r>
      <w:r w:rsidRPr="0063089B">
        <w:rPr>
          <w:rFonts w:ascii="Calibri" w:cs="Calibri"/>
          <w:i/>
          <w:iCs/>
        </w:rPr>
        <w:t>Introducing the Old Testament</w:t>
      </w:r>
      <w:r>
        <w:rPr>
          <w:rFonts w:ascii="Calibri" w:cs="Calibri"/>
        </w:rPr>
        <w:t>, 244</w:t>
      </w:r>
      <w:r w:rsidRPr="0063089B">
        <w:rPr>
          <w:rFonts w:ascii="Calibri" w:cs="Calibri"/>
        </w:rPr>
        <w:t>.</w:t>
      </w:r>
      <w:r>
        <w:fldChar w:fldCharType="end"/>
      </w:r>
    </w:p>
  </w:footnote>
  <w:footnote w:id="5">
    <w:p w14:paraId="04EB74BC" w14:textId="3B4B6662" w:rsidR="00A10298" w:rsidRDefault="00A10298" w:rsidP="00A10298">
      <w:pPr>
        <w:pStyle w:val="FootnoteText"/>
      </w:pPr>
      <w:r>
        <w:rPr>
          <w:rStyle w:val="FootnoteReference"/>
        </w:rPr>
        <w:footnoteRef/>
      </w:r>
      <w:r>
        <w:t xml:space="preserve"> </w:t>
      </w:r>
      <w:r>
        <w:fldChar w:fldCharType="begin"/>
      </w:r>
      <w:r w:rsidR="00AA6524">
        <w:instrText xml:space="preserve"> ADDIN ZOTERO_ITEM CSL_CITATION {"citationID":"5lN8bAg4","properties":{"formattedCitation":"{\\i{}Holy Bible: NIV\\uc0\\u8239{}: New International Version.} (London: Hodder &amp; Stoughton, 2011).","plainCitation":"Holy Bible: NIV : New International Version. (London: Hodder &amp; Stoughton, 2011).","noteIndex":5},"citationItems":[{"id":317,"uris":["http://zotero.org/users/7540819/items/Z2WCYQ2A"],"uri":["http://zotero.org/users/7540819/items/Z2WCYQ2A"],"itemData":{"id":317,"type":"book","event-place":"London","ISBN":"978-1-4447-0155-5","language":"English","note":"OCLC: 774630609","publisher":"Hodder &amp; Stoughton","publisher-place":"London","source":"Open WorldCat","title":"Holy Bible: NIV : New International Version.","title-short":"Holy Bible","issued":{"date-parts":[["2011"]]}}}],"schema":"https://github.com/citation-style-language/schema/raw/master/csl-citation.json"} </w:instrText>
      </w:r>
      <w:r>
        <w:fldChar w:fldCharType="separate"/>
      </w:r>
      <w:r w:rsidRPr="00084139">
        <w:rPr>
          <w:rFonts w:ascii="Calibri" w:cs="Calibri"/>
          <w:i/>
          <w:iCs/>
        </w:rPr>
        <w:t>Holy Bible: NIV : New International Version.</w:t>
      </w:r>
      <w:r w:rsidRPr="00084139">
        <w:rPr>
          <w:rFonts w:ascii="Calibri" w:cs="Calibri"/>
        </w:rPr>
        <w:t xml:space="preserve"> (London: Hodder &amp; Stoughton, 2011).</w:t>
      </w:r>
      <w:r>
        <w:fldChar w:fldCharType="end"/>
      </w:r>
    </w:p>
  </w:footnote>
  <w:footnote w:id="6">
    <w:p w14:paraId="46D72A71" w14:textId="1223744C" w:rsidR="000B4186" w:rsidRDefault="000B4186" w:rsidP="000B4186">
      <w:pPr>
        <w:pStyle w:val="FootnoteText"/>
      </w:pPr>
      <w:r>
        <w:rPr>
          <w:rStyle w:val="FootnoteReference"/>
        </w:rPr>
        <w:footnoteRef/>
      </w:r>
      <w:r>
        <w:t xml:space="preserve"> </w:t>
      </w:r>
      <w:r>
        <w:fldChar w:fldCharType="begin"/>
      </w:r>
      <w:r w:rsidR="00AA6524">
        <w:instrText xml:space="preserve"> ADDIN ZOTERO_ITEM CSL_CITATION {"citationID":"oaNpSnyl","properties":{"formattedCitation":"Jordan M Scheetz, \\uc0\\u8216{}Canon-Conscious Interpretation\\uc0\\u8239{}: Genesis 22, the Masoretic Text, and Targum Onkelos\\uc0\\u8217{}, n.d., 22.","plainCitation":"Jordan M Scheetz, ‘Canon-Conscious Interpretation : Genesis 22, the Masoretic Text, and Targum Onkelos’, n.d., 22.","dontUpdate":true,"noteIndex":6},"citationItems":[{"id":252,"uris":["http://zotero.org/users/7540819/items/9X7SKDLB"],"uri":["http://zotero.org/users/7540819/items/9X7SKDLB"],"itemData":{"id":252,"type":"article-journal","abstract":"This article is an example of canon–conscious interpretation based on a comparison of Gen 22:1–19 between the Masoretic text (MT) and Targum Onkelos (TO) that demonstrates the canon–conscious changes in TO. Based on the translator’s knowledge of another text in 2 Chr 3:1, this results in changes in both passages. Although the Hebrew texts are essentially translated word for word into Aramaic throughout most of the passage, changes result from retaining canon–conscious exegetical interpretations in TO, leading in turn to a nuanced interpretation of the passage. From a methodological standpoint, the MT is examined first paying particular attention to grammatical, syntactical, and literary issues. Further the text is compared with TO, noting similarities and differences and then examining when and whether these differences change the overall interpretation of the text.","language":"en","page":"22","source":"Zotero","title":"Canon-conscious interpretation : Genesis 22, the Masoretic Text, and Targum Onkelos","author":[{"family":"Scheetz","given":"Jordan M"}]}}],"schema":"https://github.com/citation-style-language/schema/raw/master/csl-citation.json"} </w:instrText>
      </w:r>
      <w:r>
        <w:fldChar w:fldCharType="separate"/>
      </w:r>
      <w:r w:rsidRPr="00143AF2">
        <w:rPr>
          <w:rFonts w:ascii="Calibri" w:cs="Calibri"/>
        </w:rPr>
        <w:t>Jordan M Scheetz, ‘Canon-Conscious Interpretation : Genesis 22, the Masoretic Text, and Targum Onkelos’, n.d.,</w:t>
      </w:r>
      <w:r>
        <w:rPr>
          <w:rFonts w:ascii="Calibri" w:cs="Calibri"/>
        </w:rPr>
        <w:t xml:space="preserve"> 263-284</w:t>
      </w:r>
      <w:r w:rsidRPr="00143AF2">
        <w:rPr>
          <w:rFonts w:ascii="Calibri" w:cs="Calibri"/>
        </w:rPr>
        <w:t>.</w:t>
      </w:r>
      <w:r>
        <w:fldChar w:fldCharType="end"/>
      </w:r>
    </w:p>
  </w:footnote>
  <w:footnote w:id="7">
    <w:p w14:paraId="549F2DBB" w14:textId="77777777" w:rsidR="002C3902" w:rsidRPr="002C3902" w:rsidRDefault="0015056B" w:rsidP="002C3902">
      <w:pPr>
        <w:rPr>
          <w:sz w:val="20"/>
          <w:szCs w:val="20"/>
        </w:rPr>
      </w:pPr>
      <w:r w:rsidRPr="002C3902">
        <w:rPr>
          <w:rStyle w:val="FootnoteReference"/>
          <w:sz w:val="20"/>
          <w:szCs w:val="20"/>
        </w:rPr>
        <w:footnoteRef/>
      </w:r>
      <w:r w:rsidRPr="002C3902">
        <w:rPr>
          <w:sz w:val="20"/>
          <w:szCs w:val="20"/>
        </w:rPr>
        <w:t xml:space="preserve"> </w:t>
      </w:r>
      <w:r w:rsidRPr="002C3902">
        <w:rPr>
          <w:sz w:val="20"/>
          <w:szCs w:val="20"/>
        </w:rPr>
        <w:fldChar w:fldCharType="begin"/>
      </w:r>
      <w:r w:rsidR="00AA6524" w:rsidRPr="002C3902">
        <w:rPr>
          <w:sz w:val="20"/>
          <w:szCs w:val="20"/>
        </w:rPr>
        <w:instrText xml:space="preserve"> ADDIN ZOTERO_ITEM CSL_CITATION {"citationID":"QYLew5OG","properties":{"formattedCitation":"\\uc0\\u8216{}Genesis 22 - Hebrew English Translation Massoretic Text MT Interlinear Holy Name King James Version KJV Strong\\uc0\\u8217{}s Concordance Online Parallel Bible Study\\uc0\\u8217{}, n.d., http://www.qbible.com/hebrew-old-testament/genesis/22.html.","plainCitation":"‘Genesis 22 - Hebrew English Translation Massoretic Text MT Interlinear Holy Name King James Version KJV Strong’s Concordance Online Parallel Bible Study’, n.d., http://www.qbible.com/hebrew-old-testament/genesis/22.html.","noteIndex":7},"citationItems":[{"id":297,"uris":["http://zotero.org/users/7540819/items/DBUI9EHS"],"uri":["http://zotero.org/users/7540819/items/DBUI9EHS"],"itemData":{"id":297,"type":"webpage","title":"Genesis 22 - Hebrew English Translation Massoretic Text MT Interlinear Holy Name King James Version KJV Strong's Concordance Online Parallel Bible Study","URL":"http://www.qbible.com/hebrew-old-testament/genesis/22.html"}}],"schema":"https://github.com/citation-style-language/schema/raw/master/csl-citation.json"} </w:instrText>
      </w:r>
      <w:r w:rsidRPr="002C3902">
        <w:rPr>
          <w:sz w:val="20"/>
          <w:szCs w:val="20"/>
        </w:rPr>
        <w:fldChar w:fldCharType="separate"/>
      </w:r>
      <w:r w:rsidRPr="002C3902">
        <w:rPr>
          <w:rFonts w:ascii="Calibri" w:cs="Calibri"/>
          <w:sz w:val="20"/>
          <w:szCs w:val="20"/>
        </w:rPr>
        <w:t>‘</w:t>
      </w:r>
      <w:r w:rsidRPr="002C3902">
        <w:rPr>
          <w:rFonts w:ascii="Calibri" w:cs="Calibri"/>
          <w:sz w:val="20"/>
          <w:szCs w:val="20"/>
        </w:rPr>
        <w:t>Genesis 22 - Hebrew English Translation Massoretic Text MT Interlinear Holy Name King James Version KJV Strong</w:t>
      </w:r>
      <w:r w:rsidRPr="002C3902">
        <w:rPr>
          <w:rFonts w:ascii="Calibri" w:cs="Calibri"/>
          <w:sz w:val="20"/>
          <w:szCs w:val="20"/>
        </w:rPr>
        <w:t>’</w:t>
      </w:r>
      <w:r w:rsidRPr="002C3902">
        <w:rPr>
          <w:rFonts w:ascii="Calibri" w:cs="Calibri"/>
          <w:sz w:val="20"/>
          <w:szCs w:val="20"/>
        </w:rPr>
        <w:t>s Concordance Online Parallel Bible Study</w:t>
      </w:r>
      <w:r w:rsidRPr="002C3902">
        <w:rPr>
          <w:rFonts w:ascii="Calibri" w:cs="Calibri"/>
          <w:sz w:val="20"/>
          <w:szCs w:val="20"/>
        </w:rPr>
        <w:t>’</w:t>
      </w:r>
      <w:r w:rsidRPr="002C3902">
        <w:rPr>
          <w:rFonts w:ascii="Calibri" w:cs="Calibri"/>
          <w:sz w:val="20"/>
          <w:szCs w:val="20"/>
        </w:rPr>
        <w:t>, n.d., http://www.qbible.com/hebrew-old-testament/genesis/22.html.</w:t>
      </w:r>
      <w:r w:rsidRPr="002C3902">
        <w:rPr>
          <w:sz w:val="20"/>
          <w:szCs w:val="20"/>
        </w:rPr>
        <w:fldChar w:fldCharType="end"/>
      </w:r>
      <w:r w:rsidR="002C3902" w:rsidRPr="002C3902">
        <w:rPr>
          <w:sz w:val="20"/>
          <w:szCs w:val="20"/>
        </w:rPr>
        <w:t xml:space="preserve"> biblestudytools.com. ‘Genesis 22 - LXX Bible - Bible Study Tools’. Accessed 22 July 2021. </w:t>
      </w:r>
      <w:hyperlink r:id="rId1" w:history="1">
        <w:r w:rsidR="002C3902" w:rsidRPr="002C3902">
          <w:rPr>
            <w:rStyle w:val="Hyperlink"/>
            <w:sz w:val="20"/>
            <w:szCs w:val="20"/>
          </w:rPr>
          <w:t>https://www.biblestudytools.com/lxx/genesis/22.html</w:t>
        </w:r>
      </w:hyperlink>
      <w:r w:rsidR="002C3902" w:rsidRPr="002C3902">
        <w:rPr>
          <w:sz w:val="20"/>
          <w:szCs w:val="20"/>
        </w:rPr>
        <w:t>.</w:t>
      </w:r>
    </w:p>
    <w:p w14:paraId="43698882" w14:textId="79AA400A" w:rsidR="0015056B" w:rsidRDefault="0015056B" w:rsidP="0015056B">
      <w:pPr>
        <w:pStyle w:val="FootnoteText"/>
      </w:pPr>
    </w:p>
  </w:footnote>
  <w:footnote w:id="8">
    <w:p w14:paraId="5F380429" w14:textId="777A19D1" w:rsidR="00AA6524" w:rsidRDefault="00AA6524">
      <w:pPr>
        <w:pStyle w:val="FootnoteText"/>
      </w:pPr>
      <w:r>
        <w:rPr>
          <w:rStyle w:val="FootnoteReference"/>
        </w:rPr>
        <w:footnoteRef/>
      </w:r>
      <w:r>
        <w:t xml:space="preserve"> </w:t>
      </w:r>
      <w:r>
        <w:fldChar w:fldCharType="begin"/>
      </w:r>
      <w:r w:rsidR="00236E19">
        <w:instrText xml:space="preserve"> ADDIN ZOTERO_ITEM CSL_CITATION {"citationID":"qE8cwdLq","properties":{"formattedCitation":"Moberly, {\\i{}Genesis 12-50 [Electronic Resource] / R. W. L. Moberly.}","plainCitation":"Moberly, Genesis 12-50 [Electronic Resource] / R. W. L. Moberly.","dontUpdate":true,"noteIndex":8},"citationItems":[{"id":321,"uris":["http://zotero.org/users/7540819/items/X8L9UNNZ"],"uri":["http://zotero.org/users/7540819/items/X8L9UNNZ"],"itemData":{"id":321,"type":"book","abstract":"Walter Moberly's study Guide to Genesis 12-50 provides an invaluable introduction to the second part of Genesis and is essential reading for anyone interested in the patriarchal narratives and the earliest history of the people of Israel.","collection-title":"Old Testament guides","event-place":"Sheffield","ISBN":"1-283-27087-0","publisher":"JSOT Press","publisher-place":"Sheffield","title":"Genesis 12-50 [electronic resource] / R. W. L. Moberly.","author":[{"family":"Moberly","given":"R. W. L."}],"issued":{"date-parts":[["1992"]]}}}],"schema":"https://github.com/citation-style-language/schema/raw/master/csl-citation.json"} </w:instrText>
      </w:r>
      <w:r>
        <w:fldChar w:fldCharType="separate"/>
      </w:r>
      <w:r w:rsidRPr="00AA6524">
        <w:rPr>
          <w:rFonts w:ascii="Calibri" w:cs="Calibri"/>
        </w:rPr>
        <w:t xml:space="preserve">Moberly, </w:t>
      </w:r>
      <w:r w:rsidRPr="00AA6524">
        <w:rPr>
          <w:rFonts w:ascii="Calibri" w:cs="Calibri"/>
          <w:i/>
          <w:iCs/>
        </w:rPr>
        <w:t>Genesis 12-50 [Electronic Resource] / R. W. L. Moberly</w:t>
      </w:r>
      <w:r>
        <w:rPr>
          <w:rFonts w:ascii="Calibri" w:cs="Calibri"/>
          <w:i/>
          <w:iCs/>
        </w:rPr>
        <w:t>, 124</w:t>
      </w:r>
      <w:r w:rsidR="00257627">
        <w:rPr>
          <w:rFonts w:ascii="Calibri" w:cs="Calibri"/>
          <w:i/>
          <w:iCs/>
        </w:rPr>
        <w:t>-5</w:t>
      </w:r>
      <w:r w:rsidRPr="00AA6524">
        <w:rPr>
          <w:rFonts w:ascii="Calibri" w:cs="Calibri"/>
          <w:i/>
          <w:iCs/>
        </w:rPr>
        <w:t>.</w:t>
      </w:r>
      <w:r>
        <w:fldChar w:fldCharType="end"/>
      </w:r>
    </w:p>
  </w:footnote>
  <w:footnote w:id="9">
    <w:p w14:paraId="1B65824C" w14:textId="0F22E7D4" w:rsidR="005C6E63" w:rsidRDefault="005C6E63">
      <w:pPr>
        <w:pStyle w:val="FootnoteText"/>
      </w:pPr>
      <w:r>
        <w:rPr>
          <w:rStyle w:val="FootnoteReference"/>
        </w:rPr>
        <w:footnoteRef/>
      </w:r>
      <w:r>
        <w:t xml:space="preserve"> </w:t>
      </w:r>
      <w:r>
        <w:fldChar w:fldCharType="begin"/>
      </w:r>
      <w:r>
        <w:instrText xml:space="preserve"> ADDIN ZOTERO_ITEM CSL_CITATION {"citationID":"HxAXdWj5","properties":{"formattedCitation":"\\uc0\\u8216{}H3372 - Y\\uc0\\u257{}r\\uc0\\u275{}\\uc0\\u8217{} - Strong\\uc0\\u8217{}s Hebrew Lexicon (Kjv)\\uc0\\u8217{}, Blue Letter Bible, accessed 19 July 2021, https://www.blueletterbible.org/kjv/gen/1/1/s_1001.","plainCitation":"‘H3372 - Yārē’ - Strong’s Hebrew Lexicon (Kjv)’, Blue Letter Bible, accessed 19 July 2021, https://www.blueletterbible.org/kjv/gen/1/1/s_1001.","noteIndex":9},"citationItems":[{"id":328,"uris":["http://zotero.org/users/7540819/items/H3A2CEG9"],"uri":["http://zotero.org/users/7540819/items/H3A2CEG9"],"itemData":{"id":328,"type":"webpage","abstract":"H3372 - יָרֵא yârêʼ, yaw-ray'; a primitive root;  to fear; morally to revere; causatively to frighten:—affright, be (make) afraid, dread(-ful), (put in) fear(-ful, -fully, -ing), (be had in) reverence(-end),  see, terrible (act, -ness, thing).","container-title":"Blue Letter Bible","language":"en","title":"H3372 - yārē' - Strong's Hebrew Lexicon (kjv)","URL":"https://www.blueletterbible.org/kjv/gen/1/1/s_1001","accessed":{"date-parts":[["2021",7,19]]}}}],"schema":"https://github.com/citation-style-language/schema/raw/master/csl-citation.json"} </w:instrText>
      </w:r>
      <w:r>
        <w:fldChar w:fldCharType="separate"/>
      </w:r>
      <w:r w:rsidRPr="005C6E63">
        <w:rPr>
          <w:rFonts w:ascii="Calibri" w:cs="Calibri"/>
        </w:rPr>
        <w:t>‘H3372 - Yārē’ - Strong’s Hebrew Lexicon (Kjv)’, Blue Letter Bible, accessed 19 July 2021, https://www.blueletterbible.org/kjv/gen/1/1/s_1001.</w:t>
      </w:r>
      <w:r>
        <w:fldChar w:fldCharType="end"/>
      </w:r>
    </w:p>
  </w:footnote>
  <w:footnote w:id="10">
    <w:p w14:paraId="24ED450E" w14:textId="4940DB44" w:rsidR="00AF5436" w:rsidRDefault="00AF5436" w:rsidP="00AF5436">
      <w:pPr>
        <w:pStyle w:val="FootnoteText"/>
      </w:pPr>
      <w:r>
        <w:rPr>
          <w:rStyle w:val="FootnoteReference"/>
        </w:rPr>
        <w:footnoteRef/>
      </w:r>
      <w:r>
        <w:t xml:space="preserve"> </w:t>
      </w:r>
      <w:r>
        <w:fldChar w:fldCharType="begin"/>
      </w:r>
      <w:r w:rsidR="00236E19">
        <w:instrText xml:space="preserve"> ADDIN ZOTERO_ITEM CSL_CITATION {"citationID":"bZSh3tgH","properties":{"formattedCitation":"Moberly, {\\i{}Genesis 12-50 [Electronic Resource] / R. W. L. Moberly.}","plainCitation":"Moberly, Genesis 12-50 [Electronic Resource] / R. W. L. Moberly.","dontUpdate":true,"noteIndex":10},"citationItems":[{"id":321,"uris":["http://zotero.org/users/7540819/items/X8L9UNNZ"],"uri":["http://zotero.org/users/7540819/items/X8L9UNNZ"],"itemData":{"id":321,"type":"book","abstract":"Walter Moberly's study Guide to Genesis 12-50 provides an invaluable introduction to the second part of Genesis and is essential reading for anyone interested in the patriarchal narratives and the earliest history of the people of Israel.","collection-title":"Old Testament guides","event-place":"Sheffield","ISBN":"1-283-27087-0","publisher":"JSOT Press","publisher-place":"Sheffield","title":"Genesis 12-50 [electronic resource] / R. W. L. Moberly.","author":[{"family":"Moberly","given":"R. W. L."}],"issued":{"date-parts":[["1992"]]}}}],"schema":"https://github.com/citation-style-language/schema/raw/master/csl-citation.json"} </w:instrText>
      </w:r>
      <w:r>
        <w:fldChar w:fldCharType="separate"/>
      </w:r>
      <w:r w:rsidRPr="00AA6524">
        <w:rPr>
          <w:rFonts w:ascii="Calibri" w:cs="Calibri"/>
        </w:rPr>
        <w:t xml:space="preserve">Moberly, </w:t>
      </w:r>
      <w:r w:rsidRPr="00AA6524">
        <w:rPr>
          <w:rFonts w:ascii="Calibri" w:cs="Calibri"/>
          <w:i/>
          <w:iCs/>
        </w:rPr>
        <w:t>Genesis 12-50 [Electronic Resource] / R. W. L. Moberly</w:t>
      </w:r>
      <w:r>
        <w:rPr>
          <w:rFonts w:ascii="Calibri" w:cs="Calibri"/>
          <w:i/>
          <w:iCs/>
        </w:rPr>
        <w:t>, 132</w:t>
      </w:r>
      <w:r w:rsidRPr="00AA6524">
        <w:rPr>
          <w:rFonts w:ascii="Calibri" w:cs="Calibri"/>
          <w:i/>
          <w:iCs/>
        </w:rPr>
        <w:t>.</w:t>
      </w:r>
      <w:r>
        <w:fldChar w:fldCharType="end"/>
      </w:r>
    </w:p>
  </w:footnote>
  <w:footnote w:id="11">
    <w:p w14:paraId="6207C697" w14:textId="31E444E0" w:rsidR="00B9455A" w:rsidRDefault="00B9455A" w:rsidP="00B9455A">
      <w:pPr>
        <w:pStyle w:val="FootnoteText"/>
      </w:pPr>
      <w:r>
        <w:rPr>
          <w:rStyle w:val="FootnoteReference"/>
        </w:rPr>
        <w:footnoteRef/>
      </w:r>
      <w:r>
        <w:t xml:space="preserve"> </w:t>
      </w:r>
      <w:r w:rsidR="00B9467D">
        <w:fldChar w:fldCharType="begin"/>
      </w:r>
      <w:r w:rsidR="00B9467D">
        <w:instrText xml:space="preserve"> A</w:instrText>
      </w:r>
      <w:r w:rsidR="00B9467D">
        <w:instrText xml:space="preserve">DDIN ZOTERO_TEMP </w:instrText>
      </w:r>
      <w:r w:rsidR="00B9467D">
        <w:fldChar w:fldCharType="separate"/>
      </w:r>
      <w:r w:rsidRPr="006B492B">
        <w:rPr>
          <w:rFonts w:ascii="Calibri" w:cs="Calibri"/>
        </w:rPr>
        <w:t xml:space="preserve">M. Tyler Sasser, ‘The Binding of Isaac: Jewish and Christian Appropriations of the Akedah (Genesis 22) in Contemporary Picture Books’, </w:t>
      </w:r>
      <w:r w:rsidRPr="006B492B">
        <w:rPr>
          <w:rFonts w:ascii="Calibri" w:cs="Calibri"/>
          <w:i/>
          <w:iCs/>
        </w:rPr>
        <w:t>Children’s Literature</w:t>
      </w:r>
      <w:r w:rsidRPr="006B492B">
        <w:rPr>
          <w:rFonts w:ascii="Calibri" w:cs="Calibri"/>
        </w:rPr>
        <w:t xml:space="preserve"> 45, no. 1 (2017): 13</w:t>
      </w:r>
      <w:r>
        <w:rPr>
          <w:rFonts w:ascii="Calibri" w:cs="Calibri"/>
        </w:rPr>
        <w:t>9</w:t>
      </w:r>
      <w:r w:rsidRPr="006B492B">
        <w:rPr>
          <w:rFonts w:ascii="Calibri" w:cs="Calibri"/>
        </w:rPr>
        <w:t>, https://doi.org/10.1353/chl.2017.0007.</w:t>
      </w:r>
      <w:r w:rsidR="00B9467D">
        <w:rPr>
          <w:rFonts w:ascii="Calibri" w:cs="Calibri"/>
        </w:rPr>
        <w:fldChar w:fldCharType="end"/>
      </w:r>
    </w:p>
  </w:footnote>
  <w:footnote w:id="12">
    <w:p w14:paraId="668C37F5" w14:textId="7443AF49" w:rsidR="00CF348F" w:rsidRDefault="00CF348F" w:rsidP="00CF348F">
      <w:pPr>
        <w:pStyle w:val="FootnoteText"/>
      </w:pPr>
      <w:r>
        <w:rPr>
          <w:rStyle w:val="FootnoteReference"/>
        </w:rPr>
        <w:footnoteRef/>
      </w:r>
      <w:r>
        <w:t xml:space="preserve"> </w:t>
      </w:r>
      <w:r>
        <w:fldChar w:fldCharType="begin"/>
      </w:r>
      <w:r>
        <w:instrText xml:space="preserve"> ADDIN ZOTERO_ITEM CSL_CITATION {"citationID":"r02oqEpv","properties":{"formattedCitation":"M. Tyler Sasser, \\uc0\\u8216{}The Binding of Isaac: Jewish and Christian Appropriations of the Akedah (Genesis 22) in Contemporary Picture Books - ProQuest\\uc0\\u8217{}, accessed 12 July 2021, https://www-proquest-com.ezproxy.uwtsd.ac.uk/docview/2158208298?accountid=130472&amp;pq-origsite=primo.","plainCitation":"M. Tyler Sasser, ‘The Binding of Isaac: Jewish and Christian Appropriations of the Akedah (Genesis 22) in Contemporary Picture Books - ProQuest’, accessed 12 July 2021, https://www-proquest-com.ezproxy.uwtsd.ac.uk/docview/2158208298?accountid=130472&amp;pq-origsite=primo.","noteIndex":11},"citationItems":[{"id":305,"uris":["http://zotero.org/users/7540819/items/L3L2VZ34"],"uri":["http://zotero.org/users/7540819/items/L3L2VZ34"],"itemData":{"id":305,"type":"webpage","title":"The Binding of Isaac: Jewish and Christian Appropriations of the Akedah (Genesis 22) in Contemporary Picture Books - ProQuest","URL":"https://www-proquest-com.ezproxy.uwtsd.ac.uk/docview/2158208298?accountid=130472&amp;pq-origsite=primo","author":[{"family":"Sasser","given":"M. Tyler"}],"accessed":{"date-parts":[["2021",7,12]]}}}],"schema":"https://github.com/citation-style-language/schema/raw/master/csl-citation.json"} </w:instrText>
      </w:r>
      <w:r>
        <w:fldChar w:fldCharType="separate"/>
      </w:r>
      <w:r w:rsidRPr="00236E19">
        <w:rPr>
          <w:rFonts w:ascii="Calibri" w:cs="Calibri"/>
        </w:rPr>
        <w:t xml:space="preserve">M. Tyler Sasser, ‘The Binding of Isaac: Jewish and Christian Appropriations of the Akedah (Genesis 22) </w:t>
      </w:r>
      <w:r>
        <w:rPr>
          <w:rFonts w:ascii="Calibri" w:cs="Calibri"/>
        </w:rPr>
        <w:t>160</w:t>
      </w:r>
      <w:r w:rsidRPr="00236E19">
        <w:rPr>
          <w:rFonts w:ascii="Calibri" w:cs="Calibri"/>
        </w:rPr>
        <w:t>.</w:t>
      </w:r>
      <w:r>
        <w:fldChar w:fldCharType="end"/>
      </w:r>
    </w:p>
  </w:footnote>
  <w:footnote w:id="13">
    <w:p w14:paraId="05890B20" w14:textId="77777777" w:rsidR="00E60C8C" w:rsidRDefault="00E60C8C" w:rsidP="00E60C8C">
      <w:pPr>
        <w:pStyle w:val="FootnoteText"/>
      </w:pPr>
      <w:r>
        <w:rPr>
          <w:rStyle w:val="FootnoteReference"/>
        </w:rPr>
        <w:footnoteRef/>
      </w:r>
      <w:r>
        <w:t xml:space="preserve"> </w:t>
      </w:r>
      <w:r>
        <w:fldChar w:fldCharType="begin"/>
      </w:r>
      <w:r>
        <w:instrText xml:space="preserve"> ADDIN ZOTERO_ITEM CSL_CITATION {"citationID":"PQcP6GOq","properties":{"formattedCitation":"Moberly, {\\i{}Genesis 12-50 [Electronic Resource] / R. W. L. Moberly.}","plainCitation":"Moberly, Genesis 12-50 [Electronic Resource] / R. W. L. Moberly.","noteIndex":12},"citationItems":[{"id":321,"uris":["http://zotero.org/users/7540819/items/X8L9UNNZ"],"uri":["http://zotero.org/users/7540819/items/X8L9UNNZ"],"itemData":{"id":321,"type":"book","abstract":"Walter Moberly's study Guide to Genesis 12-50 provides an invaluable introduction to the second part of Genesis and is essential reading for anyone interested in the patriarchal narratives and the earliest history of the people of Israel.","collection-title":"Old Testament guides","event-place":"Sheffield","ISBN":"1-283-27087-0","publisher":"JSOT Press","publisher-place":"Sheffield","title":"Genesis 12-50 [electronic resource] / R. W. L. Moberly.","author":[{"family":"Moberly","given":"R. W. L."}],"issued":{"date-parts":[["1992"]]}}}],"schema":"https://github.com/citation-style-language/schema/raw/master/csl-citation.json"} </w:instrText>
      </w:r>
      <w:r>
        <w:fldChar w:fldCharType="separate"/>
      </w:r>
      <w:r w:rsidRPr="00E60C8C">
        <w:rPr>
          <w:rFonts w:ascii="Calibri" w:cs="Calibri"/>
        </w:rPr>
        <w:t xml:space="preserve">Moberly, </w:t>
      </w:r>
      <w:r w:rsidRPr="00E60C8C">
        <w:rPr>
          <w:rFonts w:ascii="Calibri" w:cs="Calibri"/>
          <w:i/>
          <w:iCs/>
        </w:rPr>
        <w:t>Genesis 12-50 [Electronic Resource] / R. W. L. Moberly</w:t>
      </w:r>
      <w:r>
        <w:rPr>
          <w:rFonts w:ascii="Calibri" w:cs="Calibri"/>
          <w:i/>
          <w:iCs/>
        </w:rPr>
        <w:t>, 130</w:t>
      </w:r>
      <w:r w:rsidRPr="00E60C8C">
        <w:rPr>
          <w:rFonts w:ascii="Calibri" w:cs="Calibri"/>
          <w:i/>
          <w:iCs/>
        </w:rPr>
        <w:t>.</w:t>
      </w:r>
      <w:r>
        <w:fldChar w:fldCharType="end"/>
      </w:r>
    </w:p>
  </w:footnote>
  <w:footnote w:id="14">
    <w:p w14:paraId="2781EC4B" w14:textId="23D94511" w:rsidR="00847D56" w:rsidRDefault="00847D56" w:rsidP="00847D56">
      <w:pPr>
        <w:pStyle w:val="FootnoteText"/>
      </w:pPr>
      <w:r>
        <w:rPr>
          <w:rStyle w:val="FootnoteReference"/>
        </w:rPr>
        <w:footnoteRef/>
      </w:r>
      <w:r>
        <w:t xml:space="preserve"> </w:t>
      </w:r>
      <w:r>
        <w:fldChar w:fldCharType="begin"/>
      </w:r>
      <w:r w:rsidR="00E60C8C">
        <w:instrText xml:space="preserve"> ADDIN ZOTERO_ITEM CSL_CITATION {"citationID":"c2S8brhQ","properties":{"formattedCitation":"Martien A. Halvorson-Taylor, \\uc0\\u8216{}Genesis 22 in the Context of the Abraham Cycle\\uc0\\u8217{}, Bible Odessey, accessed 12 July 2021, https://www.bibleodyssey.org/en/passages/related-articles/genesis-22-in-the-context-of-the-abraham-cycle.","plainCitation":"Martien A. Halvorson-Taylor, ‘Genesis 22 in the Context of the Abraham Cycle’, Bible Odessey, accessed 12 July 2021, https://www.bibleodyssey.org/en/passages/related-articles/genesis-22-in-the-context-of-the-abraham-cycle.","noteIndex":13},"citationItems":[{"id":302,"uris":["http://zotero.org/users/7540819/items/CPDJ7K8C"],"uri":["http://zotero.org/users/7540819/items/CPDJ7K8C"],"itemData":{"id":302,"type":"webpage","container-title":"Bible Odessey","title":"Genesis 22 in the context of the Abraham Cycle","URL":"https://www.bibleodyssey.org/en/passages/related-articles/genesis-22-in-the-context-of-the-abraham-cycle","author":[{"family":"Halvorson-Taylor","given":"Martien A."}],"accessed":{"date-parts":[["2021",7,12]]}}}],"schema":"https://github.com/citation-style-language/schema/raw/master/csl-citation.json"} </w:instrText>
      </w:r>
      <w:r>
        <w:fldChar w:fldCharType="separate"/>
      </w:r>
      <w:r w:rsidRPr="006A572D">
        <w:rPr>
          <w:rFonts w:ascii="Calibri" w:cs="Calibri"/>
        </w:rPr>
        <w:t>Martien A. Halvorson-Taylor, ‘Genesis 22 in the Context of the Abraham Cycle’, Bible Odessey, accessed 12 July 2021, https://www.bibleodyssey.org/en/passages/related-articles/genesis-22-in-the-context-of-the-abraham-cycle.</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D13C4C"/>
    <w:multiLevelType w:val="hybridMultilevel"/>
    <w:tmpl w:val="0B58787C"/>
    <w:lvl w:ilvl="0" w:tplc="E0A250E0">
      <w:start w:val="10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497"/>
    <w:rsid w:val="00040DAB"/>
    <w:rsid w:val="000575C8"/>
    <w:rsid w:val="00083EF1"/>
    <w:rsid w:val="00084139"/>
    <w:rsid w:val="000B4186"/>
    <w:rsid w:val="000D4CA6"/>
    <w:rsid w:val="0010407E"/>
    <w:rsid w:val="00141B99"/>
    <w:rsid w:val="00143AF2"/>
    <w:rsid w:val="0015056B"/>
    <w:rsid w:val="00164E9E"/>
    <w:rsid w:val="00166796"/>
    <w:rsid w:val="00171CCF"/>
    <w:rsid w:val="00174F94"/>
    <w:rsid w:val="001825FB"/>
    <w:rsid w:val="0018476B"/>
    <w:rsid w:val="00197C1A"/>
    <w:rsid w:val="001B5B0F"/>
    <w:rsid w:val="001C4CD3"/>
    <w:rsid w:val="001C7D96"/>
    <w:rsid w:val="001E0A78"/>
    <w:rsid w:val="001F6448"/>
    <w:rsid w:val="00216B29"/>
    <w:rsid w:val="0022413D"/>
    <w:rsid w:val="00236E19"/>
    <w:rsid w:val="002449E0"/>
    <w:rsid w:val="00252F29"/>
    <w:rsid w:val="00257627"/>
    <w:rsid w:val="00262106"/>
    <w:rsid w:val="00266A5E"/>
    <w:rsid w:val="00271363"/>
    <w:rsid w:val="00284B75"/>
    <w:rsid w:val="002B14BB"/>
    <w:rsid w:val="002C3902"/>
    <w:rsid w:val="002D08FF"/>
    <w:rsid w:val="00302D11"/>
    <w:rsid w:val="00344090"/>
    <w:rsid w:val="00354743"/>
    <w:rsid w:val="00371392"/>
    <w:rsid w:val="00371899"/>
    <w:rsid w:val="0039441D"/>
    <w:rsid w:val="00396A0D"/>
    <w:rsid w:val="003B743B"/>
    <w:rsid w:val="003D370D"/>
    <w:rsid w:val="003D67D2"/>
    <w:rsid w:val="003E46FB"/>
    <w:rsid w:val="003F7339"/>
    <w:rsid w:val="00403895"/>
    <w:rsid w:val="00406C20"/>
    <w:rsid w:val="004077EC"/>
    <w:rsid w:val="004306F6"/>
    <w:rsid w:val="00435625"/>
    <w:rsid w:val="00443955"/>
    <w:rsid w:val="004512A1"/>
    <w:rsid w:val="0045356C"/>
    <w:rsid w:val="004B65C1"/>
    <w:rsid w:val="004D6920"/>
    <w:rsid w:val="004F1DB1"/>
    <w:rsid w:val="00504C9F"/>
    <w:rsid w:val="005226BB"/>
    <w:rsid w:val="0052477D"/>
    <w:rsid w:val="0053471D"/>
    <w:rsid w:val="00540A76"/>
    <w:rsid w:val="005531AF"/>
    <w:rsid w:val="005641BE"/>
    <w:rsid w:val="005729FD"/>
    <w:rsid w:val="00585872"/>
    <w:rsid w:val="00596C37"/>
    <w:rsid w:val="005C6E63"/>
    <w:rsid w:val="005F4155"/>
    <w:rsid w:val="006034D4"/>
    <w:rsid w:val="00612BAF"/>
    <w:rsid w:val="0061402E"/>
    <w:rsid w:val="0063089B"/>
    <w:rsid w:val="00633867"/>
    <w:rsid w:val="00636089"/>
    <w:rsid w:val="006631FA"/>
    <w:rsid w:val="00676C9D"/>
    <w:rsid w:val="006A572D"/>
    <w:rsid w:val="006B492B"/>
    <w:rsid w:val="006E0DFA"/>
    <w:rsid w:val="006E3B38"/>
    <w:rsid w:val="006F65BE"/>
    <w:rsid w:val="006F66E3"/>
    <w:rsid w:val="007352DD"/>
    <w:rsid w:val="00742790"/>
    <w:rsid w:val="00747F8D"/>
    <w:rsid w:val="00753612"/>
    <w:rsid w:val="007658A4"/>
    <w:rsid w:val="0076636B"/>
    <w:rsid w:val="007A6A8A"/>
    <w:rsid w:val="007B271B"/>
    <w:rsid w:val="007C6BD2"/>
    <w:rsid w:val="007E2381"/>
    <w:rsid w:val="007E3763"/>
    <w:rsid w:val="007F38C8"/>
    <w:rsid w:val="007F571E"/>
    <w:rsid w:val="00802497"/>
    <w:rsid w:val="00802A04"/>
    <w:rsid w:val="00810143"/>
    <w:rsid w:val="00842397"/>
    <w:rsid w:val="00847D56"/>
    <w:rsid w:val="00856510"/>
    <w:rsid w:val="008630CA"/>
    <w:rsid w:val="00865FEF"/>
    <w:rsid w:val="00875D31"/>
    <w:rsid w:val="008A72D8"/>
    <w:rsid w:val="008B0C53"/>
    <w:rsid w:val="008C0BFE"/>
    <w:rsid w:val="008E0D5D"/>
    <w:rsid w:val="008E2D39"/>
    <w:rsid w:val="008E4185"/>
    <w:rsid w:val="008E7061"/>
    <w:rsid w:val="008E760A"/>
    <w:rsid w:val="00902BBC"/>
    <w:rsid w:val="009135E1"/>
    <w:rsid w:val="009A303C"/>
    <w:rsid w:val="009A5335"/>
    <w:rsid w:val="009B1138"/>
    <w:rsid w:val="009F7A20"/>
    <w:rsid w:val="00A10298"/>
    <w:rsid w:val="00A2708E"/>
    <w:rsid w:val="00A3473A"/>
    <w:rsid w:val="00A53271"/>
    <w:rsid w:val="00A609A1"/>
    <w:rsid w:val="00A81587"/>
    <w:rsid w:val="00A967EB"/>
    <w:rsid w:val="00AA6524"/>
    <w:rsid w:val="00AA66E8"/>
    <w:rsid w:val="00AC2042"/>
    <w:rsid w:val="00AD4008"/>
    <w:rsid w:val="00AD6852"/>
    <w:rsid w:val="00AF04A9"/>
    <w:rsid w:val="00AF5436"/>
    <w:rsid w:val="00AF551B"/>
    <w:rsid w:val="00B0650E"/>
    <w:rsid w:val="00B1125B"/>
    <w:rsid w:val="00B22029"/>
    <w:rsid w:val="00B504F6"/>
    <w:rsid w:val="00B5564A"/>
    <w:rsid w:val="00B56B54"/>
    <w:rsid w:val="00B71BDB"/>
    <w:rsid w:val="00B84903"/>
    <w:rsid w:val="00B9455A"/>
    <w:rsid w:val="00B9467D"/>
    <w:rsid w:val="00BA2C20"/>
    <w:rsid w:val="00C14EDD"/>
    <w:rsid w:val="00C16BAB"/>
    <w:rsid w:val="00C23432"/>
    <w:rsid w:val="00C31C29"/>
    <w:rsid w:val="00C337C7"/>
    <w:rsid w:val="00C358FE"/>
    <w:rsid w:val="00C42168"/>
    <w:rsid w:val="00C4650E"/>
    <w:rsid w:val="00C519BE"/>
    <w:rsid w:val="00C520D8"/>
    <w:rsid w:val="00C620BC"/>
    <w:rsid w:val="00C75B2E"/>
    <w:rsid w:val="00C84C25"/>
    <w:rsid w:val="00C861B8"/>
    <w:rsid w:val="00C92436"/>
    <w:rsid w:val="00CB4656"/>
    <w:rsid w:val="00CB6CCC"/>
    <w:rsid w:val="00CB7F45"/>
    <w:rsid w:val="00CF2DD1"/>
    <w:rsid w:val="00CF348F"/>
    <w:rsid w:val="00CF4056"/>
    <w:rsid w:val="00CF40F9"/>
    <w:rsid w:val="00D012E6"/>
    <w:rsid w:val="00D06390"/>
    <w:rsid w:val="00D20921"/>
    <w:rsid w:val="00D25E1E"/>
    <w:rsid w:val="00D35666"/>
    <w:rsid w:val="00D43D3E"/>
    <w:rsid w:val="00D46017"/>
    <w:rsid w:val="00D55C08"/>
    <w:rsid w:val="00D753F8"/>
    <w:rsid w:val="00D93647"/>
    <w:rsid w:val="00D94504"/>
    <w:rsid w:val="00DA2D38"/>
    <w:rsid w:val="00DA79AD"/>
    <w:rsid w:val="00DB39D7"/>
    <w:rsid w:val="00DC76BC"/>
    <w:rsid w:val="00DE4415"/>
    <w:rsid w:val="00DF203F"/>
    <w:rsid w:val="00DF31EE"/>
    <w:rsid w:val="00DF6C93"/>
    <w:rsid w:val="00E37531"/>
    <w:rsid w:val="00E55B82"/>
    <w:rsid w:val="00E60C8C"/>
    <w:rsid w:val="00E61D06"/>
    <w:rsid w:val="00E6659E"/>
    <w:rsid w:val="00EA2D4E"/>
    <w:rsid w:val="00EB34A5"/>
    <w:rsid w:val="00EE265A"/>
    <w:rsid w:val="00EF2C45"/>
    <w:rsid w:val="00F02776"/>
    <w:rsid w:val="00F031AD"/>
    <w:rsid w:val="00F11838"/>
    <w:rsid w:val="00F32105"/>
    <w:rsid w:val="00F3278A"/>
    <w:rsid w:val="00F37D6A"/>
    <w:rsid w:val="00F56C4A"/>
    <w:rsid w:val="00F831C7"/>
    <w:rsid w:val="00F90AEC"/>
    <w:rsid w:val="00FB5B9A"/>
    <w:rsid w:val="00FE151C"/>
    <w:rsid w:val="00FE1DDF"/>
    <w:rsid w:val="00FE2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1D9F45"/>
  <w15:chartTrackingRefBased/>
  <w15:docId w15:val="{B035E5AC-E0BB-6E47-B8E6-30768DC22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6E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2497"/>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02497"/>
  </w:style>
  <w:style w:type="paragraph" w:styleId="Footer">
    <w:name w:val="footer"/>
    <w:basedOn w:val="Normal"/>
    <w:link w:val="FooterChar"/>
    <w:uiPriority w:val="99"/>
    <w:unhideWhenUsed/>
    <w:rsid w:val="0080249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02497"/>
  </w:style>
  <w:style w:type="paragraph" w:styleId="NormalWeb">
    <w:name w:val="Normal (Web)"/>
    <w:basedOn w:val="Normal"/>
    <w:uiPriority w:val="99"/>
    <w:unhideWhenUsed/>
    <w:rsid w:val="00B56B54"/>
    <w:pPr>
      <w:spacing w:before="100" w:beforeAutospacing="1" w:after="100" w:afterAutospacing="1"/>
    </w:pPr>
  </w:style>
  <w:style w:type="paragraph" w:styleId="FootnoteText">
    <w:name w:val="footnote text"/>
    <w:basedOn w:val="Normal"/>
    <w:link w:val="FootnoteTextChar"/>
    <w:uiPriority w:val="99"/>
    <w:semiHidden/>
    <w:unhideWhenUsed/>
    <w:rsid w:val="006A572D"/>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6A572D"/>
    <w:rPr>
      <w:sz w:val="20"/>
      <w:szCs w:val="20"/>
    </w:rPr>
  </w:style>
  <w:style w:type="character" w:styleId="FootnoteReference">
    <w:name w:val="footnote reference"/>
    <w:basedOn w:val="DefaultParagraphFont"/>
    <w:uiPriority w:val="99"/>
    <w:semiHidden/>
    <w:unhideWhenUsed/>
    <w:rsid w:val="006A572D"/>
    <w:rPr>
      <w:vertAlign w:val="superscript"/>
    </w:rPr>
  </w:style>
  <w:style w:type="table" w:styleId="TableGrid">
    <w:name w:val="Table Grid"/>
    <w:basedOn w:val="TableNormal"/>
    <w:uiPriority w:val="39"/>
    <w:rsid w:val="005858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4056"/>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semiHidden/>
    <w:unhideWhenUsed/>
    <w:rsid w:val="002C39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000117">
      <w:bodyDiv w:val="1"/>
      <w:marLeft w:val="0"/>
      <w:marRight w:val="0"/>
      <w:marTop w:val="0"/>
      <w:marBottom w:val="0"/>
      <w:divBdr>
        <w:top w:val="none" w:sz="0" w:space="0" w:color="auto"/>
        <w:left w:val="none" w:sz="0" w:space="0" w:color="auto"/>
        <w:bottom w:val="none" w:sz="0" w:space="0" w:color="auto"/>
        <w:right w:val="none" w:sz="0" w:space="0" w:color="auto"/>
      </w:divBdr>
      <w:divsChild>
        <w:div w:id="166991543">
          <w:marLeft w:val="0"/>
          <w:marRight w:val="0"/>
          <w:marTop w:val="0"/>
          <w:marBottom w:val="0"/>
          <w:divBdr>
            <w:top w:val="none" w:sz="0" w:space="0" w:color="auto"/>
            <w:left w:val="none" w:sz="0" w:space="0" w:color="auto"/>
            <w:bottom w:val="none" w:sz="0" w:space="0" w:color="auto"/>
            <w:right w:val="none" w:sz="0" w:space="0" w:color="auto"/>
          </w:divBdr>
          <w:divsChild>
            <w:div w:id="1810904545">
              <w:marLeft w:val="0"/>
              <w:marRight w:val="0"/>
              <w:marTop w:val="0"/>
              <w:marBottom w:val="0"/>
              <w:divBdr>
                <w:top w:val="none" w:sz="0" w:space="0" w:color="auto"/>
                <w:left w:val="none" w:sz="0" w:space="0" w:color="auto"/>
                <w:bottom w:val="none" w:sz="0" w:space="0" w:color="auto"/>
                <w:right w:val="none" w:sz="0" w:space="0" w:color="auto"/>
              </w:divBdr>
              <w:divsChild>
                <w:div w:id="203974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53084">
      <w:bodyDiv w:val="1"/>
      <w:marLeft w:val="0"/>
      <w:marRight w:val="0"/>
      <w:marTop w:val="0"/>
      <w:marBottom w:val="0"/>
      <w:divBdr>
        <w:top w:val="none" w:sz="0" w:space="0" w:color="auto"/>
        <w:left w:val="none" w:sz="0" w:space="0" w:color="auto"/>
        <w:bottom w:val="none" w:sz="0" w:space="0" w:color="auto"/>
        <w:right w:val="none" w:sz="0" w:space="0" w:color="auto"/>
      </w:divBdr>
      <w:divsChild>
        <w:div w:id="1488550200">
          <w:marLeft w:val="480"/>
          <w:marRight w:val="0"/>
          <w:marTop w:val="0"/>
          <w:marBottom w:val="0"/>
          <w:divBdr>
            <w:top w:val="none" w:sz="0" w:space="0" w:color="auto"/>
            <w:left w:val="none" w:sz="0" w:space="0" w:color="auto"/>
            <w:bottom w:val="none" w:sz="0" w:space="0" w:color="auto"/>
            <w:right w:val="none" w:sz="0" w:space="0" w:color="auto"/>
          </w:divBdr>
          <w:divsChild>
            <w:div w:id="39477759">
              <w:marLeft w:val="0"/>
              <w:marRight w:val="0"/>
              <w:marTop w:val="0"/>
              <w:marBottom w:val="0"/>
              <w:divBdr>
                <w:top w:val="none" w:sz="0" w:space="0" w:color="auto"/>
                <w:left w:val="none" w:sz="0" w:space="0" w:color="auto"/>
                <w:bottom w:val="none" w:sz="0" w:space="0" w:color="auto"/>
                <w:right w:val="none" w:sz="0" w:space="0" w:color="auto"/>
              </w:divBdr>
            </w:div>
            <w:div w:id="200286379">
              <w:marLeft w:val="0"/>
              <w:marRight w:val="0"/>
              <w:marTop w:val="0"/>
              <w:marBottom w:val="0"/>
              <w:divBdr>
                <w:top w:val="none" w:sz="0" w:space="0" w:color="auto"/>
                <w:left w:val="none" w:sz="0" w:space="0" w:color="auto"/>
                <w:bottom w:val="none" w:sz="0" w:space="0" w:color="auto"/>
                <w:right w:val="none" w:sz="0" w:space="0" w:color="auto"/>
              </w:divBdr>
            </w:div>
            <w:div w:id="1494181185">
              <w:marLeft w:val="0"/>
              <w:marRight w:val="0"/>
              <w:marTop w:val="0"/>
              <w:marBottom w:val="0"/>
              <w:divBdr>
                <w:top w:val="none" w:sz="0" w:space="0" w:color="auto"/>
                <w:left w:val="none" w:sz="0" w:space="0" w:color="auto"/>
                <w:bottom w:val="none" w:sz="0" w:space="0" w:color="auto"/>
                <w:right w:val="none" w:sz="0" w:space="0" w:color="auto"/>
              </w:divBdr>
            </w:div>
            <w:div w:id="456798030">
              <w:marLeft w:val="0"/>
              <w:marRight w:val="0"/>
              <w:marTop w:val="0"/>
              <w:marBottom w:val="0"/>
              <w:divBdr>
                <w:top w:val="none" w:sz="0" w:space="0" w:color="auto"/>
                <w:left w:val="none" w:sz="0" w:space="0" w:color="auto"/>
                <w:bottom w:val="none" w:sz="0" w:space="0" w:color="auto"/>
                <w:right w:val="none" w:sz="0" w:space="0" w:color="auto"/>
              </w:divBdr>
            </w:div>
            <w:div w:id="1506170024">
              <w:marLeft w:val="0"/>
              <w:marRight w:val="0"/>
              <w:marTop w:val="0"/>
              <w:marBottom w:val="0"/>
              <w:divBdr>
                <w:top w:val="none" w:sz="0" w:space="0" w:color="auto"/>
                <w:left w:val="none" w:sz="0" w:space="0" w:color="auto"/>
                <w:bottom w:val="none" w:sz="0" w:space="0" w:color="auto"/>
                <w:right w:val="none" w:sz="0" w:space="0" w:color="auto"/>
              </w:divBdr>
            </w:div>
            <w:div w:id="1574656742">
              <w:marLeft w:val="0"/>
              <w:marRight w:val="0"/>
              <w:marTop w:val="0"/>
              <w:marBottom w:val="0"/>
              <w:divBdr>
                <w:top w:val="none" w:sz="0" w:space="0" w:color="auto"/>
                <w:left w:val="none" w:sz="0" w:space="0" w:color="auto"/>
                <w:bottom w:val="none" w:sz="0" w:space="0" w:color="auto"/>
                <w:right w:val="none" w:sz="0" w:space="0" w:color="auto"/>
              </w:divBdr>
            </w:div>
            <w:div w:id="1412579606">
              <w:marLeft w:val="0"/>
              <w:marRight w:val="0"/>
              <w:marTop w:val="0"/>
              <w:marBottom w:val="0"/>
              <w:divBdr>
                <w:top w:val="none" w:sz="0" w:space="0" w:color="auto"/>
                <w:left w:val="none" w:sz="0" w:space="0" w:color="auto"/>
                <w:bottom w:val="none" w:sz="0" w:space="0" w:color="auto"/>
                <w:right w:val="none" w:sz="0" w:space="0" w:color="auto"/>
              </w:divBdr>
            </w:div>
            <w:div w:id="101076790">
              <w:marLeft w:val="0"/>
              <w:marRight w:val="0"/>
              <w:marTop w:val="0"/>
              <w:marBottom w:val="0"/>
              <w:divBdr>
                <w:top w:val="none" w:sz="0" w:space="0" w:color="auto"/>
                <w:left w:val="none" w:sz="0" w:space="0" w:color="auto"/>
                <w:bottom w:val="none" w:sz="0" w:space="0" w:color="auto"/>
                <w:right w:val="none" w:sz="0" w:space="0" w:color="auto"/>
              </w:divBdr>
            </w:div>
            <w:div w:id="1927299918">
              <w:marLeft w:val="0"/>
              <w:marRight w:val="0"/>
              <w:marTop w:val="0"/>
              <w:marBottom w:val="0"/>
              <w:divBdr>
                <w:top w:val="none" w:sz="0" w:space="0" w:color="auto"/>
                <w:left w:val="none" w:sz="0" w:space="0" w:color="auto"/>
                <w:bottom w:val="none" w:sz="0" w:space="0" w:color="auto"/>
                <w:right w:val="none" w:sz="0" w:space="0" w:color="auto"/>
              </w:divBdr>
            </w:div>
            <w:div w:id="579212332">
              <w:marLeft w:val="0"/>
              <w:marRight w:val="0"/>
              <w:marTop w:val="0"/>
              <w:marBottom w:val="0"/>
              <w:divBdr>
                <w:top w:val="none" w:sz="0" w:space="0" w:color="auto"/>
                <w:left w:val="none" w:sz="0" w:space="0" w:color="auto"/>
                <w:bottom w:val="none" w:sz="0" w:space="0" w:color="auto"/>
                <w:right w:val="none" w:sz="0" w:space="0" w:color="auto"/>
              </w:divBdr>
            </w:div>
            <w:div w:id="1503624299">
              <w:marLeft w:val="0"/>
              <w:marRight w:val="0"/>
              <w:marTop w:val="0"/>
              <w:marBottom w:val="0"/>
              <w:divBdr>
                <w:top w:val="none" w:sz="0" w:space="0" w:color="auto"/>
                <w:left w:val="none" w:sz="0" w:space="0" w:color="auto"/>
                <w:bottom w:val="none" w:sz="0" w:space="0" w:color="auto"/>
                <w:right w:val="none" w:sz="0" w:space="0" w:color="auto"/>
              </w:divBdr>
            </w:div>
            <w:div w:id="843130993">
              <w:marLeft w:val="0"/>
              <w:marRight w:val="0"/>
              <w:marTop w:val="0"/>
              <w:marBottom w:val="0"/>
              <w:divBdr>
                <w:top w:val="none" w:sz="0" w:space="0" w:color="auto"/>
                <w:left w:val="none" w:sz="0" w:space="0" w:color="auto"/>
                <w:bottom w:val="none" w:sz="0" w:space="0" w:color="auto"/>
                <w:right w:val="none" w:sz="0" w:space="0" w:color="auto"/>
              </w:divBdr>
            </w:div>
            <w:div w:id="2125692002">
              <w:marLeft w:val="0"/>
              <w:marRight w:val="0"/>
              <w:marTop w:val="0"/>
              <w:marBottom w:val="0"/>
              <w:divBdr>
                <w:top w:val="none" w:sz="0" w:space="0" w:color="auto"/>
                <w:left w:val="none" w:sz="0" w:space="0" w:color="auto"/>
                <w:bottom w:val="none" w:sz="0" w:space="0" w:color="auto"/>
                <w:right w:val="none" w:sz="0" w:space="0" w:color="auto"/>
              </w:divBdr>
            </w:div>
            <w:div w:id="1777754949">
              <w:marLeft w:val="0"/>
              <w:marRight w:val="0"/>
              <w:marTop w:val="0"/>
              <w:marBottom w:val="0"/>
              <w:divBdr>
                <w:top w:val="none" w:sz="0" w:space="0" w:color="auto"/>
                <w:left w:val="none" w:sz="0" w:space="0" w:color="auto"/>
                <w:bottom w:val="none" w:sz="0" w:space="0" w:color="auto"/>
                <w:right w:val="none" w:sz="0" w:space="0" w:color="auto"/>
              </w:divBdr>
            </w:div>
            <w:div w:id="18703643">
              <w:marLeft w:val="0"/>
              <w:marRight w:val="0"/>
              <w:marTop w:val="0"/>
              <w:marBottom w:val="0"/>
              <w:divBdr>
                <w:top w:val="none" w:sz="0" w:space="0" w:color="auto"/>
                <w:left w:val="none" w:sz="0" w:space="0" w:color="auto"/>
                <w:bottom w:val="none" w:sz="0" w:space="0" w:color="auto"/>
                <w:right w:val="none" w:sz="0" w:space="0" w:color="auto"/>
              </w:divBdr>
            </w:div>
            <w:div w:id="1972979668">
              <w:marLeft w:val="0"/>
              <w:marRight w:val="0"/>
              <w:marTop w:val="0"/>
              <w:marBottom w:val="0"/>
              <w:divBdr>
                <w:top w:val="none" w:sz="0" w:space="0" w:color="auto"/>
                <w:left w:val="none" w:sz="0" w:space="0" w:color="auto"/>
                <w:bottom w:val="none" w:sz="0" w:space="0" w:color="auto"/>
                <w:right w:val="none" w:sz="0" w:space="0" w:color="auto"/>
              </w:divBdr>
            </w:div>
            <w:div w:id="1032730159">
              <w:marLeft w:val="0"/>
              <w:marRight w:val="0"/>
              <w:marTop w:val="0"/>
              <w:marBottom w:val="0"/>
              <w:divBdr>
                <w:top w:val="none" w:sz="0" w:space="0" w:color="auto"/>
                <w:left w:val="none" w:sz="0" w:space="0" w:color="auto"/>
                <w:bottom w:val="none" w:sz="0" w:space="0" w:color="auto"/>
                <w:right w:val="none" w:sz="0" w:space="0" w:color="auto"/>
              </w:divBdr>
            </w:div>
            <w:div w:id="1183323191">
              <w:marLeft w:val="0"/>
              <w:marRight w:val="0"/>
              <w:marTop w:val="0"/>
              <w:marBottom w:val="0"/>
              <w:divBdr>
                <w:top w:val="none" w:sz="0" w:space="0" w:color="auto"/>
                <w:left w:val="none" w:sz="0" w:space="0" w:color="auto"/>
                <w:bottom w:val="none" w:sz="0" w:space="0" w:color="auto"/>
                <w:right w:val="none" w:sz="0" w:space="0" w:color="auto"/>
              </w:divBdr>
            </w:div>
            <w:div w:id="339703304">
              <w:marLeft w:val="0"/>
              <w:marRight w:val="0"/>
              <w:marTop w:val="0"/>
              <w:marBottom w:val="0"/>
              <w:divBdr>
                <w:top w:val="none" w:sz="0" w:space="0" w:color="auto"/>
                <w:left w:val="none" w:sz="0" w:space="0" w:color="auto"/>
                <w:bottom w:val="none" w:sz="0" w:space="0" w:color="auto"/>
                <w:right w:val="none" w:sz="0" w:space="0" w:color="auto"/>
              </w:divBdr>
            </w:div>
            <w:div w:id="1163741548">
              <w:marLeft w:val="0"/>
              <w:marRight w:val="0"/>
              <w:marTop w:val="0"/>
              <w:marBottom w:val="0"/>
              <w:divBdr>
                <w:top w:val="none" w:sz="0" w:space="0" w:color="auto"/>
                <w:left w:val="none" w:sz="0" w:space="0" w:color="auto"/>
                <w:bottom w:val="none" w:sz="0" w:space="0" w:color="auto"/>
                <w:right w:val="none" w:sz="0" w:space="0" w:color="auto"/>
              </w:divBdr>
            </w:div>
            <w:div w:id="1612401057">
              <w:marLeft w:val="0"/>
              <w:marRight w:val="0"/>
              <w:marTop w:val="0"/>
              <w:marBottom w:val="0"/>
              <w:divBdr>
                <w:top w:val="none" w:sz="0" w:space="0" w:color="auto"/>
                <w:left w:val="none" w:sz="0" w:space="0" w:color="auto"/>
                <w:bottom w:val="none" w:sz="0" w:space="0" w:color="auto"/>
                <w:right w:val="none" w:sz="0" w:space="0" w:color="auto"/>
              </w:divBdr>
            </w:div>
            <w:div w:id="1306668685">
              <w:marLeft w:val="0"/>
              <w:marRight w:val="0"/>
              <w:marTop w:val="0"/>
              <w:marBottom w:val="0"/>
              <w:divBdr>
                <w:top w:val="none" w:sz="0" w:space="0" w:color="auto"/>
                <w:left w:val="none" w:sz="0" w:space="0" w:color="auto"/>
                <w:bottom w:val="none" w:sz="0" w:space="0" w:color="auto"/>
                <w:right w:val="none" w:sz="0" w:space="0" w:color="auto"/>
              </w:divBdr>
            </w:div>
            <w:div w:id="1608611437">
              <w:marLeft w:val="0"/>
              <w:marRight w:val="0"/>
              <w:marTop w:val="0"/>
              <w:marBottom w:val="0"/>
              <w:divBdr>
                <w:top w:val="none" w:sz="0" w:space="0" w:color="auto"/>
                <w:left w:val="none" w:sz="0" w:space="0" w:color="auto"/>
                <w:bottom w:val="none" w:sz="0" w:space="0" w:color="auto"/>
                <w:right w:val="none" w:sz="0" w:space="0" w:color="auto"/>
              </w:divBdr>
            </w:div>
            <w:div w:id="1468428789">
              <w:marLeft w:val="0"/>
              <w:marRight w:val="0"/>
              <w:marTop w:val="0"/>
              <w:marBottom w:val="0"/>
              <w:divBdr>
                <w:top w:val="none" w:sz="0" w:space="0" w:color="auto"/>
                <w:left w:val="none" w:sz="0" w:space="0" w:color="auto"/>
                <w:bottom w:val="none" w:sz="0" w:space="0" w:color="auto"/>
                <w:right w:val="none" w:sz="0" w:space="0" w:color="auto"/>
              </w:divBdr>
            </w:div>
            <w:div w:id="1924335957">
              <w:marLeft w:val="0"/>
              <w:marRight w:val="0"/>
              <w:marTop w:val="0"/>
              <w:marBottom w:val="0"/>
              <w:divBdr>
                <w:top w:val="none" w:sz="0" w:space="0" w:color="auto"/>
                <w:left w:val="none" w:sz="0" w:space="0" w:color="auto"/>
                <w:bottom w:val="none" w:sz="0" w:space="0" w:color="auto"/>
                <w:right w:val="none" w:sz="0" w:space="0" w:color="auto"/>
              </w:divBdr>
            </w:div>
            <w:div w:id="480199467">
              <w:marLeft w:val="0"/>
              <w:marRight w:val="0"/>
              <w:marTop w:val="0"/>
              <w:marBottom w:val="0"/>
              <w:divBdr>
                <w:top w:val="none" w:sz="0" w:space="0" w:color="auto"/>
                <w:left w:val="none" w:sz="0" w:space="0" w:color="auto"/>
                <w:bottom w:val="none" w:sz="0" w:space="0" w:color="auto"/>
                <w:right w:val="none" w:sz="0" w:space="0" w:color="auto"/>
              </w:divBdr>
            </w:div>
            <w:div w:id="1769235500">
              <w:marLeft w:val="0"/>
              <w:marRight w:val="0"/>
              <w:marTop w:val="0"/>
              <w:marBottom w:val="0"/>
              <w:divBdr>
                <w:top w:val="none" w:sz="0" w:space="0" w:color="auto"/>
                <w:left w:val="none" w:sz="0" w:space="0" w:color="auto"/>
                <w:bottom w:val="none" w:sz="0" w:space="0" w:color="auto"/>
                <w:right w:val="none" w:sz="0" w:space="0" w:color="auto"/>
              </w:divBdr>
            </w:div>
            <w:div w:id="67384685">
              <w:marLeft w:val="0"/>
              <w:marRight w:val="0"/>
              <w:marTop w:val="0"/>
              <w:marBottom w:val="0"/>
              <w:divBdr>
                <w:top w:val="none" w:sz="0" w:space="0" w:color="auto"/>
                <w:left w:val="none" w:sz="0" w:space="0" w:color="auto"/>
                <w:bottom w:val="none" w:sz="0" w:space="0" w:color="auto"/>
                <w:right w:val="none" w:sz="0" w:space="0" w:color="auto"/>
              </w:divBdr>
            </w:div>
            <w:div w:id="656569888">
              <w:marLeft w:val="0"/>
              <w:marRight w:val="0"/>
              <w:marTop w:val="0"/>
              <w:marBottom w:val="0"/>
              <w:divBdr>
                <w:top w:val="none" w:sz="0" w:space="0" w:color="auto"/>
                <w:left w:val="none" w:sz="0" w:space="0" w:color="auto"/>
                <w:bottom w:val="none" w:sz="0" w:space="0" w:color="auto"/>
                <w:right w:val="none" w:sz="0" w:space="0" w:color="auto"/>
              </w:divBdr>
            </w:div>
            <w:div w:id="1264728145">
              <w:marLeft w:val="0"/>
              <w:marRight w:val="0"/>
              <w:marTop w:val="0"/>
              <w:marBottom w:val="0"/>
              <w:divBdr>
                <w:top w:val="none" w:sz="0" w:space="0" w:color="auto"/>
                <w:left w:val="none" w:sz="0" w:space="0" w:color="auto"/>
                <w:bottom w:val="none" w:sz="0" w:space="0" w:color="auto"/>
                <w:right w:val="none" w:sz="0" w:space="0" w:color="auto"/>
              </w:divBdr>
            </w:div>
            <w:div w:id="364060345">
              <w:marLeft w:val="0"/>
              <w:marRight w:val="0"/>
              <w:marTop w:val="0"/>
              <w:marBottom w:val="0"/>
              <w:divBdr>
                <w:top w:val="none" w:sz="0" w:space="0" w:color="auto"/>
                <w:left w:val="none" w:sz="0" w:space="0" w:color="auto"/>
                <w:bottom w:val="none" w:sz="0" w:space="0" w:color="auto"/>
                <w:right w:val="none" w:sz="0" w:space="0" w:color="auto"/>
              </w:divBdr>
            </w:div>
            <w:div w:id="660162219">
              <w:marLeft w:val="0"/>
              <w:marRight w:val="0"/>
              <w:marTop w:val="0"/>
              <w:marBottom w:val="0"/>
              <w:divBdr>
                <w:top w:val="none" w:sz="0" w:space="0" w:color="auto"/>
                <w:left w:val="none" w:sz="0" w:space="0" w:color="auto"/>
                <w:bottom w:val="none" w:sz="0" w:space="0" w:color="auto"/>
                <w:right w:val="none" w:sz="0" w:space="0" w:color="auto"/>
              </w:divBdr>
            </w:div>
            <w:div w:id="773592595">
              <w:marLeft w:val="0"/>
              <w:marRight w:val="0"/>
              <w:marTop w:val="0"/>
              <w:marBottom w:val="0"/>
              <w:divBdr>
                <w:top w:val="none" w:sz="0" w:space="0" w:color="auto"/>
                <w:left w:val="none" w:sz="0" w:space="0" w:color="auto"/>
                <w:bottom w:val="none" w:sz="0" w:space="0" w:color="auto"/>
                <w:right w:val="none" w:sz="0" w:space="0" w:color="auto"/>
              </w:divBdr>
            </w:div>
            <w:div w:id="1739087888">
              <w:marLeft w:val="0"/>
              <w:marRight w:val="0"/>
              <w:marTop w:val="0"/>
              <w:marBottom w:val="0"/>
              <w:divBdr>
                <w:top w:val="none" w:sz="0" w:space="0" w:color="auto"/>
                <w:left w:val="none" w:sz="0" w:space="0" w:color="auto"/>
                <w:bottom w:val="none" w:sz="0" w:space="0" w:color="auto"/>
                <w:right w:val="none" w:sz="0" w:space="0" w:color="auto"/>
              </w:divBdr>
            </w:div>
            <w:div w:id="20676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750054">
      <w:bodyDiv w:val="1"/>
      <w:marLeft w:val="0"/>
      <w:marRight w:val="0"/>
      <w:marTop w:val="0"/>
      <w:marBottom w:val="0"/>
      <w:divBdr>
        <w:top w:val="none" w:sz="0" w:space="0" w:color="auto"/>
        <w:left w:val="none" w:sz="0" w:space="0" w:color="auto"/>
        <w:bottom w:val="none" w:sz="0" w:space="0" w:color="auto"/>
        <w:right w:val="none" w:sz="0" w:space="0" w:color="auto"/>
      </w:divBdr>
      <w:divsChild>
        <w:div w:id="338238179">
          <w:marLeft w:val="0"/>
          <w:marRight w:val="0"/>
          <w:marTop w:val="0"/>
          <w:marBottom w:val="0"/>
          <w:divBdr>
            <w:top w:val="none" w:sz="0" w:space="0" w:color="auto"/>
            <w:left w:val="none" w:sz="0" w:space="0" w:color="auto"/>
            <w:bottom w:val="none" w:sz="0" w:space="0" w:color="auto"/>
            <w:right w:val="none" w:sz="0" w:space="0" w:color="auto"/>
          </w:divBdr>
          <w:divsChild>
            <w:div w:id="1899778915">
              <w:marLeft w:val="0"/>
              <w:marRight w:val="0"/>
              <w:marTop w:val="0"/>
              <w:marBottom w:val="0"/>
              <w:divBdr>
                <w:top w:val="none" w:sz="0" w:space="0" w:color="auto"/>
                <w:left w:val="none" w:sz="0" w:space="0" w:color="auto"/>
                <w:bottom w:val="none" w:sz="0" w:space="0" w:color="auto"/>
                <w:right w:val="none" w:sz="0" w:space="0" w:color="auto"/>
              </w:divBdr>
              <w:divsChild>
                <w:div w:id="28770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36889">
      <w:bodyDiv w:val="1"/>
      <w:marLeft w:val="0"/>
      <w:marRight w:val="0"/>
      <w:marTop w:val="0"/>
      <w:marBottom w:val="0"/>
      <w:divBdr>
        <w:top w:val="none" w:sz="0" w:space="0" w:color="auto"/>
        <w:left w:val="none" w:sz="0" w:space="0" w:color="auto"/>
        <w:bottom w:val="none" w:sz="0" w:space="0" w:color="auto"/>
        <w:right w:val="none" w:sz="0" w:space="0" w:color="auto"/>
      </w:divBdr>
      <w:divsChild>
        <w:div w:id="969824520">
          <w:marLeft w:val="0"/>
          <w:marRight w:val="0"/>
          <w:marTop w:val="0"/>
          <w:marBottom w:val="0"/>
          <w:divBdr>
            <w:top w:val="none" w:sz="0" w:space="0" w:color="auto"/>
            <w:left w:val="none" w:sz="0" w:space="0" w:color="auto"/>
            <w:bottom w:val="none" w:sz="0" w:space="0" w:color="auto"/>
            <w:right w:val="none" w:sz="0" w:space="0" w:color="auto"/>
          </w:divBdr>
          <w:divsChild>
            <w:div w:id="1143160107">
              <w:marLeft w:val="0"/>
              <w:marRight w:val="0"/>
              <w:marTop w:val="0"/>
              <w:marBottom w:val="0"/>
              <w:divBdr>
                <w:top w:val="none" w:sz="0" w:space="0" w:color="auto"/>
                <w:left w:val="none" w:sz="0" w:space="0" w:color="auto"/>
                <w:bottom w:val="none" w:sz="0" w:space="0" w:color="auto"/>
                <w:right w:val="none" w:sz="0" w:space="0" w:color="auto"/>
              </w:divBdr>
              <w:divsChild>
                <w:div w:id="1932659848">
                  <w:marLeft w:val="0"/>
                  <w:marRight w:val="0"/>
                  <w:marTop w:val="0"/>
                  <w:marBottom w:val="0"/>
                  <w:divBdr>
                    <w:top w:val="none" w:sz="0" w:space="0" w:color="auto"/>
                    <w:left w:val="none" w:sz="0" w:space="0" w:color="auto"/>
                    <w:bottom w:val="none" w:sz="0" w:space="0" w:color="auto"/>
                    <w:right w:val="none" w:sz="0" w:space="0" w:color="auto"/>
                  </w:divBdr>
                  <w:divsChild>
                    <w:div w:id="114943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671597">
      <w:bodyDiv w:val="1"/>
      <w:marLeft w:val="0"/>
      <w:marRight w:val="0"/>
      <w:marTop w:val="0"/>
      <w:marBottom w:val="0"/>
      <w:divBdr>
        <w:top w:val="none" w:sz="0" w:space="0" w:color="auto"/>
        <w:left w:val="none" w:sz="0" w:space="0" w:color="auto"/>
        <w:bottom w:val="none" w:sz="0" w:space="0" w:color="auto"/>
        <w:right w:val="none" w:sz="0" w:space="0" w:color="auto"/>
      </w:divBdr>
      <w:divsChild>
        <w:div w:id="634524698">
          <w:marLeft w:val="480"/>
          <w:marRight w:val="0"/>
          <w:marTop w:val="0"/>
          <w:marBottom w:val="0"/>
          <w:divBdr>
            <w:top w:val="none" w:sz="0" w:space="0" w:color="auto"/>
            <w:left w:val="none" w:sz="0" w:space="0" w:color="auto"/>
            <w:bottom w:val="none" w:sz="0" w:space="0" w:color="auto"/>
            <w:right w:val="none" w:sz="0" w:space="0" w:color="auto"/>
          </w:divBdr>
          <w:divsChild>
            <w:div w:id="532419764">
              <w:marLeft w:val="0"/>
              <w:marRight w:val="0"/>
              <w:marTop w:val="0"/>
              <w:marBottom w:val="0"/>
              <w:divBdr>
                <w:top w:val="none" w:sz="0" w:space="0" w:color="auto"/>
                <w:left w:val="none" w:sz="0" w:space="0" w:color="auto"/>
                <w:bottom w:val="none" w:sz="0" w:space="0" w:color="auto"/>
                <w:right w:val="none" w:sz="0" w:space="0" w:color="auto"/>
              </w:divBdr>
            </w:div>
            <w:div w:id="1124890235">
              <w:marLeft w:val="0"/>
              <w:marRight w:val="0"/>
              <w:marTop w:val="0"/>
              <w:marBottom w:val="0"/>
              <w:divBdr>
                <w:top w:val="none" w:sz="0" w:space="0" w:color="auto"/>
                <w:left w:val="none" w:sz="0" w:space="0" w:color="auto"/>
                <w:bottom w:val="none" w:sz="0" w:space="0" w:color="auto"/>
                <w:right w:val="none" w:sz="0" w:space="0" w:color="auto"/>
              </w:divBdr>
            </w:div>
            <w:div w:id="2056655076">
              <w:marLeft w:val="0"/>
              <w:marRight w:val="0"/>
              <w:marTop w:val="0"/>
              <w:marBottom w:val="0"/>
              <w:divBdr>
                <w:top w:val="none" w:sz="0" w:space="0" w:color="auto"/>
                <w:left w:val="none" w:sz="0" w:space="0" w:color="auto"/>
                <w:bottom w:val="none" w:sz="0" w:space="0" w:color="auto"/>
                <w:right w:val="none" w:sz="0" w:space="0" w:color="auto"/>
              </w:divBdr>
            </w:div>
            <w:div w:id="350423494">
              <w:marLeft w:val="0"/>
              <w:marRight w:val="0"/>
              <w:marTop w:val="0"/>
              <w:marBottom w:val="0"/>
              <w:divBdr>
                <w:top w:val="none" w:sz="0" w:space="0" w:color="auto"/>
                <w:left w:val="none" w:sz="0" w:space="0" w:color="auto"/>
                <w:bottom w:val="none" w:sz="0" w:space="0" w:color="auto"/>
                <w:right w:val="none" w:sz="0" w:space="0" w:color="auto"/>
              </w:divBdr>
            </w:div>
            <w:div w:id="68698729">
              <w:marLeft w:val="0"/>
              <w:marRight w:val="0"/>
              <w:marTop w:val="0"/>
              <w:marBottom w:val="0"/>
              <w:divBdr>
                <w:top w:val="none" w:sz="0" w:space="0" w:color="auto"/>
                <w:left w:val="none" w:sz="0" w:space="0" w:color="auto"/>
                <w:bottom w:val="none" w:sz="0" w:space="0" w:color="auto"/>
                <w:right w:val="none" w:sz="0" w:space="0" w:color="auto"/>
              </w:divBdr>
            </w:div>
            <w:div w:id="1650983299">
              <w:marLeft w:val="0"/>
              <w:marRight w:val="0"/>
              <w:marTop w:val="0"/>
              <w:marBottom w:val="0"/>
              <w:divBdr>
                <w:top w:val="none" w:sz="0" w:space="0" w:color="auto"/>
                <w:left w:val="none" w:sz="0" w:space="0" w:color="auto"/>
                <w:bottom w:val="none" w:sz="0" w:space="0" w:color="auto"/>
                <w:right w:val="none" w:sz="0" w:space="0" w:color="auto"/>
              </w:divBdr>
            </w:div>
            <w:div w:id="55250044">
              <w:marLeft w:val="0"/>
              <w:marRight w:val="0"/>
              <w:marTop w:val="0"/>
              <w:marBottom w:val="0"/>
              <w:divBdr>
                <w:top w:val="none" w:sz="0" w:space="0" w:color="auto"/>
                <w:left w:val="none" w:sz="0" w:space="0" w:color="auto"/>
                <w:bottom w:val="none" w:sz="0" w:space="0" w:color="auto"/>
                <w:right w:val="none" w:sz="0" w:space="0" w:color="auto"/>
              </w:divBdr>
            </w:div>
            <w:div w:id="2008629658">
              <w:marLeft w:val="0"/>
              <w:marRight w:val="0"/>
              <w:marTop w:val="0"/>
              <w:marBottom w:val="0"/>
              <w:divBdr>
                <w:top w:val="none" w:sz="0" w:space="0" w:color="auto"/>
                <w:left w:val="none" w:sz="0" w:space="0" w:color="auto"/>
                <w:bottom w:val="none" w:sz="0" w:space="0" w:color="auto"/>
                <w:right w:val="none" w:sz="0" w:space="0" w:color="auto"/>
              </w:divBdr>
            </w:div>
            <w:div w:id="1186213476">
              <w:marLeft w:val="0"/>
              <w:marRight w:val="0"/>
              <w:marTop w:val="0"/>
              <w:marBottom w:val="0"/>
              <w:divBdr>
                <w:top w:val="none" w:sz="0" w:space="0" w:color="auto"/>
                <w:left w:val="none" w:sz="0" w:space="0" w:color="auto"/>
                <w:bottom w:val="none" w:sz="0" w:space="0" w:color="auto"/>
                <w:right w:val="none" w:sz="0" w:space="0" w:color="auto"/>
              </w:divBdr>
            </w:div>
            <w:div w:id="1368414911">
              <w:marLeft w:val="0"/>
              <w:marRight w:val="0"/>
              <w:marTop w:val="0"/>
              <w:marBottom w:val="0"/>
              <w:divBdr>
                <w:top w:val="none" w:sz="0" w:space="0" w:color="auto"/>
                <w:left w:val="none" w:sz="0" w:space="0" w:color="auto"/>
                <w:bottom w:val="none" w:sz="0" w:space="0" w:color="auto"/>
                <w:right w:val="none" w:sz="0" w:space="0" w:color="auto"/>
              </w:divBdr>
            </w:div>
            <w:div w:id="1668166730">
              <w:marLeft w:val="0"/>
              <w:marRight w:val="0"/>
              <w:marTop w:val="0"/>
              <w:marBottom w:val="0"/>
              <w:divBdr>
                <w:top w:val="none" w:sz="0" w:space="0" w:color="auto"/>
                <w:left w:val="none" w:sz="0" w:space="0" w:color="auto"/>
                <w:bottom w:val="none" w:sz="0" w:space="0" w:color="auto"/>
                <w:right w:val="none" w:sz="0" w:space="0" w:color="auto"/>
              </w:divBdr>
            </w:div>
            <w:div w:id="55196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480112">
      <w:bodyDiv w:val="1"/>
      <w:marLeft w:val="0"/>
      <w:marRight w:val="0"/>
      <w:marTop w:val="0"/>
      <w:marBottom w:val="0"/>
      <w:divBdr>
        <w:top w:val="none" w:sz="0" w:space="0" w:color="auto"/>
        <w:left w:val="none" w:sz="0" w:space="0" w:color="auto"/>
        <w:bottom w:val="none" w:sz="0" w:space="0" w:color="auto"/>
        <w:right w:val="none" w:sz="0" w:space="0" w:color="auto"/>
      </w:divBdr>
      <w:divsChild>
        <w:div w:id="588388645">
          <w:marLeft w:val="480"/>
          <w:marRight w:val="0"/>
          <w:marTop w:val="0"/>
          <w:marBottom w:val="0"/>
          <w:divBdr>
            <w:top w:val="none" w:sz="0" w:space="0" w:color="auto"/>
            <w:left w:val="none" w:sz="0" w:space="0" w:color="auto"/>
            <w:bottom w:val="none" w:sz="0" w:space="0" w:color="auto"/>
            <w:right w:val="none" w:sz="0" w:space="0" w:color="auto"/>
          </w:divBdr>
          <w:divsChild>
            <w:div w:id="37454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537189">
      <w:bodyDiv w:val="1"/>
      <w:marLeft w:val="0"/>
      <w:marRight w:val="0"/>
      <w:marTop w:val="0"/>
      <w:marBottom w:val="0"/>
      <w:divBdr>
        <w:top w:val="none" w:sz="0" w:space="0" w:color="auto"/>
        <w:left w:val="none" w:sz="0" w:space="0" w:color="auto"/>
        <w:bottom w:val="none" w:sz="0" w:space="0" w:color="auto"/>
        <w:right w:val="none" w:sz="0" w:space="0" w:color="auto"/>
      </w:divBdr>
      <w:divsChild>
        <w:div w:id="1754356504">
          <w:marLeft w:val="0"/>
          <w:marRight w:val="0"/>
          <w:marTop w:val="0"/>
          <w:marBottom w:val="0"/>
          <w:divBdr>
            <w:top w:val="none" w:sz="0" w:space="0" w:color="auto"/>
            <w:left w:val="none" w:sz="0" w:space="0" w:color="auto"/>
            <w:bottom w:val="none" w:sz="0" w:space="0" w:color="auto"/>
            <w:right w:val="none" w:sz="0" w:space="0" w:color="auto"/>
          </w:divBdr>
          <w:divsChild>
            <w:div w:id="1042553680">
              <w:marLeft w:val="0"/>
              <w:marRight w:val="0"/>
              <w:marTop w:val="0"/>
              <w:marBottom w:val="0"/>
              <w:divBdr>
                <w:top w:val="none" w:sz="0" w:space="0" w:color="auto"/>
                <w:left w:val="none" w:sz="0" w:space="0" w:color="auto"/>
                <w:bottom w:val="none" w:sz="0" w:space="0" w:color="auto"/>
                <w:right w:val="none" w:sz="0" w:space="0" w:color="auto"/>
              </w:divBdr>
              <w:divsChild>
                <w:div w:id="1946307547">
                  <w:marLeft w:val="0"/>
                  <w:marRight w:val="0"/>
                  <w:marTop w:val="0"/>
                  <w:marBottom w:val="0"/>
                  <w:divBdr>
                    <w:top w:val="none" w:sz="0" w:space="0" w:color="auto"/>
                    <w:left w:val="none" w:sz="0" w:space="0" w:color="auto"/>
                    <w:bottom w:val="none" w:sz="0" w:space="0" w:color="auto"/>
                    <w:right w:val="none" w:sz="0" w:space="0" w:color="auto"/>
                  </w:divBdr>
                  <w:divsChild>
                    <w:div w:id="76002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318669">
      <w:bodyDiv w:val="1"/>
      <w:marLeft w:val="0"/>
      <w:marRight w:val="0"/>
      <w:marTop w:val="0"/>
      <w:marBottom w:val="0"/>
      <w:divBdr>
        <w:top w:val="none" w:sz="0" w:space="0" w:color="auto"/>
        <w:left w:val="none" w:sz="0" w:space="0" w:color="auto"/>
        <w:bottom w:val="none" w:sz="0" w:space="0" w:color="auto"/>
        <w:right w:val="none" w:sz="0" w:space="0" w:color="auto"/>
      </w:divBdr>
      <w:divsChild>
        <w:div w:id="1317346031">
          <w:marLeft w:val="480"/>
          <w:marRight w:val="0"/>
          <w:marTop w:val="0"/>
          <w:marBottom w:val="0"/>
          <w:divBdr>
            <w:top w:val="none" w:sz="0" w:space="0" w:color="auto"/>
            <w:left w:val="none" w:sz="0" w:space="0" w:color="auto"/>
            <w:bottom w:val="none" w:sz="0" w:space="0" w:color="auto"/>
            <w:right w:val="none" w:sz="0" w:space="0" w:color="auto"/>
          </w:divBdr>
          <w:divsChild>
            <w:div w:id="170875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711733">
      <w:bodyDiv w:val="1"/>
      <w:marLeft w:val="0"/>
      <w:marRight w:val="0"/>
      <w:marTop w:val="0"/>
      <w:marBottom w:val="0"/>
      <w:divBdr>
        <w:top w:val="none" w:sz="0" w:space="0" w:color="auto"/>
        <w:left w:val="none" w:sz="0" w:space="0" w:color="auto"/>
        <w:bottom w:val="none" w:sz="0" w:space="0" w:color="auto"/>
        <w:right w:val="none" w:sz="0" w:space="0" w:color="auto"/>
      </w:divBdr>
      <w:divsChild>
        <w:div w:id="251471166">
          <w:marLeft w:val="480"/>
          <w:marRight w:val="0"/>
          <w:marTop w:val="0"/>
          <w:marBottom w:val="0"/>
          <w:divBdr>
            <w:top w:val="none" w:sz="0" w:space="0" w:color="auto"/>
            <w:left w:val="none" w:sz="0" w:space="0" w:color="auto"/>
            <w:bottom w:val="none" w:sz="0" w:space="0" w:color="auto"/>
            <w:right w:val="none" w:sz="0" w:space="0" w:color="auto"/>
          </w:divBdr>
          <w:divsChild>
            <w:div w:id="497623262">
              <w:marLeft w:val="0"/>
              <w:marRight w:val="0"/>
              <w:marTop w:val="0"/>
              <w:marBottom w:val="0"/>
              <w:divBdr>
                <w:top w:val="none" w:sz="0" w:space="0" w:color="auto"/>
                <w:left w:val="none" w:sz="0" w:space="0" w:color="auto"/>
                <w:bottom w:val="none" w:sz="0" w:space="0" w:color="auto"/>
                <w:right w:val="none" w:sz="0" w:space="0" w:color="auto"/>
              </w:divBdr>
            </w:div>
            <w:div w:id="2112700733">
              <w:marLeft w:val="0"/>
              <w:marRight w:val="0"/>
              <w:marTop w:val="0"/>
              <w:marBottom w:val="0"/>
              <w:divBdr>
                <w:top w:val="none" w:sz="0" w:space="0" w:color="auto"/>
                <w:left w:val="none" w:sz="0" w:space="0" w:color="auto"/>
                <w:bottom w:val="none" w:sz="0" w:space="0" w:color="auto"/>
                <w:right w:val="none" w:sz="0" w:space="0" w:color="auto"/>
              </w:divBdr>
            </w:div>
            <w:div w:id="1238902161">
              <w:marLeft w:val="0"/>
              <w:marRight w:val="0"/>
              <w:marTop w:val="0"/>
              <w:marBottom w:val="0"/>
              <w:divBdr>
                <w:top w:val="none" w:sz="0" w:space="0" w:color="auto"/>
                <w:left w:val="none" w:sz="0" w:space="0" w:color="auto"/>
                <w:bottom w:val="none" w:sz="0" w:space="0" w:color="auto"/>
                <w:right w:val="none" w:sz="0" w:space="0" w:color="auto"/>
              </w:divBdr>
            </w:div>
            <w:div w:id="1177648177">
              <w:marLeft w:val="0"/>
              <w:marRight w:val="0"/>
              <w:marTop w:val="0"/>
              <w:marBottom w:val="0"/>
              <w:divBdr>
                <w:top w:val="none" w:sz="0" w:space="0" w:color="auto"/>
                <w:left w:val="none" w:sz="0" w:space="0" w:color="auto"/>
                <w:bottom w:val="none" w:sz="0" w:space="0" w:color="auto"/>
                <w:right w:val="none" w:sz="0" w:space="0" w:color="auto"/>
              </w:divBdr>
            </w:div>
            <w:div w:id="41364866">
              <w:marLeft w:val="0"/>
              <w:marRight w:val="0"/>
              <w:marTop w:val="0"/>
              <w:marBottom w:val="0"/>
              <w:divBdr>
                <w:top w:val="none" w:sz="0" w:space="0" w:color="auto"/>
                <w:left w:val="none" w:sz="0" w:space="0" w:color="auto"/>
                <w:bottom w:val="none" w:sz="0" w:space="0" w:color="auto"/>
                <w:right w:val="none" w:sz="0" w:space="0" w:color="auto"/>
              </w:divBdr>
            </w:div>
            <w:div w:id="1816875190">
              <w:marLeft w:val="0"/>
              <w:marRight w:val="0"/>
              <w:marTop w:val="0"/>
              <w:marBottom w:val="0"/>
              <w:divBdr>
                <w:top w:val="none" w:sz="0" w:space="0" w:color="auto"/>
                <w:left w:val="none" w:sz="0" w:space="0" w:color="auto"/>
                <w:bottom w:val="none" w:sz="0" w:space="0" w:color="auto"/>
                <w:right w:val="none" w:sz="0" w:space="0" w:color="auto"/>
              </w:divBdr>
            </w:div>
            <w:div w:id="1750618618">
              <w:marLeft w:val="0"/>
              <w:marRight w:val="0"/>
              <w:marTop w:val="0"/>
              <w:marBottom w:val="0"/>
              <w:divBdr>
                <w:top w:val="none" w:sz="0" w:space="0" w:color="auto"/>
                <w:left w:val="none" w:sz="0" w:space="0" w:color="auto"/>
                <w:bottom w:val="none" w:sz="0" w:space="0" w:color="auto"/>
                <w:right w:val="none" w:sz="0" w:space="0" w:color="auto"/>
              </w:divBdr>
            </w:div>
            <w:div w:id="2002198849">
              <w:marLeft w:val="0"/>
              <w:marRight w:val="0"/>
              <w:marTop w:val="0"/>
              <w:marBottom w:val="0"/>
              <w:divBdr>
                <w:top w:val="none" w:sz="0" w:space="0" w:color="auto"/>
                <w:left w:val="none" w:sz="0" w:space="0" w:color="auto"/>
                <w:bottom w:val="none" w:sz="0" w:space="0" w:color="auto"/>
                <w:right w:val="none" w:sz="0" w:space="0" w:color="auto"/>
              </w:divBdr>
            </w:div>
            <w:div w:id="1521162307">
              <w:marLeft w:val="0"/>
              <w:marRight w:val="0"/>
              <w:marTop w:val="0"/>
              <w:marBottom w:val="0"/>
              <w:divBdr>
                <w:top w:val="none" w:sz="0" w:space="0" w:color="auto"/>
                <w:left w:val="none" w:sz="0" w:space="0" w:color="auto"/>
                <w:bottom w:val="none" w:sz="0" w:space="0" w:color="auto"/>
                <w:right w:val="none" w:sz="0" w:space="0" w:color="auto"/>
              </w:divBdr>
            </w:div>
            <w:div w:id="1678919500">
              <w:marLeft w:val="0"/>
              <w:marRight w:val="0"/>
              <w:marTop w:val="0"/>
              <w:marBottom w:val="0"/>
              <w:divBdr>
                <w:top w:val="none" w:sz="0" w:space="0" w:color="auto"/>
                <w:left w:val="none" w:sz="0" w:space="0" w:color="auto"/>
                <w:bottom w:val="none" w:sz="0" w:space="0" w:color="auto"/>
                <w:right w:val="none" w:sz="0" w:space="0" w:color="auto"/>
              </w:divBdr>
            </w:div>
            <w:div w:id="105199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25350">
      <w:bodyDiv w:val="1"/>
      <w:marLeft w:val="0"/>
      <w:marRight w:val="0"/>
      <w:marTop w:val="0"/>
      <w:marBottom w:val="0"/>
      <w:divBdr>
        <w:top w:val="none" w:sz="0" w:space="0" w:color="auto"/>
        <w:left w:val="none" w:sz="0" w:space="0" w:color="auto"/>
        <w:bottom w:val="none" w:sz="0" w:space="0" w:color="auto"/>
        <w:right w:val="none" w:sz="0" w:space="0" w:color="auto"/>
      </w:divBdr>
      <w:divsChild>
        <w:div w:id="1677801082">
          <w:marLeft w:val="0"/>
          <w:marRight w:val="0"/>
          <w:marTop w:val="0"/>
          <w:marBottom w:val="0"/>
          <w:divBdr>
            <w:top w:val="none" w:sz="0" w:space="0" w:color="auto"/>
            <w:left w:val="none" w:sz="0" w:space="0" w:color="auto"/>
            <w:bottom w:val="none" w:sz="0" w:space="0" w:color="auto"/>
            <w:right w:val="none" w:sz="0" w:space="0" w:color="auto"/>
          </w:divBdr>
          <w:divsChild>
            <w:div w:id="1481772993">
              <w:marLeft w:val="0"/>
              <w:marRight w:val="0"/>
              <w:marTop w:val="0"/>
              <w:marBottom w:val="0"/>
              <w:divBdr>
                <w:top w:val="none" w:sz="0" w:space="0" w:color="auto"/>
                <w:left w:val="none" w:sz="0" w:space="0" w:color="auto"/>
                <w:bottom w:val="none" w:sz="0" w:space="0" w:color="auto"/>
                <w:right w:val="none" w:sz="0" w:space="0" w:color="auto"/>
              </w:divBdr>
              <w:divsChild>
                <w:div w:id="652761750">
                  <w:marLeft w:val="0"/>
                  <w:marRight w:val="0"/>
                  <w:marTop w:val="0"/>
                  <w:marBottom w:val="0"/>
                  <w:divBdr>
                    <w:top w:val="none" w:sz="0" w:space="0" w:color="auto"/>
                    <w:left w:val="none" w:sz="0" w:space="0" w:color="auto"/>
                    <w:bottom w:val="none" w:sz="0" w:space="0" w:color="auto"/>
                    <w:right w:val="none" w:sz="0" w:space="0" w:color="auto"/>
                  </w:divBdr>
                  <w:divsChild>
                    <w:div w:id="153573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studytools.com/lxx/genesis/22.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qbible.com/hebrew-old-testament/genesis/22.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53/chl.2017.0007" TargetMode="External"/><Relationship Id="rId5" Type="http://schemas.openxmlformats.org/officeDocument/2006/relationships/footnotes" Target="footnotes.xml"/><Relationship Id="rId10" Type="http://schemas.openxmlformats.org/officeDocument/2006/relationships/hyperlink" Target="https://www.bibleodyssey.org/en/passages/related-articles/genesis-22-in-the-context-of-the-abraham-cycle" TargetMode="External"/><Relationship Id="rId4" Type="http://schemas.openxmlformats.org/officeDocument/2006/relationships/webSettings" Target="webSettings.xml"/><Relationship Id="rId9" Type="http://schemas.openxmlformats.org/officeDocument/2006/relationships/hyperlink" Target="https://www.blueletterbible.org/kjv/gen/1/1/s_1001"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iblestudytools.com/lxx/genesis/2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6</Pages>
  <Words>1651</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3</cp:revision>
  <dcterms:created xsi:type="dcterms:W3CDTF">2021-07-23T14:48:00Z</dcterms:created>
  <dcterms:modified xsi:type="dcterms:W3CDTF">2021-07-23T15:08:00Z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zotero-version="5.0.97-beta.34+07f6958b9"&gt;&lt;session id="7i4wPxKc"/&gt;&lt;style id="http://www.zotero.org/styles/chicago-fullnote-bibliography" locale="en-GB" hasBibliography="1" bibliographyStyleHasBeenSet="0"/&gt;&lt;prefs&gt;&lt;pref name="fieldTyp</vt:lpwstr>
  </property>
  <property fmtid="{D5CDD505-2E9C-101B-9397-08002B2CF9AE}" pid="3" name="ZOTERO_PREF_2">
    <vt:lpwstr>e" value="Field"/&gt;&lt;pref name="automaticJournalAbbreviations" value="true"/&gt;&lt;pref name="noteType" value="1"/&gt;&lt;/prefs&gt;&lt;/data&gt;</vt:lpwstr>
  </property>
</Properties>
</file>