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B30A2" w14:textId="29AE9D92" w:rsidR="0008325A" w:rsidRDefault="003A6805" w:rsidP="002D6E78">
      <w:pPr>
        <w:rPr>
          <w:sz w:val="24"/>
          <w:szCs w:val="24"/>
        </w:rPr>
      </w:pPr>
      <w:r w:rsidRPr="003A6805">
        <w:rPr>
          <w:sz w:val="24"/>
          <w:szCs w:val="24"/>
        </w:rPr>
        <w:t xml:space="preserve">Standard of care is considered within breach of duty.  Determining breach of duty involves applying a </w:t>
      </w:r>
      <w:r w:rsidR="0065211C" w:rsidRPr="003A6805">
        <w:rPr>
          <w:sz w:val="24"/>
          <w:szCs w:val="24"/>
        </w:rPr>
        <w:t>two-stage</w:t>
      </w:r>
      <w:r w:rsidRPr="003A6805">
        <w:rPr>
          <w:sz w:val="24"/>
          <w:szCs w:val="24"/>
        </w:rPr>
        <w:t xml:space="preserve"> approach.</w:t>
      </w:r>
      <w:r>
        <w:rPr>
          <w:sz w:val="24"/>
          <w:szCs w:val="24"/>
        </w:rPr>
        <w:t xml:space="preserve"> </w:t>
      </w:r>
      <w:r w:rsidRPr="003A6805">
        <w:rPr>
          <w:sz w:val="24"/>
          <w:szCs w:val="24"/>
        </w:rPr>
        <w:t xml:space="preserve">First of all, the court must decide how much care a reasonable person should have taken in the circumstances </w:t>
      </w:r>
      <w:r w:rsidR="00AB7849">
        <w:rPr>
          <w:sz w:val="24"/>
          <w:szCs w:val="24"/>
        </w:rPr>
        <w:t>and</w:t>
      </w:r>
      <w:r w:rsidRPr="003A6805">
        <w:rPr>
          <w:sz w:val="24"/>
          <w:szCs w:val="24"/>
        </w:rPr>
        <w:t xml:space="preserve"> </w:t>
      </w:r>
      <w:r w:rsidR="00AB7849">
        <w:rPr>
          <w:sz w:val="24"/>
          <w:szCs w:val="24"/>
        </w:rPr>
        <w:t>s</w:t>
      </w:r>
      <w:r w:rsidRPr="003A6805">
        <w:rPr>
          <w:sz w:val="24"/>
          <w:szCs w:val="24"/>
        </w:rPr>
        <w:t xml:space="preserve">econdly, the court must decide whether the defendant's conduct fell below this standard.  The standard of care is </w:t>
      </w:r>
      <w:r w:rsidR="0009167D">
        <w:rPr>
          <w:sz w:val="24"/>
          <w:szCs w:val="24"/>
        </w:rPr>
        <w:t xml:space="preserve">an </w:t>
      </w:r>
      <w:r w:rsidRPr="003A6805">
        <w:rPr>
          <w:sz w:val="24"/>
          <w:szCs w:val="24"/>
        </w:rPr>
        <w:t xml:space="preserve">objective </w:t>
      </w:r>
      <w:r w:rsidR="0009167D">
        <w:rPr>
          <w:sz w:val="24"/>
          <w:szCs w:val="24"/>
        </w:rPr>
        <w:t xml:space="preserve">test </w:t>
      </w:r>
      <w:r w:rsidRPr="003A6805">
        <w:rPr>
          <w:sz w:val="24"/>
          <w:szCs w:val="24"/>
        </w:rPr>
        <w:t>because it does not take into account certain personal characteristics of the defendant</w:t>
      </w:r>
      <w:r>
        <w:rPr>
          <w:sz w:val="24"/>
          <w:szCs w:val="24"/>
        </w:rPr>
        <w:t xml:space="preserve"> </w:t>
      </w:r>
      <w:r w:rsidR="00D26C48" w:rsidRPr="0098509C">
        <w:rPr>
          <w:sz w:val="24"/>
          <w:szCs w:val="24"/>
        </w:rPr>
        <w:t xml:space="preserve">according to the court case </w:t>
      </w:r>
      <w:r w:rsidR="0008325A" w:rsidRPr="0098509C">
        <w:rPr>
          <w:sz w:val="24"/>
          <w:szCs w:val="24"/>
        </w:rPr>
        <w:t>‘</w:t>
      </w:r>
      <w:r w:rsidR="00D26C48" w:rsidRPr="0098509C">
        <w:rPr>
          <w:i/>
          <w:iCs/>
          <w:sz w:val="24"/>
          <w:szCs w:val="24"/>
        </w:rPr>
        <w:t>Vaughan v Menlove</w:t>
      </w:r>
      <w:r w:rsidR="0008325A" w:rsidRPr="0098509C">
        <w:rPr>
          <w:sz w:val="24"/>
          <w:szCs w:val="24"/>
        </w:rPr>
        <w:t xml:space="preserve">’ </w:t>
      </w:r>
      <w:r w:rsidR="00D26C48" w:rsidRPr="0098509C">
        <w:rPr>
          <w:sz w:val="24"/>
          <w:szCs w:val="24"/>
        </w:rPr>
        <w:t>(1837)</w:t>
      </w:r>
      <w:r w:rsidR="00A263EC" w:rsidRPr="0098509C">
        <w:rPr>
          <w:sz w:val="24"/>
          <w:szCs w:val="24"/>
        </w:rPr>
        <w:t>.</w:t>
      </w:r>
      <w:r w:rsidR="0008325A" w:rsidRPr="0098509C">
        <w:rPr>
          <w:sz w:val="24"/>
          <w:szCs w:val="24"/>
        </w:rPr>
        <w:t xml:space="preserve"> How it is </w:t>
      </w:r>
      <w:r w:rsidR="00EA4E49" w:rsidRPr="0098509C">
        <w:rPr>
          <w:sz w:val="24"/>
          <w:szCs w:val="24"/>
        </w:rPr>
        <w:t>determined</w:t>
      </w:r>
      <w:r w:rsidR="0008325A" w:rsidRPr="0098509C">
        <w:rPr>
          <w:sz w:val="24"/>
          <w:szCs w:val="24"/>
        </w:rPr>
        <w:t xml:space="preserve"> when someone is reasonable is when</w:t>
      </w:r>
      <w:r w:rsidR="005A0211">
        <w:rPr>
          <w:sz w:val="24"/>
          <w:szCs w:val="24"/>
        </w:rPr>
        <w:t xml:space="preserve"> </w:t>
      </w:r>
      <w:r w:rsidR="0008325A" w:rsidRPr="0098509C">
        <w:rPr>
          <w:sz w:val="24"/>
          <w:szCs w:val="24"/>
        </w:rPr>
        <w:t xml:space="preserve">a person must exercise the standard of care that would be expected of </w:t>
      </w:r>
      <w:proofErr w:type="gramStart"/>
      <w:r w:rsidR="0008325A" w:rsidRPr="0098509C">
        <w:rPr>
          <w:sz w:val="24"/>
          <w:szCs w:val="24"/>
        </w:rPr>
        <w:t>an</w:t>
      </w:r>
      <w:proofErr w:type="gramEnd"/>
      <w:r w:rsidR="0008325A" w:rsidRPr="0098509C">
        <w:rPr>
          <w:sz w:val="24"/>
          <w:szCs w:val="24"/>
        </w:rPr>
        <w:t xml:space="preserve"> </w:t>
      </w:r>
      <w:r w:rsidR="005A0211" w:rsidRPr="0098509C">
        <w:rPr>
          <w:sz w:val="24"/>
          <w:szCs w:val="24"/>
        </w:rPr>
        <w:t>normal</w:t>
      </w:r>
      <w:r w:rsidR="0008325A" w:rsidRPr="0098509C">
        <w:rPr>
          <w:sz w:val="24"/>
          <w:szCs w:val="24"/>
        </w:rPr>
        <w:t xml:space="preserve">, </w:t>
      </w:r>
      <w:r w:rsidR="005A0211" w:rsidRPr="0098509C">
        <w:rPr>
          <w:sz w:val="24"/>
          <w:szCs w:val="24"/>
        </w:rPr>
        <w:t>rational</w:t>
      </w:r>
      <w:r w:rsidR="0008325A" w:rsidRPr="0098509C">
        <w:rPr>
          <w:sz w:val="24"/>
          <w:szCs w:val="24"/>
        </w:rPr>
        <w:t xml:space="preserve"> and </w:t>
      </w:r>
      <w:r w:rsidR="005A0211" w:rsidRPr="0098509C">
        <w:rPr>
          <w:sz w:val="24"/>
          <w:szCs w:val="24"/>
        </w:rPr>
        <w:t>sensible</w:t>
      </w:r>
      <w:r w:rsidR="0008325A" w:rsidRPr="0098509C">
        <w:rPr>
          <w:sz w:val="24"/>
          <w:szCs w:val="24"/>
        </w:rPr>
        <w:t xml:space="preserve"> person in the same </w:t>
      </w:r>
      <w:r w:rsidR="00B27824" w:rsidRPr="0098509C">
        <w:rPr>
          <w:sz w:val="24"/>
          <w:szCs w:val="24"/>
        </w:rPr>
        <w:t>conditions</w:t>
      </w:r>
      <w:r w:rsidR="0008325A" w:rsidRPr="0098509C">
        <w:rPr>
          <w:sz w:val="24"/>
          <w:szCs w:val="24"/>
        </w:rPr>
        <w:t xml:space="preserve"> to avoid liability, no </w:t>
      </w:r>
      <w:r w:rsidR="005A0211" w:rsidRPr="0098509C">
        <w:rPr>
          <w:sz w:val="24"/>
          <w:szCs w:val="24"/>
        </w:rPr>
        <w:t>deliberation</w:t>
      </w:r>
      <w:r w:rsidR="0008325A" w:rsidRPr="0098509C">
        <w:rPr>
          <w:sz w:val="24"/>
          <w:szCs w:val="24"/>
        </w:rPr>
        <w:t xml:space="preserve"> is given to the defendant’s thought process or </w:t>
      </w:r>
      <w:r w:rsidR="00B27824">
        <w:rPr>
          <w:sz w:val="24"/>
          <w:szCs w:val="24"/>
        </w:rPr>
        <w:t xml:space="preserve">their </w:t>
      </w:r>
      <w:r w:rsidR="00B27824" w:rsidRPr="0098509C">
        <w:rPr>
          <w:sz w:val="24"/>
          <w:szCs w:val="24"/>
        </w:rPr>
        <w:t>own</w:t>
      </w:r>
      <w:r w:rsidR="0008325A" w:rsidRPr="0098509C">
        <w:rPr>
          <w:sz w:val="24"/>
          <w:szCs w:val="24"/>
        </w:rPr>
        <w:t xml:space="preserve"> </w:t>
      </w:r>
      <w:r w:rsidR="00B27824" w:rsidRPr="0098509C">
        <w:rPr>
          <w:sz w:val="24"/>
          <w:szCs w:val="24"/>
        </w:rPr>
        <w:t>mindfulness</w:t>
      </w:r>
      <w:r w:rsidR="0008325A" w:rsidRPr="0098509C">
        <w:rPr>
          <w:sz w:val="24"/>
          <w:szCs w:val="24"/>
        </w:rPr>
        <w:t xml:space="preserve"> of danger. </w:t>
      </w:r>
      <w:r w:rsidR="00B27824">
        <w:rPr>
          <w:sz w:val="24"/>
          <w:szCs w:val="24"/>
        </w:rPr>
        <w:t>Personal</w:t>
      </w:r>
      <w:r w:rsidR="0008325A" w:rsidRPr="0098509C">
        <w:rPr>
          <w:sz w:val="24"/>
          <w:szCs w:val="24"/>
        </w:rPr>
        <w:t xml:space="preserve"> characteristics are excluded such as intelligence, strength, maturity, or temperament, the reasonable person is not a </w:t>
      </w:r>
      <w:r w:rsidR="00006CB1" w:rsidRPr="0098509C">
        <w:rPr>
          <w:sz w:val="24"/>
          <w:szCs w:val="24"/>
        </w:rPr>
        <w:t>specific</w:t>
      </w:r>
      <w:r w:rsidR="0008325A" w:rsidRPr="0098509C">
        <w:rPr>
          <w:sz w:val="24"/>
          <w:szCs w:val="24"/>
        </w:rPr>
        <w:t xml:space="preserve"> person. Rather, the standard takes into account both the </w:t>
      </w:r>
      <w:r w:rsidR="00006CB1" w:rsidRPr="0098509C">
        <w:rPr>
          <w:sz w:val="24"/>
          <w:szCs w:val="24"/>
        </w:rPr>
        <w:t>facts</w:t>
      </w:r>
      <w:r w:rsidR="0008325A" w:rsidRPr="0098509C">
        <w:rPr>
          <w:sz w:val="24"/>
          <w:szCs w:val="24"/>
        </w:rPr>
        <w:t xml:space="preserve"> of what </w:t>
      </w:r>
      <w:r w:rsidR="00006CB1">
        <w:rPr>
          <w:sz w:val="24"/>
          <w:szCs w:val="24"/>
        </w:rPr>
        <w:t xml:space="preserve">a </w:t>
      </w:r>
      <w:r w:rsidR="00006CB1" w:rsidRPr="0098509C">
        <w:rPr>
          <w:sz w:val="24"/>
          <w:szCs w:val="24"/>
        </w:rPr>
        <w:t>normal</w:t>
      </w:r>
      <w:r w:rsidR="0008325A" w:rsidRPr="0098509C">
        <w:rPr>
          <w:sz w:val="24"/>
          <w:szCs w:val="24"/>
        </w:rPr>
        <w:t xml:space="preserve"> people do</w:t>
      </w:r>
      <w:r w:rsidR="00006CB1">
        <w:rPr>
          <w:sz w:val="24"/>
          <w:szCs w:val="24"/>
        </w:rPr>
        <w:t>es,</w:t>
      </w:r>
      <w:r w:rsidR="0008325A" w:rsidRPr="0098509C">
        <w:rPr>
          <w:sz w:val="24"/>
          <w:szCs w:val="24"/>
        </w:rPr>
        <w:t xml:space="preserve"> and what the judges believe they should do, it is not a standard that </w:t>
      </w:r>
      <w:r w:rsidR="00006CB1" w:rsidRPr="0098509C">
        <w:rPr>
          <w:sz w:val="24"/>
          <w:szCs w:val="24"/>
        </w:rPr>
        <w:t>necessitates</w:t>
      </w:r>
      <w:r w:rsidR="0008325A" w:rsidRPr="0098509C">
        <w:rPr>
          <w:sz w:val="24"/>
          <w:szCs w:val="24"/>
        </w:rPr>
        <w:t xml:space="preserve"> perfection or </w:t>
      </w:r>
      <w:r w:rsidR="00006CB1" w:rsidRPr="0098509C">
        <w:rPr>
          <w:sz w:val="24"/>
          <w:szCs w:val="24"/>
        </w:rPr>
        <w:t>elimination</w:t>
      </w:r>
      <w:r w:rsidR="0008325A" w:rsidRPr="0098509C">
        <w:rPr>
          <w:sz w:val="24"/>
          <w:szCs w:val="24"/>
        </w:rPr>
        <w:t xml:space="preserve"> of every possible </w:t>
      </w:r>
      <w:r w:rsidR="00006CB1" w:rsidRPr="0098509C">
        <w:rPr>
          <w:sz w:val="24"/>
          <w:szCs w:val="24"/>
        </w:rPr>
        <w:t>hazard</w:t>
      </w:r>
      <w:r w:rsidR="0008325A" w:rsidRPr="0098509C">
        <w:rPr>
          <w:sz w:val="24"/>
          <w:szCs w:val="24"/>
        </w:rPr>
        <w:t xml:space="preserve"> – it is a standard that </w:t>
      </w:r>
      <w:r w:rsidR="00006CB1" w:rsidRPr="0098509C">
        <w:rPr>
          <w:sz w:val="24"/>
          <w:szCs w:val="24"/>
        </w:rPr>
        <w:t>wants</w:t>
      </w:r>
      <w:r w:rsidR="0008325A" w:rsidRPr="0098509C">
        <w:rPr>
          <w:sz w:val="24"/>
          <w:szCs w:val="24"/>
        </w:rPr>
        <w:t xml:space="preserve"> reasonableness, and </w:t>
      </w:r>
      <w:r w:rsidR="00006CB1" w:rsidRPr="0098509C">
        <w:rPr>
          <w:sz w:val="24"/>
          <w:szCs w:val="24"/>
        </w:rPr>
        <w:t>everybody</w:t>
      </w:r>
      <w:r w:rsidR="0008325A" w:rsidRPr="0098509C">
        <w:rPr>
          <w:sz w:val="24"/>
          <w:szCs w:val="24"/>
        </w:rPr>
        <w:t xml:space="preserve"> is held up to the reasonable person standard, including the victim.</w:t>
      </w:r>
    </w:p>
    <w:p w14:paraId="3F0589AE" w14:textId="3C42261E" w:rsidR="00172A81" w:rsidRDefault="0008325A" w:rsidP="002D6E78">
      <w:pPr>
        <w:rPr>
          <w:sz w:val="24"/>
          <w:szCs w:val="24"/>
        </w:rPr>
      </w:pPr>
      <w:r w:rsidRPr="0098509C">
        <w:rPr>
          <w:sz w:val="24"/>
          <w:szCs w:val="24"/>
        </w:rPr>
        <w:t xml:space="preserve">The objective test </w:t>
      </w:r>
      <w:r w:rsidR="00DF07BE">
        <w:rPr>
          <w:sz w:val="24"/>
          <w:szCs w:val="24"/>
        </w:rPr>
        <w:t>is adjusted for certain circumstances</w:t>
      </w:r>
      <w:r w:rsidRPr="0098509C">
        <w:rPr>
          <w:sz w:val="24"/>
          <w:szCs w:val="24"/>
        </w:rPr>
        <w:t xml:space="preserve"> and may </w:t>
      </w:r>
      <w:r w:rsidR="00DF07BE" w:rsidRPr="0098509C">
        <w:rPr>
          <w:sz w:val="24"/>
          <w:szCs w:val="24"/>
        </w:rPr>
        <w:t>be contingent</w:t>
      </w:r>
      <w:r w:rsidRPr="0098509C">
        <w:rPr>
          <w:sz w:val="24"/>
          <w:szCs w:val="24"/>
        </w:rPr>
        <w:t xml:space="preserve"> on the </w:t>
      </w:r>
      <w:r w:rsidR="00DF07BE" w:rsidRPr="0098509C">
        <w:rPr>
          <w:sz w:val="24"/>
          <w:szCs w:val="24"/>
        </w:rPr>
        <w:t>conditions</w:t>
      </w:r>
      <w:r w:rsidRPr="0098509C">
        <w:rPr>
          <w:sz w:val="24"/>
          <w:szCs w:val="24"/>
        </w:rPr>
        <w:t xml:space="preserve"> of the particular defendant or the situation. For example, in the case of ‘</w:t>
      </w:r>
      <w:r w:rsidRPr="0098509C">
        <w:rPr>
          <w:i/>
          <w:iCs/>
          <w:sz w:val="24"/>
          <w:szCs w:val="24"/>
        </w:rPr>
        <w:t>Nettleship v Weston</w:t>
      </w:r>
      <w:r w:rsidRPr="0098509C">
        <w:rPr>
          <w:sz w:val="24"/>
          <w:szCs w:val="24"/>
        </w:rPr>
        <w:t>’ (1971)</w:t>
      </w:r>
      <w:r w:rsidR="008C6B92" w:rsidRPr="0098509C">
        <w:rPr>
          <w:sz w:val="24"/>
          <w:szCs w:val="24"/>
        </w:rPr>
        <w:t xml:space="preserve"> a learner driver is expected to meet the </w:t>
      </w:r>
      <w:r w:rsidR="00B954F5" w:rsidRPr="0098509C">
        <w:rPr>
          <w:sz w:val="24"/>
          <w:szCs w:val="24"/>
        </w:rPr>
        <w:t xml:space="preserve">same standard as a competent </w:t>
      </w:r>
      <w:r w:rsidR="00EA370E" w:rsidRPr="0098509C">
        <w:rPr>
          <w:sz w:val="24"/>
          <w:szCs w:val="24"/>
        </w:rPr>
        <w:t>trained</w:t>
      </w:r>
      <w:r w:rsidR="00B954F5" w:rsidRPr="0098509C">
        <w:rPr>
          <w:sz w:val="24"/>
          <w:szCs w:val="24"/>
        </w:rPr>
        <w:t xml:space="preserve"> driver</w:t>
      </w:r>
      <w:r w:rsidR="00561674">
        <w:rPr>
          <w:sz w:val="24"/>
          <w:szCs w:val="24"/>
        </w:rPr>
        <w:t xml:space="preserve">, </w:t>
      </w:r>
      <w:r w:rsidR="00B954F5" w:rsidRPr="0098509C">
        <w:rPr>
          <w:sz w:val="24"/>
          <w:szCs w:val="24"/>
        </w:rPr>
        <w:t xml:space="preserve">the reason being is </w:t>
      </w:r>
      <w:r w:rsidR="009B33D9">
        <w:rPr>
          <w:sz w:val="24"/>
          <w:szCs w:val="24"/>
        </w:rPr>
        <w:t>the driver is usually</w:t>
      </w:r>
      <w:r w:rsidR="00B954F5" w:rsidRPr="0098509C">
        <w:rPr>
          <w:sz w:val="24"/>
          <w:szCs w:val="24"/>
        </w:rPr>
        <w:t xml:space="preserve"> covered by insurance</w:t>
      </w:r>
      <w:r w:rsidR="009B33D9">
        <w:rPr>
          <w:sz w:val="24"/>
          <w:szCs w:val="24"/>
        </w:rPr>
        <w:t xml:space="preserve"> as failure to do so will result in driver point penalty</w:t>
      </w:r>
      <w:r w:rsidR="00D07221">
        <w:rPr>
          <w:sz w:val="24"/>
          <w:szCs w:val="24"/>
        </w:rPr>
        <w:t xml:space="preserve">. </w:t>
      </w:r>
      <w:r w:rsidR="005D13AC">
        <w:rPr>
          <w:sz w:val="24"/>
          <w:szCs w:val="24"/>
        </w:rPr>
        <w:t>According to the case ‘</w:t>
      </w:r>
      <w:r w:rsidR="005D13AC" w:rsidRPr="005D13AC">
        <w:rPr>
          <w:i/>
          <w:iCs/>
          <w:sz w:val="24"/>
          <w:szCs w:val="24"/>
        </w:rPr>
        <w:t>Wilsher v Essex’</w:t>
      </w:r>
      <w:r w:rsidR="005D13AC">
        <w:rPr>
          <w:sz w:val="24"/>
          <w:szCs w:val="24"/>
        </w:rPr>
        <w:t xml:space="preserve"> (1988) i</w:t>
      </w:r>
      <w:r w:rsidR="00B4498D">
        <w:rPr>
          <w:sz w:val="24"/>
          <w:szCs w:val="24"/>
        </w:rPr>
        <w:t xml:space="preserve">f the defendant is </w:t>
      </w:r>
      <w:r w:rsidR="0031158B">
        <w:rPr>
          <w:sz w:val="24"/>
          <w:szCs w:val="24"/>
        </w:rPr>
        <w:t>an</w:t>
      </w:r>
      <w:r w:rsidR="00B4498D">
        <w:rPr>
          <w:sz w:val="24"/>
          <w:szCs w:val="24"/>
        </w:rPr>
        <w:t xml:space="preserve"> </w:t>
      </w:r>
      <w:r w:rsidR="009B33D9">
        <w:rPr>
          <w:sz w:val="24"/>
          <w:szCs w:val="24"/>
        </w:rPr>
        <w:t>expert</w:t>
      </w:r>
      <w:r w:rsidR="00B4498D">
        <w:rPr>
          <w:sz w:val="24"/>
          <w:szCs w:val="24"/>
        </w:rPr>
        <w:t>, they will be held to the same standard</w:t>
      </w:r>
      <w:r w:rsidR="005D13AC">
        <w:rPr>
          <w:sz w:val="24"/>
          <w:szCs w:val="24"/>
        </w:rPr>
        <w:t xml:space="preserve"> of a reasonable person within that </w:t>
      </w:r>
      <w:r w:rsidR="009B33D9">
        <w:rPr>
          <w:sz w:val="24"/>
          <w:szCs w:val="24"/>
        </w:rPr>
        <w:t>job</w:t>
      </w:r>
      <w:r w:rsidR="005D13AC">
        <w:rPr>
          <w:sz w:val="24"/>
          <w:szCs w:val="24"/>
        </w:rPr>
        <w:t xml:space="preserve">, this applies also with </w:t>
      </w:r>
      <w:r w:rsidR="009B33D9">
        <w:rPr>
          <w:sz w:val="24"/>
          <w:szCs w:val="24"/>
        </w:rPr>
        <w:t>apprentices</w:t>
      </w:r>
      <w:r w:rsidR="005D13AC">
        <w:rPr>
          <w:sz w:val="24"/>
          <w:szCs w:val="24"/>
        </w:rPr>
        <w:t xml:space="preserve">. </w:t>
      </w:r>
    </w:p>
    <w:p w14:paraId="3DA3A6E8" w14:textId="4B8264B9" w:rsidR="00D07221" w:rsidRDefault="00D07221" w:rsidP="002D6E78">
      <w:pPr>
        <w:rPr>
          <w:sz w:val="24"/>
          <w:szCs w:val="24"/>
        </w:rPr>
      </w:pPr>
      <w:r w:rsidRPr="00D07221">
        <w:rPr>
          <w:sz w:val="24"/>
          <w:szCs w:val="24"/>
        </w:rPr>
        <w:t xml:space="preserve">The </w:t>
      </w:r>
      <w:r w:rsidR="0031158B">
        <w:rPr>
          <w:sz w:val="24"/>
          <w:szCs w:val="24"/>
        </w:rPr>
        <w:t>standard of care</w:t>
      </w:r>
      <w:r w:rsidRPr="00D07221">
        <w:rPr>
          <w:sz w:val="24"/>
          <w:szCs w:val="24"/>
        </w:rPr>
        <w:t xml:space="preserve"> covered for sporting activity came from the case ‘</w:t>
      </w:r>
      <w:r w:rsidRPr="00A91D5D">
        <w:rPr>
          <w:i/>
          <w:iCs/>
          <w:sz w:val="24"/>
          <w:szCs w:val="24"/>
        </w:rPr>
        <w:t>Condon v Basi’</w:t>
      </w:r>
      <w:r w:rsidRPr="00D07221">
        <w:rPr>
          <w:sz w:val="24"/>
          <w:szCs w:val="24"/>
        </w:rPr>
        <w:t xml:space="preserve"> (1985), </w:t>
      </w:r>
      <w:r w:rsidR="00460A65">
        <w:rPr>
          <w:sz w:val="24"/>
          <w:szCs w:val="24"/>
        </w:rPr>
        <w:t>where an</w:t>
      </w:r>
      <w:r w:rsidRPr="00D07221">
        <w:rPr>
          <w:sz w:val="24"/>
          <w:szCs w:val="24"/>
        </w:rPr>
        <w:t xml:space="preserve"> </w:t>
      </w:r>
      <w:r w:rsidR="00460A65">
        <w:rPr>
          <w:sz w:val="24"/>
          <w:szCs w:val="24"/>
        </w:rPr>
        <w:t>‘</w:t>
      </w:r>
      <w:r w:rsidRPr="00D07221">
        <w:rPr>
          <w:sz w:val="24"/>
          <w:szCs w:val="24"/>
        </w:rPr>
        <w:t>amateur footballer is not expected to meet the standard of a footballer in the Football League First Division (now known as the Premier League)</w:t>
      </w:r>
      <w:r w:rsidR="00460A65">
        <w:rPr>
          <w:sz w:val="24"/>
          <w:szCs w:val="24"/>
        </w:rPr>
        <w:t xml:space="preserve">’ </w:t>
      </w:r>
      <w:r w:rsidRPr="00D07221">
        <w:rPr>
          <w:sz w:val="24"/>
          <w:szCs w:val="24"/>
        </w:rPr>
        <w:t xml:space="preserve">and thus there will be a higher standard of care even if the </w:t>
      </w:r>
      <w:r w:rsidR="00460A65">
        <w:rPr>
          <w:sz w:val="24"/>
          <w:szCs w:val="24"/>
        </w:rPr>
        <w:t>footballer</w:t>
      </w:r>
      <w:r w:rsidRPr="00D07221">
        <w:rPr>
          <w:sz w:val="24"/>
          <w:szCs w:val="24"/>
        </w:rPr>
        <w:t xml:space="preserve"> accept</w:t>
      </w:r>
      <w:r w:rsidR="00460A65">
        <w:rPr>
          <w:sz w:val="24"/>
          <w:szCs w:val="24"/>
        </w:rPr>
        <w:t xml:space="preserve">ed </w:t>
      </w:r>
      <w:r w:rsidRPr="00D07221">
        <w:rPr>
          <w:sz w:val="24"/>
          <w:szCs w:val="24"/>
        </w:rPr>
        <w:t xml:space="preserve">the risk of injury is inherit to such sporting activity, </w:t>
      </w:r>
      <w:r w:rsidR="00A32C63">
        <w:rPr>
          <w:sz w:val="24"/>
          <w:szCs w:val="24"/>
        </w:rPr>
        <w:t>even if the footballer</w:t>
      </w:r>
      <w:r w:rsidRPr="00D07221">
        <w:rPr>
          <w:sz w:val="24"/>
          <w:szCs w:val="24"/>
        </w:rPr>
        <w:t xml:space="preserve"> accep</w:t>
      </w:r>
      <w:r w:rsidR="00A32C63">
        <w:rPr>
          <w:sz w:val="24"/>
          <w:szCs w:val="24"/>
        </w:rPr>
        <w:t xml:space="preserve">ted </w:t>
      </w:r>
      <w:r w:rsidRPr="00D07221">
        <w:rPr>
          <w:sz w:val="24"/>
          <w:szCs w:val="24"/>
        </w:rPr>
        <w:t>the risk of injury</w:t>
      </w:r>
      <w:r w:rsidR="00A32C63">
        <w:rPr>
          <w:sz w:val="24"/>
          <w:szCs w:val="24"/>
        </w:rPr>
        <w:t xml:space="preserve">, </w:t>
      </w:r>
      <w:r w:rsidRPr="00D07221">
        <w:rPr>
          <w:sz w:val="24"/>
          <w:szCs w:val="24"/>
        </w:rPr>
        <w:t xml:space="preserve">if it occurs outside the </w:t>
      </w:r>
      <w:r w:rsidR="00460A65">
        <w:rPr>
          <w:sz w:val="24"/>
          <w:szCs w:val="24"/>
        </w:rPr>
        <w:t>‘Laws of the Game’</w:t>
      </w:r>
      <w:r w:rsidRPr="00D07221">
        <w:rPr>
          <w:sz w:val="24"/>
          <w:szCs w:val="24"/>
        </w:rPr>
        <w:t>, such as a reckless tackle that caused a broken leg</w:t>
      </w:r>
      <w:r w:rsidR="000F3AA5">
        <w:rPr>
          <w:sz w:val="24"/>
          <w:szCs w:val="24"/>
        </w:rPr>
        <w:t>,</w:t>
      </w:r>
      <w:r w:rsidR="00A32C63">
        <w:rPr>
          <w:sz w:val="24"/>
          <w:szCs w:val="24"/>
        </w:rPr>
        <w:t xml:space="preserve"> it is seen as negligent</w:t>
      </w:r>
      <w:r w:rsidRPr="00D07221">
        <w:rPr>
          <w:sz w:val="24"/>
          <w:szCs w:val="24"/>
        </w:rPr>
        <w:t>. In the context of ‘horseplay’ according to the case ‘</w:t>
      </w:r>
      <w:r w:rsidRPr="00A91D5D">
        <w:rPr>
          <w:i/>
          <w:iCs/>
          <w:sz w:val="24"/>
          <w:szCs w:val="24"/>
        </w:rPr>
        <w:t>Blake v Galloway’</w:t>
      </w:r>
      <w:r w:rsidRPr="00D07221">
        <w:rPr>
          <w:sz w:val="24"/>
          <w:szCs w:val="24"/>
        </w:rPr>
        <w:t xml:space="preserve"> (2004) there is a breach of </w:t>
      </w:r>
      <w:r w:rsidR="004E0230">
        <w:rPr>
          <w:sz w:val="24"/>
          <w:szCs w:val="24"/>
        </w:rPr>
        <w:t>standard of care</w:t>
      </w:r>
      <w:r w:rsidRPr="00D07221">
        <w:rPr>
          <w:sz w:val="24"/>
          <w:szCs w:val="24"/>
        </w:rPr>
        <w:t xml:space="preserve"> only where the </w:t>
      </w:r>
      <w:r w:rsidR="004E0230">
        <w:rPr>
          <w:sz w:val="24"/>
          <w:szCs w:val="24"/>
        </w:rPr>
        <w:t>‘</w:t>
      </w:r>
      <w:r w:rsidRPr="00D07221">
        <w:rPr>
          <w:sz w:val="24"/>
          <w:szCs w:val="24"/>
        </w:rPr>
        <w:t>defendant’s conduct amounts to recklessness or a very high degree of carelessness</w:t>
      </w:r>
      <w:r w:rsidR="004E0230">
        <w:rPr>
          <w:sz w:val="24"/>
          <w:szCs w:val="24"/>
        </w:rPr>
        <w:t>’.</w:t>
      </w:r>
    </w:p>
    <w:p w14:paraId="4CF4A845" w14:textId="65F095ED" w:rsidR="00DA5283" w:rsidRDefault="009E094D" w:rsidP="002D6E78">
      <w:pPr>
        <w:rPr>
          <w:sz w:val="24"/>
          <w:szCs w:val="24"/>
        </w:rPr>
      </w:pPr>
      <w:r>
        <w:rPr>
          <w:sz w:val="24"/>
          <w:szCs w:val="24"/>
        </w:rPr>
        <w:t>However,</w:t>
      </w:r>
      <w:r w:rsidR="00235498">
        <w:rPr>
          <w:sz w:val="24"/>
          <w:szCs w:val="24"/>
        </w:rPr>
        <w:t xml:space="preserve"> there can be instances where the test is no longer objective and becomes subjective, in any negligence case involving children, children are not held to the same standard as </w:t>
      </w:r>
      <w:r w:rsidR="00D07221">
        <w:rPr>
          <w:sz w:val="24"/>
          <w:szCs w:val="24"/>
        </w:rPr>
        <w:t>an</w:t>
      </w:r>
      <w:r w:rsidR="00235498">
        <w:rPr>
          <w:sz w:val="24"/>
          <w:szCs w:val="24"/>
        </w:rPr>
        <w:t xml:space="preserve"> </w:t>
      </w:r>
      <w:r w:rsidR="001A4B03">
        <w:rPr>
          <w:sz w:val="24"/>
          <w:szCs w:val="24"/>
        </w:rPr>
        <w:t xml:space="preserve">adult as they lack the </w:t>
      </w:r>
      <w:r w:rsidR="000D355D">
        <w:rPr>
          <w:sz w:val="24"/>
          <w:szCs w:val="24"/>
        </w:rPr>
        <w:t>understanding</w:t>
      </w:r>
      <w:r w:rsidR="001A4B03">
        <w:rPr>
          <w:sz w:val="24"/>
          <w:szCs w:val="24"/>
        </w:rPr>
        <w:t xml:space="preserve"> to </w:t>
      </w:r>
      <w:r w:rsidR="00787864">
        <w:rPr>
          <w:sz w:val="24"/>
          <w:szCs w:val="24"/>
        </w:rPr>
        <w:t>authenticate</w:t>
      </w:r>
      <w:r w:rsidR="001A4B03">
        <w:rPr>
          <w:sz w:val="24"/>
          <w:szCs w:val="24"/>
        </w:rPr>
        <w:t xml:space="preserve"> such standard</w:t>
      </w:r>
      <w:r w:rsidR="00900EA7">
        <w:rPr>
          <w:sz w:val="24"/>
          <w:szCs w:val="24"/>
        </w:rPr>
        <w:t>,</w:t>
      </w:r>
      <w:r w:rsidR="001A4B03">
        <w:rPr>
          <w:sz w:val="24"/>
          <w:szCs w:val="24"/>
        </w:rPr>
        <w:t xml:space="preserve"> </w:t>
      </w:r>
      <w:r w:rsidR="00DA5283">
        <w:rPr>
          <w:sz w:val="24"/>
          <w:szCs w:val="24"/>
        </w:rPr>
        <w:t>instead,</w:t>
      </w:r>
      <w:r w:rsidR="001A4B03">
        <w:rPr>
          <w:sz w:val="24"/>
          <w:szCs w:val="24"/>
        </w:rPr>
        <w:t xml:space="preserve"> they are held to the same standard as a child of the same age.</w:t>
      </w:r>
      <w:r w:rsidR="00DA5283">
        <w:rPr>
          <w:sz w:val="24"/>
          <w:szCs w:val="24"/>
        </w:rPr>
        <w:t xml:space="preserve"> There is also considering when the c</w:t>
      </w:r>
      <w:r w:rsidR="00DA5283" w:rsidRPr="00DA5283">
        <w:rPr>
          <w:sz w:val="24"/>
          <w:szCs w:val="24"/>
        </w:rPr>
        <w:t xml:space="preserve">laimant </w:t>
      </w:r>
      <w:r w:rsidR="00DA5283">
        <w:rPr>
          <w:sz w:val="24"/>
          <w:szCs w:val="24"/>
        </w:rPr>
        <w:t xml:space="preserve">is </w:t>
      </w:r>
      <w:r w:rsidR="00DA5283" w:rsidRPr="00DA5283">
        <w:rPr>
          <w:sz w:val="24"/>
          <w:szCs w:val="24"/>
        </w:rPr>
        <w:t>more vulnerable</w:t>
      </w:r>
      <w:r w:rsidR="00DA5283">
        <w:rPr>
          <w:sz w:val="24"/>
          <w:szCs w:val="24"/>
        </w:rPr>
        <w:t xml:space="preserve"> such as the case of ‘</w:t>
      </w:r>
      <w:r w:rsidR="00DA5283" w:rsidRPr="00DA5283">
        <w:rPr>
          <w:i/>
          <w:iCs/>
          <w:sz w:val="24"/>
          <w:szCs w:val="24"/>
        </w:rPr>
        <w:t>Paris v Stepney’</w:t>
      </w:r>
      <w:r w:rsidR="00DA5283">
        <w:rPr>
          <w:sz w:val="24"/>
          <w:szCs w:val="24"/>
        </w:rPr>
        <w:t xml:space="preserve"> (1951) in which the claimant only had sight in one eye due to injury sustained in war, </w:t>
      </w:r>
      <w:r w:rsidR="00613397">
        <w:rPr>
          <w:sz w:val="24"/>
          <w:szCs w:val="24"/>
        </w:rPr>
        <w:t xml:space="preserve">during his working hours a splinter of metal went into his one sighted eye causing his to become completely blind </w:t>
      </w:r>
      <w:r w:rsidR="00F62E14">
        <w:rPr>
          <w:sz w:val="24"/>
          <w:szCs w:val="24"/>
        </w:rPr>
        <w:t xml:space="preserve">as the employer did not provide safety googles to workers engaging in that type of activity, the court ruled </w:t>
      </w:r>
      <w:r w:rsidR="009514C9">
        <w:rPr>
          <w:sz w:val="24"/>
          <w:szCs w:val="24"/>
        </w:rPr>
        <w:t>that there was a breach of duty as the employer should have provided safety googles to the claimant due to the ‘seriousness of harm’ is greater for claimant than workers with both eyes</w:t>
      </w:r>
      <w:r w:rsidR="00D942A9">
        <w:rPr>
          <w:sz w:val="24"/>
          <w:szCs w:val="24"/>
        </w:rPr>
        <w:t>.</w:t>
      </w:r>
    </w:p>
    <w:p w14:paraId="1E15A117" w14:textId="44FE5922" w:rsidR="00DA1145" w:rsidRDefault="00D942A9" w:rsidP="00DA1145">
      <w:pPr>
        <w:rPr>
          <w:sz w:val="24"/>
          <w:szCs w:val="24"/>
        </w:rPr>
      </w:pPr>
      <w:r>
        <w:rPr>
          <w:sz w:val="24"/>
          <w:szCs w:val="24"/>
        </w:rPr>
        <w:lastRenderedPageBreak/>
        <w:t xml:space="preserve">The test also takes account </w:t>
      </w:r>
      <w:r w:rsidR="00B66A6B">
        <w:rPr>
          <w:sz w:val="24"/>
          <w:szCs w:val="24"/>
        </w:rPr>
        <w:t>when there is a s</w:t>
      </w:r>
      <w:r w:rsidR="00DA1145" w:rsidRPr="00DA1145">
        <w:rPr>
          <w:sz w:val="24"/>
          <w:szCs w:val="24"/>
        </w:rPr>
        <w:t>udden position of danger</w:t>
      </w:r>
      <w:r w:rsidR="00B66A6B">
        <w:rPr>
          <w:sz w:val="24"/>
          <w:szCs w:val="24"/>
        </w:rPr>
        <w:t xml:space="preserve"> as is the case of ‘</w:t>
      </w:r>
      <w:r w:rsidR="00B66A6B" w:rsidRPr="00B66A6B">
        <w:rPr>
          <w:i/>
          <w:iCs/>
          <w:sz w:val="24"/>
          <w:szCs w:val="24"/>
        </w:rPr>
        <w:t>Watt v Hertfordshire’</w:t>
      </w:r>
      <w:r w:rsidR="00B66A6B">
        <w:rPr>
          <w:sz w:val="24"/>
          <w:szCs w:val="24"/>
        </w:rPr>
        <w:t xml:space="preserve"> (1954)</w:t>
      </w:r>
      <w:r w:rsidR="001741EE">
        <w:rPr>
          <w:sz w:val="24"/>
          <w:szCs w:val="24"/>
        </w:rPr>
        <w:t xml:space="preserve"> in which the claimant </w:t>
      </w:r>
      <w:r w:rsidR="00674E11">
        <w:rPr>
          <w:sz w:val="24"/>
          <w:szCs w:val="24"/>
        </w:rPr>
        <w:t xml:space="preserve">was a fireman, a woman was involved in a traffic accident and was trapped underneath a lorry 200-300 yards away from the fire station, the fire service was called to release the woman, </w:t>
      </w:r>
      <w:r w:rsidR="00C97244">
        <w:rPr>
          <w:sz w:val="24"/>
          <w:szCs w:val="24"/>
        </w:rPr>
        <w:t>and needed to lift the jack on the back of the truck, there was no means of securing the jack on the truck</w:t>
      </w:r>
      <w:r w:rsidR="00A37B4E">
        <w:rPr>
          <w:sz w:val="24"/>
          <w:szCs w:val="24"/>
        </w:rPr>
        <w:t xml:space="preserve"> and the fireman was instructed to hold it on a short journey, but the truck brake and the jack fell on the claimant’s leg causing serve injury. The court rules there was no breach of duty as the emergency of the situation and utility of defendant’s conduct in saving a life outweighs the need to take precautions.</w:t>
      </w:r>
    </w:p>
    <w:p w14:paraId="77C99633" w14:textId="0C49CA23" w:rsidR="003306CA" w:rsidRPr="00DA1145" w:rsidRDefault="00810A9B" w:rsidP="00DA1145">
      <w:pPr>
        <w:rPr>
          <w:sz w:val="24"/>
          <w:szCs w:val="24"/>
        </w:rPr>
      </w:pPr>
      <w:r>
        <w:rPr>
          <w:sz w:val="24"/>
          <w:szCs w:val="24"/>
        </w:rPr>
        <w:t xml:space="preserve">The defendant is also not expected to guard against events which cannot be foreseen as is the case of </w:t>
      </w:r>
      <w:r w:rsidR="003306CA" w:rsidRPr="003306CA">
        <w:rPr>
          <w:sz w:val="24"/>
          <w:szCs w:val="24"/>
        </w:rPr>
        <w:t>Roe v Ministry of Health</w:t>
      </w:r>
      <w:r>
        <w:rPr>
          <w:sz w:val="24"/>
          <w:szCs w:val="24"/>
        </w:rPr>
        <w:t xml:space="preserve"> (1954)</w:t>
      </w:r>
      <w:r w:rsidR="000870B2">
        <w:rPr>
          <w:sz w:val="24"/>
          <w:szCs w:val="24"/>
        </w:rPr>
        <w:t xml:space="preserve"> in which two claimants had been given </w:t>
      </w:r>
      <w:r w:rsidR="00617333">
        <w:rPr>
          <w:sz w:val="24"/>
          <w:szCs w:val="24"/>
        </w:rPr>
        <w:t>anaesthetic</w:t>
      </w:r>
      <w:r w:rsidR="000870B2">
        <w:rPr>
          <w:sz w:val="24"/>
          <w:szCs w:val="24"/>
        </w:rPr>
        <w:t xml:space="preserve"> which was contaminated with sterilising fluid resulting in both </w:t>
      </w:r>
      <w:r w:rsidR="00D00056">
        <w:rPr>
          <w:sz w:val="24"/>
          <w:szCs w:val="24"/>
        </w:rPr>
        <w:t xml:space="preserve">claimant </w:t>
      </w:r>
      <w:r w:rsidR="00617333">
        <w:rPr>
          <w:sz w:val="24"/>
          <w:szCs w:val="24"/>
        </w:rPr>
        <w:t xml:space="preserve">becoming </w:t>
      </w:r>
      <w:r w:rsidR="0041614C" w:rsidRPr="0041614C">
        <w:rPr>
          <w:sz w:val="24"/>
          <w:szCs w:val="24"/>
        </w:rPr>
        <w:t>permanently</w:t>
      </w:r>
      <w:r w:rsidR="0041614C">
        <w:rPr>
          <w:sz w:val="24"/>
          <w:szCs w:val="24"/>
        </w:rPr>
        <w:t xml:space="preserve"> </w:t>
      </w:r>
      <w:r w:rsidR="00617333">
        <w:rPr>
          <w:sz w:val="24"/>
          <w:szCs w:val="24"/>
        </w:rPr>
        <w:t xml:space="preserve">paralysed, the </w:t>
      </w:r>
      <w:r w:rsidR="00617333" w:rsidRPr="00617333">
        <w:rPr>
          <w:sz w:val="24"/>
          <w:szCs w:val="24"/>
        </w:rPr>
        <w:t xml:space="preserve">anaesthetic </w:t>
      </w:r>
      <w:r w:rsidR="00742944">
        <w:rPr>
          <w:sz w:val="24"/>
          <w:szCs w:val="24"/>
        </w:rPr>
        <w:t xml:space="preserve">had become contaminated during storage it transpired that ampoules had minute cracks which are not detectable to the human eye, at the time it was not known that anaesthetic </w:t>
      </w:r>
      <w:r w:rsidR="00E77AD3">
        <w:rPr>
          <w:sz w:val="24"/>
          <w:szCs w:val="24"/>
        </w:rPr>
        <w:t xml:space="preserve">could be contaminated that way and the hospital followed normal procedure in storing it that way. The court ruled there was no breach of duty as the risk was not foreseeable </w:t>
      </w:r>
      <w:r w:rsidR="008E7E84">
        <w:rPr>
          <w:sz w:val="24"/>
          <w:szCs w:val="24"/>
        </w:rPr>
        <w:t>and an unknown risk at that time.</w:t>
      </w:r>
    </w:p>
    <w:p w14:paraId="3ED1A96D" w14:textId="6DDEC4E3" w:rsidR="00DA1145" w:rsidRDefault="004E593F" w:rsidP="00DA1145">
      <w:pPr>
        <w:rPr>
          <w:sz w:val="24"/>
          <w:szCs w:val="24"/>
        </w:rPr>
      </w:pPr>
      <w:r>
        <w:rPr>
          <w:sz w:val="24"/>
          <w:szCs w:val="24"/>
        </w:rPr>
        <w:t xml:space="preserve">The test is disregarded when both defendant and/or claimant </w:t>
      </w:r>
      <w:r w:rsidR="004227D9">
        <w:rPr>
          <w:sz w:val="24"/>
          <w:szCs w:val="24"/>
        </w:rPr>
        <w:t>conduct what is considered an ‘ultrahazardous activity’, what it means is one that is so inherently dangerous that a person engaging in such activity can held ‘strictly liability’ (imposition of liability on a party without finding of fault) for injuries caused to another person, even if that person engaged in activity took every reasonable precaution to prevent others from getting injured</w:t>
      </w:r>
      <w:r w:rsidR="00CB6566">
        <w:rPr>
          <w:sz w:val="24"/>
          <w:szCs w:val="24"/>
        </w:rPr>
        <w:t xml:space="preserve">, a case example is </w:t>
      </w:r>
      <w:r w:rsidR="00CB6566" w:rsidRPr="00FB3B1E">
        <w:rPr>
          <w:i/>
          <w:iCs/>
          <w:sz w:val="24"/>
          <w:szCs w:val="24"/>
        </w:rPr>
        <w:t>‘Rylands v Fletcher’</w:t>
      </w:r>
      <w:r w:rsidR="00CB6566">
        <w:rPr>
          <w:sz w:val="24"/>
          <w:szCs w:val="24"/>
        </w:rPr>
        <w:t xml:space="preserve"> </w:t>
      </w:r>
      <w:r w:rsidR="00453088">
        <w:rPr>
          <w:sz w:val="24"/>
          <w:szCs w:val="24"/>
        </w:rPr>
        <w:t>(</w:t>
      </w:r>
      <w:r w:rsidR="00CB6566">
        <w:rPr>
          <w:sz w:val="24"/>
          <w:szCs w:val="24"/>
        </w:rPr>
        <w:t>1868</w:t>
      </w:r>
      <w:r w:rsidR="00453088">
        <w:rPr>
          <w:sz w:val="24"/>
          <w:szCs w:val="24"/>
        </w:rPr>
        <w:t>)</w:t>
      </w:r>
      <w:r w:rsidR="004227D9">
        <w:rPr>
          <w:sz w:val="24"/>
          <w:szCs w:val="24"/>
        </w:rPr>
        <w:t xml:space="preserve"> </w:t>
      </w:r>
      <w:r w:rsidR="00BA24B0">
        <w:rPr>
          <w:sz w:val="24"/>
          <w:szCs w:val="24"/>
        </w:rPr>
        <w:t>where the defendant</w:t>
      </w:r>
      <w:r w:rsidR="008871D1">
        <w:rPr>
          <w:sz w:val="24"/>
          <w:szCs w:val="24"/>
        </w:rPr>
        <w:t xml:space="preserve"> owned a mill and construed a reservoir on land, the land was a disused mill however the reservoir filtered through a disused mine shaft </w:t>
      </w:r>
      <w:r w:rsidR="00233131">
        <w:rPr>
          <w:sz w:val="24"/>
          <w:szCs w:val="24"/>
        </w:rPr>
        <w:t>and then spread to a working mine owned by a claimant causing extensive damage</w:t>
      </w:r>
      <w:r w:rsidR="00A36ECB">
        <w:rPr>
          <w:sz w:val="24"/>
          <w:szCs w:val="24"/>
        </w:rPr>
        <w:t>.</w:t>
      </w:r>
      <w:r w:rsidR="00FB3B1E">
        <w:rPr>
          <w:sz w:val="24"/>
          <w:szCs w:val="24"/>
        </w:rPr>
        <w:t xml:space="preserve"> The court held that he was strictly liable for damage.</w:t>
      </w:r>
    </w:p>
    <w:p w14:paraId="16342723" w14:textId="503947CA" w:rsidR="00FB3B1E" w:rsidRPr="00114898" w:rsidRDefault="00FB3B1E" w:rsidP="006F34EB">
      <w:pPr>
        <w:rPr>
          <w:sz w:val="24"/>
          <w:szCs w:val="24"/>
        </w:rPr>
      </w:pPr>
      <w:r>
        <w:rPr>
          <w:sz w:val="24"/>
          <w:szCs w:val="24"/>
        </w:rPr>
        <w:t xml:space="preserve">There has been much debate about </w:t>
      </w:r>
      <w:r w:rsidRPr="00FB3B1E">
        <w:rPr>
          <w:i/>
          <w:iCs/>
          <w:sz w:val="24"/>
          <w:szCs w:val="24"/>
        </w:rPr>
        <w:t>‘Rylands v Fletcher’</w:t>
      </w:r>
      <w:r>
        <w:rPr>
          <w:sz w:val="24"/>
          <w:szCs w:val="24"/>
        </w:rPr>
        <w:t xml:space="preserve">, on one hand some saw the case as an opportunity to impose a blanket rule of strict liability for </w:t>
      </w:r>
      <w:bookmarkStart w:id="0" w:name="_Hlk87002162"/>
      <w:r>
        <w:rPr>
          <w:sz w:val="24"/>
          <w:szCs w:val="24"/>
        </w:rPr>
        <w:t xml:space="preserve">‘ultra-hazardous’ activities </w:t>
      </w:r>
      <w:bookmarkEnd w:id="0"/>
      <w:r>
        <w:rPr>
          <w:sz w:val="24"/>
          <w:szCs w:val="24"/>
        </w:rPr>
        <w:t xml:space="preserve">by embracing enterprise liability approach and leaving the non-hazardous activity cases to negligence. On the other hand, some see it as obsolete arguing instead that the rule in </w:t>
      </w:r>
      <w:r w:rsidRPr="00FB3B1E">
        <w:rPr>
          <w:i/>
          <w:iCs/>
          <w:sz w:val="24"/>
          <w:szCs w:val="24"/>
        </w:rPr>
        <w:t>‘</w:t>
      </w:r>
      <w:r w:rsidRPr="00FB3B1E">
        <w:rPr>
          <w:i/>
          <w:iCs/>
          <w:sz w:val="24"/>
          <w:szCs w:val="24"/>
        </w:rPr>
        <w:t>Rylands v Fletcher’</w:t>
      </w:r>
      <w:r w:rsidR="00114898">
        <w:rPr>
          <w:sz w:val="24"/>
          <w:szCs w:val="24"/>
        </w:rPr>
        <w:t xml:space="preserve"> is a </w:t>
      </w:r>
      <w:r w:rsidR="00114898" w:rsidRPr="00114898">
        <w:rPr>
          <w:sz w:val="24"/>
          <w:szCs w:val="24"/>
        </w:rPr>
        <w:t>relic</w:t>
      </w:r>
      <w:r w:rsidR="00114898">
        <w:rPr>
          <w:sz w:val="24"/>
          <w:szCs w:val="24"/>
        </w:rPr>
        <w:t xml:space="preserve"> in light of the development of fault principle and it should be subsumed into the broader tone of </w:t>
      </w:r>
      <w:r w:rsidR="00114898">
        <w:rPr>
          <w:sz w:val="24"/>
          <w:szCs w:val="24"/>
        </w:rPr>
        <w:t>negligence</w:t>
      </w:r>
      <w:r w:rsidR="00114898">
        <w:rPr>
          <w:sz w:val="24"/>
          <w:szCs w:val="24"/>
        </w:rPr>
        <w:t xml:space="preserve"> even in the context of </w:t>
      </w:r>
      <w:r w:rsidR="00114898">
        <w:rPr>
          <w:sz w:val="24"/>
          <w:szCs w:val="24"/>
        </w:rPr>
        <w:t xml:space="preserve">‘ultra-hazardous’ activities </w:t>
      </w:r>
      <w:r w:rsidR="00114898">
        <w:rPr>
          <w:sz w:val="24"/>
          <w:szCs w:val="24"/>
        </w:rPr>
        <w:t xml:space="preserve">like what Australian courts are doing (with the case </w:t>
      </w:r>
      <w:r w:rsidR="00114898" w:rsidRPr="00114898">
        <w:rPr>
          <w:sz w:val="24"/>
          <w:szCs w:val="24"/>
        </w:rPr>
        <w:t>Burnie Port Authority v General Jones Pte Ltd [1994] HCA 13</w:t>
      </w:r>
      <w:r w:rsidR="00114898">
        <w:rPr>
          <w:sz w:val="24"/>
          <w:szCs w:val="24"/>
        </w:rPr>
        <w:t>)</w:t>
      </w:r>
      <w:r w:rsidR="00577E6F">
        <w:rPr>
          <w:sz w:val="24"/>
          <w:szCs w:val="24"/>
        </w:rPr>
        <w:t xml:space="preserve">. </w:t>
      </w:r>
      <w:r w:rsidR="008E3344">
        <w:rPr>
          <w:sz w:val="24"/>
          <w:szCs w:val="24"/>
        </w:rPr>
        <w:t xml:space="preserve">However, </w:t>
      </w:r>
      <w:r w:rsidR="008E3344" w:rsidRPr="008E3344">
        <w:rPr>
          <w:sz w:val="24"/>
          <w:szCs w:val="24"/>
        </w:rPr>
        <w:t>Ryan Chan-Wei</w:t>
      </w:r>
      <w:r w:rsidR="00C266E5">
        <w:rPr>
          <w:sz w:val="24"/>
          <w:szCs w:val="24"/>
        </w:rPr>
        <w:t xml:space="preserve"> argues a more middle ground approach “Australia approach as the right normative instinct (i.e. to focus on fault) but wrong practical implementation (i.e. the evidential requirement of breach of</w:t>
      </w:r>
      <w:r w:rsidR="008E3344">
        <w:rPr>
          <w:sz w:val="24"/>
          <w:szCs w:val="24"/>
        </w:rPr>
        <w:t xml:space="preserve"> </w:t>
      </w:r>
      <w:r w:rsidR="00C266E5">
        <w:rPr>
          <w:sz w:val="24"/>
          <w:szCs w:val="24"/>
        </w:rPr>
        <w:t xml:space="preserve">providing breach of duty and breach of duty to make out tort of </w:t>
      </w:r>
      <w:r w:rsidR="00C266E5">
        <w:rPr>
          <w:sz w:val="24"/>
          <w:szCs w:val="24"/>
        </w:rPr>
        <w:t>negligence</w:t>
      </w:r>
      <w:r w:rsidR="00C266E5">
        <w:rPr>
          <w:sz w:val="24"/>
          <w:szCs w:val="24"/>
        </w:rPr>
        <w:t xml:space="preserve"> may be too onerous a burden for defendant to prove.” He </w:t>
      </w:r>
      <w:r w:rsidR="00A57BB5">
        <w:rPr>
          <w:sz w:val="24"/>
          <w:szCs w:val="24"/>
        </w:rPr>
        <w:t>instead</w:t>
      </w:r>
      <w:r w:rsidR="00C266E5">
        <w:rPr>
          <w:sz w:val="24"/>
          <w:szCs w:val="24"/>
        </w:rPr>
        <w:t xml:space="preserve"> argues that Ryland v Fletcher </w:t>
      </w:r>
      <w:r w:rsidR="00A57BB5">
        <w:rPr>
          <w:sz w:val="24"/>
          <w:szCs w:val="24"/>
        </w:rPr>
        <w:t>should be “kept as it stands in English law with the exception of ‘ultra-hazardous activity should be separated because such activities carry a unique risk of harm. Even a small degree of fault can lead to a huge amount of harm so it makes sense to treat it distinctively”, he then proposes an alternative framework to ‘</w:t>
      </w:r>
      <w:r w:rsidR="00A57BB5" w:rsidRPr="00A57BB5">
        <w:rPr>
          <w:i/>
          <w:iCs/>
          <w:sz w:val="24"/>
          <w:szCs w:val="24"/>
        </w:rPr>
        <w:t>Ryland v Fletcher’</w:t>
      </w:r>
      <w:r w:rsidR="00A57BB5">
        <w:rPr>
          <w:sz w:val="24"/>
          <w:szCs w:val="24"/>
        </w:rPr>
        <w:t xml:space="preserve"> rule “(1) A working definition of an ‘ultra-</w:t>
      </w:r>
      <w:r w:rsidR="00A57BB5">
        <w:rPr>
          <w:sz w:val="24"/>
          <w:szCs w:val="24"/>
        </w:rPr>
        <w:lastRenderedPageBreak/>
        <w:t xml:space="preserve">hazardous activity” and 2) a ‘reduced fault liability rule” </w:t>
      </w:r>
      <w:r w:rsidR="006F34EB">
        <w:rPr>
          <w:sz w:val="24"/>
          <w:szCs w:val="24"/>
        </w:rPr>
        <w:t>he admits it may not be a “flawless approach” but goes onto to say “</w:t>
      </w:r>
      <w:r w:rsidR="006F34EB" w:rsidRPr="006F34EB">
        <w:rPr>
          <w:sz w:val="24"/>
          <w:szCs w:val="24"/>
        </w:rPr>
        <w:t>it is arguably better for the courts to adopt an untested framework that attempts to offer</w:t>
      </w:r>
      <w:r w:rsidR="006F34EB">
        <w:rPr>
          <w:sz w:val="24"/>
          <w:szCs w:val="24"/>
        </w:rPr>
        <w:t xml:space="preserve"> </w:t>
      </w:r>
      <w:r w:rsidR="006F34EB" w:rsidRPr="006F34EB">
        <w:rPr>
          <w:sz w:val="24"/>
          <w:szCs w:val="24"/>
        </w:rPr>
        <w:t>a more nuanced and context-specific analysis of individual cases, than to apply a rigid, broad-brush</w:t>
      </w:r>
      <w:r w:rsidR="006F34EB">
        <w:rPr>
          <w:sz w:val="24"/>
          <w:szCs w:val="24"/>
        </w:rPr>
        <w:t xml:space="preserve"> </w:t>
      </w:r>
      <w:r w:rsidR="006F34EB" w:rsidRPr="006F34EB">
        <w:rPr>
          <w:sz w:val="24"/>
          <w:szCs w:val="24"/>
        </w:rPr>
        <w:t>approach which swings to doctrinal polarities and ignores the factual differences across the broad</w:t>
      </w:r>
      <w:r w:rsidR="006F34EB">
        <w:rPr>
          <w:sz w:val="24"/>
          <w:szCs w:val="24"/>
        </w:rPr>
        <w:t xml:space="preserve"> </w:t>
      </w:r>
      <w:r w:rsidR="006F34EB" w:rsidRPr="006F34EB">
        <w:rPr>
          <w:sz w:val="24"/>
          <w:szCs w:val="24"/>
        </w:rPr>
        <w:t>spectrum of Rylands v Fletcher cases.</w:t>
      </w:r>
      <w:r w:rsidR="007123C3">
        <w:rPr>
          <w:sz w:val="24"/>
          <w:szCs w:val="24"/>
        </w:rPr>
        <w:t xml:space="preserve">” </w:t>
      </w:r>
      <w:r w:rsidR="008E3344">
        <w:rPr>
          <w:sz w:val="24"/>
          <w:szCs w:val="24"/>
        </w:rPr>
        <w:t>(</w:t>
      </w:r>
      <w:r w:rsidR="008E3344" w:rsidRPr="008E3344">
        <w:rPr>
          <w:sz w:val="24"/>
          <w:szCs w:val="24"/>
        </w:rPr>
        <w:t>Chan-Wei</w:t>
      </w:r>
      <w:r w:rsidR="008E3344">
        <w:rPr>
          <w:sz w:val="24"/>
          <w:szCs w:val="24"/>
        </w:rPr>
        <w:t>, 2017</w:t>
      </w:r>
      <w:r w:rsidR="00C266E5">
        <w:rPr>
          <w:sz w:val="24"/>
          <w:szCs w:val="24"/>
        </w:rPr>
        <w:t>)</w:t>
      </w:r>
    </w:p>
    <w:p w14:paraId="4667FA10" w14:textId="77777777" w:rsidR="00DA1145" w:rsidRPr="00DA1145" w:rsidRDefault="00DA1145" w:rsidP="00DA1145">
      <w:pPr>
        <w:rPr>
          <w:sz w:val="24"/>
          <w:szCs w:val="24"/>
        </w:rPr>
      </w:pPr>
      <w:r w:rsidRPr="00DA1145">
        <w:rPr>
          <w:sz w:val="24"/>
          <w:szCs w:val="24"/>
        </w:rPr>
        <w:t>The Bolam test is used for medical negligence which comes from the case ‘</w:t>
      </w:r>
      <w:r w:rsidRPr="008E3344">
        <w:rPr>
          <w:i/>
          <w:iCs/>
          <w:sz w:val="24"/>
          <w:szCs w:val="24"/>
        </w:rPr>
        <w:t>Bolam v Friern Hospital Management Committee’</w:t>
      </w:r>
      <w:r w:rsidRPr="00DA1145">
        <w:rPr>
          <w:sz w:val="24"/>
          <w:szCs w:val="24"/>
        </w:rPr>
        <w:t xml:space="preserve"> (1957), it states that “a doctor is not guilty of negligence if he acted in accordance with a practice accepted as proper by a responsible of medical opinion”. According to the case ‘Mullin v Richards’ (1998) a child is not expected to meet the same standards as an adult but will be meet to the same standard as the standard of a reasonable child of the same age</w:t>
      </w:r>
    </w:p>
    <w:p w14:paraId="1DF11FF7" w14:textId="2AA86D27" w:rsidR="00DA1145" w:rsidRPr="00DA1145" w:rsidRDefault="00DA1145" w:rsidP="00DA1145">
      <w:pPr>
        <w:rPr>
          <w:sz w:val="24"/>
          <w:szCs w:val="24"/>
        </w:rPr>
      </w:pPr>
      <w:r w:rsidRPr="00DA1145">
        <w:rPr>
          <w:sz w:val="24"/>
          <w:szCs w:val="24"/>
        </w:rPr>
        <w:t>However, the Bolam test is not without problems as Christopher Stone points out “Bolam is a clumsy tool, born out of medical nepotism and implemented through a system of peer review, where doctor set standards required of them and give testimonies in each other’s defences. Doctors and Defence organisations enjoy a degree of protection that validates and perpetuates outdated medical practice simply because that practice remains entrenched in some doctors”</w:t>
      </w:r>
      <w:r w:rsidR="00136EA4">
        <w:rPr>
          <w:sz w:val="24"/>
          <w:szCs w:val="24"/>
        </w:rPr>
        <w:t xml:space="preserve">, he believes the NHS Redress Act 2006 </w:t>
      </w:r>
      <w:r w:rsidR="000D4DD2">
        <w:rPr>
          <w:sz w:val="24"/>
          <w:szCs w:val="24"/>
        </w:rPr>
        <w:t xml:space="preserve">may be more “effective in creating </w:t>
      </w:r>
      <w:r w:rsidR="008B66EC">
        <w:rPr>
          <w:sz w:val="24"/>
          <w:szCs w:val="24"/>
        </w:rPr>
        <w:t>an</w:t>
      </w:r>
      <w:r w:rsidR="000D4DD2">
        <w:rPr>
          <w:sz w:val="24"/>
          <w:szCs w:val="24"/>
        </w:rPr>
        <w:t xml:space="preserve"> alternative and fairer system for compensating victims of medical accidents”</w:t>
      </w:r>
      <w:r w:rsidR="00136EA4">
        <w:rPr>
          <w:sz w:val="24"/>
          <w:szCs w:val="24"/>
        </w:rPr>
        <w:t xml:space="preserve"> </w:t>
      </w:r>
      <w:r w:rsidRPr="00DA1145">
        <w:rPr>
          <w:sz w:val="24"/>
          <w:szCs w:val="24"/>
        </w:rPr>
        <w:t>(Stone, 2012, p.5)</w:t>
      </w:r>
    </w:p>
    <w:p w14:paraId="60DBAAEC" w14:textId="1CB2F6C8" w:rsidR="00DA1145" w:rsidRDefault="00F42B9F" w:rsidP="00DA1145">
      <w:pPr>
        <w:rPr>
          <w:sz w:val="24"/>
          <w:szCs w:val="24"/>
        </w:rPr>
      </w:pPr>
      <w:r>
        <w:rPr>
          <w:sz w:val="24"/>
          <w:szCs w:val="24"/>
        </w:rPr>
        <w:t xml:space="preserve">The Bolam test was modified in 1996 with the Bolitho test from the case </w:t>
      </w:r>
      <w:r w:rsidRPr="00F42B9F">
        <w:rPr>
          <w:i/>
          <w:iCs/>
          <w:sz w:val="24"/>
          <w:szCs w:val="24"/>
        </w:rPr>
        <w:t>‘</w:t>
      </w:r>
      <w:r w:rsidR="00D8587C" w:rsidRPr="00F42B9F">
        <w:rPr>
          <w:i/>
          <w:iCs/>
          <w:sz w:val="24"/>
          <w:szCs w:val="24"/>
        </w:rPr>
        <w:t>Bolitho</w:t>
      </w:r>
      <w:r w:rsidRPr="00F42B9F">
        <w:rPr>
          <w:i/>
          <w:iCs/>
          <w:sz w:val="24"/>
          <w:szCs w:val="24"/>
        </w:rPr>
        <w:t xml:space="preserve"> v City and Hackney Health Authority’ </w:t>
      </w:r>
      <w:r>
        <w:rPr>
          <w:sz w:val="24"/>
          <w:szCs w:val="24"/>
        </w:rPr>
        <w:t>(1996)</w:t>
      </w:r>
      <w:r w:rsidR="0017376E">
        <w:rPr>
          <w:sz w:val="24"/>
          <w:szCs w:val="24"/>
        </w:rPr>
        <w:t xml:space="preserve">, which states </w:t>
      </w:r>
      <w:r w:rsidR="00D650E3">
        <w:rPr>
          <w:sz w:val="24"/>
          <w:szCs w:val="24"/>
        </w:rPr>
        <w:t xml:space="preserve">that he court “should not accept a defence argument as being ‘reasonable’, ‘respectable’ or ‘responsible’ without first assessing whether such opinion is susceptible to logical analysis”, “however where there is a body of medical opinion which represents itself as </w:t>
      </w:r>
      <w:r w:rsidR="00185976">
        <w:rPr>
          <w:sz w:val="24"/>
          <w:szCs w:val="24"/>
        </w:rPr>
        <w:t>‘reasonable’, ‘respectable’ or ‘responsible’ it will be rare for court to able to hold such opinion other than represented”</w:t>
      </w:r>
    </w:p>
    <w:p w14:paraId="45BB4A9B" w14:textId="009F3877" w:rsidR="009C19C4" w:rsidRDefault="00434808" w:rsidP="002D6E78">
      <w:pPr>
        <w:rPr>
          <w:sz w:val="24"/>
          <w:szCs w:val="24"/>
        </w:rPr>
      </w:pPr>
      <w:r w:rsidRPr="0098509C">
        <w:rPr>
          <w:sz w:val="24"/>
          <w:szCs w:val="24"/>
        </w:rPr>
        <w:t xml:space="preserve">The case about Nettleship v Weston shows how slightly unfair applying standard of care </w:t>
      </w:r>
      <w:r w:rsidR="00F43C85" w:rsidRPr="0098509C">
        <w:rPr>
          <w:sz w:val="24"/>
          <w:szCs w:val="24"/>
        </w:rPr>
        <w:t>can be</w:t>
      </w:r>
      <w:r w:rsidRPr="0098509C">
        <w:rPr>
          <w:sz w:val="24"/>
          <w:szCs w:val="24"/>
        </w:rPr>
        <w:t>, a learner driver should not be treated to the same standard as a fully qualified driver as the learner driver has not had a lot of practice to gain full competence and control of driving the car yet, not only that but if it is the very first time someone drives a car so it is on the learning instructor to ensure nothing dangerous happens and should fall on him/her not on the driver himself/herself.</w:t>
      </w:r>
      <w:r w:rsidR="00A81A66">
        <w:rPr>
          <w:sz w:val="24"/>
          <w:szCs w:val="24"/>
        </w:rPr>
        <w:t xml:space="preserve"> </w:t>
      </w:r>
      <w:r w:rsidR="00B4498D">
        <w:rPr>
          <w:sz w:val="24"/>
          <w:szCs w:val="24"/>
        </w:rPr>
        <w:t xml:space="preserve">This also applies to trainees </w:t>
      </w:r>
      <w:r w:rsidR="0072638B">
        <w:rPr>
          <w:sz w:val="24"/>
          <w:szCs w:val="24"/>
        </w:rPr>
        <w:t>too;</w:t>
      </w:r>
      <w:r w:rsidR="00B4498D">
        <w:rPr>
          <w:sz w:val="24"/>
          <w:szCs w:val="24"/>
        </w:rPr>
        <w:t xml:space="preserve"> they should not exactly be held the same standard as a professional as they haven’t had the experience of a professional just yet. </w:t>
      </w:r>
      <w:r w:rsidR="00A81A66">
        <w:rPr>
          <w:sz w:val="24"/>
          <w:szCs w:val="24"/>
        </w:rPr>
        <w:t xml:space="preserve">The court also take an inconsistent approach in relation to where the defendant’s is affected by illness, the case of ‘Roberts v Ramsbottom’ </w:t>
      </w:r>
      <w:r w:rsidR="002B223D">
        <w:rPr>
          <w:sz w:val="24"/>
          <w:szCs w:val="24"/>
        </w:rPr>
        <w:t>(</w:t>
      </w:r>
      <w:r w:rsidR="004C1CAD">
        <w:rPr>
          <w:sz w:val="24"/>
          <w:szCs w:val="24"/>
        </w:rPr>
        <w:t>1980</w:t>
      </w:r>
      <w:r w:rsidR="002B223D">
        <w:rPr>
          <w:sz w:val="24"/>
          <w:szCs w:val="24"/>
        </w:rPr>
        <w:t>)</w:t>
      </w:r>
      <w:r w:rsidR="004C1CAD">
        <w:rPr>
          <w:sz w:val="24"/>
          <w:szCs w:val="24"/>
        </w:rPr>
        <w:t xml:space="preserve"> concerns</w:t>
      </w:r>
      <w:r w:rsidR="00A81A66">
        <w:rPr>
          <w:sz w:val="24"/>
          <w:szCs w:val="24"/>
        </w:rPr>
        <w:t xml:space="preserve"> personal injury </w:t>
      </w:r>
      <w:r w:rsidR="004C1CAD">
        <w:rPr>
          <w:sz w:val="24"/>
          <w:szCs w:val="24"/>
        </w:rPr>
        <w:t xml:space="preserve">sustained by pedestrian and thus a breach of duty was found in order to ensure the victim has compensation, however in the case of ‘Mansfield v Weetabix’ </w:t>
      </w:r>
      <w:r w:rsidR="002B223D">
        <w:rPr>
          <w:sz w:val="24"/>
          <w:szCs w:val="24"/>
        </w:rPr>
        <w:t>(</w:t>
      </w:r>
      <w:r w:rsidR="004C1CAD">
        <w:rPr>
          <w:sz w:val="24"/>
          <w:szCs w:val="24"/>
        </w:rPr>
        <w:t>1997</w:t>
      </w:r>
      <w:r w:rsidR="002B223D">
        <w:rPr>
          <w:sz w:val="24"/>
          <w:szCs w:val="24"/>
        </w:rPr>
        <w:t>)</w:t>
      </w:r>
      <w:r w:rsidR="004C1CAD">
        <w:rPr>
          <w:sz w:val="24"/>
          <w:szCs w:val="24"/>
        </w:rPr>
        <w:t xml:space="preserve"> is involved property damage covered by </w:t>
      </w:r>
      <w:r w:rsidR="007C420F">
        <w:rPr>
          <w:sz w:val="24"/>
          <w:szCs w:val="24"/>
        </w:rPr>
        <w:t>insurance and thus</w:t>
      </w:r>
      <w:r w:rsidR="00B04B6F">
        <w:rPr>
          <w:sz w:val="24"/>
          <w:szCs w:val="24"/>
        </w:rPr>
        <w:t xml:space="preserve"> was not in breach of duty</w:t>
      </w:r>
    </w:p>
    <w:p w14:paraId="080C7B9F" w14:textId="3769DEFE" w:rsidR="0075033F" w:rsidRDefault="0075033F" w:rsidP="002D6E78">
      <w:pPr>
        <w:rPr>
          <w:sz w:val="24"/>
          <w:szCs w:val="24"/>
        </w:rPr>
      </w:pPr>
      <w:r w:rsidRPr="0075033F">
        <w:rPr>
          <w:sz w:val="24"/>
          <w:szCs w:val="24"/>
        </w:rPr>
        <w:t>Mental illness is</w:t>
      </w:r>
      <w:r w:rsidR="00FD1472">
        <w:rPr>
          <w:sz w:val="24"/>
          <w:szCs w:val="24"/>
        </w:rPr>
        <w:t xml:space="preserve"> also</w:t>
      </w:r>
      <w:r w:rsidRPr="0075033F">
        <w:rPr>
          <w:sz w:val="24"/>
          <w:szCs w:val="24"/>
        </w:rPr>
        <w:t xml:space="preserve"> not taking to account</w:t>
      </w:r>
      <w:r w:rsidR="00FD1472">
        <w:rPr>
          <w:sz w:val="24"/>
          <w:szCs w:val="24"/>
        </w:rPr>
        <w:t xml:space="preserve"> thus making the issue ‘unsatisfactory’, some argue that it should have the same principles that apply to physical injury other</w:t>
      </w:r>
      <w:r w:rsidR="00BA3015">
        <w:rPr>
          <w:sz w:val="24"/>
          <w:szCs w:val="24"/>
        </w:rPr>
        <w:t>s</w:t>
      </w:r>
      <w:r w:rsidR="00FD1472">
        <w:rPr>
          <w:sz w:val="24"/>
          <w:szCs w:val="24"/>
        </w:rPr>
        <w:t xml:space="preserve"> think it should be abandoned all together</w:t>
      </w:r>
      <w:r w:rsidR="00BA3015">
        <w:rPr>
          <w:sz w:val="24"/>
          <w:szCs w:val="24"/>
        </w:rPr>
        <w:t xml:space="preserve">. Claims for psychiatric illness brought about through </w:t>
      </w:r>
      <w:r w:rsidR="00BA3015">
        <w:rPr>
          <w:sz w:val="24"/>
          <w:szCs w:val="24"/>
        </w:rPr>
        <w:lastRenderedPageBreak/>
        <w:t xml:space="preserve">negligence had increased </w:t>
      </w:r>
      <w:r w:rsidR="00405C76">
        <w:rPr>
          <w:sz w:val="24"/>
          <w:szCs w:val="24"/>
        </w:rPr>
        <w:t>following the Hillsborough disaster the leading case was ‘</w:t>
      </w:r>
      <w:r w:rsidR="00405C76" w:rsidRPr="00405C76">
        <w:rPr>
          <w:i/>
          <w:iCs/>
          <w:sz w:val="24"/>
          <w:szCs w:val="24"/>
        </w:rPr>
        <w:t>Alcock v Chief Constable of South Yorkshire Police’</w:t>
      </w:r>
      <w:r w:rsidR="00405C76">
        <w:rPr>
          <w:sz w:val="24"/>
          <w:szCs w:val="24"/>
        </w:rPr>
        <w:t xml:space="preserve"> (1991) where officers received compensation however all but one of the claims failed</w:t>
      </w:r>
      <w:r w:rsidR="001E7874">
        <w:rPr>
          <w:sz w:val="24"/>
          <w:szCs w:val="24"/>
        </w:rPr>
        <w:t xml:space="preserve"> in claims of post-traumatic stress disorder (PTSD) despite admitting that deaths and injuries of fans were caused by negligence of the defendants (police officers). The Judicial Committee of the House of Lords laid down that </w:t>
      </w:r>
      <w:r w:rsidR="004B3A83">
        <w:rPr>
          <w:sz w:val="24"/>
          <w:szCs w:val="24"/>
        </w:rPr>
        <w:t xml:space="preserve">in addition to proving a negligently caused psychiatric injury </w:t>
      </w:r>
      <w:r w:rsidR="0001031A">
        <w:rPr>
          <w:sz w:val="24"/>
          <w:szCs w:val="24"/>
        </w:rPr>
        <w:t>a secondary victim must show “(1) that he or she had close ties of love and affection to the primary victim, (2) that he or she was close in time and space to the incident or its</w:t>
      </w:r>
      <w:r w:rsidR="00CA2D96">
        <w:rPr>
          <w:sz w:val="24"/>
          <w:szCs w:val="24"/>
        </w:rPr>
        <w:t xml:space="preserve"> immediate aftermath, and (3) that he or she </w:t>
      </w:r>
      <w:r w:rsidR="00DA6018">
        <w:rPr>
          <w:sz w:val="24"/>
          <w:szCs w:val="24"/>
        </w:rPr>
        <w:t>saw or heard the incident through his or her own unaided senses rather than for example being told by a third party. Only one of sixteen claimants satisfied all three requirements</w:t>
      </w:r>
      <w:r w:rsidR="005E7D0E">
        <w:rPr>
          <w:sz w:val="24"/>
          <w:szCs w:val="24"/>
        </w:rPr>
        <w:t xml:space="preserve"> (House of Lords, 1999)</w:t>
      </w:r>
    </w:p>
    <w:p w14:paraId="5456E6F0" w14:textId="3697E747" w:rsidR="00DF5646" w:rsidRDefault="00DF5646" w:rsidP="002D6E78">
      <w:pPr>
        <w:rPr>
          <w:sz w:val="24"/>
          <w:szCs w:val="24"/>
        </w:rPr>
      </w:pPr>
      <w:r>
        <w:rPr>
          <w:sz w:val="24"/>
          <w:szCs w:val="24"/>
        </w:rPr>
        <w:t xml:space="preserve">Andrew and John Burrows noted problems with </w:t>
      </w:r>
      <w:r w:rsidR="00683B5F">
        <w:rPr>
          <w:sz w:val="24"/>
          <w:szCs w:val="24"/>
        </w:rPr>
        <w:t xml:space="preserve">the control mechanisms, </w:t>
      </w:r>
      <w:r w:rsidR="0049525B">
        <w:rPr>
          <w:sz w:val="24"/>
          <w:szCs w:val="24"/>
        </w:rPr>
        <w:t>citing the World Health Organisation’s ICD-10 classification of mental behavioural disorder: “I</w:t>
      </w:r>
      <w:r w:rsidR="0049525B" w:rsidRPr="0049525B">
        <w:rPr>
          <w:sz w:val="24"/>
          <w:szCs w:val="24"/>
        </w:rPr>
        <w:t>n the context of adjustment disorder, as opposed to PTSD, it makes little sense to insist on a sudden shocking event requirement. Indeed, the Law Commission pointed out that applying one of the two main psychiatric diagnostic classificatory schemes (the International Classification of Diseases, ICD-10), the stressor for an adjustment disorder must not be of an unusual or catastrophic type.</w:t>
      </w:r>
      <w:r w:rsidR="0049525B">
        <w:rPr>
          <w:sz w:val="24"/>
          <w:szCs w:val="24"/>
        </w:rPr>
        <w:t>”</w:t>
      </w:r>
      <w:r w:rsidR="00485C99">
        <w:rPr>
          <w:sz w:val="24"/>
          <w:szCs w:val="24"/>
        </w:rPr>
        <w:t xml:space="preserve"> (</w:t>
      </w:r>
      <w:r w:rsidR="009C334F">
        <w:rPr>
          <w:sz w:val="24"/>
          <w:szCs w:val="24"/>
        </w:rPr>
        <w:t>WHO</w:t>
      </w:r>
      <w:r w:rsidR="00DB4A6F">
        <w:rPr>
          <w:sz w:val="24"/>
          <w:szCs w:val="24"/>
        </w:rPr>
        <w:t xml:space="preserve"> </w:t>
      </w:r>
      <w:r w:rsidR="00485C99">
        <w:rPr>
          <w:sz w:val="24"/>
          <w:szCs w:val="24"/>
        </w:rPr>
        <w:t>ICD-10, 1992)</w:t>
      </w:r>
    </w:p>
    <w:p w14:paraId="4D8DE2A2" w14:textId="0CEF12AD" w:rsidR="000339C1" w:rsidRDefault="000339C1" w:rsidP="002C2975">
      <w:pPr>
        <w:rPr>
          <w:sz w:val="24"/>
          <w:szCs w:val="24"/>
        </w:rPr>
      </w:pPr>
      <w:r>
        <w:rPr>
          <w:sz w:val="24"/>
          <w:szCs w:val="24"/>
        </w:rPr>
        <w:t xml:space="preserve">The Law Commission </w:t>
      </w:r>
      <w:r w:rsidR="00D07221">
        <w:rPr>
          <w:sz w:val="24"/>
          <w:szCs w:val="24"/>
        </w:rPr>
        <w:t>carefully</w:t>
      </w:r>
      <w:r w:rsidR="00DF5646">
        <w:rPr>
          <w:sz w:val="24"/>
          <w:szCs w:val="24"/>
        </w:rPr>
        <w:t xml:space="preserve"> </w:t>
      </w:r>
      <w:r w:rsidR="00D07221">
        <w:rPr>
          <w:sz w:val="24"/>
          <w:szCs w:val="24"/>
        </w:rPr>
        <w:t>analysed</w:t>
      </w:r>
      <w:r w:rsidR="00DF5646">
        <w:rPr>
          <w:sz w:val="24"/>
          <w:szCs w:val="24"/>
        </w:rPr>
        <w:t xml:space="preserve"> arguments for and against the </w:t>
      </w:r>
      <w:r w:rsidR="00D07221">
        <w:rPr>
          <w:sz w:val="24"/>
          <w:szCs w:val="24"/>
        </w:rPr>
        <w:t>retaining</w:t>
      </w:r>
      <w:r w:rsidR="00DF5646">
        <w:rPr>
          <w:sz w:val="24"/>
          <w:szCs w:val="24"/>
        </w:rPr>
        <w:t xml:space="preserve"> of ‘sudden shocking event’</w:t>
      </w:r>
      <w:r w:rsidR="00A46CAC">
        <w:rPr>
          <w:sz w:val="24"/>
          <w:szCs w:val="24"/>
        </w:rPr>
        <w:t xml:space="preserve"> in</w:t>
      </w:r>
      <w:r>
        <w:rPr>
          <w:sz w:val="24"/>
          <w:szCs w:val="24"/>
        </w:rPr>
        <w:t xml:space="preserve"> a report in 1998 on </w:t>
      </w:r>
      <w:r w:rsidR="00A46CAC">
        <w:rPr>
          <w:sz w:val="24"/>
          <w:szCs w:val="24"/>
        </w:rPr>
        <w:t>“</w:t>
      </w:r>
      <w:r>
        <w:rPr>
          <w:sz w:val="24"/>
          <w:szCs w:val="24"/>
        </w:rPr>
        <w:t xml:space="preserve">Liability for </w:t>
      </w:r>
      <w:r w:rsidR="00816E39">
        <w:rPr>
          <w:sz w:val="24"/>
          <w:szCs w:val="24"/>
        </w:rPr>
        <w:t xml:space="preserve">Psychiatric Illness” </w:t>
      </w:r>
      <w:r w:rsidR="00A46CAC">
        <w:rPr>
          <w:sz w:val="24"/>
          <w:szCs w:val="24"/>
        </w:rPr>
        <w:t xml:space="preserve">following a 1995 consultation paper and </w:t>
      </w:r>
      <w:r w:rsidR="00D07221">
        <w:rPr>
          <w:sz w:val="24"/>
          <w:szCs w:val="24"/>
        </w:rPr>
        <w:t>suggested</w:t>
      </w:r>
      <w:r w:rsidR="00DF5646">
        <w:rPr>
          <w:sz w:val="24"/>
          <w:szCs w:val="24"/>
        </w:rPr>
        <w:t xml:space="preserve"> the abolition of all the requirement except for the first one (that the claimant must have close ties)</w:t>
      </w:r>
      <w:r w:rsidR="00A46CAC">
        <w:rPr>
          <w:sz w:val="24"/>
          <w:szCs w:val="24"/>
        </w:rPr>
        <w:t xml:space="preserve">. Its </w:t>
      </w:r>
      <w:r w:rsidR="00450CC0">
        <w:rPr>
          <w:sz w:val="24"/>
          <w:szCs w:val="24"/>
        </w:rPr>
        <w:t xml:space="preserve">reasoning is “if the sole reason was to limit the claimants than it was a very crude method of doing so, the requirement makes no sense from a medical point of view and 66% of those who responded to the Law Commission’s consultation paper favoured abandoning the requirement” </w:t>
      </w:r>
      <w:r w:rsidR="00EB31F1">
        <w:rPr>
          <w:sz w:val="24"/>
          <w:szCs w:val="24"/>
        </w:rPr>
        <w:t>(</w:t>
      </w:r>
      <w:r w:rsidR="00EB31F1" w:rsidRPr="00EB31F1">
        <w:rPr>
          <w:sz w:val="24"/>
          <w:szCs w:val="24"/>
        </w:rPr>
        <w:t>Law Commission</w:t>
      </w:r>
      <w:r w:rsidR="00E3265B">
        <w:rPr>
          <w:sz w:val="24"/>
          <w:szCs w:val="24"/>
        </w:rPr>
        <w:t xml:space="preserve">, 1998, </w:t>
      </w:r>
      <w:r w:rsidR="00EB31F1" w:rsidRPr="00EB31F1">
        <w:rPr>
          <w:sz w:val="24"/>
          <w:szCs w:val="24"/>
        </w:rPr>
        <w:t>Liability for Psychiatric Illnes</w:t>
      </w:r>
      <w:r w:rsidR="00EB31F1">
        <w:rPr>
          <w:sz w:val="24"/>
          <w:szCs w:val="24"/>
        </w:rPr>
        <w:t>s). However,</w:t>
      </w:r>
      <w:r w:rsidR="00450CC0">
        <w:rPr>
          <w:sz w:val="24"/>
          <w:szCs w:val="24"/>
        </w:rPr>
        <w:t xml:space="preserve"> the UK Government decided not to proceed</w:t>
      </w:r>
      <w:r w:rsidR="00D07221">
        <w:rPr>
          <w:sz w:val="24"/>
          <w:szCs w:val="24"/>
        </w:rPr>
        <w:t xml:space="preserve"> </w:t>
      </w:r>
      <w:r w:rsidR="00450CC0">
        <w:rPr>
          <w:sz w:val="24"/>
          <w:szCs w:val="24"/>
        </w:rPr>
        <w:t xml:space="preserve">with the recommendations on the basis that </w:t>
      </w:r>
      <w:r w:rsidR="002C2975">
        <w:rPr>
          <w:sz w:val="24"/>
          <w:szCs w:val="24"/>
        </w:rPr>
        <w:t>“</w:t>
      </w:r>
      <w:r w:rsidR="002C2975" w:rsidRPr="002C2975">
        <w:rPr>
          <w:sz w:val="24"/>
          <w:szCs w:val="24"/>
        </w:rPr>
        <w:t>the Department for Constitutional Affairs rejected this, noting that the courts had adopted a more flexible approach, and proposing to leave this area to the courts.</w:t>
      </w:r>
      <w:r w:rsidR="002C2975">
        <w:rPr>
          <w:sz w:val="24"/>
          <w:szCs w:val="24"/>
        </w:rPr>
        <w:t>”</w:t>
      </w:r>
      <w:r w:rsidR="00EB31F1">
        <w:rPr>
          <w:sz w:val="24"/>
          <w:szCs w:val="24"/>
        </w:rPr>
        <w:t xml:space="preserve"> (</w:t>
      </w:r>
      <w:r w:rsidR="00EB31F1" w:rsidRPr="00EB31F1">
        <w:rPr>
          <w:sz w:val="24"/>
          <w:szCs w:val="24"/>
        </w:rPr>
        <w:t>Law Commission, Forty–Fourth Annual Report</w:t>
      </w:r>
      <w:r w:rsidR="00E3265B">
        <w:rPr>
          <w:sz w:val="24"/>
          <w:szCs w:val="24"/>
        </w:rPr>
        <w:t xml:space="preserve">, </w:t>
      </w:r>
      <w:r w:rsidR="00EB31F1" w:rsidRPr="00EB31F1">
        <w:rPr>
          <w:sz w:val="24"/>
          <w:szCs w:val="24"/>
        </w:rPr>
        <w:t>2010</w:t>
      </w:r>
      <w:r w:rsidR="00EB31F1">
        <w:rPr>
          <w:sz w:val="24"/>
          <w:szCs w:val="24"/>
        </w:rPr>
        <w:t>)</w:t>
      </w:r>
      <w:r w:rsidR="006D5D60">
        <w:rPr>
          <w:sz w:val="24"/>
          <w:szCs w:val="24"/>
        </w:rPr>
        <w:t xml:space="preserve">. </w:t>
      </w:r>
    </w:p>
    <w:p w14:paraId="6B68F5BA" w14:textId="3BE6BA8F" w:rsidR="00283B29" w:rsidRDefault="00283B29" w:rsidP="00283B29">
      <w:pPr>
        <w:rPr>
          <w:sz w:val="24"/>
          <w:szCs w:val="24"/>
        </w:rPr>
      </w:pPr>
      <w:r>
        <w:rPr>
          <w:sz w:val="24"/>
          <w:szCs w:val="24"/>
        </w:rPr>
        <w:t>Miles Manderson a clinical psychologist wrote “</w:t>
      </w:r>
      <w:r w:rsidRPr="00283B29">
        <w:rPr>
          <w:sz w:val="24"/>
          <w:szCs w:val="24"/>
        </w:rPr>
        <w:t>Psychological reactions to a traumatic</w:t>
      </w:r>
      <w:r>
        <w:rPr>
          <w:sz w:val="24"/>
          <w:szCs w:val="24"/>
        </w:rPr>
        <w:t xml:space="preserve"> </w:t>
      </w:r>
      <w:r w:rsidRPr="00283B29">
        <w:rPr>
          <w:sz w:val="24"/>
          <w:szCs w:val="24"/>
        </w:rPr>
        <w:t>episode do develop over time, partly as a result of the subject’s ability to reflect on past</w:t>
      </w:r>
      <w:r>
        <w:rPr>
          <w:sz w:val="24"/>
          <w:szCs w:val="24"/>
        </w:rPr>
        <w:t xml:space="preserve"> </w:t>
      </w:r>
      <w:r w:rsidRPr="00283B29">
        <w:rPr>
          <w:sz w:val="24"/>
          <w:szCs w:val="24"/>
        </w:rPr>
        <w:t>events and anticipate future events and to consider their implications (processes which</w:t>
      </w:r>
      <w:r>
        <w:rPr>
          <w:sz w:val="24"/>
          <w:szCs w:val="24"/>
        </w:rPr>
        <w:t xml:space="preserve"> </w:t>
      </w:r>
      <w:r w:rsidRPr="00283B29">
        <w:rPr>
          <w:sz w:val="24"/>
          <w:szCs w:val="24"/>
        </w:rPr>
        <w:t>themselves take place over time), and partly because the traumatic episode may be</w:t>
      </w:r>
      <w:r>
        <w:rPr>
          <w:sz w:val="24"/>
          <w:szCs w:val="24"/>
        </w:rPr>
        <w:t xml:space="preserve"> </w:t>
      </w:r>
      <w:r w:rsidRPr="00283B29">
        <w:rPr>
          <w:sz w:val="24"/>
          <w:szCs w:val="24"/>
        </w:rPr>
        <w:t>protracted before the final outcome is known</w:t>
      </w:r>
      <w:r>
        <w:rPr>
          <w:sz w:val="24"/>
          <w:szCs w:val="24"/>
        </w:rPr>
        <w:t>”</w:t>
      </w:r>
      <w:r w:rsidR="006D5D60">
        <w:rPr>
          <w:sz w:val="24"/>
          <w:szCs w:val="24"/>
        </w:rPr>
        <w:t>, in the same report Professor Simon Wessley pointed out that “sudden event is not the only accepted percipient of psychiatric disorder nor is it the most common” (</w:t>
      </w:r>
      <w:r w:rsidR="006D5D60" w:rsidRPr="00EB31F1">
        <w:rPr>
          <w:sz w:val="24"/>
          <w:szCs w:val="24"/>
        </w:rPr>
        <w:t>Law Commission</w:t>
      </w:r>
      <w:r w:rsidR="006D5D60">
        <w:rPr>
          <w:sz w:val="24"/>
          <w:szCs w:val="24"/>
        </w:rPr>
        <w:t xml:space="preserve">, 1998, </w:t>
      </w:r>
      <w:r w:rsidR="006D5D60" w:rsidRPr="00EB31F1">
        <w:rPr>
          <w:sz w:val="24"/>
          <w:szCs w:val="24"/>
        </w:rPr>
        <w:t>Liability for Psychiatric Illnes</w:t>
      </w:r>
      <w:r w:rsidR="006D5D60">
        <w:rPr>
          <w:sz w:val="24"/>
          <w:szCs w:val="24"/>
        </w:rPr>
        <w:t>s)</w:t>
      </w:r>
    </w:p>
    <w:p w14:paraId="09F4A1F6" w14:textId="00D07E3E" w:rsidR="00D26C48" w:rsidRPr="00D26C48" w:rsidRDefault="00D26C48" w:rsidP="002D6E78">
      <w:pPr>
        <w:rPr>
          <w:b/>
          <w:bCs/>
          <w:sz w:val="24"/>
          <w:szCs w:val="24"/>
          <w:u w:val="single"/>
        </w:rPr>
      </w:pPr>
      <w:r w:rsidRPr="00D26C48">
        <w:rPr>
          <w:b/>
          <w:bCs/>
          <w:sz w:val="24"/>
          <w:szCs w:val="24"/>
          <w:u w:val="single"/>
        </w:rPr>
        <w:t>References</w:t>
      </w:r>
    </w:p>
    <w:p w14:paraId="7045068B" w14:textId="6A2B8426" w:rsidR="00D26C48" w:rsidRDefault="00D26C48" w:rsidP="002D6E78">
      <w:pPr>
        <w:rPr>
          <w:sz w:val="24"/>
          <w:szCs w:val="24"/>
        </w:rPr>
      </w:pPr>
      <w:r w:rsidRPr="00D26C48">
        <w:rPr>
          <w:i/>
          <w:iCs/>
          <w:sz w:val="24"/>
          <w:szCs w:val="24"/>
        </w:rPr>
        <w:t>Vaughan v Menlove</w:t>
      </w:r>
      <w:r w:rsidRPr="00D26C48">
        <w:rPr>
          <w:sz w:val="24"/>
          <w:szCs w:val="24"/>
        </w:rPr>
        <w:t xml:space="preserve"> </w:t>
      </w:r>
      <w:r w:rsidR="00224428">
        <w:rPr>
          <w:sz w:val="24"/>
          <w:szCs w:val="24"/>
        </w:rPr>
        <w:t>[</w:t>
      </w:r>
      <w:r w:rsidRPr="00D26C48">
        <w:rPr>
          <w:sz w:val="24"/>
          <w:szCs w:val="24"/>
        </w:rPr>
        <w:t>1837</w:t>
      </w:r>
      <w:r w:rsidR="00224428">
        <w:rPr>
          <w:sz w:val="24"/>
          <w:szCs w:val="24"/>
        </w:rPr>
        <w:t>]</w:t>
      </w:r>
      <w:r w:rsidR="00CE1C92">
        <w:rPr>
          <w:sz w:val="24"/>
          <w:szCs w:val="24"/>
        </w:rPr>
        <w:t xml:space="preserve"> 3 Bing. N.C. 467</w:t>
      </w:r>
    </w:p>
    <w:p w14:paraId="26E6A757" w14:textId="5193EFB5" w:rsidR="00361A5A" w:rsidRPr="006C105E" w:rsidRDefault="00361A5A" w:rsidP="002D6E78">
      <w:pPr>
        <w:rPr>
          <w:sz w:val="24"/>
          <w:szCs w:val="24"/>
        </w:rPr>
      </w:pPr>
      <w:r w:rsidRPr="00A951F4">
        <w:rPr>
          <w:i/>
          <w:iCs/>
          <w:sz w:val="24"/>
          <w:szCs w:val="24"/>
        </w:rPr>
        <w:t xml:space="preserve">Nettleship v Weston </w:t>
      </w:r>
      <w:r w:rsidR="006C105E">
        <w:rPr>
          <w:sz w:val="24"/>
          <w:szCs w:val="24"/>
        </w:rPr>
        <w:t>[</w:t>
      </w:r>
      <w:r w:rsidRPr="006C105E">
        <w:rPr>
          <w:sz w:val="24"/>
          <w:szCs w:val="24"/>
        </w:rPr>
        <w:t>1971</w:t>
      </w:r>
      <w:r w:rsidR="006C105E">
        <w:rPr>
          <w:sz w:val="24"/>
          <w:szCs w:val="24"/>
        </w:rPr>
        <w:t>] 3 WLR 370</w:t>
      </w:r>
    </w:p>
    <w:p w14:paraId="70C00C1D" w14:textId="3B654C26" w:rsidR="00361A5A" w:rsidRPr="0021646C" w:rsidRDefault="00361A5A" w:rsidP="002D6E78">
      <w:pPr>
        <w:rPr>
          <w:sz w:val="24"/>
          <w:szCs w:val="24"/>
        </w:rPr>
      </w:pPr>
      <w:r w:rsidRPr="00A951F4">
        <w:rPr>
          <w:i/>
          <w:iCs/>
          <w:sz w:val="24"/>
          <w:szCs w:val="24"/>
        </w:rPr>
        <w:t xml:space="preserve">Condon v Basi </w:t>
      </w:r>
      <w:r w:rsidR="006A6BAA">
        <w:rPr>
          <w:sz w:val="24"/>
          <w:szCs w:val="24"/>
        </w:rPr>
        <w:t>[</w:t>
      </w:r>
      <w:r w:rsidRPr="006A6BAA">
        <w:rPr>
          <w:sz w:val="24"/>
          <w:szCs w:val="24"/>
        </w:rPr>
        <w:t>1985</w:t>
      </w:r>
      <w:r w:rsidR="006A6BAA">
        <w:rPr>
          <w:sz w:val="24"/>
          <w:szCs w:val="24"/>
        </w:rPr>
        <w:t>]</w:t>
      </w:r>
      <w:r w:rsidR="0021646C">
        <w:rPr>
          <w:i/>
          <w:iCs/>
          <w:sz w:val="24"/>
          <w:szCs w:val="24"/>
        </w:rPr>
        <w:t xml:space="preserve"> </w:t>
      </w:r>
      <w:r w:rsidR="0021646C">
        <w:rPr>
          <w:sz w:val="24"/>
          <w:szCs w:val="24"/>
        </w:rPr>
        <w:t xml:space="preserve">EWCA </w:t>
      </w:r>
      <w:proofErr w:type="spellStart"/>
      <w:r w:rsidR="0021646C">
        <w:rPr>
          <w:sz w:val="24"/>
          <w:szCs w:val="24"/>
        </w:rPr>
        <w:t>Civ</w:t>
      </w:r>
      <w:proofErr w:type="spellEnd"/>
      <w:r w:rsidR="0021646C">
        <w:rPr>
          <w:sz w:val="24"/>
          <w:szCs w:val="24"/>
        </w:rPr>
        <w:t xml:space="preserve"> 12 </w:t>
      </w:r>
    </w:p>
    <w:p w14:paraId="49ECDFAD" w14:textId="4F3D9F06" w:rsidR="006B3221" w:rsidRDefault="00A951F4" w:rsidP="002D6E78">
      <w:pPr>
        <w:rPr>
          <w:sz w:val="24"/>
          <w:szCs w:val="24"/>
        </w:rPr>
      </w:pPr>
      <w:r w:rsidRPr="00A951F4">
        <w:rPr>
          <w:i/>
          <w:iCs/>
          <w:sz w:val="24"/>
          <w:szCs w:val="24"/>
        </w:rPr>
        <w:lastRenderedPageBreak/>
        <w:t xml:space="preserve">Blake v Galloway </w:t>
      </w:r>
      <w:r w:rsidR="006A6BAA" w:rsidRPr="006A6BAA">
        <w:rPr>
          <w:sz w:val="24"/>
          <w:szCs w:val="24"/>
        </w:rPr>
        <w:t>[</w:t>
      </w:r>
      <w:r w:rsidRPr="006A6BAA">
        <w:rPr>
          <w:sz w:val="24"/>
          <w:szCs w:val="24"/>
        </w:rPr>
        <w:t>2004</w:t>
      </w:r>
      <w:r w:rsidR="006A6BAA" w:rsidRPr="006A6BAA">
        <w:rPr>
          <w:sz w:val="24"/>
          <w:szCs w:val="24"/>
        </w:rPr>
        <w:t>]</w:t>
      </w:r>
      <w:r w:rsidRPr="006A6BAA">
        <w:rPr>
          <w:sz w:val="24"/>
          <w:szCs w:val="24"/>
        </w:rPr>
        <w:t xml:space="preserve"> </w:t>
      </w:r>
      <w:r w:rsidR="0021646C">
        <w:rPr>
          <w:sz w:val="24"/>
          <w:szCs w:val="24"/>
        </w:rPr>
        <w:t xml:space="preserve">EWCA </w:t>
      </w:r>
      <w:proofErr w:type="spellStart"/>
      <w:r w:rsidR="0021646C">
        <w:rPr>
          <w:sz w:val="24"/>
          <w:szCs w:val="24"/>
        </w:rPr>
        <w:t>Civ</w:t>
      </w:r>
      <w:proofErr w:type="spellEnd"/>
      <w:r w:rsidR="0021646C">
        <w:rPr>
          <w:sz w:val="24"/>
          <w:szCs w:val="24"/>
        </w:rPr>
        <w:t xml:space="preserve"> 814 </w:t>
      </w:r>
    </w:p>
    <w:p w14:paraId="0A0A801A" w14:textId="42CC37F4" w:rsidR="00A91D5D" w:rsidRDefault="00A91D5D" w:rsidP="002D6E78">
      <w:pPr>
        <w:rPr>
          <w:sz w:val="24"/>
          <w:szCs w:val="24"/>
        </w:rPr>
      </w:pPr>
      <w:r w:rsidRPr="008E3344">
        <w:rPr>
          <w:i/>
          <w:iCs/>
          <w:sz w:val="24"/>
          <w:szCs w:val="24"/>
        </w:rPr>
        <w:t>Paris v Stepney</w:t>
      </w:r>
      <w:r w:rsidRPr="00A91D5D">
        <w:rPr>
          <w:sz w:val="24"/>
          <w:szCs w:val="24"/>
        </w:rPr>
        <w:t xml:space="preserve"> </w:t>
      </w:r>
      <w:r w:rsidR="00803179" w:rsidRPr="00803179">
        <w:rPr>
          <w:sz w:val="24"/>
          <w:szCs w:val="24"/>
        </w:rPr>
        <w:t>[1951] AC 367 House of Lords</w:t>
      </w:r>
    </w:p>
    <w:p w14:paraId="70EAD8B9" w14:textId="2063232E" w:rsidR="00A91D5D" w:rsidRDefault="00A91D5D" w:rsidP="002D6E78">
      <w:pPr>
        <w:rPr>
          <w:sz w:val="24"/>
          <w:szCs w:val="24"/>
        </w:rPr>
      </w:pPr>
      <w:r w:rsidRPr="008E3344">
        <w:rPr>
          <w:i/>
          <w:iCs/>
          <w:sz w:val="24"/>
          <w:szCs w:val="24"/>
        </w:rPr>
        <w:t>Watt v Hertfordshire</w:t>
      </w:r>
      <w:r w:rsidRPr="00A91D5D">
        <w:rPr>
          <w:sz w:val="24"/>
          <w:szCs w:val="24"/>
        </w:rPr>
        <w:t xml:space="preserve"> </w:t>
      </w:r>
      <w:r w:rsidR="00203E9E" w:rsidRPr="00203E9E">
        <w:rPr>
          <w:sz w:val="24"/>
          <w:szCs w:val="24"/>
        </w:rPr>
        <w:t>[1954] 1 WLR 835</w:t>
      </w:r>
    </w:p>
    <w:p w14:paraId="430DA95F" w14:textId="7E278397" w:rsidR="008E3344" w:rsidRDefault="00810A9B" w:rsidP="002D6E78">
      <w:pPr>
        <w:rPr>
          <w:sz w:val="24"/>
          <w:szCs w:val="24"/>
        </w:rPr>
      </w:pPr>
      <w:r w:rsidRPr="00810A9B">
        <w:rPr>
          <w:i/>
          <w:iCs/>
          <w:sz w:val="24"/>
          <w:szCs w:val="24"/>
        </w:rPr>
        <w:t>Roe v Minister of Health</w:t>
      </w:r>
      <w:r w:rsidRPr="00810A9B">
        <w:rPr>
          <w:sz w:val="24"/>
          <w:szCs w:val="24"/>
        </w:rPr>
        <w:t xml:space="preserve"> [1954] 2 WLR 915</w:t>
      </w:r>
    </w:p>
    <w:p w14:paraId="28A32458" w14:textId="4CF02F24" w:rsidR="005D13AC" w:rsidRDefault="005D13AC" w:rsidP="002D6E78">
      <w:pPr>
        <w:rPr>
          <w:sz w:val="24"/>
          <w:szCs w:val="24"/>
        </w:rPr>
      </w:pPr>
      <w:r w:rsidRPr="005D13AC">
        <w:rPr>
          <w:i/>
          <w:iCs/>
          <w:sz w:val="24"/>
          <w:szCs w:val="24"/>
        </w:rPr>
        <w:t>Wilsher v Essex</w:t>
      </w:r>
      <w:r>
        <w:rPr>
          <w:sz w:val="24"/>
          <w:szCs w:val="24"/>
        </w:rPr>
        <w:t xml:space="preserve"> </w:t>
      </w:r>
      <w:r w:rsidR="00405C76">
        <w:rPr>
          <w:sz w:val="24"/>
          <w:szCs w:val="24"/>
        </w:rPr>
        <w:t>[</w:t>
      </w:r>
      <w:r>
        <w:rPr>
          <w:sz w:val="24"/>
          <w:szCs w:val="24"/>
        </w:rPr>
        <w:t>1988</w:t>
      </w:r>
      <w:r w:rsidR="00405C76">
        <w:rPr>
          <w:sz w:val="24"/>
          <w:szCs w:val="24"/>
        </w:rPr>
        <w:t>]</w:t>
      </w:r>
      <w:r w:rsidR="001E7874">
        <w:rPr>
          <w:sz w:val="24"/>
          <w:szCs w:val="24"/>
        </w:rPr>
        <w:t xml:space="preserve"> AC 1074</w:t>
      </w:r>
    </w:p>
    <w:p w14:paraId="354D5883" w14:textId="35C468D0" w:rsidR="008E3344" w:rsidRDefault="008E3344" w:rsidP="008E3344">
      <w:pPr>
        <w:rPr>
          <w:sz w:val="24"/>
          <w:szCs w:val="24"/>
        </w:rPr>
      </w:pPr>
      <w:r>
        <w:rPr>
          <w:sz w:val="24"/>
          <w:szCs w:val="24"/>
        </w:rPr>
        <w:t xml:space="preserve">Chan-Wei, R [2017] </w:t>
      </w:r>
      <w:r w:rsidR="00F65ACE">
        <w:rPr>
          <w:sz w:val="24"/>
          <w:szCs w:val="24"/>
        </w:rPr>
        <w:t>‘</w:t>
      </w:r>
      <w:r w:rsidRPr="00F65ACE">
        <w:rPr>
          <w:sz w:val="24"/>
          <w:szCs w:val="24"/>
        </w:rPr>
        <w:t>A Thing Less Likely to Do Mischief: An Alternative Application of the Rule in Rylands v Fletcher to ‘Ultra-Hazardous’ Activities</w:t>
      </w:r>
      <w:r w:rsidR="00F65ACE">
        <w:rPr>
          <w:sz w:val="24"/>
          <w:szCs w:val="24"/>
        </w:rPr>
        <w:t>’</w:t>
      </w:r>
    </w:p>
    <w:p w14:paraId="4BA5DC47" w14:textId="08E02A94" w:rsidR="00ED4281" w:rsidRDefault="006B3221" w:rsidP="002D6E78">
      <w:pPr>
        <w:rPr>
          <w:sz w:val="24"/>
          <w:szCs w:val="24"/>
        </w:rPr>
      </w:pPr>
      <w:r w:rsidRPr="005D13AC">
        <w:rPr>
          <w:i/>
          <w:iCs/>
          <w:sz w:val="24"/>
          <w:szCs w:val="24"/>
        </w:rPr>
        <w:t>Bolam v Friern Hospital Management Committee</w:t>
      </w:r>
      <w:r w:rsidR="00407E17">
        <w:rPr>
          <w:sz w:val="24"/>
          <w:szCs w:val="24"/>
        </w:rPr>
        <w:t xml:space="preserve"> [1957] 1 WLR 582</w:t>
      </w:r>
    </w:p>
    <w:p w14:paraId="1ACE18FB" w14:textId="3A5A9D94" w:rsidR="00DE0766" w:rsidRDefault="00DE0766" w:rsidP="002D6E78">
      <w:pPr>
        <w:rPr>
          <w:sz w:val="24"/>
          <w:szCs w:val="24"/>
        </w:rPr>
      </w:pPr>
      <w:r w:rsidRPr="005D13AC">
        <w:rPr>
          <w:i/>
          <w:iCs/>
          <w:sz w:val="24"/>
          <w:szCs w:val="24"/>
        </w:rPr>
        <w:t>Mullin v Richards</w:t>
      </w:r>
      <w:r>
        <w:rPr>
          <w:sz w:val="24"/>
          <w:szCs w:val="24"/>
        </w:rPr>
        <w:t xml:space="preserve"> [1998] 1 WLR 1304</w:t>
      </w:r>
    </w:p>
    <w:p w14:paraId="4EA2913E" w14:textId="3976844B" w:rsidR="00ED4281" w:rsidRDefault="00677BB0" w:rsidP="002D6E78">
      <w:pPr>
        <w:rPr>
          <w:sz w:val="24"/>
          <w:szCs w:val="24"/>
        </w:rPr>
      </w:pPr>
      <w:proofErr w:type="spellStart"/>
      <w:r>
        <w:rPr>
          <w:sz w:val="24"/>
          <w:szCs w:val="24"/>
        </w:rPr>
        <w:t>Stone.C</w:t>
      </w:r>
      <w:proofErr w:type="spellEnd"/>
      <w:r>
        <w:rPr>
          <w:sz w:val="24"/>
          <w:szCs w:val="24"/>
        </w:rPr>
        <w:t xml:space="preserve"> </w:t>
      </w:r>
      <w:r w:rsidR="00AD68CE">
        <w:rPr>
          <w:sz w:val="24"/>
          <w:szCs w:val="24"/>
        </w:rPr>
        <w:t>[</w:t>
      </w:r>
      <w:r>
        <w:rPr>
          <w:sz w:val="24"/>
          <w:szCs w:val="24"/>
        </w:rPr>
        <w:t>2012</w:t>
      </w:r>
      <w:r w:rsidR="00AD68CE">
        <w:rPr>
          <w:sz w:val="24"/>
          <w:szCs w:val="24"/>
        </w:rPr>
        <w:t>]</w:t>
      </w:r>
      <w:r>
        <w:rPr>
          <w:sz w:val="24"/>
          <w:szCs w:val="24"/>
        </w:rPr>
        <w:t xml:space="preserve"> ‘</w:t>
      </w:r>
      <w:r w:rsidR="006A5A6B" w:rsidRPr="006A5A6B">
        <w:rPr>
          <w:sz w:val="24"/>
          <w:szCs w:val="24"/>
        </w:rPr>
        <w:t>From Bolam to Bolitho - unravelling medical protectionism</w:t>
      </w:r>
      <w:r w:rsidR="006A5A6B">
        <w:rPr>
          <w:sz w:val="24"/>
          <w:szCs w:val="24"/>
        </w:rPr>
        <w:t>’ Page 5</w:t>
      </w:r>
    </w:p>
    <w:p w14:paraId="3B8797BF" w14:textId="00FFF6D6" w:rsidR="002B223D" w:rsidRDefault="004C1CAD" w:rsidP="002D6E78">
      <w:pPr>
        <w:rPr>
          <w:sz w:val="24"/>
          <w:szCs w:val="24"/>
        </w:rPr>
      </w:pPr>
      <w:r w:rsidRPr="005D13AC">
        <w:rPr>
          <w:i/>
          <w:iCs/>
          <w:sz w:val="24"/>
          <w:szCs w:val="24"/>
        </w:rPr>
        <w:t>Roberts v Ramsbottom</w:t>
      </w:r>
      <w:r w:rsidR="005D13AC">
        <w:rPr>
          <w:sz w:val="24"/>
          <w:szCs w:val="24"/>
        </w:rPr>
        <w:t xml:space="preserve"> </w:t>
      </w:r>
      <w:r w:rsidRPr="004C1CAD">
        <w:rPr>
          <w:sz w:val="24"/>
          <w:szCs w:val="24"/>
        </w:rPr>
        <w:t xml:space="preserve">[1980] </w:t>
      </w:r>
      <w:r>
        <w:rPr>
          <w:sz w:val="24"/>
          <w:szCs w:val="24"/>
        </w:rPr>
        <w:t>1 WLR 823</w:t>
      </w:r>
    </w:p>
    <w:p w14:paraId="0A9302C9" w14:textId="21AF9261" w:rsidR="002B223D" w:rsidRDefault="002B223D" w:rsidP="002D6E78">
      <w:pPr>
        <w:rPr>
          <w:sz w:val="24"/>
          <w:szCs w:val="24"/>
        </w:rPr>
      </w:pPr>
      <w:r w:rsidRPr="005D13AC">
        <w:rPr>
          <w:i/>
          <w:iCs/>
          <w:sz w:val="24"/>
          <w:szCs w:val="24"/>
        </w:rPr>
        <w:t>Mansfield v Weetabix</w:t>
      </w:r>
      <w:r w:rsidRPr="002B223D">
        <w:rPr>
          <w:sz w:val="24"/>
          <w:szCs w:val="24"/>
        </w:rPr>
        <w:t xml:space="preserve"> [1997]</w:t>
      </w:r>
      <w:r w:rsidR="000702E0">
        <w:rPr>
          <w:sz w:val="24"/>
          <w:szCs w:val="24"/>
        </w:rPr>
        <w:t xml:space="preserve"> EWCA </w:t>
      </w:r>
      <w:proofErr w:type="spellStart"/>
      <w:r w:rsidR="000702E0">
        <w:rPr>
          <w:sz w:val="24"/>
          <w:szCs w:val="24"/>
        </w:rPr>
        <w:t>Civ</w:t>
      </w:r>
      <w:proofErr w:type="spellEnd"/>
      <w:r w:rsidR="000702E0">
        <w:rPr>
          <w:sz w:val="24"/>
          <w:szCs w:val="24"/>
        </w:rPr>
        <w:t xml:space="preserve"> 1352</w:t>
      </w:r>
    </w:p>
    <w:p w14:paraId="07C185C7" w14:textId="5936AA60" w:rsidR="00405C76" w:rsidRDefault="00405C76" w:rsidP="002D6E78">
      <w:pPr>
        <w:rPr>
          <w:sz w:val="24"/>
          <w:szCs w:val="24"/>
        </w:rPr>
      </w:pPr>
      <w:r w:rsidRPr="00405C76">
        <w:rPr>
          <w:i/>
          <w:iCs/>
          <w:sz w:val="24"/>
          <w:szCs w:val="24"/>
        </w:rPr>
        <w:t>Alcock v Chief Constable of South Yorkshire Police</w:t>
      </w:r>
      <w:r>
        <w:rPr>
          <w:sz w:val="24"/>
          <w:szCs w:val="24"/>
        </w:rPr>
        <w:t xml:space="preserve"> [1991] 1 AC 310</w:t>
      </w:r>
    </w:p>
    <w:p w14:paraId="281FDB5E" w14:textId="29E6776A" w:rsidR="00405C76" w:rsidRDefault="00405C76" w:rsidP="00405C76">
      <w:pPr>
        <w:rPr>
          <w:sz w:val="24"/>
          <w:szCs w:val="24"/>
        </w:rPr>
      </w:pPr>
      <w:proofErr w:type="spellStart"/>
      <w:r>
        <w:rPr>
          <w:sz w:val="24"/>
          <w:szCs w:val="24"/>
        </w:rPr>
        <w:t>Burrows.A</w:t>
      </w:r>
      <w:proofErr w:type="spellEnd"/>
      <w:r w:rsidR="004B1DD3">
        <w:rPr>
          <w:sz w:val="24"/>
          <w:szCs w:val="24"/>
        </w:rPr>
        <w:t xml:space="preserve"> and Burrows.S</w:t>
      </w:r>
      <w:r w:rsidR="00AD68CE">
        <w:rPr>
          <w:sz w:val="24"/>
          <w:szCs w:val="24"/>
        </w:rPr>
        <w:t xml:space="preserve"> [2016]</w:t>
      </w:r>
      <w:r w:rsidR="004B1DD3">
        <w:rPr>
          <w:sz w:val="24"/>
          <w:szCs w:val="24"/>
        </w:rPr>
        <w:t xml:space="preserve"> ‘</w:t>
      </w:r>
      <w:r w:rsidR="004B1DD3" w:rsidRPr="004B1DD3">
        <w:rPr>
          <w:sz w:val="24"/>
          <w:szCs w:val="24"/>
        </w:rPr>
        <w:t xml:space="preserve">A </w:t>
      </w:r>
      <w:r w:rsidR="004B1DD3">
        <w:rPr>
          <w:sz w:val="24"/>
          <w:szCs w:val="24"/>
        </w:rPr>
        <w:t>Shocking</w:t>
      </w:r>
      <w:r w:rsidR="004B1DD3" w:rsidRPr="004B1DD3">
        <w:rPr>
          <w:sz w:val="24"/>
          <w:szCs w:val="24"/>
        </w:rPr>
        <w:t xml:space="preserve"> </w:t>
      </w:r>
      <w:r w:rsidR="004B1DD3">
        <w:rPr>
          <w:sz w:val="24"/>
          <w:szCs w:val="24"/>
        </w:rPr>
        <w:t>Requirement</w:t>
      </w:r>
      <w:r w:rsidR="004B1DD3" w:rsidRPr="004B1DD3">
        <w:rPr>
          <w:sz w:val="24"/>
          <w:szCs w:val="24"/>
        </w:rPr>
        <w:t xml:space="preserve"> </w:t>
      </w:r>
      <w:r w:rsidR="004B1DD3">
        <w:rPr>
          <w:sz w:val="24"/>
          <w:szCs w:val="24"/>
        </w:rPr>
        <w:t>in the Law</w:t>
      </w:r>
      <w:r w:rsidR="004B1DD3" w:rsidRPr="004B1DD3">
        <w:rPr>
          <w:sz w:val="24"/>
          <w:szCs w:val="24"/>
        </w:rPr>
        <w:t xml:space="preserve"> </w:t>
      </w:r>
      <w:r w:rsidR="004B1DD3">
        <w:rPr>
          <w:sz w:val="24"/>
          <w:szCs w:val="24"/>
        </w:rPr>
        <w:t>on</w:t>
      </w:r>
      <w:r w:rsidR="004B1DD3" w:rsidRPr="004B1DD3">
        <w:rPr>
          <w:sz w:val="24"/>
          <w:szCs w:val="24"/>
        </w:rPr>
        <w:t xml:space="preserve"> </w:t>
      </w:r>
      <w:r w:rsidR="004B1DD3">
        <w:rPr>
          <w:sz w:val="24"/>
          <w:szCs w:val="24"/>
        </w:rPr>
        <w:t>N</w:t>
      </w:r>
      <w:r w:rsidR="004B1DD3" w:rsidRPr="004B1DD3">
        <w:rPr>
          <w:sz w:val="24"/>
          <w:szCs w:val="24"/>
        </w:rPr>
        <w:t>egligence</w:t>
      </w:r>
      <w:r w:rsidR="004B1DD3">
        <w:rPr>
          <w:sz w:val="24"/>
          <w:szCs w:val="24"/>
        </w:rPr>
        <w:t xml:space="preserve"> Liability</w:t>
      </w:r>
      <w:r w:rsidR="004B1DD3" w:rsidRPr="004B1DD3">
        <w:rPr>
          <w:sz w:val="24"/>
          <w:szCs w:val="24"/>
        </w:rPr>
        <w:t xml:space="preserve"> </w:t>
      </w:r>
      <w:r w:rsidR="004B1DD3">
        <w:rPr>
          <w:sz w:val="24"/>
          <w:szCs w:val="24"/>
        </w:rPr>
        <w:t>for</w:t>
      </w:r>
      <w:r w:rsidR="004B1DD3" w:rsidRPr="004B1DD3">
        <w:rPr>
          <w:sz w:val="24"/>
          <w:szCs w:val="24"/>
        </w:rPr>
        <w:t xml:space="preserve"> </w:t>
      </w:r>
      <w:r w:rsidR="004B1DD3">
        <w:rPr>
          <w:sz w:val="24"/>
          <w:szCs w:val="24"/>
        </w:rPr>
        <w:t>Psychiatric</w:t>
      </w:r>
      <w:r w:rsidR="004B1DD3" w:rsidRPr="004B1DD3">
        <w:rPr>
          <w:sz w:val="24"/>
          <w:szCs w:val="24"/>
        </w:rPr>
        <w:t xml:space="preserve"> </w:t>
      </w:r>
      <w:r w:rsidR="004B1DD3">
        <w:rPr>
          <w:sz w:val="24"/>
          <w:szCs w:val="24"/>
        </w:rPr>
        <w:t>Illness’</w:t>
      </w:r>
    </w:p>
    <w:p w14:paraId="097FD602" w14:textId="45725366" w:rsidR="00E037EC" w:rsidRDefault="00E037EC" w:rsidP="00405C76">
      <w:pPr>
        <w:rPr>
          <w:sz w:val="24"/>
          <w:szCs w:val="24"/>
        </w:rPr>
      </w:pPr>
      <w:r>
        <w:rPr>
          <w:sz w:val="24"/>
          <w:szCs w:val="24"/>
        </w:rPr>
        <w:t>House of Lords 1999 ‘</w:t>
      </w:r>
      <w:r w:rsidRPr="00E037EC">
        <w:rPr>
          <w:sz w:val="24"/>
          <w:szCs w:val="24"/>
        </w:rPr>
        <w:t>Judgments -- White and Others v. Chief Constable of South Yorkshire and Others</w:t>
      </w:r>
      <w:r>
        <w:rPr>
          <w:sz w:val="24"/>
          <w:szCs w:val="24"/>
        </w:rPr>
        <w:t>’</w:t>
      </w:r>
      <w:r w:rsidR="00A82E22">
        <w:rPr>
          <w:sz w:val="24"/>
          <w:szCs w:val="24"/>
        </w:rPr>
        <w:t xml:space="preserve"> available at </w:t>
      </w:r>
      <w:hyperlink r:id="rId4" w:history="1">
        <w:r w:rsidR="00A82E22" w:rsidRPr="00FB33AF">
          <w:rPr>
            <w:rStyle w:val="Hyperlink"/>
            <w:sz w:val="24"/>
            <w:szCs w:val="24"/>
          </w:rPr>
          <w:t>https://publications.parliament.uk/pa/ld199899/ldjudgmt/jd981203/white01.htm</w:t>
        </w:r>
      </w:hyperlink>
      <w:r w:rsidR="00A82E22">
        <w:rPr>
          <w:sz w:val="24"/>
          <w:szCs w:val="24"/>
        </w:rPr>
        <w:t xml:space="preserve"> </w:t>
      </w:r>
    </w:p>
    <w:p w14:paraId="4C62A5F7" w14:textId="13727B07" w:rsidR="00F624FD" w:rsidRDefault="00F624FD" w:rsidP="00405C76">
      <w:pPr>
        <w:rPr>
          <w:sz w:val="24"/>
          <w:szCs w:val="24"/>
        </w:rPr>
      </w:pPr>
      <w:r w:rsidRPr="0049525B">
        <w:rPr>
          <w:sz w:val="24"/>
          <w:szCs w:val="24"/>
        </w:rPr>
        <w:t>ICD-10 (1992), para. F43.2, p. 149, published by the World Health Organisation. The other main classificatory scheme is the Diagnostic and Statistical Manual of Mental Disorders, 2013 (DSM–V) published by the American Psychiatric Association.</w:t>
      </w:r>
    </w:p>
    <w:p w14:paraId="547503CE" w14:textId="4024105C" w:rsidR="00405C76" w:rsidRDefault="00405C76" w:rsidP="002D6E78">
      <w:pPr>
        <w:rPr>
          <w:sz w:val="24"/>
          <w:szCs w:val="24"/>
        </w:rPr>
      </w:pPr>
      <w:r>
        <w:rPr>
          <w:sz w:val="24"/>
          <w:szCs w:val="24"/>
        </w:rPr>
        <w:t>Law Commission</w:t>
      </w:r>
      <w:r w:rsidR="00A46CAC">
        <w:rPr>
          <w:sz w:val="24"/>
          <w:szCs w:val="24"/>
        </w:rPr>
        <w:t xml:space="preserve"> [1998] </w:t>
      </w:r>
      <w:r w:rsidR="00A46CAC" w:rsidRPr="001A0631">
        <w:rPr>
          <w:i/>
          <w:iCs/>
          <w:sz w:val="24"/>
          <w:szCs w:val="24"/>
        </w:rPr>
        <w:t>Liability for Psychiatric Illness</w:t>
      </w:r>
      <w:r w:rsidR="00A46CAC">
        <w:rPr>
          <w:sz w:val="24"/>
          <w:szCs w:val="24"/>
        </w:rPr>
        <w:t xml:space="preserve">. Available at </w:t>
      </w:r>
      <w:hyperlink r:id="rId5" w:history="1">
        <w:r w:rsidR="00035935" w:rsidRPr="00297E6F">
          <w:rPr>
            <w:rStyle w:val="Hyperlink"/>
            <w:sz w:val="24"/>
            <w:szCs w:val="24"/>
          </w:rPr>
          <w:t>https://www.lawcom.gov.uk/project/liability-for-psychiatric-illness/</w:t>
        </w:r>
      </w:hyperlink>
      <w:r w:rsidR="00035935">
        <w:rPr>
          <w:sz w:val="24"/>
          <w:szCs w:val="24"/>
        </w:rPr>
        <w:t xml:space="preserve"> </w:t>
      </w:r>
    </w:p>
    <w:p w14:paraId="4294810C" w14:textId="64D2B4E3" w:rsidR="002C2975" w:rsidRDefault="002C2975" w:rsidP="002D6E78">
      <w:pPr>
        <w:rPr>
          <w:sz w:val="24"/>
          <w:szCs w:val="24"/>
        </w:rPr>
      </w:pPr>
      <w:r w:rsidRPr="002C2975">
        <w:rPr>
          <w:sz w:val="24"/>
          <w:szCs w:val="24"/>
        </w:rPr>
        <w:t>Law Commission, Forty–Fourth Annual Report (2010), Law Com No. 323, at para. 3.11</w:t>
      </w:r>
      <w:r>
        <w:rPr>
          <w:sz w:val="24"/>
          <w:szCs w:val="24"/>
        </w:rPr>
        <w:t xml:space="preserve"> Available at </w:t>
      </w:r>
      <w:hyperlink r:id="rId6" w:history="1">
        <w:r w:rsidRPr="00297E6F">
          <w:rPr>
            <w:rStyle w:val="Hyperlink"/>
            <w:sz w:val="24"/>
            <w:szCs w:val="24"/>
          </w:rPr>
          <w:t>https://assets.publishing.service.gov.uk/government/uploads/system/uploads/attachment_data/file/247747/0127.pdf</w:t>
        </w:r>
      </w:hyperlink>
      <w:r>
        <w:rPr>
          <w:sz w:val="24"/>
          <w:szCs w:val="24"/>
        </w:rPr>
        <w:t xml:space="preserve"> </w:t>
      </w:r>
    </w:p>
    <w:p w14:paraId="6323CEB8" w14:textId="77777777" w:rsidR="004C1CAD" w:rsidRPr="0021646C" w:rsidRDefault="004C1CAD" w:rsidP="002D6E78">
      <w:pPr>
        <w:rPr>
          <w:sz w:val="24"/>
          <w:szCs w:val="24"/>
        </w:rPr>
      </w:pPr>
    </w:p>
    <w:p w14:paraId="4CA95838" w14:textId="77777777" w:rsidR="00AD14F3" w:rsidRPr="00AD14F3" w:rsidRDefault="00AD14F3" w:rsidP="00AD14F3"/>
    <w:sectPr w:rsidR="00AD14F3" w:rsidRPr="00AD1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F3"/>
    <w:rsid w:val="00001A17"/>
    <w:rsid w:val="00006CB1"/>
    <w:rsid w:val="0001031A"/>
    <w:rsid w:val="00015C8C"/>
    <w:rsid w:val="000244F5"/>
    <w:rsid w:val="000339C1"/>
    <w:rsid w:val="00035935"/>
    <w:rsid w:val="0004706D"/>
    <w:rsid w:val="000702E0"/>
    <w:rsid w:val="0008325A"/>
    <w:rsid w:val="000870B2"/>
    <w:rsid w:val="0009167D"/>
    <w:rsid w:val="000A6221"/>
    <w:rsid w:val="000C7E38"/>
    <w:rsid w:val="000D355D"/>
    <w:rsid w:val="000D4DD2"/>
    <w:rsid w:val="000E128A"/>
    <w:rsid w:val="000F3AA5"/>
    <w:rsid w:val="0010482D"/>
    <w:rsid w:val="00114898"/>
    <w:rsid w:val="00122904"/>
    <w:rsid w:val="00136EA4"/>
    <w:rsid w:val="00172A81"/>
    <w:rsid w:val="0017376E"/>
    <w:rsid w:val="001741EE"/>
    <w:rsid w:val="00182199"/>
    <w:rsid w:val="00185976"/>
    <w:rsid w:val="001A0631"/>
    <w:rsid w:val="001A4795"/>
    <w:rsid w:val="001A4B03"/>
    <w:rsid w:val="001B79FC"/>
    <w:rsid w:val="001E7874"/>
    <w:rsid w:val="00203E9E"/>
    <w:rsid w:val="0021646C"/>
    <w:rsid w:val="00224428"/>
    <w:rsid w:val="00233131"/>
    <w:rsid w:val="00235498"/>
    <w:rsid w:val="002705C0"/>
    <w:rsid w:val="00283B29"/>
    <w:rsid w:val="002A1A8E"/>
    <w:rsid w:val="002B223D"/>
    <w:rsid w:val="002C2975"/>
    <w:rsid w:val="002D6E78"/>
    <w:rsid w:val="002E1C5A"/>
    <w:rsid w:val="0031158B"/>
    <w:rsid w:val="003306CA"/>
    <w:rsid w:val="00334D82"/>
    <w:rsid w:val="00346E05"/>
    <w:rsid w:val="00361A5A"/>
    <w:rsid w:val="00385BA2"/>
    <w:rsid w:val="00393D6D"/>
    <w:rsid w:val="003A6805"/>
    <w:rsid w:val="003B3B28"/>
    <w:rsid w:val="003D641A"/>
    <w:rsid w:val="00405C76"/>
    <w:rsid w:val="00406894"/>
    <w:rsid w:val="00407E17"/>
    <w:rsid w:val="00410802"/>
    <w:rsid w:val="0041614C"/>
    <w:rsid w:val="004227D9"/>
    <w:rsid w:val="00434808"/>
    <w:rsid w:val="0043555A"/>
    <w:rsid w:val="00450CC0"/>
    <w:rsid w:val="00453088"/>
    <w:rsid w:val="00460A65"/>
    <w:rsid w:val="0046595D"/>
    <w:rsid w:val="00477A0D"/>
    <w:rsid w:val="00485C99"/>
    <w:rsid w:val="0049525B"/>
    <w:rsid w:val="004962D9"/>
    <w:rsid w:val="004B1DD3"/>
    <w:rsid w:val="004B3A83"/>
    <w:rsid w:val="004C1CAD"/>
    <w:rsid w:val="004E0230"/>
    <w:rsid w:val="004E593F"/>
    <w:rsid w:val="004F736A"/>
    <w:rsid w:val="005119AA"/>
    <w:rsid w:val="00561674"/>
    <w:rsid w:val="00577E6F"/>
    <w:rsid w:val="00583903"/>
    <w:rsid w:val="005A0211"/>
    <w:rsid w:val="005D13AC"/>
    <w:rsid w:val="005E7D0E"/>
    <w:rsid w:val="006034E0"/>
    <w:rsid w:val="00613397"/>
    <w:rsid w:val="00617333"/>
    <w:rsid w:val="006268A6"/>
    <w:rsid w:val="0065211C"/>
    <w:rsid w:val="00655AFE"/>
    <w:rsid w:val="00674E11"/>
    <w:rsid w:val="00675D5F"/>
    <w:rsid w:val="00677BB0"/>
    <w:rsid w:val="00683B5F"/>
    <w:rsid w:val="00683D13"/>
    <w:rsid w:val="006A5A6B"/>
    <w:rsid w:val="006A6BAA"/>
    <w:rsid w:val="006B3221"/>
    <w:rsid w:val="006C105E"/>
    <w:rsid w:val="006C1739"/>
    <w:rsid w:val="006C729C"/>
    <w:rsid w:val="006D5D60"/>
    <w:rsid w:val="006D641D"/>
    <w:rsid w:val="006F34EB"/>
    <w:rsid w:val="007123C3"/>
    <w:rsid w:val="00720BAF"/>
    <w:rsid w:val="0072638B"/>
    <w:rsid w:val="007354A0"/>
    <w:rsid w:val="00736CB6"/>
    <w:rsid w:val="00742944"/>
    <w:rsid w:val="0075033F"/>
    <w:rsid w:val="007536ED"/>
    <w:rsid w:val="00774662"/>
    <w:rsid w:val="00787864"/>
    <w:rsid w:val="00793A36"/>
    <w:rsid w:val="007C420F"/>
    <w:rsid w:val="007F5EA6"/>
    <w:rsid w:val="00803179"/>
    <w:rsid w:val="00810A9B"/>
    <w:rsid w:val="00811F17"/>
    <w:rsid w:val="00816E39"/>
    <w:rsid w:val="00847C14"/>
    <w:rsid w:val="00863DDF"/>
    <w:rsid w:val="008871D1"/>
    <w:rsid w:val="008B558D"/>
    <w:rsid w:val="008B66EC"/>
    <w:rsid w:val="008C6B92"/>
    <w:rsid w:val="008D71A2"/>
    <w:rsid w:val="008E3344"/>
    <w:rsid w:val="008E7E84"/>
    <w:rsid w:val="008F098F"/>
    <w:rsid w:val="00900EA7"/>
    <w:rsid w:val="00935BBA"/>
    <w:rsid w:val="009514C9"/>
    <w:rsid w:val="00970A39"/>
    <w:rsid w:val="00983348"/>
    <w:rsid w:val="0098509C"/>
    <w:rsid w:val="009B33D9"/>
    <w:rsid w:val="009C19C4"/>
    <w:rsid w:val="009C334F"/>
    <w:rsid w:val="009D442E"/>
    <w:rsid w:val="009E094D"/>
    <w:rsid w:val="00A263EC"/>
    <w:rsid w:val="00A32C63"/>
    <w:rsid w:val="00A36ECB"/>
    <w:rsid w:val="00A37B4E"/>
    <w:rsid w:val="00A42E3D"/>
    <w:rsid w:val="00A44F5D"/>
    <w:rsid w:val="00A46CAC"/>
    <w:rsid w:val="00A57BB5"/>
    <w:rsid w:val="00A71324"/>
    <w:rsid w:val="00A81A66"/>
    <w:rsid w:val="00A82E22"/>
    <w:rsid w:val="00A91D5D"/>
    <w:rsid w:val="00A951F4"/>
    <w:rsid w:val="00AA4492"/>
    <w:rsid w:val="00AB40B4"/>
    <w:rsid w:val="00AB7849"/>
    <w:rsid w:val="00AD14F3"/>
    <w:rsid w:val="00AD68CE"/>
    <w:rsid w:val="00AD7FD5"/>
    <w:rsid w:val="00AF5221"/>
    <w:rsid w:val="00B0037A"/>
    <w:rsid w:val="00B04B6F"/>
    <w:rsid w:val="00B27824"/>
    <w:rsid w:val="00B43FB7"/>
    <w:rsid w:val="00B4498D"/>
    <w:rsid w:val="00B51C07"/>
    <w:rsid w:val="00B66A6B"/>
    <w:rsid w:val="00B9129B"/>
    <w:rsid w:val="00B954F5"/>
    <w:rsid w:val="00B97CD6"/>
    <w:rsid w:val="00BA24B0"/>
    <w:rsid w:val="00BA3015"/>
    <w:rsid w:val="00BE2896"/>
    <w:rsid w:val="00C02429"/>
    <w:rsid w:val="00C266E5"/>
    <w:rsid w:val="00C77762"/>
    <w:rsid w:val="00C97244"/>
    <w:rsid w:val="00CA2D96"/>
    <w:rsid w:val="00CB6566"/>
    <w:rsid w:val="00CD5F33"/>
    <w:rsid w:val="00CE1C92"/>
    <w:rsid w:val="00D00056"/>
    <w:rsid w:val="00D07221"/>
    <w:rsid w:val="00D163F6"/>
    <w:rsid w:val="00D166E0"/>
    <w:rsid w:val="00D26C48"/>
    <w:rsid w:val="00D650E3"/>
    <w:rsid w:val="00D77CAC"/>
    <w:rsid w:val="00D8587C"/>
    <w:rsid w:val="00D85EE4"/>
    <w:rsid w:val="00D942A9"/>
    <w:rsid w:val="00DA1145"/>
    <w:rsid w:val="00DA5283"/>
    <w:rsid w:val="00DA6018"/>
    <w:rsid w:val="00DB4A6F"/>
    <w:rsid w:val="00DC4943"/>
    <w:rsid w:val="00DE0766"/>
    <w:rsid w:val="00DF07BE"/>
    <w:rsid w:val="00DF5646"/>
    <w:rsid w:val="00E037EC"/>
    <w:rsid w:val="00E10FD2"/>
    <w:rsid w:val="00E3265B"/>
    <w:rsid w:val="00E77AD3"/>
    <w:rsid w:val="00E936F2"/>
    <w:rsid w:val="00E951C0"/>
    <w:rsid w:val="00EA370E"/>
    <w:rsid w:val="00EA4E49"/>
    <w:rsid w:val="00EA7DCE"/>
    <w:rsid w:val="00EB31F1"/>
    <w:rsid w:val="00EC15BD"/>
    <w:rsid w:val="00ED4281"/>
    <w:rsid w:val="00EE7D0B"/>
    <w:rsid w:val="00EF3636"/>
    <w:rsid w:val="00F063FC"/>
    <w:rsid w:val="00F42B9F"/>
    <w:rsid w:val="00F43C85"/>
    <w:rsid w:val="00F624FD"/>
    <w:rsid w:val="00F62E14"/>
    <w:rsid w:val="00F65ACE"/>
    <w:rsid w:val="00F873BF"/>
    <w:rsid w:val="00F92A14"/>
    <w:rsid w:val="00F95614"/>
    <w:rsid w:val="00FB3B1E"/>
    <w:rsid w:val="00FD05F7"/>
    <w:rsid w:val="00FD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D9AF"/>
  <w15:chartTrackingRefBased/>
  <w15:docId w15:val="{E10FF965-E9D9-4B5D-BB48-8C6DFADA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935"/>
    <w:rPr>
      <w:color w:val="0563C1" w:themeColor="hyperlink"/>
      <w:u w:val="single"/>
    </w:rPr>
  </w:style>
  <w:style w:type="character" w:styleId="UnresolvedMention">
    <w:name w:val="Unresolved Mention"/>
    <w:basedOn w:val="DefaultParagraphFont"/>
    <w:uiPriority w:val="99"/>
    <w:semiHidden/>
    <w:unhideWhenUsed/>
    <w:rsid w:val="00035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247747/0127.pdf" TargetMode="External"/><Relationship Id="rId5" Type="http://schemas.openxmlformats.org/officeDocument/2006/relationships/hyperlink" Target="https://www.lawcom.gov.uk/project/liability-for-psychiatric-illness/" TargetMode="External"/><Relationship Id="rId4" Type="http://schemas.openxmlformats.org/officeDocument/2006/relationships/hyperlink" Target="https://publications.parliament.uk/pa/ld199899/ldjudgmt/jd981203/white0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1952</TotalTime>
  <Pages>5</Pages>
  <Words>2363</Words>
  <Characters>13471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310</cp:revision>
  <dcterms:created xsi:type="dcterms:W3CDTF">2021-10-18T16:17:00Z</dcterms:created>
  <dcterms:modified xsi:type="dcterms:W3CDTF">2021-11-05T11:36:00Z</dcterms:modified>
</cp:coreProperties>
</file>