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5B2CC" w14:textId="77777777" w:rsidR="001C27E1" w:rsidRPr="001C27E1" w:rsidRDefault="001C27E1" w:rsidP="001C27E1">
      <w:pPr>
        <w:suppressAutoHyphens/>
        <w:autoSpaceDN w:val="0"/>
        <w:spacing w:after="0" w:line="360" w:lineRule="auto"/>
        <w:contextualSpacing/>
        <w:jc w:val="both"/>
        <w:rPr>
          <w:rFonts w:ascii="Times New Roman" w:eastAsia="DengXian Light" w:hAnsi="Times New Roman" w:cs="Times New Roman"/>
          <w:spacing w:val="-10"/>
          <w:kern w:val="3"/>
          <w:sz w:val="28"/>
          <w:szCs w:val="28"/>
          <w14:ligatures w14:val="none"/>
        </w:rPr>
      </w:pPr>
      <w:r w:rsidRPr="001C27E1">
        <w:rPr>
          <w:rFonts w:ascii="Times New Roman" w:eastAsia="DengXian Light" w:hAnsi="Times New Roman" w:cs="Times New Roman"/>
          <w:spacing w:val="-10"/>
          <w:kern w:val="3"/>
          <w:sz w:val="28"/>
          <w:szCs w:val="28"/>
          <w14:ligatures w14:val="none"/>
        </w:rPr>
        <w:t>Module Code: Critically review the effect of digital/mobile technology and social media upon outdoor learning.</w:t>
      </w:r>
    </w:p>
    <w:p w14:paraId="75E92DB3" w14:textId="77777777" w:rsidR="001C27E1" w:rsidRPr="001C27E1" w:rsidRDefault="001C27E1" w:rsidP="001C27E1">
      <w:pPr>
        <w:suppressAutoHyphens/>
        <w:autoSpaceDN w:val="0"/>
        <w:spacing w:line="360" w:lineRule="auto"/>
        <w:jc w:val="both"/>
        <w:rPr>
          <w:rFonts w:ascii="Times New Roman" w:eastAsia="Calibri" w:hAnsi="Times New Roman" w:cs="Times New Roman"/>
          <w:kern w:val="3"/>
          <w:sz w:val="24"/>
          <w:szCs w:val="24"/>
          <w14:ligatures w14:val="none"/>
        </w:rPr>
      </w:pPr>
      <w:r w:rsidRPr="001C27E1">
        <w:rPr>
          <w:rFonts w:ascii="Times New Roman" w:eastAsia="Calibri" w:hAnsi="Times New Roman" w:cs="Times New Roman"/>
          <w:kern w:val="3"/>
          <w:sz w:val="24"/>
          <w:szCs w:val="24"/>
          <w14:ligatures w14:val="none"/>
        </w:rPr>
        <w:t>Student ID: 2100029</w:t>
      </w:r>
    </w:p>
    <w:p w14:paraId="0D8B13F5"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The term outdoor education is a location distinctive from most educational settings. By using the outdoor environment in an educational setting, a diverse learning opportunity is facilitated. Simon Priests’ definition of outdoor education in 1986 remains the most common representation. For Priest, outdoor education is composed of six primary points:  method for learning, it is experiential, it takes place outdoors, is holistic, it is based in interdisciplinary curricular, it is about relationship involving people and natural resources (Priest, 1986). Adventure education is education that takes place in the wilderness setting where nature and physical development promote interpersonal growth or enhance physical skill in outdoor pursuits (Ewert and </w:t>
      </w:r>
      <w:proofErr w:type="spellStart"/>
      <w:r w:rsidRPr="001C27E1">
        <w:rPr>
          <w:rFonts w:ascii="Times New Roman" w:eastAsia="Calibri" w:hAnsi="Times New Roman" w:cs="Times New Roman"/>
          <w:kern w:val="3"/>
          <w:sz w:val="24"/>
          <w:szCs w:val="24"/>
          <w14:ligatures w14:val="none"/>
        </w:rPr>
        <w:t>Sibthorp</w:t>
      </w:r>
      <w:proofErr w:type="spellEnd"/>
      <w:r w:rsidRPr="001C27E1">
        <w:rPr>
          <w:rFonts w:ascii="Times New Roman" w:eastAsia="Calibri" w:hAnsi="Times New Roman" w:cs="Times New Roman"/>
          <w:kern w:val="3"/>
          <w:sz w:val="24"/>
          <w:szCs w:val="24"/>
          <w14:ligatures w14:val="none"/>
        </w:rPr>
        <w:t>, 2014). The most popular agency associated with adventure education is outward bound which was founded in 1941 to save young lives directly threatened in World War II.  Outward Bound, a well-known outdoor practitioner aims to change lives by facing challenges and discovering strengths, considering values are better learned through experience than abstract teachings (Outward Bound, 2024). The pedagogical theory identified on OAE literature suggest that it is split into three categories, experiential learning, constructivism, and environmental education (</w:t>
      </w:r>
      <w:bookmarkStart w:id="0" w:name="_Hlk157873499"/>
      <w:r w:rsidRPr="001C27E1">
        <w:rPr>
          <w:rFonts w:ascii="Times New Roman" w:eastAsia="Calibri" w:hAnsi="Times New Roman" w:cs="Times New Roman"/>
          <w:kern w:val="3"/>
          <w:sz w:val="24"/>
          <w:szCs w:val="24"/>
          <w14:ligatures w14:val="none"/>
        </w:rPr>
        <w:t>Williams &amp; Wainwright, 2015</w:t>
      </w:r>
      <w:bookmarkEnd w:id="0"/>
      <w:r w:rsidRPr="001C27E1">
        <w:rPr>
          <w:rFonts w:ascii="Times New Roman" w:eastAsia="Calibri" w:hAnsi="Times New Roman" w:cs="Times New Roman"/>
          <w:kern w:val="3"/>
          <w:sz w:val="24"/>
          <w:szCs w:val="24"/>
          <w14:ligatures w14:val="none"/>
        </w:rPr>
        <w:t xml:space="preserve">). The first theory </w:t>
      </w:r>
      <w:bookmarkStart w:id="1" w:name="_Hlk157605976"/>
      <w:r w:rsidRPr="001C27E1">
        <w:rPr>
          <w:rFonts w:ascii="Times New Roman" w:eastAsia="Calibri" w:hAnsi="Times New Roman" w:cs="Times New Roman"/>
          <w:kern w:val="3"/>
          <w:sz w:val="24"/>
          <w:szCs w:val="24"/>
          <w14:ligatures w14:val="none"/>
        </w:rPr>
        <w:t xml:space="preserve">(Dewey, 1952; </w:t>
      </w:r>
      <w:bookmarkStart w:id="2" w:name="_Hlk158199254"/>
      <w:r w:rsidRPr="001C27E1">
        <w:rPr>
          <w:rFonts w:ascii="Times New Roman" w:eastAsia="Calibri" w:hAnsi="Times New Roman" w:cs="Times New Roman"/>
          <w:kern w:val="3"/>
          <w:sz w:val="24"/>
          <w:szCs w:val="24"/>
          <w14:ligatures w14:val="none"/>
        </w:rPr>
        <w:t>Parry &amp; Allison, 2020</w:t>
      </w:r>
      <w:bookmarkEnd w:id="2"/>
      <w:r w:rsidRPr="001C27E1">
        <w:rPr>
          <w:rFonts w:ascii="Times New Roman" w:eastAsia="Calibri" w:hAnsi="Times New Roman" w:cs="Times New Roman"/>
          <w:kern w:val="3"/>
          <w:sz w:val="24"/>
          <w:szCs w:val="24"/>
          <w14:ligatures w14:val="none"/>
        </w:rPr>
        <w:t xml:space="preserve">; Schroth, 2023) </w:t>
      </w:r>
      <w:bookmarkEnd w:id="1"/>
      <w:r w:rsidRPr="001C27E1">
        <w:rPr>
          <w:rFonts w:ascii="Times New Roman" w:eastAsia="Calibri" w:hAnsi="Times New Roman" w:cs="Times New Roman"/>
          <w:kern w:val="3"/>
          <w:sz w:val="24"/>
          <w:szCs w:val="24"/>
          <w14:ligatures w14:val="none"/>
        </w:rPr>
        <w:t xml:space="preserve">experiential theory highlights the importance of experience as the basis of all learning and the need to reflect on those experiences. </w:t>
      </w:r>
      <w:bookmarkStart w:id="3" w:name="_Hlk157605885"/>
      <w:r w:rsidRPr="001C27E1">
        <w:rPr>
          <w:rFonts w:ascii="Times New Roman" w:eastAsia="Calibri" w:hAnsi="Times New Roman" w:cs="Times New Roman"/>
          <w:kern w:val="3"/>
          <w:sz w:val="24"/>
          <w:szCs w:val="24"/>
          <w14:ligatures w14:val="none"/>
        </w:rPr>
        <w:t xml:space="preserve">The experience should be real, meaningful, and relevant to the pupil. </w:t>
      </w:r>
      <w:bookmarkEnd w:id="3"/>
      <w:r w:rsidRPr="001C27E1">
        <w:rPr>
          <w:rFonts w:ascii="Times New Roman" w:eastAsia="Calibri" w:hAnsi="Times New Roman" w:cs="Times New Roman"/>
          <w:kern w:val="3"/>
          <w:sz w:val="24"/>
          <w:szCs w:val="24"/>
          <w14:ligatures w14:val="none"/>
        </w:rPr>
        <w:t xml:space="preserve">The second theory </w:t>
      </w:r>
      <w:bookmarkStart w:id="4" w:name="_Hlk157873439"/>
      <w:r w:rsidRPr="001C27E1">
        <w:rPr>
          <w:rFonts w:ascii="Times New Roman" w:eastAsia="Calibri" w:hAnsi="Times New Roman" w:cs="Times New Roman"/>
          <w:kern w:val="3"/>
          <w:sz w:val="24"/>
          <w:szCs w:val="24"/>
          <w14:ligatures w14:val="none"/>
        </w:rPr>
        <w:t xml:space="preserve">(Roberts,2012) </w:t>
      </w:r>
      <w:bookmarkEnd w:id="4"/>
      <w:r w:rsidRPr="001C27E1">
        <w:rPr>
          <w:rFonts w:ascii="Times New Roman" w:eastAsia="Calibri" w:hAnsi="Times New Roman" w:cs="Times New Roman"/>
          <w:kern w:val="3"/>
          <w:sz w:val="24"/>
          <w:szCs w:val="24"/>
          <w14:ligatures w14:val="none"/>
        </w:rPr>
        <w:t xml:space="preserve">emphasises the process and situation, viewing learning as an active process in which knowledge is built by the learner. </w:t>
      </w:r>
      <w:bookmarkStart w:id="5" w:name="_Hlk157607099"/>
      <w:r w:rsidRPr="001C27E1">
        <w:rPr>
          <w:rFonts w:ascii="Times New Roman" w:eastAsia="Calibri" w:hAnsi="Times New Roman" w:cs="Times New Roman"/>
          <w:kern w:val="3"/>
          <w:sz w:val="24"/>
          <w:szCs w:val="24"/>
          <w14:ligatures w14:val="none"/>
        </w:rPr>
        <w:t>The third theory (Giroux, 1983) proposes that nature is our friend approach to the outdoors and promotes the ethical actions towards the environment in an educational setting.</w:t>
      </w:r>
    </w:p>
    <w:bookmarkEnd w:id="5"/>
    <w:p w14:paraId="2B894F15"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Over time, outdoor learning has evolved, incorporating advancements such as new equipment and technology to enhance experiences (Hills &amp; Thomas, 2019). The increasing influence of digital technology and social media has significantly contributed to the growing popularity of outdoor learning among the general population (Hills &amp; Thomas, 2019). However, a valid argument exists about whether technology usage might detract from the true essence of the outdoor experience, especially considering that, in contemporary times, the outdoors has become a primary means of escape for many (Humberstone &amp; Stan, 2012). This prompts a </w:t>
      </w:r>
      <w:r w:rsidRPr="001C27E1">
        <w:rPr>
          <w:rFonts w:ascii="Times New Roman" w:eastAsia="Calibri" w:hAnsi="Times New Roman" w:cs="Times New Roman"/>
          <w:kern w:val="3"/>
          <w:sz w:val="24"/>
          <w:szCs w:val="24"/>
          <w14:ligatures w14:val="none"/>
        </w:rPr>
        <w:lastRenderedPageBreak/>
        <w:t xml:space="preserve">debate on whether the impact of digital/mobile technology and social media is ultimately positive or negative. In this assignment, I will be critically reviewing the effect that digital/mobile technology and social media has upon outdoor learning. </w:t>
      </w:r>
    </w:p>
    <w:p w14:paraId="4DABB17E"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The historical evolution of technology in outdoor learning has changed the way people engage with nature (Hills &amp; Thomas, 2019) describes technology to be defined as commonplace items such as maps, compasses, and recording devices which were previously relied on to navigate and document their experiences. The start of the 21</w:t>
      </w:r>
      <w:r w:rsidRPr="001C27E1">
        <w:rPr>
          <w:rFonts w:ascii="Times New Roman" w:eastAsia="Calibri" w:hAnsi="Times New Roman" w:cs="Times New Roman"/>
          <w:kern w:val="3"/>
          <w:sz w:val="24"/>
          <w:szCs w:val="24"/>
          <w:vertAlign w:val="superscript"/>
          <w14:ligatures w14:val="none"/>
        </w:rPr>
        <w:t>st</w:t>
      </w:r>
      <w:r w:rsidRPr="001C27E1">
        <w:rPr>
          <w:rFonts w:ascii="Times New Roman" w:eastAsia="Calibri" w:hAnsi="Times New Roman" w:cs="Times New Roman"/>
          <w:kern w:val="3"/>
          <w:sz w:val="24"/>
          <w:szCs w:val="24"/>
          <w14:ligatures w14:val="none"/>
        </w:rPr>
        <w:t xml:space="preserve"> century marked a transformative period as digital technology such as mobile phones became the new commonplace item (Hills &amp; Thomas, 2019). This change in technology evolution made people incorporate digital tools into their outdoor pursuits. Handheld gadgets such as, cameras, GPS systems and digital watches, enabled individuals to engage with their technology during their outdoor activity further enhancing their experience. Enabling individuals to document their activities and using social media to post them (Hodkinson, 2015).</w:t>
      </w:r>
    </w:p>
    <w:p w14:paraId="4EC518F2"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color w:val="7030A0"/>
          <w:kern w:val="3"/>
          <w:sz w:val="24"/>
          <w:szCs w:val="24"/>
          <w14:ligatures w14:val="none"/>
        </w:rPr>
        <w:t>In</w:t>
      </w:r>
      <w:r w:rsidRPr="001C27E1">
        <w:rPr>
          <w:rFonts w:ascii="Times New Roman" w:eastAsia="Calibri" w:hAnsi="Times New Roman" w:cs="Times New Roman"/>
          <w:kern w:val="3"/>
          <w:sz w:val="24"/>
          <w:szCs w:val="24"/>
          <w14:ligatures w14:val="none"/>
        </w:rPr>
        <w:t xml:space="preserve"> the last decade, outdoor activities have evolved within technology. Especially since digital technology was introduced into outdoor equipment in the 1990s (Cuthbertson, 2004). Before this, skills such as axe and saw use and fire lighting were crucial abilities for outdoor learners living in nature (Cuthbertson, 2004). In more recent times, the Leave no Trace ethic has introduced a more modern style of living in the outdoors. Which switches these traditional skills into convenient items, such as gas stoves, removing the need for fire burning (Cuthbertson, 2004). Since this introduction to modern technology, there has become a shift in perception among outdoor learners. </w:t>
      </w:r>
      <w:bookmarkStart w:id="6" w:name="_Hlk157518296"/>
      <w:r w:rsidRPr="001C27E1">
        <w:rPr>
          <w:rFonts w:ascii="Times New Roman" w:eastAsia="Calibri" w:hAnsi="Times New Roman" w:cs="Times New Roman"/>
          <w:kern w:val="3"/>
          <w:sz w:val="24"/>
          <w:szCs w:val="24"/>
          <w14:ligatures w14:val="none"/>
        </w:rPr>
        <w:t>It is arguable that people have lost the skills and abilities that they needed to survive before modern technology</w:t>
      </w:r>
      <w:bookmarkEnd w:id="6"/>
      <w:r w:rsidRPr="001C27E1">
        <w:rPr>
          <w:rFonts w:ascii="Times New Roman" w:eastAsia="Calibri" w:hAnsi="Times New Roman" w:cs="Times New Roman"/>
          <w:color w:val="FF0000"/>
          <w:kern w:val="3"/>
          <w:sz w:val="24"/>
          <w:szCs w:val="24"/>
          <w14:ligatures w14:val="none"/>
        </w:rPr>
        <w:t xml:space="preserve"> </w:t>
      </w:r>
      <w:r w:rsidRPr="001C27E1">
        <w:rPr>
          <w:rFonts w:ascii="Times New Roman" w:eastAsia="Calibri" w:hAnsi="Times New Roman" w:cs="Times New Roman"/>
          <w:kern w:val="3"/>
          <w:sz w:val="24"/>
          <w:szCs w:val="24"/>
          <w14:ligatures w14:val="none"/>
        </w:rPr>
        <w:t>(Cuthbertson, 2004). And that by having this convenience at hand people are arguably at risk if all fails. An example of this is recent outdoor learners believing Mountain Rescue is a guaranteed safety, rather than serving as a last plan of action. By not carrying the appropriate skills with them when going mountain walking</w:t>
      </w:r>
      <w:bookmarkStart w:id="7" w:name="_Hlk157518279"/>
      <w:r w:rsidRPr="001C27E1">
        <w:rPr>
          <w:rFonts w:ascii="Times New Roman" w:eastAsia="Calibri" w:hAnsi="Times New Roman" w:cs="Times New Roman"/>
          <w:kern w:val="3"/>
          <w:sz w:val="24"/>
          <w:szCs w:val="24"/>
          <w14:ligatures w14:val="none"/>
        </w:rPr>
        <w:t xml:space="preserve"> (</w:t>
      </w:r>
      <w:bookmarkStart w:id="8" w:name="_Hlk157518479"/>
      <w:r w:rsidRPr="001C27E1">
        <w:rPr>
          <w:rFonts w:ascii="Times New Roman" w:eastAsia="Calibri" w:hAnsi="Times New Roman" w:cs="Times New Roman"/>
          <w:kern w:val="3"/>
          <w:sz w:val="24"/>
          <w:szCs w:val="24"/>
          <w14:ligatures w14:val="none"/>
        </w:rPr>
        <w:t>Cuthbertson, 2004)</w:t>
      </w:r>
      <w:bookmarkEnd w:id="7"/>
      <w:bookmarkEnd w:id="8"/>
      <w:r w:rsidRPr="001C27E1">
        <w:rPr>
          <w:rFonts w:ascii="Times New Roman" w:eastAsia="Calibri" w:hAnsi="Times New Roman" w:cs="Times New Roman"/>
          <w:kern w:val="3"/>
          <w:sz w:val="24"/>
          <w:szCs w:val="24"/>
          <w14:ligatures w14:val="none"/>
        </w:rPr>
        <w:t>.</w:t>
      </w:r>
    </w:p>
    <w:p w14:paraId="7A5AE483"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The impact in digital technology today and social media play a big part in young people’s identity creation. Young people can create an identity for themselves in a similar way to how one would decorate a bedroom and (Hodkinson, 2015) explores the bedroom analogy into the era of social media. He compares it to being given a room which can be furnished and decorated in an individual style. Hodkinson (2015) explains that social interaction occurs in a digital, online environment rather than in traditional physical spaces. As young people today would </w:t>
      </w:r>
      <w:r w:rsidRPr="001C27E1">
        <w:rPr>
          <w:rFonts w:ascii="Times New Roman" w:eastAsia="Calibri" w:hAnsi="Times New Roman" w:cs="Times New Roman"/>
          <w:kern w:val="3"/>
          <w:sz w:val="24"/>
          <w:szCs w:val="24"/>
          <w14:ligatures w14:val="none"/>
        </w:rPr>
        <w:lastRenderedPageBreak/>
        <w:t>rather spend time in their liminal space.  Social media platforms, such as Facebook, offer a wide range of communication channels, including status updates, photo tagging, comments, group posts, and personal messaging, where young people can express their likes and interests as well as meet other young people with similar interests. However, achieving privacy becomes challenging, as sharing publicly becomes the default approach on social media platforms. Young people have become reliant on constantly sharing what they are doing on social media, and they are struggling to make sense of who they are and how they fit into a society where audiences are invisible and anything they say or do can be taken out of context (Hodkinson, 2015). Today, the younger generation experience the world through their phone, by using ‘smart technology’ to talk, take photos, listen to music, and use social media (Hodges, 2021) as there is no experience without technology it can be a testimony for outdoor instructors to incorporate it into the delivery of their activities. Hodges, (2021) believes that the irony of doing so is enabling the technology generation to connect more to their smart phones than the natural environment around them. This has significance as contact with nature is reported to have psychological benefits such as reduced stress, improved attention, positive mental restoration and a direct physical health benefit like increased longevity and self-reported health</w:t>
      </w:r>
      <w:r w:rsidRPr="001C27E1">
        <w:rPr>
          <w:rFonts w:ascii="Times New Roman" w:eastAsia="Calibri" w:hAnsi="Times New Roman" w:cs="Times New Roman"/>
          <w:color w:val="2F5496"/>
          <w:kern w:val="3"/>
          <w:sz w:val="24"/>
          <w:szCs w:val="24"/>
          <w14:ligatures w14:val="none"/>
        </w:rPr>
        <w:t xml:space="preserve"> </w:t>
      </w:r>
      <w:r w:rsidRPr="001C27E1">
        <w:rPr>
          <w:rFonts w:ascii="Times New Roman" w:eastAsia="Calibri" w:hAnsi="Times New Roman" w:cs="Times New Roman"/>
          <w:kern w:val="3"/>
          <w:sz w:val="24"/>
          <w:szCs w:val="24"/>
          <w14:ligatures w14:val="none"/>
        </w:rPr>
        <w:t>(Grinde &amp; Patil, 2009).  Conversely nature-deficit is described to have links with increase in obesity attention disorders, and depression and has been linked to the decrease in nature exposure to children (Grinde &amp; Patil, 2009; Allen, 2016).  They considered that urban schools whose children were described to have poor behaviour benefited the most from a forest school experience (Grinde &amp; Patil, 2009; Allen, 2016) which shows the benefits associated with nature.  The children also had a better care for nature and protecting the environment, an approach to tackle the global warming crisis</w:t>
      </w:r>
      <w:r w:rsidRPr="001C27E1">
        <w:rPr>
          <w:rFonts w:ascii="Times New Roman" w:eastAsia="Calibri" w:hAnsi="Times New Roman" w:cs="Times New Roman"/>
          <w:color w:val="FFC000"/>
          <w:kern w:val="3"/>
          <w:sz w:val="24"/>
          <w:szCs w:val="24"/>
          <w14:ligatures w14:val="none"/>
        </w:rPr>
        <w:t xml:space="preserve"> </w:t>
      </w:r>
      <w:r w:rsidRPr="001C27E1">
        <w:rPr>
          <w:rFonts w:ascii="Times New Roman" w:eastAsia="Calibri" w:hAnsi="Times New Roman" w:cs="Times New Roman"/>
          <w:kern w:val="3"/>
          <w:sz w:val="24"/>
          <w:szCs w:val="24"/>
          <w14:ligatures w14:val="none"/>
        </w:rPr>
        <w:t xml:space="preserve">(Birch &amp; </w:t>
      </w:r>
      <w:proofErr w:type="spellStart"/>
      <w:r w:rsidRPr="001C27E1">
        <w:rPr>
          <w:rFonts w:ascii="Times New Roman" w:eastAsia="Calibri" w:hAnsi="Times New Roman" w:cs="Times New Roman"/>
          <w:kern w:val="3"/>
          <w:sz w:val="24"/>
          <w:szCs w:val="24"/>
          <w14:ligatures w14:val="none"/>
        </w:rPr>
        <w:t>Rishbeth</w:t>
      </w:r>
      <w:proofErr w:type="spellEnd"/>
      <w:r w:rsidRPr="001C27E1">
        <w:rPr>
          <w:rFonts w:ascii="Times New Roman" w:eastAsia="Calibri" w:hAnsi="Times New Roman" w:cs="Times New Roman"/>
          <w:kern w:val="3"/>
          <w:sz w:val="24"/>
          <w:szCs w:val="24"/>
          <w14:ligatures w14:val="none"/>
        </w:rPr>
        <w:t xml:space="preserve">, 2016) linking back to the third theory of pedagogical learning, where Giroux (1983) promotes the ethical actions towards the environment in an educational setting. By decreasing the amount of </w:t>
      </w:r>
      <w:proofErr w:type="gramStart"/>
      <w:r w:rsidRPr="001C27E1">
        <w:rPr>
          <w:rFonts w:ascii="Times New Roman" w:eastAsia="Calibri" w:hAnsi="Times New Roman" w:cs="Times New Roman"/>
          <w:kern w:val="3"/>
          <w:sz w:val="24"/>
          <w:szCs w:val="24"/>
          <w14:ligatures w14:val="none"/>
        </w:rPr>
        <w:t>time</w:t>
      </w:r>
      <w:proofErr w:type="gramEnd"/>
      <w:r w:rsidRPr="001C27E1">
        <w:rPr>
          <w:rFonts w:ascii="Times New Roman" w:eastAsia="Calibri" w:hAnsi="Times New Roman" w:cs="Times New Roman"/>
          <w:kern w:val="3"/>
          <w:sz w:val="24"/>
          <w:szCs w:val="24"/>
          <w14:ligatures w14:val="none"/>
        </w:rPr>
        <w:t xml:space="preserve"> we spend in nature in a learning environment, </w:t>
      </w:r>
      <w:bookmarkStart w:id="9" w:name="_Hlk157776603"/>
      <w:r w:rsidRPr="001C27E1">
        <w:rPr>
          <w:rFonts w:ascii="Times New Roman" w:eastAsia="Calibri" w:hAnsi="Times New Roman" w:cs="Times New Roman"/>
          <w:kern w:val="3"/>
          <w:sz w:val="24"/>
          <w:szCs w:val="24"/>
          <w14:ligatures w14:val="none"/>
        </w:rPr>
        <w:t xml:space="preserve">we may lead to a diminished sense of environmental awareness and a potential for environmental degradation </w:t>
      </w:r>
      <w:bookmarkEnd w:id="9"/>
      <w:r w:rsidRPr="001C27E1">
        <w:rPr>
          <w:rFonts w:ascii="Times New Roman" w:eastAsia="Calibri" w:hAnsi="Times New Roman" w:cs="Times New Roman"/>
          <w:kern w:val="3"/>
          <w:sz w:val="24"/>
          <w:szCs w:val="24"/>
          <w14:ligatures w14:val="none"/>
        </w:rPr>
        <w:t>(Giroux 1983; Chawla, 2020).</w:t>
      </w:r>
    </w:p>
    <w:p w14:paraId="0BFD6550"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There are both potential benefits and drawbacks of identity formation through digital means in outdoor education, (Hodges, 2021). Outdoor groups such as Common Ground (Jones, 2024) where people can meet online and chat about their outdoor equipment, places they recommend and arrange group hikes in their area. As a member I can say that this sort of connectivity can foster a sense of community and support within the outdoors. By also capturing photos and posting our achievements online a reflective process that shapes a positive identity formation </w:t>
      </w:r>
      <w:r w:rsidRPr="001C27E1">
        <w:rPr>
          <w:rFonts w:ascii="Times New Roman" w:eastAsia="Calibri" w:hAnsi="Times New Roman" w:cs="Times New Roman"/>
          <w:kern w:val="3"/>
          <w:sz w:val="24"/>
          <w:szCs w:val="24"/>
          <w14:ligatures w14:val="none"/>
        </w:rPr>
        <w:lastRenderedPageBreak/>
        <w:t>can be created (Hodkinson, 2015). However, with enhancement there are also drawbacks such as distraction, by taking the immersive experience out of nature. Or worrying about capturing the ‘perfect’ photo, people are not fully captivating the natural environment around them (Hills &amp; Thomas, 2019). The presentations of photos could be curated, idealising a version of one’s life can contribute to the construction of superficial identities (Hodkinson, 2015).</w:t>
      </w:r>
    </w:p>
    <w:p w14:paraId="13245AF3" w14:textId="77777777" w:rsidR="001C27E1" w:rsidRPr="001C27E1" w:rsidRDefault="001C27E1" w:rsidP="001C27E1">
      <w:pPr>
        <w:suppressAutoHyphens/>
        <w:autoSpaceDN w:val="0"/>
        <w:spacing w:line="360" w:lineRule="auto"/>
        <w:jc w:val="both"/>
        <w:rPr>
          <w:rFonts w:ascii="Times New Roman" w:eastAsia="Calibri" w:hAnsi="Times New Roman" w:cs="Times New Roman"/>
          <w:kern w:val="3"/>
          <w:sz w:val="24"/>
          <w:szCs w:val="24"/>
          <w14:ligatures w14:val="none"/>
        </w:rPr>
      </w:pPr>
      <w:r w:rsidRPr="001C27E1">
        <w:rPr>
          <w:rFonts w:ascii="Times New Roman" w:eastAsia="Calibri" w:hAnsi="Times New Roman" w:cs="Times New Roman"/>
          <w:kern w:val="3"/>
          <w:sz w:val="24"/>
          <w:szCs w:val="24"/>
          <w14:ligatures w14:val="none"/>
        </w:rPr>
        <w:t>Authenticity in learning occurs through the dynamic interactions between the learner, the task, and the environment where the learning occurs (Humberstone &amp; Stan, 2012) the attainment of information that happens during the dynamic interaction supports the learner when they must apply the gained knowledge in a similar context in the future. Humberstone &amp; Stan (2012) discuss how technology can impact the authenticity of the learning experience and disturb the dynamic interaction process of learning (Humberstone &amp; Stan, 2012).</w:t>
      </w:r>
    </w:p>
    <w:p w14:paraId="74C1C82F"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Virtual reality (VR) is a computer-generated simulation of a three-dimensional environment (Lowell &amp; Tagare, 2023) which uses hardware such as a helmet and gloves and a software that provides an interactive environment VR immersion refers to the user’s perception of being physically present in the environment in which they are not physically present in. 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xml:space="preserve">, (2022) studied the effects of an outdoor nature walk compared to a virtual reality nature walk on memory and cognitive function. The data collected showed that the students performed just as well in the VR walk with their digital span test as the students who went on the outdoor nature walk </w:t>
      </w:r>
      <w:bookmarkStart w:id="10" w:name="_Hlk158199117"/>
      <w:r w:rsidRPr="001C27E1">
        <w:rPr>
          <w:rFonts w:ascii="Times New Roman" w:eastAsia="Calibri" w:hAnsi="Times New Roman" w:cs="Times New Roman"/>
          <w:kern w:val="3"/>
          <w:sz w:val="24"/>
          <w:szCs w:val="24"/>
          <w14:ligatures w14:val="none"/>
        </w:rPr>
        <w:t>(</w:t>
      </w:r>
      <w:bookmarkStart w:id="11" w:name="_Hlk157099872"/>
      <w:r w:rsidRPr="001C27E1">
        <w:rPr>
          <w:rFonts w:ascii="Times New Roman" w:eastAsia="Calibri" w:hAnsi="Times New Roman" w:cs="Times New Roman"/>
          <w:kern w:val="3"/>
          <w:sz w:val="24"/>
          <w:szCs w:val="24"/>
          <w14:ligatures w14:val="none"/>
        </w:rPr>
        <w:t xml:space="preserve">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xml:space="preserve">, 2022).  </w:t>
      </w:r>
      <w:bookmarkEnd w:id="10"/>
      <w:bookmarkEnd w:id="11"/>
      <w:r w:rsidRPr="001C27E1">
        <w:rPr>
          <w:rFonts w:ascii="Times New Roman" w:eastAsia="Calibri" w:hAnsi="Times New Roman" w:cs="Times New Roman"/>
          <w:kern w:val="3"/>
          <w:sz w:val="24"/>
          <w:szCs w:val="24"/>
          <w14:ligatures w14:val="none"/>
        </w:rPr>
        <w:t xml:space="preserve">These results suggested that this type of application to VR and nature could be used for the elderly or people who have physical limitations as VR can have similar effects on the cognitive performance (Léger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xml:space="preserve">, 2022). However, considering the work by Giroux (1983) and Chawla (2020) it could be important to consider whether the use of VR led to a reduction in environmental awareness compared to those experiencing the outdoor environment first hand. Although VR application could also be used for people who have fewer opportunities to experience nature worldwide including those who live in urban environments and who are commonly exposed to screens </w:t>
      </w:r>
      <w:bookmarkStart w:id="12" w:name="_Hlk157100561"/>
      <w:r w:rsidRPr="001C27E1">
        <w:rPr>
          <w:rFonts w:ascii="Times New Roman" w:eastAsia="Calibri" w:hAnsi="Times New Roman" w:cs="Times New Roman"/>
          <w:kern w:val="3"/>
          <w:sz w:val="24"/>
          <w:szCs w:val="24"/>
          <w14:ligatures w14:val="none"/>
        </w:rPr>
        <w:t xml:space="preserve">(Léger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xml:space="preserve">, 2022).  </w:t>
      </w:r>
      <w:bookmarkEnd w:id="12"/>
      <w:r w:rsidRPr="001C27E1">
        <w:rPr>
          <w:rFonts w:ascii="Times New Roman" w:eastAsia="Calibri" w:hAnsi="Times New Roman" w:cs="Times New Roman"/>
          <w:kern w:val="3"/>
          <w:sz w:val="24"/>
          <w:szCs w:val="24"/>
          <w14:ligatures w14:val="none"/>
        </w:rPr>
        <w:t xml:space="preserve">On the other hand, another study showed that children who attended pre-school with a natural outdoor play area, opposed to the children in an urban environment scored better when testing for executive functioning which is a set of mental skills that include working memory, flexible thinking, and self-control </w:t>
      </w:r>
      <w:bookmarkStart w:id="13" w:name="_Hlk157101938"/>
      <w:r w:rsidRPr="001C27E1">
        <w:rPr>
          <w:rFonts w:ascii="Times New Roman" w:eastAsia="Calibri" w:hAnsi="Times New Roman" w:cs="Times New Roman"/>
          <w:kern w:val="3"/>
          <w:sz w:val="24"/>
          <w:szCs w:val="24"/>
          <w14:ligatures w14:val="none"/>
        </w:rPr>
        <w:t xml:space="preserve">(Léger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2022)</w:t>
      </w:r>
      <w:bookmarkEnd w:id="13"/>
      <w:r w:rsidRPr="001C27E1">
        <w:rPr>
          <w:rFonts w:ascii="Times New Roman" w:eastAsia="Calibri" w:hAnsi="Times New Roman" w:cs="Times New Roman"/>
          <w:kern w:val="3"/>
          <w:sz w:val="24"/>
          <w:szCs w:val="24"/>
          <w14:ligatures w14:val="none"/>
        </w:rPr>
        <w:t xml:space="preserve"> which links to the second theory of pedagogical learning, knowledge is built by the learner. Learning environments that do not prioritize the active construction of knowledge within specific situations may become less effective in fostering deep understanding and retention of information (Roberts, 2012; Williams </w:t>
      </w:r>
      <w:r w:rsidRPr="001C27E1">
        <w:rPr>
          <w:rFonts w:ascii="Times New Roman" w:eastAsia="Calibri" w:hAnsi="Times New Roman" w:cs="Times New Roman"/>
          <w:kern w:val="3"/>
          <w:sz w:val="24"/>
          <w:szCs w:val="24"/>
          <w14:ligatures w14:val="none"/>
        </w:rPr>
        <w:lastRenderedPageBreak/>
        <w:t xml:space="preserve">&amp; Wainwright, 2015) This could result in a disconnect between the learning experience and real-world application as well as this. The practice of physical activity in a natural environment also known as green exercise has shown greater value than exercise in a non-natural environment when it comes down to motivations, preventing disease and enhancing general health </w:t>
      </w:r>
      <w:bookmarkStart w:id="14" w:name="_Hlk158035719"/>
      <w:r w:rsidRPr="001C27E1">
        <w:rPr>
          <w:rFonts w:ascii="Times New Roman" w:eastAsia="Calibri" w:hAnsi="Times New Roman" w:cs="Times New Roman"/>
          <w:kern w:val="3"/>
          <w:sz w:val="24"/>
          <w:szCs w:val="24"/>
          <w14:ligatures w14:val="none"/>
        </w:rPr>
        <w:t>(Lahart, 2019)</w:t>
      </w:r>
      <w:bookmarkEnd w:id="14"/>
      <w:r w:rsidRPr="001C27E1">
        <w:rPr>
          <w:rFonts w:ascii="Times New Roman" w:eastAsia="Calibri" w:hAnsi="Times New Roman" w:cs="Times New Roman"/>
          <w:kern w:val="3"/>
          <w:sz w:val="24"/>
          <w:szCs w:val="24"/>
          <w14:ligatures w14:val="none"/>
        </w:rPr>
        <w:t xml:space="preserve"> which endorses the importance of outdoor learning (Lahart, 2019). Supporting the importance of the natural environment, a study into biophilia showed a decrease in tiredness and coughing, reported in hospital and office workers when they added plants to their working environment which indicates that the visual impact alone of nature has an important factor</w:t>
      </w:r>
      <w:r w:rsidRPr="001C27E1">
        <w:rPr>
          <w:rFonts w:ascii="Times New Roman" w:eastAsia="Calibri" w:hAnsi="Times New Roman" w:cs="Times New Roman"/>
          <w:color w:val="2F5496"/>
          <w:kern w:val="3"/>
          <w:sz w:val="24"/>
          <w:szCs w:val="24"/>
          <w14:ligatures w14:val="none"/>
        </w:rPr>
        <w:t xml:space="preserve"> (</w:t>
      </w:r>
      <w:r w:rsidRPr="001C27E1">
        <w:rPr>
          <w:rFonts w:ascii="Times New Roman" w:eastAsia="Calibri" w:hAnsi="Times New Roman" w:cs="Times New Roman"/>
          <w:kern w:val="3"/>
          <w:sz w:val="24"/>
          <w:szCs w:val="24"/>
          <w14:ligatures w14:val="none"/>
        </w:rPr>
        <w:t xml:space="preserve">Barbiero et al, 2021). This may suggest that by seeing a VR plant or nature could have the same benefits for a person’s physical health </w:t>
      </w:r>
      <w:bookmarkStart w:id="15" w:name="_Hlk158199056"/>
      <w:r w:rsidRPr="001C27E1">
        <w:rPr>
          <w:rFonts w:ascii="Times New Roman" w:eastAsia="Calibri" w:hAnsi="Times New Roman" w:cs="Times New Roman"/>
          <w:kern w:val="3"/>
          <w:sz w:val="24"/>
          <w:szCs w:val="24"/>
          <w14:ligatures w14:val="none"/>
        </w:rPr>
        <w:t>(Grinde &amp; Patil, 2009).</w:t>
      </w:r>
      <w:bookmarkEnd w:id="15"/>
    </w:p>
    <w:p w14:paraId="49299DD9"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Arguably there is not enough long-term knowledge on the effects of VR learning and the inclusion of technology in outdoor learning as it is recent (Grinde &amp; Patil, 2009). Technology such as VR can provide a unique learning experience for those who may not have access to the natural environment (Léger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xml:space="preserve">, 2022).  even though the health benefits of being in the natural environment are well established and some believe it should not be replaced by the VR experience. However, VR brings a new perspective to those who cannot access the outdoors either because of where they are located or due to their mobility limitations for example world natural based interaction (Léger &amp; </w:t>
      </w:r>
      <w:proofErr w:type="spellStart"/>
      <w:r w:rsidRPr="001C27E1">
        <w:rPr>
          <w:rFonts w:ascii="Times New Roman" w:eastAsia="Calibri" w:hAnsi="Times New Roman" w:cs="Times New Roman"/>
          <w:kern w:val="3"/>
          <w:sz w:val="24"/>
          <w:szCs w:val="24"/>
          <w14:ligatures w14:val="none"/>
        </w:rPr>
        <w:t>Mekari</w:t>
      </w:r>
      <w:proofErr w:type="spellEnd"/>
      <w:r w:rsidRPr="001C27E1">
        <w:rPr>
          <w:rFonts w:ascii="Times New Roman" w:eastAsia="Calibri" w:hAnsi="Times New Roman" w:cs="Times New Roman"/>
          <w:kern w:val="3"/>
          <w:sz w:val="24"/>
          <w:szCs w:val="24"/>
          <w14:ligatures w14:val="none"/>
        </w:rPr>
        <w:t xml:space="preserve">, 2022). </w:t>
      </w:r>
    </w:p>
    <w:p w14:paraId="5C996187"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Relating to experiential theory of learning Dewey, (1952) the experience should be real, meaningful, and relevant to the pupil. By taking this away could result in abstract or disconnected learning experiences that may not resonate with the learners' lives. The hands-on, immersive nature of experiential learning may be compromised. Dewey's theory emphasizes the value of genuine experiences, and artificially created settings may not provide the same depth and richness (Parry &amp; Allison, 2020). Assuming that people are using VR aims to replace traditional outdoor experiences, VR could arguably be viewed as a distinct style of learning, offering its own unique educational benefits.</w:t>
      </w:r>
    </w:p>
    <w:p w14:paraId="033F4DC4"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 xml:space="preserve">As an outdoor educator, I would approach technology integration with a critical consideration of its impact on the authenticity of the learning experience ensuring that it aligns with the diverse needs and contexts of my students, for example I would let them use their smartphones for documentation of their experiences such as taking photos. As Hodges (2021) describes there is no experience without technology in this generation and it is now imperative for outdoor instructors to incorporate it into the delivery of their activities. If using mobile phones and </w:t>
      </w:r>
      <w:r w:rsidRPr="001C27E1">
        <w:rPr>
          <w:rFonts w:ascii="Times New Roman" w:eastAsia="Calibri" w:hAnsi="Times New Roman" w:cs="Times New Roman"/>
          <w:kern w:val="3"/>
          <w:sz w:val="24"/>
          <w:szCs w:val="24"/>
          <w14:ligatures w14:val="none"/>
        </w:rPr>
        <w:lastRenderedPageBreak/>
        <w:t xml:space="preserve">taking photos for social media is something that means a lot to my students during my activities, I will make sure that they will have a safe and appropriate time to do so. However, I will not let it become a distraction or contribute to a loss of authentic skills. This approach would guard against my concerns that the essence of an authentic outdoor experience might gradually diminish overtime. That does not mean however, that we cannot develop skills in a different way and instead prompts an exploration of alternative avenues for honing our abilities for example instead of relying on technology such as a GPS I will show my students the authentic way of reading a map and compass. Using GPS as a backup for safety. </w:t>
      </w:r>
    </w:p>
    <w:p w14:paraId="2E9703E3"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r w:rsidRPr="001C27E1">
        <w:rPr>
          <w:rFonts w:ascii="Times New Roman" w:eastAsia="Calibri" w:hAnsi="Times New Roman" w:cs="Times New Roman"/>
          <w:kern w:val="3"/>
          <w:sz w:val="24"/>
          <w:szCs w:val="24"/>
          <w14:ligatures w14:val="none"/>
        </w:rPr>
        <w:t>Post digital refers to looking at technology as part of people’s lifestyle rather than something separate and remains a divisive topic of discussion. As people move into a future of advanced and innovated technology, it should be integrated into teaching and (Reed, 2020)  is unconvinced that the sector has a choice because  even though phones and Wi-Fi are turned off in the outdoor learning environment the fact remains that after an OEE experience, or even during off-task time, young people will return to their networked bubbles (Reed, 2020). For practitioners this can be used to their advantage by utilising the online platforms used by the younger generation. This could be to share outdoor experiences and other information and involve a pre- and post-experience for the participants to enhance their understanding and engagement (Reed, 2020).</w:t>
      </w:r>
    </w:p>
    <w:p w14:paraId="727CF155" w14:textId="77777777" w:rsidR="001C27E1" w:rsidRPr="001C27E1" w:rsidRDefault="001C27E1" w:rsidP="001C27E1">
      <w:pPr>
        <w:suppressAutoHyphens/>
        <w:autoSpaceDN w:val="0"/>
        <w:spacing w:line="360" w:lineRule="auto"/>
        <w:jc w:val="both"/>
        <w:rPr>
          <w:rFonts w:ascii="Times New Roman" w:eastAsia="Calibri" w:hAnsi="Times New Roman" w:cs="Times New Roman"/>
          <w:kern w:val="3"/>
          <w:sz w:val="24"/>
          <w:szCs w:val="24"/>
          <w14:ligatures w14:val="none"/>
        </w:rPr>
      </w:pPr>
      <w:r w:rsidRPr="001C27E1">
        <w:rPr>
          <w:rFonts w:ascii="Times New Roman" w:eastAsia="Calibri" w:hAnsi="Times New Roman" w:cs="Times New Roman"/>
          <w:kern w:val="3"/>
          <w:sz w:val="24"/>
          <w:szCs w:val="24"/>
          <w14:ligatures w14:val="none"/>
        </w:rPr>
        <w:t>Outdoor education has evolved with technology, particularly digital tools, and social media. There are positive aspects, like building a sense of community, but also concerns about distractions and loss of authentic experiences. The use of VR is considered, with some potential benefits for those with limited access to nature but this is tempered with knowledge of the importance of genuine experiences in outdoor learning and suggests that outdoor educators should thoughtfully integrate technology. However, it is essential to recognize that while VR provides a convincing simulation, it may not enhance a sense of environmental awareness which could lead to a potential for environmental degradation.  As we move further away from an authentic outdoor learning experience consideration must be given to creating a new style of learning suited to incorporating technology for the newer generation.</w:t>
      </w:r>
    </w:p>
    <w:p w14:paraId="0B808516" w14:textId="3E4340DE" w:rsidR="001C27E1" w:rsidRDefault="001C27E1">
      <w:r>
        <w:br w:type="page"/>
      </w:r>
    </w:p>
    <w:p w14:paraId="11051FC7" w14:textId="77777777" w:rsidR="001C27E1" w:rsidRPr="001C27E1" w:rsidRDefault="001C27E1" w:rsidP="001C27E1">
      <w:pPr>
        <w:keepNext/>
        <w:keepLines/>
        <w:autoSpaceDN w:val="0"/>
        <w:spacing w:before="240" w:after="0" w:line="254" w:lineRule="auto"/>
        <w:outlineLvl w:val="0"/>
        <w:rPr>
          <w:rFonts w:ascii="Calibri Light" w:eastAsia="Times New Roman" w:hAnsi="Calibri Light" w:cs="Times New Roman"/>
          <w:kern w:val="0"/>
          <w:sz w:val="32"/>
          <w:szCs w:val="32"/>
          <w:lang w:val="en-US"/>
          <w14:ligatures w14:val="none"/>
        </w:rPr>
      </w:pPr>
      <w:r w:rsidRPr="001C27E1">
        <w:rPr>
          <w:rFonts w:ascii="Calibri Light" w:eastAsia="Times New Roman" w:hAnsi="Calibri Light" w:cs="Times New Roman"/>
          <w:kern w:val="0"/>
          <w:sz w:val="32"/>
          <w:szCs w:val="32"/>
          <w:lang w:val="en-US"/>
          <w14:ligatures w14:val="none"/>
        </w:rPr>
        <w:lastRenderedPageBreak/>
        <w:t>References</w:t>
      </w:r>
    </w:p>
    <w:p w14:paraId="0CA0C2C7"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Barbiero, G., 2021. Bracing Biophilia: When biophilic design promotes pupil’s attentional performance, perceived </w:t>
      </w:r>
      <w:proofErr w:type="spellStart"/>
      <w:r w:rsidRPr="001C27E1">
        <w:rPr>
          <w:rFonts w:ascii="Calibri" w:eastAsia="Calibri" w:hAnsi="Calibri" w:cs="Times New Roman"/>
          <w:kern w:val="3"/>
          <w:lang w:val="en-US"/>
          <w14:ligatures w14:val="none"/>
        </w:rPr>
        <w:t>restorativeness</w:t>
      </w:r>
      <w:proofErr w:type="spellEnd"/>
      <w:r w:rsidRPr="001C27E1">
        <w:rPr>
          <w:rFonts w:ascii="Calibri" w:eastAsia="Calibri" w:hAnsi="Calibri" w:cs="Times New Roman"/>
          <w:kern w:val="3"/>
          <w:lang w:val="en-US"/>
          <w14:ligatures w14:val="none"/>
        </w:rPr>
        <w:t xml:space="preserve"> and affiliation with Nature. </w:t>
      </w:r>
    </w:p>
    <w:p w14:paraId="0E5D0996"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Birch, J. &amp; </w:t>
      </w:r>
      <w:proofErr w:type="spellStart"/>
      <w:r w:rsidRPr="001C27E1">
        <w:rPr>
          <w:rFonts w:ascii="Calibri" w:eastAsia="Calibri" w:hAnsi="Calibri" w:cs="Times New Roman"/>
          <w:kern w:val="3"/>
          <w:lang w:val="en-US"/>
          <w14:ligatures w14:val="none"/>
        </w:rPr>
        <w:t>Rishbeth</w:t>
      </w:r>
      <w:proofErr w:type="spellEnd"/>
      <w:r w:rsidRPr="001C27E1">
        <w:rPr>
          <w:rFonts w:ascii="Calibri" w:eastAsia="Calibri" w:hAnsi="Calibri" w:cs="Times New Roman"/>
          <w:kern w:val="3"/>
          <w:lang w:val="en-US"/>
          <w14:ligatures w14:val="none"/>
        </w:rPr>
        <w:t xml:space="preserve">, C., 2016. Nature doesn’t judge you – how urban nature supports young people’s mental health and wellbeing in a diverse UK city. </w:t>
      </w:r>
    </w:p>
    <w:p w14:paraId="2245894C"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Chawla, L., 2020. Childhood nature connection and constructive hope: A review of research on connecting with nature and coping with environmental loss. </w:t>
      </w:r>
    </w:p>
    <w:p w14:paraId="60B0FF3A"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Cuthbertson, B., 2004. The Double-Edged Sword: Critical Reflections on Traditional and Modern Technology in Outdoor Education. </w:t>
      </w:r>
      <w:r w:rsidRPr="001C27E1">
        <w:rPr>
          <w:rFonts w:ascii="Calibri" w:eastAsia="Calibri" w:hAnsi="Calibri" w:cs="Times New Roman"/>
          <w:i/>
          <w:iCs/>
          <w:kern w:val="3"/>
          <w:lang w:val="en-US"/>
          <w14:ligatures w14:val="none"/>
        </w:rPr>
        <w:t>Journal of Adventure Education and Outdoor Learning.</w:t>
      </w:r>
    </w:p>
    <w:p w14:paraId="013C2D04"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Ewert, A. W. &amp; </w:t>
      </w:r>
      <w:proofErr w:type="spellStart"/>
      <w:r w:rsidRPr="001C27E1">
        <w:rPr>
          <w:rFonts w:ascii="Calibri" w:eastAsia="Calibri" w:hAnsi="Calibri" w:cs="Times New Roman"/>
          <w:kern w:val="3"/>
          <w:lang w:val="en-US"/>
          <w14:ligatures w14:val="none"/>
        </w:rPr>
        <w:t>Sibthorp</w:t>
      </w:r>
      <w:proofErr w:type="spellEnd"/>
      <w:r w:rsidRPr="001C27E1">
        <w:rPr>
          <w:rFonts w:ascii="Calibri" w:eastAsia="Calibri" w:hAnsi="Calibri" w:cs="Times New Roman"/>
          <w:kern w:val="3"/>
          <w:lang w:val="en-US"/>
          <w14:ligatures w14:val="none"/>
        </w:rPr>
        <w:t xml:space="preserve">, J., 2014. </w:t>
      </w:r>
      <w:r w:rsidRPr="001C27E1">
        <w:rPr>
          <w:rFonts w:ascii="Calibri" w:eastAsia="Calibri" w:hAnsi="Calibri" w:cs="Times New Roman"/>
          <w:i/>
          <w:iCs/>
          <w:kern w:val="3"/>
          <w:lang w:val="en-US"/>
          <w14:ligatures w14:val="none"/>
        </w:rPr>
        <w:t xml:space="preserve">Outdoor Adventure Education: Foundations, Theory, and Research. </w:t>
      </w:r>
      <w:proofErr w:type="spellStart"/>
      <w:proofErr w:type="gramStart"/>
      <w:r w:rsidRPr="001C27E1">
        <w:rPr>
          <w:rFonts w:ascii="Calibri" w:eastAsia="Calibri" w:hAnsi="Calibri" w:cs="Times New Roman"/>
          <w:kern w:val="3"/>
          <w:lang w:val="en-US"/>
          <w14:ligatures w14:val="none"/>
        </w:rPr>
        <w:t>s.l.:Human</w:t>
      </w:r>
      <w:proofErr w:type="spellEnd"/>
      <w:proofErr w:type="gramEnd"/>
      <w:r w:rsidRPr="001C27E1">
        <w:rPr>
          <w:rFonts w:ascii="Calibri" w:eastAsia="Calibri" w:hAnsi="Calibri" w:cs="Times New Roman"/>
          <w:kern w:val="3"/>
          <w:lang w:val="en-US"/>
          <w14:ligatures w14:val="none"/>
        </w:rPr>
        <w:t xml:space="preserve"> Kinetics, </w:t>
      </w:r>
      <w:proofErr w:type="spellStart"/>
      <w:r w:rsidRPr="001C27E1">
        <w:rPr>
          <w:rFonts w:ascii="Calibri" w:eastAsia="Calibri" w:hAnsi="Calibri" w:cs="Times New Roman"/>
          <w:kern w:val="3"/>
          <w:lang w:val="en-US"/>
          <w14:ligatures w14:val="none"/>
        </w:rPr>
        <w:t>Champaing</w:t>
      </w:r>
      <w:proofErr w:type="spellEnd"/>
      <w:r w:rsidRPr="001C27E1">
        <w:rPr>
          <w:rFonts w:ascii="Calibri" w:eastAsia="Calibri" w:hAnsi="Calibri" w:cs="Times New Roman"/>
          <w:kern w:val="3"/>
          <w:lang w:val="en-US"/>
          <w14:ligatures w14:val="none"/>
        </w:rPr>
        <w:t>, 2014.</w:t>
      </w:r>
    </w:p>
    <w:p w14:paraId="7C9796DD"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Gilbertson, K. L., 2022. </w:t>
      </w:r>
      <w:r w:rsidRPr="001C27E1">
        <w:rPr>
          <w:rFonts w:ascii="Calibri" w:eastAsia="Calibri" w:hAnsi="Calibri" w:cs="Times New Roman"/>
          <w:i/>
          <w:iCs/>
          <w:kern w:val="3"/>
          <w:lang w:val="en-US"/>
          <w14:ligatures w14:val="none"/>
        </w:rPr>
        <w:t xml:space="preserve">Outdoor education: Methods and strategies. </w:t>
      </w:r>
      <w:proofErr w:type="gramStart"/>
      <w:r w:rsidRPr="001C27E1">
        <w:rPr>
          <w:rFonts w:ascii="Calibri" w:eastAsia="Calibri" w:hAnsi="Calibri" w:cs="Times New Roman"/>
          <w:kern w:val="3"/>
          <w:lang w:val="en-US"/>
          <w14:ligatures w14:val="none"/>
        </w:rPr>
        <w:t>s.l.:</w:t>
      </w:r>
      <w:proofErr w:type="spellStart"/>
      <w:r w:rsidRPr="001C27E1">
        <w:rPr>
          <w:rFonts w:ascii="Calibri" w:eastAsia="Calibri" w:hAnsi="Calibri" w:cs="Times New Roman"/>
          <w:kern w:val="3"/>
          <w:lang w:val="en-US"/>
          <w14:ligatures w14:val="none"/>
        </w:rPr>
        <w:t>s.n</w:t>
      </w:r>
      <w:proofErr w:type="spellEnd"/>
      <w:r w:rsidRPr="001C27E1">
        <w:rPr>
          <w:rFonts w:ascii="Calibri" w:eastAsia="Calibri" w:hAnsi="Calibri" w:cs="Times New Roman"/>
          <w:kern w:val="3"/>
          <w:lang w:val="en-US"/>
          <w14:ligatures w14:val="none"/>
        </w:rPr>
        <w:t>.</w:t>
      </w:r>
      <w:proofErr w:type="gramEnd"/>
    </w:p>
    <w:p w14:paraId="5E83A720"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Grinde, B. &amp; Patil, G. G., 2009. Biophilia: Does Visual Contact with Nature Impact on Health and Well-</w:t>
      </w:r>
      <w:proofErr w:type="gramStart"/>
      <w:r w:rsidRPr="001C27E1">
        <w:rPr>
          <w:rFonts w:ascii="Calibri" w:eastAsia="Calibri" w:hAnsi="Calibri" w:cs="Times New Roman"/>
          <w:kern w:val="3"/>
          <w:lang w:val="en-US"/>
          <w14:ligatures w14:val="none"/>
        </w:rPr>
        <w:t>Being?.</w:t>
      </w:r>
      <w:proofErr w:type="gramEnd"/>
      <w:r w:rsidRPr="001C27E1">
        <w:rPr>
          <w:rFonts w:ascii="Calibri" w:eastAsia="Calibri" w:hAnsi="Calibri" w:cs="Times New Roman"/>
          <w:kern w:val="3"/>
          <w:lang w:val="en-US"/>
          <w14:ligatures w14:val="none"/>
        </w:rPr>
        <w:t xml:space="preserve"> </w:t>
      </w:r>
      <w:r w:rsidRPr="001C27E1">
        <w:rPr>
          <w:rFonts w:ascii="Calibri" w:eastAsia="Calibri" w:hAnsi="Calibri" w:cs="Times New Roman"/>
          <w:i/>
          <w:iCs/>
          <w:kern w:val="3"/>
          <w:lang w:val="en-US"/>
          <w14:ligatures w14:val="none"/>
        </w:rPr>
        <w:t>International Journal of Environmental Research and Public Health.</w:t>
      </w:r>
    </w:p>
    <w:p w14:paraId="7BAF7254"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Hills, D. &amp; Thomas, G., 2019. Digital technology and outdoor experiential learning. </w:t>
      </w:r>
      <w:r w:rsidRPr="001C27E1">
        <w:rPr>
          <w:rFonts w:ascii="Calibri" w:eastAsia="Calibri" w:hAnsi="Calibri" w:cs="Times New Roman"/>
          <w:i/>
          <w:iCs/>
          <w:kern w:val="3"/>
          <w:lang w:val="en-US"/>
          <w14:ligatures w14:val="none"/>
        </w:rPr>
        <w:t>Journal of Adventure Education and Outdoor Learning.</w:t>
      </w:r>
    </w:p>
    <w:p w14:paraId="14C1FC73"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Hodges, J., 2021. Smart Technology Opportunity or </w:t>
      </w:r>
      <w:proofErr w:type="gramStart"/>
      <w:r w:rsidRPr="001C27E1">
        <w:rPr>
          <w:rFonts w:ascii="Calibri" w:eastAsia="Calibri" w:hAnsi="Calibri" w:cs="Times New Roman"/>
          <w:kern w:val="3"/>
          <w:lang w:val="en-US"/>
          <w14:ligatures w14:val="none"/>
        </w:rPr>
        <w:t>Distraction?.</w:t>
      </w:r>
      <w:proofErr w:type="gramEnd"/>
      <w:r w:rsidRPr="001C27E1">
        <w:rPr>
          <w:rFonts w:ascii="Calibri" w:eastAsia="Calibri" w:hAnsi="Calibri" w:cs="Times New Roman"/>
          <w:kern w:val="3"/>
          <w:lang w:val="en-US"/>
          <w14:ligatures w14:val="none"/>
        </w:rPr>
        <w:t xml:space="preserve"> Issue 77.</w:t>
      </w:r>
    </w:p>
    <w:p w14:paraId="70FE8C09"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Hodkinson, P., 2015. Bedrooms and beyond: Youth, </w:t>
      </w:r>
      <w:proofErr w:type="gramStart"/>
      <w:r w:rsidRPr="001C27E1">
        <w:rPr>
          <w:rFonts w:ascii="Calibri" w:eastAsia="Calibri" w:hAnsi="Calibri" w:cs="Times New Roman"/>
          <w:kern w:val="3"/>
          <w:lang w:val="en-US"/>
          <w14:ligatures w14:val="none"/>
        </w:rPr>
        <w:t>identity</w:t>
      </w:r>
      <w:proofErr w:type="gramEnd"/>
      <w:r w:rsidRPr="001C27E1">
        <w:rPr>
          <w:rFonts w:ascii="Calibri" w:eastAsia="Calibri" w:hAnsi="Calibri" w:cs="Times New Roman"/>
          <w:kern w:val="3"/>
          <w:lang w:val="en-US"/>
          <w14:ligatures w14:val="none"/>
        </w:rPr>
        <w:t xml:space="preserve"> and privacy on social network sites. </w:t>
      </w:r>
    </w:p>
    <w:p w14:paraId="704F2150"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Humberstone, B. &amp; Stan, I., 2012. Nature and well-being in outdoor learning authenticity or performativity. </w:t>
      </w:r>
      <w:r w:rsidRPr="001C27E1">
        <w:rPr>
          <w:rFonts w:ascii="Calibri" w:eastAsia="Calibri" w:hAnsi="Calibri" w:cs="Times New Roman"/>
          <w:i/>
          <w:iCs/>
          <w:kern w:val="3"/>
          <w:lang w:val="en-US"/>
          <w14:ligatures w14:val="none"/>
        </w:rPr>
        <w:t>Journal of Adventure Education &amp; Outdoor Learning.</w:t>
      </w:r>
    </w:p>
    <w:p w14:paraId="26BDF792"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Jones, T., 2024. </w:t>
      </w:r>
      <w:r w:rsidRPr="001C27E1">
        <w:rPr>
          <w:rFonts w:ascii="Calibri" w:eastAsia="Calibri" w:hAnsi="Calibri" w:cs="Times New Roman"/>
          <w:i/>
          <w:iCs/>
          <w:kern w:val="3"/>
          <w:lang w:val="en-US"/>
          <w14:ligatures w14:val="none"/>
        </w:rPr>
        <w:t xml:space="preserve">common ground. </w:t>
      </w:r>
      <w:r w:rsidRPr="001C27E1">
        <w:rPr>
          <w:rFonts w:ascii="Calibri" w:eastAsia="Calibri" w:hAnsi="Calibri" w:cs="Times New Roman"/>
          <w:kern w:val="3"/>
          <w:lang w:val="en-US"/>
          <w14:ligatures w14:val="none"/>
        </w:rPr>
        <w:t xml:space="preserve">[Online] </w:t>
      </w:r>
      <w:r w:rsidRPr="001C27E1">
        <w:rPr>
          <w:rFonts w:ascii="Calibri" w:eastAsia="Calibri" w:hAnsi="Calibri" w:cs="Times New Roman"/>
          <w:kern w:val="3"/>
          <w:lang w:val="en-US"/>
          <w14:ligatures w14:val="none"/>
        </w:rPr>
        <w:br/>
        <w:t xml:space="preserve">Available at: </w:t>
      </w:r>
      <w:r w:rsidRPr="001C27E1">
        <w:rPr>
          <w:rFonts w:ascii="Calibri" w:eastAsia="Calibri" w:hAnsi="Calibri" w:cs="Times New Roman"/>
          <w:kern w:val="3"/>
          <w:u w:val="single"/>
          <w:lang w:val="en-US"/>
          <w14:ligatures w14:val="none"/>
        </w:rPr>
        <w:t>https://linktr.ee/cmnground</w:t>
      </w:r>
    </w:p>
    <w:p w14:paraId="60CF591B"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Lahart, I., Darcy, P., Gidlow, C. &amp; </w:t>
      </w:r>
      <w:proofErr w:type="spellStart"/>
      <w:r w:rsidRPr="001C27E1">
        <w:rPr>
          <w:rFonts w:ascii="Calibri" w:eastAsia="Calibri" w:hAnsi="Calibri" w:cs="Times New Roman"/>
          <w:kern w:val="3"/>
          <w:lang w:val="en-US"/>
          <w14:ligatures w14:val="none"/>
        </w:rPr>
        <w:t>Calogiuri</w:t>
      </w:r>
      <w:proofErr w:type="spellEnd"/>
      <w:r w:rsidRPr="001C27E1">
        <w:rPr>
          <w:rFonts w:ascii="Calibri" w:eastAsia="Calibri" w:hAnsi="Calibri" w:cs="Times New Roman"/>
          <w:kern w:val="3"/>
          <w:lang w:val="en-US"/>
          <w14:ligatures w14:val="none"/>
        </w:rPr>
        <w:t xml:space="preserve">, G., 2019. The Effects of Green Exercise on Physical and Mental Wellbeing: A Systematic Review. </w:t>
      </w:r>
    </w:p>
    <w:p w14:paraId="0D9A3C13"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Léger, M. &amp; </w:t>
      </w:r>
      <w:proofErr w:type="spellStart"/>
      <w:r w:rsidRPr="001C27E1">
        <w:rPr>
          <w:rFonts w:ascii="Calibri" w:eastAsia="Calibri" w:hAnsi="Calibri" w:cs="Times New Roman"/>
          <w:kern w:val="3"/>
          <w:lang w:val="en-US"/>
          <w14:ligatures w14:val="none"/>
        </w:rPr>
        <w:t>Mekari</w:t>
      </w:r>
      <w:proofErr w:type="spellEnd"/>
      <w:r w:rsidRPr="001C27E1">
        <w:rPr>
          <w:rFonts w:ascii="Calibri" w:eastAsia="Calibri" w:hAnsi="Calibri" w:cs="Times New Roman"/>
          <w:kern w:val="3"/>
          <w:lang w:val="en-US"/>
          <w14:ligatures w14:val="none"/>
        </w:rPr>
        <w:t xml:space="preserve">, S., 2022. Simulating the Benefits of Nature Exposure on Cognitive Performance in Virtual Reality: A Window into Possibilities for Education and Cognitive Health. </w:t>
      </w:r>
    </w:p>
    <w:p w14:paraId="70FF6184"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Lowell, V. L. &amp; Tagare, D., 2023. Authentic learning and fidelity in virtual reality learning experiences for self-efficacy and transfer. </w:t>
      </w:r>
      <w:r w:rsidRPr="001C27E1">
        <w:rPr>
          <w:rFonts w:ascii="Calibri" w:eastAsia="Calibri" w:hAnsi="Calibri" w:cs="Times New Roman"/>
          <w:i/>
          <w:iCs/>
          <w:kern w:val="3"/>
          <w:lang w:val="en-US"/>
          <w14:ligatures w14:val="none"/>
        </w:rPr>
        <w:t>Computers &amp; Education: X Reality.</w:t>
      </w:r>
    </w:p>
    <w:p w14:paraId="104D0323"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Maddison, A., 2016. The Benefits of Outdoor Education Curriculum for Elementary School Students with Nature Deficit Disorder. </w:t>
      </w:r>
    </w:p>
    <w:p w14:paraId="757E04B1"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Parry, J., 2019. Experiential Learning and Outdoor Education: Traditions of practice and philosophical perspectives. </w:t>
      </w:r>
    </w:p>
    <w:p w14:paraId="7E86F63B"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Priest, S., 1986. </w:t>
      </w:r>
      <w:r w:rsidRPr="001C27E1">
        <w:rPr>
          <w:rFonts w:ascii="Calibri" w:eastAsia="Calibri" w:hAnsi="Calibri" w:cs="Times New Roman"/>
          <w:i/>
          <w:iCs/>
          <w:kern w:val="3"/>
          <w:lang w:val="en-US"/>
          <w14:ligatures w14:val="none"/>
        </w:rPr>
        <w:t xml:space="preserve">The Journal of Environmental Education. </w:t>
      </w:r>
      <w:proofErr w:type="spellStart"/>
      <w:proofErr w:type="gramStart"/>
      <w:r w:rsidRPr="001C27E1">
        <w:rPr>
          <w:rFonts w:ascii="Calibri" w:eastAsia="Calibri" w:hAnsi="Calibri" w:cs="Times New Roman"/>
          <w:kern w:val="3"/>
          <w:lang w:val="en-US"/>
          <w14:ligatures w14:val="none"/>
        </w:rPr>
        <w:t>s.l.:Taylor</w:t>
      </w:r>
      <w:proofErr w:type="spellEnd"/>
      <w:proofErr w:type="gramEnd"/>
      <w:r w:rsidRPr="001C27E1">
        <w:rPr>
          <w:rFonts w:ascii="Calibri" w:eastAsia="Calibri" w:hAnsi="Calibri" w:cs="Times New Roman"/>
          <w:kern w:val="3"/>
          <w:lang w:val="en-US"/>
          <w14:ligatures w14:val="none"/>
        </w:rPr>
        <w:t xml:space="preserve"> &amp; Francis.</w:t>
      </w:r>
    </w:p>
    <w:p w14:paraId="1AA1200F"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Reed, J., 2020. What is </w:t>
      </w:r>
      <w:proofErr w:type="gramStart"/>
      <w:r w:rsidRPr="001C27E1">
        <w:rPr>
          <w:rFonts w:ascii="Calibri" w:eastAsia="Calibri" w:hAnsi="Calibri" w:cs="Times New Roman"/>
          <w:kern w:val="3"/>
          <w:lang w:val="en-US"/>
          <w14:ligatures w14:val="none"/>
        </w:rPr>
        <w:t>Post-digital why</w:t>
      </w:r>
      <w:proofErr w:type="gramEnd"/>
      <w:r w:rsidRPr="001C27E1">
        <w:rPr>
          <w:rFonts w:ascii="Calibri" w:eastAsia="Calibri" w:hAnsi="Calibri" w:cs="Times New Roman"/>
          <w:kern w:val="3"/>
          <w:lang w:val="en-US"/>
          <w14:ligatures w14:val="none"/>
        </w:rPr>
        <w:t xml:space="preserve"> might it matter for outdoor experiential education. </w:t>
      </w:r>
    </w:p>
    <w:p w14:paraId="3257A535" w14:textId="77777777" w:rsidR="001C27E1" w:rsidRPr="001C27E1" w:rsidRDefault="001C27E1" w:rsidP="001C27E1">
      <w:pPr>
        <w:autoSpaceDN w:val="0"/>
        <w:spacing w:line="254" w:lineRule="auto"/>
        <w:rPr>
          <w:rFonts w:ascii="Calibri" w:eastAsia="Calibri" w:hAnsi="Calibri" w:cs="Times New Roman"/>
          <w:kern w:val="3"/>
          <w:lang w:val="en-US"/>
          <w14:ligatures w14:val="none"/>
        </w:rPr>
      </w:pPr>
      <w:r w:rsidRPr="001C27E1">
        <w:rPr>
          <w:rFonts w:ascii="Calibri" w:eastAsia="Calibri" w:hAnsi="Calibri" w:cs="Times New Roman"/>
          <w:kern w:val="3"/>
          <w:lang w:val="en-US"/>
          <w14:ligatures w14:val="none"/>
        </w:rPr>
        <w:t xml:space="preserve">Schroth, S. T., 2023. Outdoor Education: A Pathway to Experiential, Environmental, and Sustainable Learning. </w:t>
      </w:r>
    </w:p>
    <w:p w14:paraId="6769C036"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lastRenderedPageBreak/>
        <w:t xml:space="preserve">Trust, T. O. B., 2024. </w:t>
      </w:r>
      <w:r w:rsidRPr="001C27E1">
        <w:rPr>
          <w:rFonts w:ascii="Calibri" w:eastAsia="Calibri" w:hAnsi="Calibri" w:cs="Times New Roman"/>
          <w:i/>
          <w:iCs/>
          <w:kern w:val="3"/>
          <w:lang w:val="en-US"/>
          <w14:ligatures w14:val="none"/>
        </w:rPr>
        <w:t xml:space="preserve">The </w:t>
      </w:r>
      <w:proofErr w:type="gramStart"/>
      <w:r w:rsidRPr="001C27E1">
        <w:rPr>
          <w:rFonts w:ascii="Calibri" w:eastAsia="Calibri" w:hAnsi="Calibri" w:cs="Times New Roman"/>
          <w:i/>
          <w:iCs/>
          <w:kern w:val="3"/>
          <w:lang w:val="en-US"/>
          <w14:ligatures w14:val="none"/>
        </w:rPr>
        <w:t>Outward Bound</w:t>
      </w:r>
      <w:proofErr w:type="gramEnd"/>
      <w:r w:rsidRPr="001C27E1">
        <w:rPr>
          <w:rFonts w:ascii="Calibri" w:eastAsia="Calibri" w:hAnsi="Calibri" w:cs="Times New Roman"/>
          <w:i/>
          <w:iCs/>
          <w:kern w:val="3"/>
          <w:lang w:val="en-US"/>
          <w14:ligatures w14:val="none"/>
        </w:rPr>
        <w:t xml:space="preserve"> Trust. </w:t>
      </w:r>
      <w:r w:rsidRPr="001C27E1">
        <w:rPr>
          <w:rFonts w:ascii="Calibri" w:eastAsia="Calibri" w:hAnsi="Calibri" w:cs="Times New Roman"/>
          <w:kern w:val="3"/>
          <w:lang w:val="en-US"/>
          <w14:ligatures w14:val="none"/>
        </w:rPr>
        <w:t xml:space="preserve">[Online] </w:t>
      </w:r>
      <w:r w:rsidRPr="001C27E1">
        <w:rPr>
          <w:rFonts w:ascii="Calibri" w:eastAsia="Calibri" w:hAnsi="Calibri" w:cs="Times New Roman"/>
          <w:kern w:val="3"/>
          <w:lang w:val="en-US"/>
          <w14:ligatures w14:val="none"/>
        </w:rPr>
        <w:br/>
        <w:t xml:space="preserve">Available at: </w:t>
      </w:r>
      <w:r w:rsidRPr="001C27E1">
        <w:rPr>
          <w:rFonts w:ascii="Calibri" w:eastAsia="Calibri" w:hAnsi="Calibri" w:cs="Times New Roman"/>
          <w:kern w:val="3"/>
          <w:u w:val="single"/>
          <w:lang w:val="en-US"/>
          <w14:ligatures w14:val="none"/>
        </w:rPr>
        <w:t>https://www.outwardbound.org.uk/about-us#:~:text=We%20are%20Outward%20Bound%20Our%20mission%20is%20to,financial%20need%20stand%20in%20the%20way%20of%20attendance.</w:t>
      </w:r>
    </w:p>
    <w:p w14:paraId="5EFFCF47" w14:textId="77777777" w:rsidR="001C27E1" w:rsidRPr="001C27E1" w:rsidRDefault="001C27E1" w:rsidP="001C27E1">
      <w:pPr>
        <w:autoSpaceDN w:val="0"/>
        <w:spacing w:line="254" w:lineRule="auto"/>
        <w:rPr>
          <w:rFonts w:ascii="Calibri" w:eastAsia="Calibri" w:hAnsi="Calibri" w:cs="Arial"/>
          <w:kern w:val="3"/>
          <w14:ligatures w14:val="none"/>
        </w:rPr>
      </w:pPr>
      <w:r w:rsidRPr="001C27E1">
        <w:rPr>
          <w:rFonts w:ascii="Calibri" w:eastAsia="Calibri" w:hAnsi="Calibri" w:cs="Times New Roman"/>
          <w:kern w:val="3"/>
          <w:lang w:val="en-US"/>
          <w14:ligatures w14:val="none"/>
        </w:rPr>
        <w:t xml:space="preserve">Williams, A. &amp; Wainwright, N., 2015. A new pedagogical model for adventure in the curriculum: part one – advocating for the model. </w:t>
      </w:r>
      <w:r w:rsidRPr="001C27E1">
        <w:rPr>
          <w:rFonts w:ascii="Calibri" w:eastAsia="Calibri" w:hAnsi="Calibri" w:cs="Times New Roman"/>
          <w:i/>
          <w:iCs/>
          <w:kern w:val="3"/>
          <w:lang w:val="en-US"/>
          <w14:ligatures w14:val="none"/>
        </w:rPr>
        <w:t>Physical Education and Sport Pedagogy.</w:t>
      </w:r>
    </w:p>
    <w:p w14:paraId="16BFB3B5" w14:textId="77777777" w:rsidR="001C27E1" w:rsidRPr="001C27E1" w:rsidRDefault="001C27E1" w:rsidP="001C27E1">
      <w:pPr>
        <w:suppressAutoHyphens/>
        <w:autoSpaceDN w:val="0"/>
        <w:spacing w:line="360" w:lineRule="auto"/>
        <w:jc w:val="both"/>
        <w:rPr>
          <w:rFonts w:ascii="Calibri" w:eastAsia="Calibri" w:hAnsi="Calibri" w:cs="Arial"/>
          <w:kern w:val="3"/>
          <w14:ligatures w14:val="none"/>
        </w:rPr>
      </w:pPr>
    </w:p>
    <w:p w14:paraId="351C4935" w14:textId="77777777" w:rsidR="008531E6" w:rsidRDefault="008531E6"/>
    <w:sectPr w:rsidR="00853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7E1"/>
    <w:rsid w:val="001C27E1"/>
    <w:rsid w:val="003F3C86"/>
    <w:rsid w:val="0085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7715F"/>
  <w15:chartTrackingRefBased/>
  <w15:docId w15:val="{AAABE3C9-03D3-497D-8F81-0D8A78714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2974</Words>
  <Characters>16952</Characters>
  <Application>Microsoft Office Word</Application>
  <DocSecurity>0</DocSecurity>
  <Lines>141</Lines>
  <Paragraphs>39</Paragraphs>
  <ScaleCrop>false</ScaleCrop>
  <Company/>
  <LinksUpToDate>false</LinksUpToDate>
  <CharactersWithSpaces>19887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dc:creator>
  <cp:keywords/>
  <dc:description/>
  <cp:lastModifiedBy>Terri Morris</cp:lastModifiedBy>
  <cp:revision>1</cp:revision>
  <dcterms:created xsi:type="dcterms:W3CDTF">2024-02-07T12:10:00Z</dcterms:created>
  <dcterms:modified xsi:type="dcterms:W3CDTF">2024-02-07T12:12:00Z</dcterms:modified>
</cp:coreProperties>
</file>