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</Types>
</file>

<file path=_rels/.rels><?xml version="1.0" encoding="UTF-8"?><Relationships xmlns="http://schemas.openxmlformats.org/package/2006/relationships"><Relationship Target="word/document.xml" Id="pkgRId0" Type="http://schemas.openxmlformats.org/officeDocument/2006/relationships/officeDocument" /></Relationships>
</file>

<file path=word/document.xml><?xml version="1.0" encoding="utf-8"?>
<w:document xmlns:w="http://schemas.openxmlformats.org/wordprocessingml/2006/main">
  <w:body>
    <w:p>
      <w:pPr>
        <w:spacing w:before="0" w:after="200" w:line="276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32"/>
          <w:shd w:fill="auto" w:val="clear"/>
        </w:rPr>
      </w:pPr>
      <w:r>
        <w:rPr>
          <w:rFonts w:ascii="Calibri" w:hAnsi="Calibri" w:cs="Calibri" w:eastAsia="Calibri"/>
          <w:b/>
          <w:color w:val="auto"/>
          <w:spacing w:val="0"/>
          <w:position w:val="0"/>
          <w:sz w:val="32"/>
          <w:shd w:fill="auto" w:val="clear"/>
        </w:rPr>
        <w:t xml:space="preserve">INITIAL OBSERVATIONS </w:t>
      </w:r>
      <w:r>
        <w:rPr>
          <w:rFonts w:ascii="Calibri" w:hAnsi="Calibri" w:cs="Calibri" w:eastAsia="Calibri"/>
          <w:b/>
          <w:color w:val="auto"/>
          <w:spacing w:val="0"/>
          <w:position w:val="0"/>
          <w:sz w:val="32"/>
          <w:shd w:fill="auto" w:val="clear"/>
        </w:rPr>
        <w:t xml:space="preserve">– 2021–2025</w:t>
      </w:r>
    </w:p>
    <w:p>
      <w:pPr>
        <w:spacing w:before="0" w:after="200" w:line="276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32"/>
          <w:shd w:fill="auto" w:val="clear"/>
        </w:rPr>
      </w:pPr>
      <w:r>
        <w:rPr>
          <w:rFonts w:ascii="Calibri" w:hAnsi="Calibri" w:cs="Calibri" w:eastAsia="Calibri"/>
          <w:b/>
          <w:color w:val="auto"/>
          <w:spacing w:val="0"/>
          <w:position w:val="0"/>
          <w:sz w:val="32"/>
          <w:shd w:fill="auto" w:val="clear"/>
        </w:rPr>
        <w:t xml:space="preserve">Profitability: </w:t>
      </w:r>
      <w:r>
        <w:rPr>
          <w:rFonts w:ascii="Calibri" w:hAnsi="Calibri" w:cs="Calibri" w:eastAsia="Calibri"/>
          <w:color w:val="auto"/>
          <w:spacing w:val="0"/>
          <w:position w:val="0"/>
          <w:sz w:val="32"/>
          <w:shd w:fill="auto" w:val="clear"/>
        </w:rPr>
        <w:t xml:space="preserve">Strong turnaround from heavy losses in 2021 to consistent, healthy margins. Gross margin stabilised at ~44–45%, while operating and net margins rose steadily to 28.0% and 20.9% respectively.</w:t>
      </w:r>
    </w:p>
    <w:p>
      <w:pPr>
        <w:spacing w:before="0" w:after="200" w:line="276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32"/>
          <w:shd w:fill="auto" w:val="clear"/>
        </w:rPr>
      </w:pPr>
      <w:r>
        <w:rPr>
          <w:rFonts w:ascii="Calibri" w:hAnsi="Calibri" w:cs="Calibri" w:eastAsia="Calibri"/>
          <w:b/>
          <w:color w:val="auto"/>
          <w:spacing w:val="0"/>
          <w:position w:val="0"/>
          <w:sz w:val="32"/>
          <w:shd w:fill="auto" w:val="clear"/>
        </w:rPr>
        <w:t xml:space="preserve">Liquidity: </w:t>
      </w:r>
      <w:r>
        <w:rPr>
          <w:rFonts w:ascii="Calibri" w:hAnsi="Calibri" w:cs="Calibri" w:eastAsia="Calibri"/>
          <w:color w:val="auto"/>
          <w:spacing w:val="0"/>
          <w:position w:val="0"/>
          <w:sz w:val="32"/>
          <w:shd w:fill="auto" w:val="clear"/>
        </w:rPr>
        <w:t xml:space="preserve">Ratios fluctuate around the 1.0x benchmark. After a dip in 2022, cash and quick ratios recovered; current ratio fell slightly to 0.90x in 2025 but remains adequate.</w:t>
      </w:r>
    </w:p>
    <w:p>
      <w:pPr>
        <w:spacing w:before="0" w:after="200" w:line="276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32"/>
          <w:shd w:fill="auto" w:val="clear"/>
        </w:rPr>
      </w:pPr>
      <w:r>
        <w:rPr>
          <w:rFonts w:ascii="Calibri" w:hAnsi="Calibri" w:cs="Calibri" w:eastAsia="Calibri"/>
          <w:b/>
          <w:color w:val="auto"/>
          <w:spacing w:val="0"/>
          <w:position w:val="0"/>
          <w:sz w:val="32"/>
          <w:shd w:fill="auto" w:val="clear"/>
        </w:rPr>
        <w:t xml:space="preserve">Efficiency: </w:t>
      </w:r>
      <w:r>
        <w:rPr>
          <w:rFonts w:ascii="Calibri" w:hAnsi="Calibri" w:cs="Calibri" w:eastAsia="Calibri"/>
          <w:color w:val="auto"/>
          <w:spacing w:val="0"/>
          <w:position w:val="0"/>
          <w:sz w:val="32"/>
          <w:shd w:fill="auto" w:val="clear"/>
        </w:rPr>
        <w:t xml:space="preserve">Major improvement in asset use. Total asset turnover increased from 0.57x to 2.78x, and fixed asset turnover reached 3.07x, showing much better revenue generation per </w:t>
      </w:r>
      <w:r>
        <w:rPr>
          <w:rFonts w:ascii="Calibri" w:hAnsi="Calibri" w:cs="Calibri" w:eastAsia="Calibri"/>
          <w:color w:val="auto"/>
          <w:spacing w:val="0"/>
          <w:position w:val="0"/>
          <w:sz w:val="32"/>
          <w:shd w:fill="auto" w:val="clear"/>
        </w:rPr>
        <w:t xml:space="preserve">£1 of assets.</w:t>
      </w:r>
    </w:p>
    <w:p>
      <w:pPr>
        <w:spacing w:before="0" w:after="200" w:line="276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32"/>
          <w:shd w:fill="auto" w:val="clear"/>
        </w:rPr>
      </w:pPr>
      <w:r>
        <w:rPr>
          <w:rFonts w:ascii="Calibri" w:hAnsi="Calibri" w:cs="Calibri" w:eastAsia="Calibri"/>
          <w:b/>
          <w:color w:val="auto"/>
          <w:spacing w:val="0"/>
          <w:position w:val="0"/>
          <w:sz w:val="32"/>
          <w:shd w:fill="auto" w:val="clear"/>
        </w:rPr>
        <w:t xml:space="preserve">Leverage: </w:t>
      </w:r>
      <w:r>
        <w:rPr>
          <w:rFonts w:ascii="Calibri" w:hAnsi="Calibri" w:cs="Calibri" w:eastAsia="Calibri"/>
          <w:color w:val="auto"/>
          <w:spacing w:val="0"/>
          <w:position w:val="0"/>
          <w:sz w:val="32"/>
          <w:shd w:fill="auto" w:val="clear"/>
        </w:rPr>
        <w:t xml:space="preserve">Interest coverage improved sharply from negative to 7.43x, well above safe levels. Debt-to-equity peaked at 4.72x in 2022 then fell steadily to 2.54x, reducing financial risk.</w:t>
      </w:r>
    </w:p>
    <w:p>
      <w:pPr>
        <w:spacing w:before="0" w:after="200" w:line="276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32"/>
          <w:shd w:fill="auto" w:val="clear"/>
        </w:rPr>
      </w:pPr>
      <w:r>
        <w:rPr>
          <w:rFonts w:ascii="Calibri" w:hAnsi="Calibri" w:cs="Calibri" w:eastAsia="Calibri"/>
          <w:b/>
          <w:color w:val="auto"/>
          <w:spacing w:val="0"/>
          <w:position w:val="0"/>
          <w:sz w:val="32"/>
          <w:shd w:fill="auto" w:val="clear"/>
        </w:rPr>
        <w:t xml:space="preserve">Overall: </w:t>
      </w:r>
      <w:r>
        <w:rPr>
          <w:rFonts w:ascii="Calibri" w:hAnsi="Calibri" w:cs="Calibri" w:eastAsia="Calibri"/>
          <w:color w:val="auto"/>
          <w:spacing w:val="0"/>
          <w:position w:val="0"/>
          <w:sz w:val="32"/>
          <w:shd w:fill="auto" w:val="clear"/>
        </w:rPr>
        <w:t xml:space="preserve">Business transformed from loss</w:t>
      </w:r>
      <w:r>
        <w:rPr>
          <w:rFonts w:ascii="Segoe UI Symbol" w:hAnsi="Segoe UI Symbol" w:cs="Segoe UI Symbol" w:eastAsia="Segoe UI Symbol"/>
          <w:color w:val="auto"/>
          <w:spacing w:val="0"/>
          <w:position w:val="0"/>
          <w:sz w:val="32"/>
          <w:shd w:fill="auto" w:val="clear"/>
        </w:rPr>
        <w:t xml:space="preserve">‑</w:t>
      </w:r>
      <w:r>
        <w:rPr>
          <w:rFonts w:ascii="Calibri" w:hAnsi="Calibri" w:cs="Calibri" w:eastAsia="Calibri"/>
          <w:color w:val="auto"/>
          <w:spacing w:val="0"/>
          <w:position w:val="0"/>
          <w:sz w:val="32"/>
          <w:shd w:fill="auto" w:val="clear"/>
        </w:rPr>
        <w:t xml:space="preserve">making and high</w:t>
      </w:r>
      <w:r>
        <w:rPr>
          <w:rFonts w:ascii="Segoe UI Symbol" w:hAnsi="Segoe UI Symbol" w:cs="Segoe UI Symbol" w:eastAsia="Segoe UI Symbol"/>
          <w:color w:val="auto"/>
          <w:spacing w:val="0"/>
          <w:position w:val="0"/>
          <w:sz w:val="32"/>
          <w:shd w:fill="auto" w:val="clear"/>
        </w:rPr>
        <w:t xml:space="preserve">‑</w:t>
      </w:r>
      <w:r>
        <w:rPr>
          <w:rFonts w:ascii="Calibri" w:hAnsi="Calibri" w:cs="Calibri" w:eastAsia="Calibri"/>
          <w:color w:val="auto"/>
          <w:spacing w:val="0"/>
          <w:position w:val="0"/>
          <w:sz w:val="32"/>
          <w:shd w:fill="auto" w:val="clear"/>
        </w:rPr>
        <w:t xml:space="preserve">risk in 2021 to profitable, efficient, and lower</w:t>
      </w:r>
      <w:r>
        <w:rPr>
          <w:rFonts w:ascii="Segoe UI Symbol" w:hAnsi="Segoe UI Symbol" w:cs="Segoe UI Symbol" w:eastAsia="Segoe UI Symbol"/>
          <w:color w:val="auto"/>
          <w:spacing w:val="0"/>
          <w:position w:val="0"/>
          <w:sz w:val="32"/>
          <w:shd w:fill="auto" w:val="clear"/>
        </w:rPr>
        <w:t xml:space="preserve">‑</w:t>
      </w:r>
      <w:r>
        <w:rPr>
          <w:rFonts w:ascii="Calibri" w:hAnsi="Calibri" w:cs="Calibri" w:eastAsia="Calibri"/>
          <w:color w:val="auto"/>
          <w:spacing w:val="0"/>
          <w:position w:val="0"/>
          <w:sz w:val="32"/>
          <w:shd w:fill="auto" w:val="clear"/>
        </w:rPr>
        <w:t xml:space="preserve">risk by 2025; liquidity is the only area to monitor.</w:t>
      </w:r>
    </w:p>
  </w:body>
</w:document>
</file>

<file path=word/numbering.xml><?xml version="1.0" encoding="utf-8"?>
<w:numbering xmlns:w="http://schemas.openxmlformats.org/wordprocessingml/2006/main"/>
</file>

<file path=word/styles.xml><?xml version="1.0" encoding="utf-8"?>
<w:styles xmlns:w="http://schemas.openxmlformats.org/wordprocessingml/2006/main"/>
</file>

<file path=word/_rels/document.xml.rels><?xml version="1.0" encoding="UTF-8"?><Relationships xmlns="http://schemas.openxmlformats.org/package/2006/relationships"><Relationship Target="numbering.xml" Id="docRId0" Type="http://schemas.openxmlformats.org/officeDocument/2006/relationships/numbering" /><Relationship Target="styles.xml" Id="docRId1" Type="http://schemas.openxmlformats.org/officeDocument/2006/relationships/styles" /></Relationships>
</file>