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3F4078" w14:textId="7B3B9C03" w:rsidR="75EE9ABC" w:rsidRDefault="75EE9ABC" w:rsidP="00A07D6F">
      <w:pPr>
        <w:spacing w:line="480" w:lineRule="auto"/>
        <w:jc w:val="both"/>
        <w:rPr>
          <w:rFonts w:ascii="Arial" w:eastAsia="Arial" w:hAnsi="Arial" w:cs="Arial"/>
          <w:color w:val="000000" w:themeColor="text1"/>
          <w:lang w:val="en-GB"/>
        </w:rPr>
      </w:pPr>
      <w:r w:rsidRPr="5E6E0106">
        <w:rPr>
          <w:rFonts w:ascii="Arial" w:eastAsia="Arial" w:hAnsi="Arial" w:cs="Arial"/>
          <w:color w:val="000000" w:themeColor="text1"/>
          <w:lang w:val="en-GB"/>
        </w:rPr>
        <w:t>Title:</w:t>
      </w:r>
      <w:r w:rsidR="2E557CCB" w:rsidRPr="5E6E0106">
        <w:rPr>
          <w:rFonts w:ascii="Arial" w:eastAsia="Arial" w:hAnsi="Arial" w:cs="Arial"/>
          <w:color w:val="000000" w:themeColor="text1"/>
          <w:lang w:val="en-GB"/>
        </w:rPr>
        <w:t xml:space="preserve"> </w:t>
      </w:r>
      <w:r w:rsidR="00A07D6F">
        <w:rPr>
          <w:rFonts w:ascii="Arial" w:eastAsia="Arial" w:hAnsi="Arial" w:cs="Arial"/>
          <w:color w:val="000000" w:themeColor="text1"/>
          <w:lang w:val="en-GB"/>
        </w:rPr>
        <w:t>Report</w:t>
      </w:r>
      <w:r w:rsidR="213BBE08" w:rsidRPr="5E6E0106">
        <w:rPr>
          <w:rFonts w:ascii="Arial" w:eastAsia="Arial" w:hAnsi="Arial" w:cs="Arial"/>
          <w:color w:val="000000" w:themeColor="text1"/>
          <w:lang w:val="en-GB"/>
        </w:rPr>
        <w:t xml:space="preserve"> for Hilton Group Hotels</w:t>
      </w:r>
    </w:p>
    <w:p w14:paraId="58E021BD" w14:textId="36D0FE80" w:rsidR="75EE9ABC" w:rsidRDefault="75EE9ABC" w:rsidP="00A07D6F">
      <w:pPr>
        <w:spacing w:line="480" w:lineRule="auto"/>
        <w:jc w:val="both"/>
        <w:rPr>
          <w:rFonts w:ascii="Arial" w:eastAsia="Arial" w:hAnsi="Arial" w:cs="Arial"/>
          <w:color w:val="000000" w:themeColor="text1"/>
        </w:rPr>
      </w:pPr>
      <w:r w:rsidRPr="5E6E0106">
        <w:rPr>
          <w:rFonts w:ascii="Arial" w:eastAsia="Arial" w:hAnsi="Arial" w:cs="Arial"/>
          <w:color w:val="000000" w:themeColor="text1"/>
          <w:lang w:val="en-GB"/>
        </w:rPr>
        <w:t xml:space="preserve">Student name: Galen </w:t>
      </w:r>
      <w:proofErr w:type="spellStart"/>
      <w:r w:rsidRPr="5E6E0106">
        <w:rPr>
          <w:rFonts w:ascii="Arial" w:eastAsia="Arial" w:hAnsi="Arial" w:cs="Arial"/>
          <w:color w:val="000000" w:themeColor="text1"/>
          <w:lang w:val="en-GB"/>
        </w:rPr>
        <w:t>Atanasov</w:t>
      </w:r>
      <w:proofErr w:type="spellEnd"/>
      <w:r w:rsidRPr="5E6E0106">
        <w:rPr>
          <w:rFonts w:ascii="Arial" w:eastAsia="Arial" w:hAnsi="Arial" w:cs="Arial"/>
          <w:color w:val="000000" w:themeColor="text1"/>
          <w:lang w:val="en-GB"/>
        </w:rPr>
        <w:t xml:space="preserve"> 2212026</w:t>
      </w:r>
    </w:p>
    <w:p w14:paraId="15FF3424" w14:textId="196DA137" w:rsidR="75EE9ABC" w:rsidRDefault="75EE9ABC" w:rsidP="00A07D6F">
      <w:pPr>
        <w:spacing w:line="480" w:lineRule="auto"/>
        <w:jc w:val="both"/>
        <w:rPr>
          <w:rFonts w:ascii="Arial" w:eastAsia="Arial" w:hAnsi="Arial" w:cs="Arial"/>
          <w:color w:val="000000" w:themeColor="text1"/>
        </w:rPr>
      </w:pPr>
      <w:r w:rsidRPr="5E6E0106">
        <w:rPr>
          <w:rFonts w:ascii="Arial" w:eastAsia="Arial" w:hAnsi="Arial" w:cs="Arial"/>
          <w:color w:val="000000" w:themeColor="text1"/>
          <w:lang w:val="en-GB"/>
        </w:rPr>
        <w:t>The module title and module code: BMIH5004</w:t>
      </w:r>
      <w:r w:rsidRPr="5E6E0106">
        <w:rPr>
          <w:rFonts w:ascii="Arial" w:eastAsia="Arial" w:hAnsi="Arial" w:cs="Arial"/>
          <w:color w:val="000000" w:themeColor="text1"/>
          <w:lang w:val="bg-BG"/>
        </w:rPr>
        <w:t xml:space="preserve"> </w:t>
      </w:r>
      <w:r w:rsidRPr="5E6E0106">
        <w:rPr>
          <w:rFonts w:ascii="Arial" w:eastAsia="Arial" w:hAnsi="Arial" w:cs="Arial"/>
          <w:color w:val="000000" w:themeColor="text1"/>
          <w:lang w:val="en-GB"/>
        </w:rPr>
        <w:t>Management &amp; Organisational Behaviour</w:t>
      </w:r>
    </w:p>
    <w:p w14:paraId="5B79A03B" w14:textId="2586FB81" w:rsidR="75EE9ABC" w:rsidRDefault="75EE9ABC" w:rsidP="00A07D6F">
      <w:pPr>
        <w:spacing w:line="480" w:lineRule="auto"/>
        <w:jc w:val="both"/>
        <w:rPr>
          <w:rFonts w:ascii="Arial" w:eastAsia="Arial" w:hAnsi="Arial" w:cs="Arial"/>
          <w:color w:val="000000" w:themeColor="text1"/>
        </w:rPr>
      </w:pPr>
      <w:r w:rsidRPr="5E6E0106">
        <w:rPr>
          <w:rFonts w:ascii="Arial" w:eastAsia="Arial" w:hAnsi="Arial" w:cs="Arial"/>
          <w:color w:val="000000" w:themeColor="text1"/>
          <w:lang w:val="en-GB"/>
        </w:rPr>
        <w:t xml:space="preserve">Lecturer’s name: Ernest </w:t>
      </w:r>
      <w:proofErr w:type="spellStart"/>
      <w:r w:rsidRPr="5E6E0106">
        <w:rPr>
          <w:rFonts w:ascii="Arial" w:eastAsia="Arial" w:hAnsi="Arial" w:cs="Arial"/>
          <w:color w:val="000000" w:themeColor="text1"/>
          <w:lang w:val="en-GB"/>
        </w:rPr>
        <w:t>Wavei</w:t>
      </w:r>
      <w:proofErr w:type="spellEnd"/>
    </w:p>
    <w:p w14:paraId="538987F5" w14:textId="2CBE40E3" w:rsidR="75EE9ABC" w:rsidRDefault="75EE9ABC" w:rsidP="00A07D6F">
      <w:pPr>
        <w:spacing w:line="480" w:lineRule="auto"/>
        <w:jc w:val="both"/>
        <w:rPr>
          <w:rFonts w:ascii="Arial" w:eastAsia="Arial" w:hAnsi="Arial" w:cs="Arial"/>
          <w:color w:val="000000" w:themeColor="text1"/>
          <w:lang w:val="en-GB"/>
        </w:rPr>
      </w:pPr>
      <w:r w:rsidRPr="5E6E0106">
        <w:rPr>
          <w:rFonts w:ascii="Arial" w:eastAsia="Arial" w:hAnsi="Arial" w:cs="Arial"/>
          <w:color w:val="000000" w:themeColor="text1"/>
          <w:lang w:val="en-GB"/>
        </w:rPr>
        <w:t xml:space="preserve">Wordcount: </w:t>
      </w:r>
      <w:r w:rsidR="62B61981" w:rsidRPr="5E6E0106">
        <w:rPr>
          <w:rFonts w:ascii="Arial" w:eastAsia="Arial" w:hAnsi="Arial" w:cs="Arial"/>
          <w:color w:val="000000" w:themeColor="text1"/>
          <w:lang w:val="en-GB"/>
        </w:rPr>
        <w:t xml:space="preserve"> </w:t>
      </w:r>
      <w:r w:rsidR="2A21ED1E" w:rsidRPr="5E6E0106">
        <w:rPr>
          <w:rFonts w:ascii="Arial" w:eastAsia="Arial" w:hAnsi="Arial" w:cs="Arial"/>
          <w:color w:val="000000" w:themeColor="text1"/>
          <w:lang w:val="en-GB"/>
        </w:rPr>
        <w:t>2065</w:t>
      </w:r>
    </w:p>
    <w:p w14:paraId="7D7EFFFA" w14:textId="1BFE759E" w:rsidR="5E6E0106" w:rsidRDefault="5E6E0106" w:rsidP="00A07D6F">
      <w:pPr>
        <w:spacing w:line="480" w:lineRule="auto"/>
        <w:jc w:val="both"/>
        <w:rPr>
          <w:rStyle w:val="Heading1Char"/>
          <w:rFonts w:ascii="Arial" w:eastAsia="Arial" w:hAnsi="Arial" w:cs="Arial"/>
          <w:b/>
          <w:bCs/>
          <w:color w:val="000000" w:themeColor="text1"/>
          <w:sz w:val="24"/>
          <w:szCs w:val="24"/>
        </w:rPr>
      </w:pPr>
    </w:p>
    <w:p w14:paraId="41758810" w14:textId="56ACF021" w:rsidR="5E6E0106" w:rsidRDefault="5E6E0106" w:rsidP="00A07D6F">
      <w:pPr>
        <w:spacing w:line="480" w:lineRule="auto"/>
        <w:jc w:val="both"/>
        <w:rPr>
          <w:rStyle w:val="Heading1Char"/>
          <w:rFonts w:ascii="Arial" w:eastAsia="Arial" w:hAnsi="Arial" w:cs="Arial"/>
          <w:b/>
          <w:bCs/>
          <w:color w:val="000000" w:themeColor="text1"/>
          <w:sz w:val="24"/>
          <w:szCs w:val="24"/>
        </w:rPr>
      </w:pPr>
    </w:p>
    <w:p w14:paraId="6C9822C3" w14:textId="07133D71" w:rsidR="5E6E0106" w:rsidRDefault="5E6E0106" w:rsidP="00A07D6F">
      <w:pPr>
        <w:spacing w:line="480" w:lineRule="auto"/>
        <w:jc w:val="both"/>
        <w:rPr>
          <w:rStyle w:val="Heading1Char"/>
          <w:rFonts w:ascii="Arial" w:eastAsia="Arial" w:hAnsi="Arial" w:cs="Arial"/>
          <w:b/>
          <w:bCs/>
          <w:color w:val="000000" w:themeColor="text1"/>
          <w:sz w:val="24"/>
          <w:szCs w:val="24"/>
        </w:rPr>
      </w:pPr>
    </w:p>
    <w:p w14:paraId="6239DC9E" w14:textId="60CF722B" w:rsidR="5E6E0106" w:rsidRDefault="5E6E0106" w:rsidP="00A07D6F">
      <w:pPr>
        <w:spacing w:line="480" w:lineRule="auto"/>
        <w:jc w:val="both"/>
        <w:rPr>
          <w:rStyle w:val="Heading1Char"/>
          <w:rFonts w:ascii="Arial" w:eastAsia="Arial" w:hAnsi="Arial" w:cs="Arial"/>
          <w:b/>
          <w:bCs/>
          <w:color w:val="000000" w:themeColor="text1"/>
          <w:sz w:val="24"/>
          <w:szCs w:val="24"/>
        </w:rPr>
      </w:pPr>
    </w:p>
    <w:p w14:paraId="08801256" w14:textId="63BBA563" w:rsidR="5E6E0106" w:rsidRDefault="5E6E0106" w:rsidP="00A07D6F">
      <w:pPr>
        <w:spacing w:line="480" w:lineRule="auto"/>
        <w:jc w:val="both"/>
        <w:rPr>
          <w:rStyle w:val="Heading1Char"/>
          <w:rFonts w:ascii="Arial" w:eastAsia="Arial" w:hAnsi="Arial" w:cs="Arial"/>
          <w:b/>
          <w:bCs/>
          <w:color w:val="000000" w:themeColor="text1"/>
          <w:sz w:val="24"/>
          <w:szCs w:val="24"/>
        </w:rPr>
      </w:pPr>
    </w:p>
    <w:p w14:paraId="60FFED88" w14:textId="59BA7AFE" w:rsidR="5E6E0106" w:rsidRDefault="5E6E0106" w:rsidP="00A07D6F">
      <w:pPr>
        <w:spacing w:line="480" w:lineRule="auto"/>
        <w:jc w:val="both"/>
        <w:rPr>
          <w:rStyle w:val="Heading1Char"/>
          <w:rFonts w:ascii="Arial" w:eastAsia="Arial" w:hAnsi="Arial" w:cs="Arial"/>
          <w:b/>
          <w:bCs/>
          <w:color w:val="000000" w:themeColor="text1"/>
          <w:sz w:val="24"/>
          <w:szCs w:val="24"/>
        </w:rPr>
      </w:pPr>
    </w:p>
    <w:p w14:paraId="253BE316" w14:textId="50917054" w:rsidR="5E6E0106" w:rsidRDefault="5E6E0106" w:rsidP="00A07D6F">
      <w:pPr>
        <w:spacing w:line="480" w:lineRule="auto"/>
        <w:jc w:val="both"/>
        <w:rPr>
          <w:rStyle w:val="Heading1Char"/>
          <w:rFonts w:ascii="Arial" w:eastAsia="Arial" w:hAnsi="Arial" w:cs="Arial"/>
          <w:b/>
          <w:bCs/>
          <w:color w:val="000000" w:themeColor="text1"/>
          <w:sz w:val="24"/>
          <w:szCs w:val="24"/>
        </w:rPr>
      </w:pPr>
    </w:p>
    <w:p w14:paraId="48B2E2AB" w14:textId="29D1A22C" w:rsidR="5E6E0106" w:rsidRDefault="5E6E0106" w:rsidP="00A07D6F">
      <w:pPr>
        <w:spacing w:line="480" w:lineRule="auto"/>
        <w:jc w:val="both"/>
        <w:rPr>
          <w:rStyle w:val="Heading1Char"/>
          <w:rFonts w:ascii="Arial" w:eastAsia="Arial" w:hAnsi="Arial" w:cs="Arial"/>
          <w:b/>
          <w:bCs/>
          <w:color w:val="000000" w:themeColor="text1"/>
          <w:sz w:val="24"/>
          <w:szCs w:val="24"/>
        </w:rPr>
      </w:pPr>
    </w:p>
    <w:p w14:paraId="22FC7E89" w14:textId="051EDC7C" w:rsidR="5E6E0106" w:rsidRDefault="5E6E0106" w:rsidP="00A07D6F">
      <w:pPr>
        <w:spacing w:line="480" w:lineRule="auto"/>
        <w:jc w:val="both"/>
        <w:rPr>
          <w:rStyle w:val="Heading1Char"/>
          <w:rFonts w:ascii="Arial" w:eastAsia="Arial" w:hAnsi="Arial" w:cs="Arial"/>
          <w:b/>
          <w:bCs/>
          <w:color w:val="000000" w:themeColor="text1"/>
          <w:sz w:val="24"/>
          <w:szCs w:val="24"/>
        </w:rPr>
      </w:pPr>
    </w:p>
    <w:p w14:paraId="54C282B1" w14:textId="2512875A" w:rsidR="5E6E0106" w:rsidRDefault="5E6E0106" w:rsidP="00A07D6F">
      <w:pPr>
        <w:spacing w:line="480" w:lineRule="auto"/>
        <w:jc w:val="both"/>
        <w:rPr>
          <w:rStyle w:val="Heading1Char"/>
          <w:rFonts w:ascii="Arial" w:eastAsia="Arial" w:hAnsi="Arial" w:cs="Arial"/>
          <w:b/>
          <w:bCs/>
          <w:color w:val="000000" w:themeColor="text1"/>
          <w:sz w:val="24"/>
          <w:szCs w:val="24"/>
        </w:rPr>
      </w:pPr>
    </w:p>
    <w:p w14:paraId="26C414A9" w14:textId="75CBA67A" w:rsidR="5E6E0106" w:rsidRDefault="5E6E0106" w:rsidP="00A07D6F">
      <w:pPr>
        <w:spacing w:line="480" w:lineRule="auto"/>
        <w:jc w:val="both"/>
        <w:rPr>
          <w:rStyle w:val="Heading1Char"/>
          <w:rFonts w:ascii="Arial" w:eastAsia="Arial" w:hAnsi="Arial" w:cs="Arial"/>
          <w:b/>
          <w:bCs/>
          <w:color w:val="000000" w:themeColor="text1"/>
          <w:sz w:val="24"/>
          <w:szCs w:val="24"/>
        </w:rPr>
      </w:pPr>
    </w:p>
    <w:p w14:paraId="4BBF1489" w14:textId="507EE7FF" w:rsidR="5E6E0106" w:rsidRDefault="5E6E0106" w:rsidP="00A07D6F">
      <w:pPr>
        <w:spacing w:line="480" w:lineRule="auto"/>
        <w:jc w:val="both"/>
        <w:rPr>
          <w:rStyle w:val="Heading1Char"/>
          <w:rFonts w:ascii="Arial" w:eastAsia="Arial" w:hAnsi="Arial" w:cs="Arial"/>
          <w:b/>
          <w:bCs/>
          <w:color w:val="000000" w:themeColor="text1"/>
          <w:sz w:val="24"/>
          <w:szCs w:val="24"/>
        </w:rPr>
      </w:pPr>
    </w:p>
    <w:p w14:paraId="5449FCD3" w14:textId="77777777" w:rsidR="00A07D6F" w:rsidRDefault="00A07D6F" w:rsidP="00A07D6F">
      <w:pPr>
        <w:spacing w:line="480" w:lineRule="auto"/>
        <w:jc w:val="both"/>
        <w:rPr>
          <w:rStyle w:val="Heading1Char"/>
          <w:rFonts w:ascii="Arial" w:eastAsia="Arial" w:hAnsi="Arial" w:cs="Arial"/>
          <w:b/>
          <w:bCs/>
          <w:color w:val="000000" w:themeColor="text1"/>
          <w:sz w:val="24"/>
          <w:szCs w:val="24"/>
        </w:rPr>
      </w:pPr>
    </w:p>
    <w:p w14:paraId="2FAAAD9C" w14:textId="35751859" w:rsidR="00A07D6F" w:rsidRPr="00A07D6F" w:rsidRDefault="00A07D6F" w:rsidP="00A07D6F">
      <w:pPr>
        <w:spacing w:line="480" w:lineRule="auto"/>
        <w:jc w:val="both"/>
        <w:rPr>
          <w:rStyle w:val="Heading1Char"/>
          <w:rFonts w:ascii="Arial" w:eastAsia="Arial" w:hAnsi="Arial" w:cs="Arial"/>
          <w:b/>
          <w:bCs/>
          <w:color w:val="000000" w:themeColor="text1"/>
          <w:sz w:val="24"/>
          <w:szCs w:val="24"/>
        </w:rPr>
      </w:pPr>
      <w:r w:rsidRPr="00A07D6F">
        <w:rPr>
          <w:rStyle w:val="Heading1Char"/>
          <w:rFonts w:ascii="Arial" w:eastAsia="Arial" w:hAnsi="Arial" w:cs="Arial"/>
          <w:b/>
          <w:bCs/>
          <w:color w:val="000000" w:themeColor="text1"/>
          <w:sz w:val="24"/>
          <w:szCs w:val="24"/>
        </w:rPr>
        <w:lastRenderedPageBreak/>
        <w:t>Executive Summary</w:t>
      </w:r>
    </w:p>
    <w:p w14:paraId="582AAB13" w14:textId="477CE7DC" w:rsidR="00A07D6F" w:rsidRPr="00A07D6F" w:rsidRDefault="00A07D6F" w:rsidP="00A07D6F">
      <w:pPr>
        <w:spacing w:line="480" w:lineRule="auto"/>
        <w:jc w:val="both"/>
        <w:rPr>
          <w:rStyle w:val="Heading1Char"/>
          <w:rFonts w:ascii="Arial" w:eastAsia="Arial" w:hAnsi="Arial" w:cs="Arial"/>
          <w:color w:val="000000" w:themeColor="text1"/>
          <w:sz w:val="24"/>
          <w:szCs w:val="24"/>
        </w:rPr>
      </w:pPr>
      <w:r w:rsidRPr="00A07D6F">
        <w:rPr>
          <w:rStyle w:val="Heading1Char"/>
          <w:rFonts w:ascii="Arial" w:eastAsia="Arial" w:hAnsi="Arial" w:cs="Arial"/>
          <w:color w:val="000000" w:themeColor="text1"/>
          <w:sz w:val="24"/>
          <w:szCs w:val="24"/>
        </w:rPr>
        <w:t>This comprehensive report delves into an in-depth analysis of a selected organization, examining aspects such as its structure, culture, goals, recent change initiatives, and strategic direction. The organization maintains a hierarchical structure marked by centralized decision-making, which facilitates clear definitions of roles and formal communication channels. Such a structure, while bolstering accountability and clarity, can potentially slow decision-making processes.</w:t>
      </w:r>
    </w:p>
    <w:p w14:paraId="12C33ACD" w14:textId="1DD7C17C" w:rsidR="00A07D6F" w:rsidRPr="00A07D6F" w:rsidRDefault="00A07D6F" w:rsidP="00A07D6F">
      <w:pPr>
        <w:spacing w:line="480" w:lineRule="auto"/>
        <w:jc w:val="both"/>
        <w:rPr>
          <w:rStyle w:val="Heading1Char"/>
          <w:rFonts w:ascii="Arial" w:eastAsia="Arial" w:hAnsi="Arial" w:cs="Arial"/>
          <w:color w:val="000000" w:themeColor="text1"/>
          <w:sz w:val="24"/>
          <w:szCs w:val="24"/>
        </w:rPr>
      </w:pPr>
      <w:r w:rsidRPr="00A07D6F">
        <w:rPr>
          <w:rStyle w:val="Heading1Char"/>
          <w:rFonts w:ascii="Arial" w:eastAsia="Arial" w:hAnsi="Arial" w:cs="Arial"/>
          <w:color w:val="000000" w:themeColor="text1"/>
          <w:sz w:val="24"/>
          <w:szCs w:val="24"/>
        </w:rPr>
        <w:t>The cultural framework of the organization is anchored in performance-driven values that emphasize innovation and teamwork. This environment nurtures internal cohesion and bolsters the organization’s competitiveness in the market. Aligned with its mission and vision, the organization's strategic goals are focused on growth, customer satisfaction, and sustainability. These goals are crafted to meet SMART criteria and are further reinforced by the Balanced Scorecard approach, ensuring they are well integrated with the organization’s broader strategic objectives.</w:t>
      </w:r>
    </w:p>
    <w:p w14:paraId="123AFF30" w14:textId="79266E5C" w:rsidR="00A07D6F" w:rsidRPr="00A07D6F" w:rsidRDefault="00A07D6F" w:rsidP="00A07D6F">
      <w:pPr>
        <w:spacing w:line="480" w:lineRule="auto"/>
        <w:jc w:val="both"/>
        <w:rPr>
          <w:rStyle w:val="Heading1Char"/>
          <w:rFonts w:ascii="Arial" w:eastAsia="Arial" w:hAnsi="Arial" w:cs="Arial"/>
          <w:color w:val="000000" w:themeColor="text1"/>
          <w:sz w:val="24"/>
          <w:szCs w:val="24"/>
        </w:rPr>
      </w:pPr>
      <w:r w:rsidRPr="00A07D6F">
        <w:rPr>
          <w:rStyle w:val="Heading1Char"/>
          <w:rFonts w:ascii="Arial" w:eastAsia="Arial" w:hAnsi="Arial" w:cs="Arial"/>
          <w:color w:val="000000" w:themeColor="text1"/>
          <w:sz w:val="24"/>
          <w:szCs w:val="24"/>
        </w:rPr>
        <w:t>In response to dynamic market conditions, the organization has recently embarked on several change initiatives, including digital transformation, organizational restructuring, and the integration of sustainability programs. These initiatives aim to enhance operational efficiency and solidify the organization's competitive stance. The implementation of these changes is meticulously managed through established frameworks such as Kotter’s 8-Step Change Model and Lewin’s Change Management Model, which help to minimize resistance and disruption among employees.</w:t>
      </w:r>
    </w:p>
    <w:p w14:paraId="0869048F" w14:textId="5264C817" w:rsidR="00A07D6F" w:rsidRPr="00A07D6F" w:rsidRDefault="00A07D6F" w:rsidP="00A07D6F">
      <w:pPr>
        <w:spacing w:line="480" w:lineRule="auto"/>
        <w:jc w:val="both"/>
        <w:rPr>
          <w:rStyle w:val="Heading1Char"/>
          <w:rFonts w:ascii="Arial" w:eastAsia="Arial" w:hAnsi="Arial" w:cs="Arial"/>
          <w:color w:val="000000" w:themeColor="text1"/>
          <w:sz w:val="24"/>
          <w:szCs w:val="24"/>
        </w:rPr>
      </w:pPr>
      <w:r w:rsidRPr="00A07D6F">
        <w:rPr>
          <w:rStyle w:val="Heading1Char"/>
          <w:rFonts w:ascii="Arial" w:eastAsia="Arial" w:hAnsi="Arial" w:cs="Arial"/>
          <w:color w:val="000000" w:themeColor="text1"/>
          <w:sz w:val="24"/>
          <w:szCs w:val="24"/>
        </w:rPr>
        <w:lastRenderedPageBreak/>
        <w:t>Looking forward, the organization is poised for significant growth through strategies aimed at market expansion, fostering innovation, and enhancing sustainability practices. These strategic directions are underpinned by established theories such as Porter’s Generic Strategies and Ansoff’s Matrix, guiding the organization in sustaining its competitiveness and exploring new markets and product opportunities.</w:t>
      </w:r>
    </w:p>
    <w:p w14:paraId="3EB9A9E3" w14:textId="3FE08ED5" w:rsidR="5E6E0106" w:rsidRDefault="00A07D6F" w:rsidP="00A07D6F">
      <w:pPr>
        <w:spacing w:line="480" w:lineRule="auto"/>
        <w:jc w:val="both"/>
        <w:rPr>
          <w:rStyle w:val="Heading1Char"/>
          <w:rFonts w:ascii="Arial" w:eastAsia="Arial" w:hAnsi="Arial" w:cs="Arial"/>
          <w:color w:val="000000" w:themeColor="text1"/>
          <w:sz w:val="24"/>
          <w:szCs w:val="24"/>
        </w:rPr>
      </w:pPr>
      <w:r w:rsidRPr="00A07D6F">
        <w:rPr>
          <w:rStyle w:val="Heading1Char"/>
          <w:rFonts w:ascii="Arial" w:eastAsia="Arial" w:hAnsi="Arial" w:cs="Arial"/>
          <w:color w:val="000000" w:themeColor="text1"/>
          <w:sz w:val="24"/>
          <w:szCs w:val="24"/>
        </w:rPr>
        <w:t>The organization faces challenges including market saturation, intensifying competition, and stringent regulatory environments, especially relevant to global expansion and sustainability initiatives. However, these challenges are counterbalanced by opportunities to capitalize on technological advancements, penetrate emerging markets, and expand product lines to meet increasing demands for innovative and sustainable solutions. The strategic integration of these elements positions the organization to successfully navigate the complexities of its business environment and achieve sustained growth.</w:t>
      </w:r>
    </w:p>
    <w:p w14:paraId="26306777" w14:textId="77777777" w:rsidR="00A07D6F" w:rsidRDefault="00A07D6F" w:rsidP="00A07D6F">
      <w:pPr>
        <w:spacing w:line="480" w:lineRule="auto"/>
        <w:jc w:val="both"/>
        <w:rPr>
          <w:rStyle w:val="Heading1Char"/>
          <w:rFonts w:ascii="Arial" w:eastAsia="Arial" w:hAnsi="Arial" w:cs="Arial"/>
          <w:color w:val="000000" w:themeColor="text1"/>
          <w:sz w:val="24"/>
          <w:szCs w:val="24"/>
        </w:rPr>
      </w:pPr>
    </w:p>
    <w:p w14:paraId="0FD1490A" w14:textId="77777777" w:rsidR="00A07D6F" w:rsidRDefault="00A07D6F" w:rsidP="00A07D6F">
      <w:pPr>
        <w:spacing w:line="480" w:lineRule="auto"/>
        <w:jc w:val="both"/>
        <w:rPr>
          <w:rStyle w:val="Heading1Char"/>
          <w:rFonts w:ascii="Arial" w:eastAsia="Arial" w:hAnsi="Arial" w:cs="Arial"/>
          <w:color w:val="000000" w:themeColor="text1"/>
          <w:sz w:val="24"/>
          <w:szCs w:val="24"/>
        </w:rPr>
      </w:pPr>
    </w:p>
    <w:p w14:paraId="7130AE43" w14:textId="77777777" w:rsidR="00A07D6F" w:rsidRDefault="00A07D6F" w:rsidP="00A07D6F">
      <w:pPr>
        <w:spacing w:line="480" w:lineRule="auto"/>
        <w:jc w:val="both"/>
        <w:rPr>
          <w:rStyle w:val="Heading1Char"/>
          <w:rFonts w:ascii="Arial" w:eastAsia="Arial" w:hAnsi="Arial" w:cs="Arial"/>
          <w:color w:val="000000" w:themeColor="text1"/>
          <w:sz w:val="24"/>
          <w:szCs w:val="24"/>
        </w:rPr>
      </w:pPr>
    </w:p>
    <w:p w14:paraId="7E017961" w14:textId="77777777" w:rsidR="00A07D6F" w:rsidRDefault="00A07D6F" w:rsidP="00A07D6F">
      <w:pPr>
        <w:spacing w:line="480" w:lineRule="auto"/>
        <w:jc w:val="both"/>
        <w:rPr>
          <w:rStyle w:val="Heading1Char"/>
          <w:rFonts w:ascii="Arial" w:eastAsia="Arial" w:hAnsi="Arial" w:cs="Arial"/>
          <w:color w:val="000000" w:themeColor="text1"/>
          <w:sz w:val="24"/>
          <w:szCs w:val="24"/>
        </w:rPr>
      </w:pPr>
    </w:p>
    <w:p w14:paraId="57590224" w14:textId="77777777" w:rsidR="00A07D6F" w:rsidRDefault="00A07D6F" w:rsidP="00A07D6F">
      <w:pPr>
        <w:spacing w:line="480" w:lineRule="auto"/>
        <w:jc w:val="both"/>
        <w:rPr>
          <w:rStyle w:val="Heading1Char"/>
          <w:rFonts w:ascii="Arial" w:eastAsia="Arial" w:hAnsi="Arial" w:cs="Arial"/>
          <w:color w:val="000000" w:themeColor="text1"/>
          <w:sz w:val="24"/>
          <w:szCs w:val="24"/>
        </w:rPr>
      </w:pPr>
    </w:p>
    <w:p w14:paraId="711EACFF" w14:textId="77777777" w:rsidR="00A07D6F" w:rsidRDefault="00A07D6F" w:rsidP="00A07D6F">
      <w:pPr>
        <w:spacing w:line="480" w:lineRule="auto"/>
        <w:jc w:val="both"/>
        <w:rPr>
          <w:rStyle w:val="Heading1Char"/>
          <w:rFonts w:ascii="Arial" w:eastAsia="Arial" w:hAnsi="Arial" w:cs="Arial"/>
          <w:color w:val="000000" w:themeColor="text1"/>
          <w:sz w:val="24"/>
          <w:szCs w:val="24"/>
        </w:rPr>
      </w:pPr>
    </w:p>
    <w:p w14:paraId="5D0E3F9E" w14:textId="77777777" w:rsidR="00A07D6F" w:rsidRDefault="00A07D6F" w:rsidP="00A07D6F">
      <w:pPr>
        <w:spacing w:line="480" w:lineRule="auto"/>
        <w:jc w:val="both"/>
        <w:rPr>
          <w:rStyle w:val="Heading1Char"/>
          <w:rFonts w:ascii="Arial" w:eastAsia="Arial" w:hAnsi="Arial" w:cs="Arial"/>
          <w:color w:val="000000" w:themeColor="text1"/>
          <w:sz w:val="24"/>
          <w:szCs w:val="24"/>
        </w:rPr>
      </w:pPr>
    </w:p>
    <w:p w14:paraId="7B6A7D0F" w14:textId="77777777" w:rsidR="00A07D6F" w:rsidRDefault="00A07D6F" w:rsidP="00A07D6F">
      <w:pPr>
        <w:spacing w:line="480" w:lineRule="auto"/>
        <w:jc w:val="both"/>
        <w:rPr>
          <w:rStyle w:val="Heading1Char"/>
          <w:rFonts w:ascii="Arial" w:eastAsia="Arial" w:hAnsi="Arial" w:cs="Arial"/>
          <w:color w:val="000000" w:themeColor="text1"/>
          <w:sz w:val="24"/>
          <w:szCs w:val="24"/>
        </w:rPr>
      </w:pPr>
    </w:p>
    <w:p w14:paraId="7981D0C3" w14:textId="77777777" w:rsidR="00A07D6F" w:rsidRPr="00A07D6F" w:rsidRDefault="00A07D6F" w:rsidP="00A07D6F">
      <w:pPr>
        <w:spacing w:line="480" w:lineRule="auto"/>
        <w:jc w:val="both"/>
        <w:rPr>
          <w:rFonts w:eastAsia="Arial"/>
        </w:rPr>
      </w:pPr>
    </w:p>
    <w:p w14:paraId="73F97634" w14:textId="5DF429D1" w:rsidR="7452CA5B" w:rsidRDefault="7452CA5B" w:rsidP="00A07D6F">
      <w:pPr>
        <w:spacing w:line="480" w:lineRule="auto"/>
        <w:jc w:val="both"/>
        <w:rPr>
          <w:rFonts w:ascii="Arial" w:eastAsia="Arial" w:hAnsi="Arial" w:cs="Arial"/>
          <w:b/>
          <w:bCs/>
          <w:color w:val="000000" w:themeColor="text1"/>
        </w:rPr>
      </w:pPr>
      <w:r w:rsidRPr="0A7FA262">
        <w:rPr>
          <w:rFonts w:ascii="Arial" w:eastAsia="Arial" w:hAnsi="Arial" w:cs="Arial"/>
          <w:b/>
          <w:bCs/>
          <w:color w:val="000000" w:themeColor="text1"/>
        </w:rPr>
        <w:lastRenderedPageBreak/>
        <w:t>Table of content</w:t>
      </w:r>
    </w:p>
    <w:sdt>
      <w:sdtPr>
        <w:id w:val="323717205"/>
        <w:docPartObj>
          <w:docPartGallery w:val="Table of Contents"/>
          <w:docPartUnique/>
        </w:docPartObj>
      </w:sdtPr>
      <w:sdtContent>
        <w:p w14:paraId="2ECC1137" w14:textId="7A1ABFC2" w:rsidR="5E6E0106" w:rsidRDefault="5E6E0106" w:rsidP="00A07D6F">
          <w:pPr>
            <w:pStyle w:val="TOC1"/>
            <w:tabs>
              <w:tab w:val="right" w:leader="dot" w:pos="9360"/>
            </w:tabs>
            <w:jc w:val="both"/>
            <w:rPr>
              <w:rStyle w:val="Hyperlink"/>
            </w:rPr>
          </w:pPr>
          <w:r>
            <w:fldChar w:fldCharType="begin"/>
          </w:r>
          <w:r>
            <w:instrText>TOC \o \z \u \h</w:instrText>
          </w:r>
          <w:r>
            <w:fldChar w:fldCharType="separate"/>
          </w:r>
          <w:hyperlink w:anchor="_Toc2082897081">
            <w:r w:rsidR="0A7FA262" w:rsidRPr="0A7FA262">
              <w:rPr>
                <w:rStyle w:val="Hyperlink"/>
              </w:rPr>
              <w:t>Executive Summary</w:t>
            </w:r>
            <w:r>
              <w:tab/>
            </w:r>
            <w:r>
              <w:fldChar w:fldCharType="begin"/>
            </w:r>
            <w:r>
              <w:instrText>PAGEREF _Toc2082897081 \h</w:instrText>
            </w:r>
            <w:r>
              <w:fldChar w:fldCharType="separate"/>
            </w:r>
            <w:r w:rsidR="0A7FA262" w:rsidRPr="0A7FA262">
              <w:rPr>
                <w:rStyle w:val="Hyperlink"/>
              </w:rPr>
              <w:t>1</w:t>
            </w:r>
            <w:r>
              <w:fldChar w:fldCharType="end"/>
            </w:r>
          </w:hyperlink>
        </w:p>
        <w:p w14:paraId="63EE77C9" w14:textId="67DADD62" w:rsidR="5E6E0106" w:rsidRDefault="00000000" w:rsidP="00A07D6F">
          <w:pPr>
            <w:pStyle w:val="TOC1"/>
            <w:tabs>
              <w:tab w:val="right" w:leader="dot" w:pos="9360"/>
            </w:tabs>
            <w:jc w:val="both"/>
            <w:rPr>
              <w:rStyle w:val="Hyperlink"/>
            </w:rPr>
          </w:pPr>
          <w:hyperlink w:anchor="_Toc1069253086">
            <w:r w:rsidR="0A7FA262" w:rsidRPr="0A7FA262">
              <w:rPr>
                <w:rStyle w:val="Hyperlink"/>
              </w:rPr>
              <w:t>Organization Structure, Culture, and Goals</w:t>
            </w:r>
            <w:r w:rsidR="5E6E0106">
              <w:tab/>
            </w:r>
            <w:r w:rsidR="5E6E0106">
              <w:fldChar w:fldCharType="begin"/>
            </w:r>
            <w:r w:rsidR="5E6E0106">
              <w:instrText>PAGEREF _Toc1069253086 \h</w:instrText>
            </w:r>
            <w:r w:rsidR="5E6E0106">
              <w:fldChar w:fldCharType="separate"/>
            </w:r>
            <w:r w:rsidR="0A7FA262" w:rsidRPr="0A7FA262">
              <w:rPr>
                <w:rStyle w:val="Hyperlink"/>
              </w:rPr>
              <w:t>1</w:t>
            </w:r>
            <w:r w:rsidR="5E6E0106">
              <w:fldChar w:fldCharType="end"/>
            </w:r>
          </w:hyperlink>
        </w:p>
        <w:p w14:paraId="79D49497" w14:textId="61B6B421" w:rsidR="5E6E0106" w:rsidRDefault="00000000" w:rsidP="00A07D6F">
          <w:pPr>
            <w:pStyle w:val="TOC1"/>
            <w:tabs>
              <w:tab w:val="right" w:leader="dot" w:pos="9360"/>
            </w:tabs>
            <w:jc w:val="both"/>
            <w:rPr>
              <w:rStyle w:val="Hyperlink"/>
            </w:rPr>
          </w:pPr>
          <w:hyperlink w:anchor="_Toc550918533">
            <w:r w:rsidR="0A7FA262" w:rsidRPr="0A7FA262">
              <w:rPr>
                <w:rStyle w:val="Hyperlink"/>
              </w:rPr>
              <w:t>Culture</w:t>
            </w:r>
            <w:r w:rsidR="5E6E0106">
              <w:tab/>
            </w:r>
            <w:r w:rsidR="5E6E0106">
              <w:fldChar w:fldCharType="begin"/>
            </w:r>
            <w:r w:rsidR="5E6E0106">
              <w:instrText>PAGEREF _Toc550918533 \h</w:instrText>
            </w:r>
            <w:r w:rsidR="5E6E0106">
              <w:fldChar w:fldCharType="separate"/>
            </w:r>
            <w:r w:rsidR="0A7FA262" w:rsidRPr="0A7FA262">
              <w:rPr>
                <w:rStyle w:val="Hyperlink"/>
              </w:rPr>
              <w:t>1</w:t>
            </w:r>
            <w:r w:rsidR="5E6E0106">
              <w:fldChar w:fldCharType="end"/>
            </w:r>
          </w:hyperlink>
        </w:p>
        <w:p w14:paraId="77F8F42E" w14:textId="7546AEC3" w:rsidR="5E6E0106" w:rsidRDefault="00000000" w:rsidP="00A07D6F">
          <w:pPr>
            <w:pStyle w:val="TOC1"/>
            <w:tabs>
              <w:tab w:val="right" w:leader="dot" w:pos="9360"/>
            </w:tabs>
            <w:jc w:val="both"/>
            <w:rPr>
              <w:rStyle w:val="Hyperlink"/>
            </w:rPr>
          </w:pPr>
          <w:hyperlink w:anchor="_Toc1913390404">
            <w:r w:rsidR="0A7FA262" w:rsidRPr="0A7FA262">
              <w:rPr>
                <w:rStyle w:val="Hyperlink"/>
              </w:rPr>
              <w:t>Goals</w:t>
            </w:r>
            <w:r w:rsidR="5E6E0106">
              <w:tab/>
            </w:r>
            <w:r w:rsidR="5E6E0106">
              <w:fldChar w:fldCharType="begin"/>
            </w:r>
            <w:r w:rsidR="5E6E0106">
              <w:instrText>PAGEREF _Toc1913390404 \h</w:instrText>
            </w:r>
            <w:r w:rsidR="5E6E0106">
              <w:fldChar w:fldCharType="separate"/>
            </w:r>
            <w:r w:rsidR="0A7FA262" w:rsidRPr="0A7FA262">
              <w:rPr>
                <w:rStyle w:val="Hyperlink"/>
              </w:rPr>
              <w:t>1</w:t>
            </w:r>
            <w:r w:rsidR="5E6E0106">
              <w:fldChar w:fldCharType="end"/>
            </w:r>
          </w:hyperlink>
        </w:p>
        <w:p w14:paraId="57DE5578" w14:textId="0A378933" w:rsidR="5E6E0106" w:rsidRDefault="00000000" w:rsidP="00A07D6F">
          <w:pPr>
            <w:pStyle w:val="TOC1"/>
            <w:tabs>
              <w:tab w:val="right" w:leader="dot" w:pos="9360"/>
            </w:tabs>
            <w:jc w:val="both"/>
            <w:rPr>
              <w:rStyle w:val="Hyperlink"/>
            </w:rPr>
          </w:pPr>
          <w:hyperlink w:anchor="_Toc1205020663">
            <w:r w:rsidR="0A7FA262" w:rsidRPr="0A7FA262">
              <w:rPr>
                <w:rStyle w:val="Hyperlink"/>
              </w:rPr>
              <w:t>Recent Change Initiatives, Their Impact, and Management</w:t>
            </w:r>
            <w:r w:rsidR="5E6E0106">
              <w:tab/>
            </w:r>
            <w:r w:rsidR="5E6E0106">
              <w:fldChar w:fldCharType="begin"/>
            </w:r>
            <w:r w:rsidR="5E6E0106">
              <w:instrText>PAGEREF _Toc1205020663 \h</w:instrText>
            </w:r>
            <w:r w:rsidR="5E6E0106">
              <w:fldChar w:fldCharType="separate"/>
            </w:r>
            <w:r w:rsidR="0A7FA262" w:rsidRPr="0A7FA262">
              <w:rPr>
                <w:rStyle w:val="Hyperlink"/>
              </w:rPr>
              <w:t>1</w:t>
            </w:r>
            <w:r w:rsidR="5E6E0106">
              <w:fldChar w:fldCharType="end"/>
            </w:r>
          </w:hyperlink>
        </w:p>
        <w:p w14:paraId="3B246FD1" w14:textId="7948B682" w:rsidR="5E6E0106" w:rsidRDefault="00000000" w:rsidP="00A07D6F">
          <w:pPr>
            <w:pStyle w:val="TOC1"/>
            <w:tabs>
              <w:tab w:val="right" w:leader="dot" w:pos="9360"/>
            </w:tabs>
            <w:jc w:val="both"/>
            <w:rPr>
              <w:rStyle w:val="Hyperlink"/>
            </w:rPr>
          </w:pPr>
          <w:hyperlink w:anchor="_Toc1299459214">
            <w:r w:rsidR="0A7FA262" w:rsidRPr="0A7FA262">
              <w:rPr>
                <w:rStyle w:val="Hyperlink"/>
              </w:rPr>
              <w:t>Impact of Change Initiatives</w:t>
            </w:r>
            <w:r w:rsidR="5E6E0106">
              <w:tab/>
            </w:r>
            <w:r w:rsidR="5E6E0106">
              <w:fldChar w:fldCharType="begin"/>
            </w:r>
            <w:r w:rsidR="5E6E0106">
              <w:instrText>PAGEREF _Toc1299459214 \h</w:instrText>
            </w:r>
            <w:r w:rsidR="5E6E0106">
              <w:fldChar w:fldCharType="separate"/>
            </w:r>
            <w:r w:rsidR="0A7FA262" w:rsidRPr="0A7FA262">
              <w:rPr>
                <w:rStyle w:val="Hyperlink"/>
              </w:rPr>
              <w:t>1</w:t>
            </w:r>
            <w:r w:rsidR="5E6E0106">
              <w:fldChar w:fldCharType="end"/>
            </w:r>
          </w:hyperlink>
        </w:p>
        <w:p w14:paraId="1C09666E" w14:textId="409C5CDA" w:rsidR="5E6E0106" w:rsidRDefault="00000000" w:rsidP="00A07D6F">
          <w:pPr>
            <w:pStyle w:val="TOC1"/>
            <w:tabs>
              <w:tab w:val="right" w:leader="dot" w:pos="9360"/>
            </w:tabs>
            <w:jc w:val="both"/>
            <w:rPr>
              <w:rStyle w:val="Hyperlink"/>
            </w:rPr>
          </w:pPr>
          <w:hyperlink w:anchor="_Toc1848826757">
            <w:r w:rsidR="0A7FA262" w:rsidRPr="0A7FA262">
              <w:rPr>
                <w:rStyle w:val="Hyperlink"/>
              </w:rPr>
              <w:t>Management of Change Initiatives</w:t>
            </w:r>
            <w:r w:rsidR="5E6E0106">
              <w:tab/>
            </w:r>
            <w:r w:rsidR="5E6E0106">
              <w:fldChar w:fldCharType="begin"/>
            </w:r>
            <w:r w:rsidR="5E6E0106">
              <w:instrText>PAGEREF _Toc1848826757 \h</w:instrText>
            </w:r>
            <w:r w:rsidR="5E6E0106">
              <w:fldChar w:fldCharType="separate"/>
            </w:r>
            <w:r w:rsidR="0A7FA262" w:rsidRPr="0A7FA262">
              <w:rPr>
                <w:rStyle w:val="Hyperlink"/>
              </w:rPr>
              <w:t>1</w:t>
            </w:r>
            <w:r w:rsidR="5E6E0106">
              <w:fldChar w:fldCharType="end"/>
            </w:r>
          </w:hyperlink>
        </w:p>
        <w:p w14:paraId="7C0EDA6F" w14:textId="25AD1685" w:rsidR="5E6E0106" w:rsidRDefault="00000000" w:rsidP="00A07D6F">
          <w:pPr>
            <w:pStyle w:val="TOC1"/>
            <w:tabs>
              <w:tab w:val="right" w:leader="dot" w:pos="9360"/>
            </w:tabs>
            <w:jc w:val="both"/>
            <w:rPr>
              <w:rStyle w:val="Hyperlink"/>
            </w:rPr>
          </w:pPr>
          <w:hyperlink w:anchor="_Toc1474564987">
            <w:r w:rsidR="0A7FA262" w:rsidRPr="0A7FA262">
              <w:rPr>
                <w:rStyle w:val="Hyperlink"/>
              </w:rPr>
              <w:t>The Organization’s Strategic Direction</w:t>
            </w:r>
            <w:r w:rsidR="5E6E0106">
              <w:tab/>
            </w:r>
            <w:r w:rsidR="5E6E0106">
              <w:fldChar w:fldCharType="begin"/>
            </w:r>
            <w:r w:rsidR="5E6E0106">
              <w:instrText>PAGEREF _Toc1474564987 \h</w:instrText>
            </w:r>
            <w:r w:rsidR="5E6E0106">
              <w:fldChar w:fldCharType="separate"/>
            </w:r>
            <w:r w:rsidR="0A7FA262" w:rsidRPr="0A7FA262">
              <w:rPr>
                <w:rStyle w:val="Hyperlink"/>
              </w:rPr>
              <w:t>1</w:t>
            </w:r>
            <w:r w:rsidR="5E6E0106">
              <w:fldChar w:fldCharType="end"/>
            </w:r>
          </w:hyperlink>
        </w:p>
        <w:p w14:paraId="49FF8DAC" w14:textId="156A96FC" w:rsidR="5E6E0106" w:rsidRDefault="00000000" w:rsidP="00A07D6F">
          <w:pPr>
            <w:pStyle w:val="TOC1"/>
            <w:tabs>
              <w:tab w:val="right" w:leader="dot" w:pos="9360"/>
            </w:tabs>
            <w:jc w:val="both"/>
            <w:rPr>
              <w:rStyle w:val="Hyperlink"/>
            </w:rPr>
          </w:pPr>
          <w:hyperlink w:anchor="_Toc1716661568">
            <w:r w:rsidR="0A7FA262" w:rsidRPr="0A7FA262">
              <w:rPr>
                <w:rStyle w:val="Hyperlink"/>
              </w:rPr>
              <w:t>Challenges and Opportunities</w:t>
            </w:r>
            <w:r w:rsidR="5E6E0106">
              <w:tab/>
            </w:r>
            <w:r w:rsidR="5E6E0106">
              <w:fldChar w:fldCharType="begin"/>
            </w:r>
            <w:r w:rsidR="5E6E0106">
              <w:instrText>PAGEREF _Toc1716661568 \h</w:instrText>
            </w:r>
            <w:r w:rsidR="5E6E0106">
              <w:fldChar w:fldCharType="separate"/>
            </w:r>
            <w:r w:rsidR="0A7FA262" w:rsidRPr="0A7FA262">
              <w:rPr>
                <w:rStyle w:val="Hyperlink"/>
              </w:rPr>
              <w:t>1</w:t>
            </w:r>
            <w:r w:rsidR="5E6E0106">
              <w:fldChar w:fldCharType="end"/>
            </w:r>
          </w:hyperlink>
          <w:r w:rsidR="5E6E0106">
            <w:fldChar w:fldCharType="end"/>
          </w:r>
        </w:p>
      </w:sdtContent>
    </w:sdt>
    <w:p w14:paraId="79F9638B" w14:textId="08EF3747" w:rsidR="5E6E0106" w:rsidRDefault="5E6E0106" w:rsidP="00A07D6F">
      <w:pPr>
        <w:spacing w:line="480" w:lineRule="auto"/>
        <w:jc w:val="both"/>
        <w:rPr>
          <w:rFonts w:ascii="Arial" w:eastAsia="Arial" w:hAnsi="Arial" w:cs="Arial"/>
        </w:rPr>
      </w:pPr>
    </w:p>
    <w:p w14:paraId="3F9EF16F" w14:textId="18791BA3" w:rsidR="5E6E0106" w:rsidRDefault="5E6E0106" w:rsidP="00A07D6F">
      <w:pPr>
        <w:spacing w:line="480" w:lineRule="auto"/>
        <w:jc w:val="both"/>
        <w:rPr>
          <w:rFonts w:ascii="Arial" w:eastAsia="Arial" w:hAnsi="Arial" w:cs="Arial"/>
        </w:rPr>
      </w:pPr>
    </w:p>
    <w:p w14:paraId="481E04A5" w14:textId="11C20FCC" w:rsidR="5E6E0106" w:rsidRDefault="5E6E0106" w:rsidP="00A07D6F">
      <w:pPr>
        <w:spacing w:line="480" w:lineRule="auto"/>
        <w:jc w:val="both"/>
        <w:rPr>
          <w:rFonts w:ascii="Arial" w:eastAsia="Arial" w:hAnsi="Arial" w:cs="Arial"/>
        </w:rPr>
      </w:pPr>
    </w:p>
    <w:p w14:paraId="1AE71E88" w14:textId="69627BD1" w:rsidR="5E6E0106" w:rsidRDefault="5E6E0106" w:rsidP="00A07D6F">
      <w:pPr>
        <w:spacing w:line="480" w:lineRule="auto"/>
        <w:jc w:val="both"/>
        <w:rPr>
          <w:rFonts w:ascii="Arial" w:eastAsia="Arial" w:hAnsi="Arial" w:cs="Arial"/>
        </w:rPr>
      </w:pPr>
    </w:p>
    <w:p w14:paraId="2610ABBA" w14:textId="11124483" w:rsidR="5E6E0106" w:rsidRDefault="5E6E0106" w:rsidP="00A07D6F">
      <w:pPr>
        <w:spacing w:line="480" w:lineRule="auto"/>
        <w:jc w:val="both"/>
        <w:rPr>
          <w:rFonts w:ascii="Arial" w:eastAsia="Arial" w:hAnsi="Arial" w:cs="Arial"/>
        </w:rPr>
      </w:pPr>
    </w:p>
    <w:p w14:paraId="1EBCBEBA" w14:textId="04C146FB" w:rsidR="5E6E0106" w:rsidRDefault="5E6E0106" w:rsidP="00A07D6F">
      <w:pPr>
        <w:spacing w:line="480" w:lineRule="auto"/>
        <w:jc w:val="both"/>
        <w:rPr>
          <w:rFonts w:ascii="Arial" w:eastAsia="Arial" w:hAnsi="Arial" w:cs="Arial"/>
        </w:rPr>
      </w:pPr>
    </w:p>
    <w:p w14:paraId="6D60B330" w14:textId="6D98AE99" w:rsidR="5E6E0106" w:rsidRDefault="5E6E0106" w:rsidP="00A07D6F">
      <w:pPr>
        <w:spacing w:line="480" w:lineRule="auto"/>
        <w:jc w:val="both"/>
        <w:rPr>
          <w:rFonts w:ascii="Arial" w:eastAsia="Arial" w:hAnsi="Arial" w:cs="Arial"/>
        </w:rPr>
      </w:pPr>
    </w:p>
    <w:p w14:paraId="4CFDBD64" w14:textId="5604ADCA" w:rsidR="5E6E0106" w:rsidRDefault="5E6E0106" w:rsidP="00A07D6F">
      <w:pPr>
        <w:spacing w:line="480" w:lineRule="auto"/>
        <w:jc w:val="both"/>
        <w:rPr>
          <w:rFonts w:ascii="Arial" w:eastAsia="Arial" w:hAnsi="Arial" w:cs="Arial"/>
        </w:rPr>
      </w:pPr>
    </w:p>
    <w:p w14:paraId="4387F619" w14:textId="6DF98BB9" w:rsidR="5E6E0106" w:rsidRDefault="5E6E0106" w:rsidP="00A07D6F">
      <w:pPr>
        <w:spacing w:line="480" w:lineRule="auto"/>
        <w:jc w:val="both"/>
        <w:rPr>
          <w:rFonts w:ascii="Arial" w:eastAsia="Arial" w:hAnsi="Arial" w:cs="Arial"/>
        </w:rPr>
      </w:pPr>
    </w:p>
    <w:p w14:paraId="4AF84DCE" w14:textId="366DE89A" w:rsidR="5E6E0106" w:rsidRDefault="5E6E0106" w:rsidP="00A07D6F">
      <w:pPr>
        <w:spacing w:line="480" w:lineRule="auto"/>
        <w:jc w:val="both"/>
        <w:rPr>
          <w:rFonts w:ascii="Arial" w:eastAsia="Arial" w:hAnsi="Arial" w:cs="Arial"/>
          <w:b/>
          <w:bCs/>
          <w:color w:val="000000" w:themeColor="text1"/>
        </w:rPr>
      </w:pPr>
    </w:p>
    <w:p w14:paraId="3411422C" w14:textId="27CF4BAB" w:rsidR="0A7FA262" w:rsidRDefault="0A7FA262" w:rsidP="00A07D6F">
      <w:pPr>
        <w:spacing w:line="480" w:lineRule="auto"/>
        <w:jc w:val="both"/>
        <w:rPr>
          <w:rFonts w:ascii="Arial" w:eastAsia="Arial" w:hAnsi="Arial" w:cs="Arial"/>
          <w:b/>
          <w:bCs/>
          <w:color w:val="000000" w:themeColor="text1"/>
        </w:rPr>
      </w:pPr>
    </w:p>
    <w:p w14:paraId="79580F42" w14:textId="47CA1F23" w:rsidR="0A7FA262" w:rsidRDefault="0A7FA262" w:rsidP="00A07D6F">
      <w:pPr>
        <w:spacing w:line="480" w:lineRule="auto"/>
        <w:jc w:val="both"/>
        <w:rPr>
          <w:rFonts w:ascii="Arial" w:eastAsia="Arial" w:hAnsi="Arial" w:cs="Arial"/>
          <w:b/>
          <w:bCs/>
          <w:color w:val="000000" w:themeColor="text1"/>
        </w:rPr>
      </w:pPr>
    </w:p>
    <w:p w14:paraId="6D55D365" w14:textId="3599817E" w:rsidR="6A92BFB8" w:rsidRDefault="6A92BFB8" w:rsidP="00A07D6F">
      <w:pPr>
        <w:spacing w:line="480" w:lineRule="auto"/>
        <w:jc w:val="both"/>
        <w:rPr>
          <w:rFonts w:ascii="Arial" w:eastAsia="Arial" w:hAnsi="Arial" w:cs="Arial"/>
          <w:b/>
          <w:bCs/>
          <w:color w:val="000000" w:themeColor="text1"/>
        </w:rPr>
      </w:pPr>
      <w:r w:rsidRPr="0A7FA262">
        <w:rPr>
          <w:rFonts w:ascii="Arial" w:eastAsia="Arial" w:hAnsi="Arial" w:cs="Arial"/>
          <w:b/>
          <w:bCs/>
          <w:color w:val="000000" w:themeColor="text1"/>
        </w:rPr>
        <w:lastRenderedPageBreak/>
        <w:t>Introduction</w:t>
      </w:r>
    </w:p>
    <w:p w14:paraId="2A0F1C1A" w14:textId="7ED86BA3" w:rsidR="6A92BFB8" w:rsidRDefault="6A92BFB8" w:rsidP="00A07D6F">
      <w:pPr>
        <w:spacing w:line="480" w:lineRule="auto"/>
        <w:jc w:val="both"/>
        <w:rPr>
          <w:rFonts w:ascii="Arial" w:eastAsia="Arial" w:hAnsi="Arial" w:cs="Arial"/>
        </w:rPr>
      </w:pPr>
      <w:r w:rsidRPr="5E6E0106">
        <w:rPr>
          <w:rFonts w:ascii="Arial" w:eastAsia="Arial" w:hAnsi="Arial" w:cs="Arial"/>
        </w:rPr>
        <w:t>This report provides an in-depth analysis of Hilton Group Hotels, focusing on its structure, culture, goals, recent change initiatives, and strategic direction. By examining these key areas at both corporate and individual unit levels, the report aims to critically evaluate how Hilton operates and manages change. Relevant theories and up-to-date materials are utilized to support the analysis and provide comprehensive insights.</w:t>
      </w:r>
    </w:p>
    <w:p w14:paraId="0DA17607" w14:textId="4F684C2A" w:rsidR="6A92BFB8" w:rsidRDefault="6A92BFB8" w:rsidP="00A07D6F">
      <w:pPr>
        <w:pStyle w:val="Heading1"/>
        <w:keepNext w:val="0"/>
        <w:keepLines w:val="0"/>
        <w:spacing w:line="480" w:lineRule="auto"/>
        <w:jc w:val="both"/>
        <w:rPr>
          <w:rFonts w:ascii="Arial" w:eastAsia="Arial" w:hAnsi="Arial" w:cs="Arial"/>
          <w:b/>
          <w:bCs/>
          <w:color w:val="000000" w:themeColor="text1"/>
          <w:sz w:val="24"/>
          <w:szCs w:val="24"/>
        </w:rPr>
      </w:pPr>
      <w:bookmarkStart w:id="0" w:name="_Toc1069253086"/>
      <w:r w:rsidRPr="0A7FA262">
        <w:rPr>
          <w:rFonts w:ascii="Arial" w:eastAsia="Arial" w:hAnsi="Arial" w:cs="Arial"/>
          <w:b/>
          <w:bCs/>
          <w:color w:val="000000" w:themeColor="text1"/>
          <w:sz w:val="24"/>
          <w:szCs w:val="24"/>
        </w:rPr>
        <w:t>Organization Structure, Culture, and Goals</w:t>
      </w:r>
      <w:bookmarkEnd w:id="0"/>
    </w:p>
    <w:p w14:paraId="14C1B8CC" w14:textId="0343FF3B" w:rsidR="6A92BFB8" w:rsidRDefault="6A92BFB8" w:rsidP="00A07D6F">
      <w:pPr>
        <w:spacing w:line="480" w:lineRule="auto"/>
        <w:jc w:val="both"/>
        <w:rPr>
          <w:rFonts w:ascii="Arial" w:eastAsia="Arial" w:hAnsi="Arial" w:cs="Arial"/>
        </w:rPr>
      </w:pPr>
      <w:r w:rsidRPr="5E6E0106">
        <w:rPr>
          <w:rFonts w:ascii="Arial" w:eastAsia="Arial" w:hAnsi="Arial" w:cs="Arial"/>
        </w:rPr>
        <w:t xml:space="preserve"> Organization Structure</w:t>
      </w:r>
    </w:p>
    <w:p w14:paraId="507F966F" w14:textId="7C010E2C" w:rsidR="6A92BFB8" w:rsidRDefault="6A92BFB8" w:rsidP="00A07D6F">
      <w:pPr>
        <w:spacing w:line="480" w:lineRule="auto"/>
        <w:jc w:val="both"/>
        <w:rPr>
          <w:rFonts w:ascii="Arial" w:eastAsia="Arial" w:hAnsi="Arial" w:cs="Arial"/>
        </w:rPr>
      </w:pPr>
      <w:r w:rsidRPr="5E6E0106">
        <w:rPr>
          <w:rFonts w:ascii="Arial" w:eastAsia="Arial" w:hAnsi="Arial" w:cs="Arial"/>
        </w:rPr>
        <w:t>Hilton Group Hotels is structured as a hierarchical organization with multiple levels of management. This structure typically allows for clear lines of authority and communication but can also result in slower decision-making processes. The key features of this structure include:</w:t>
      </w:r>
    </w:p>
    <w:p w14:paraId="66C18C0A" w14:textId="1AD93080" w:rsidR="6A92BFB8" w:rsidRDefault="6A92BFB8" w:rsidP="00A07D6F">
      <w:pPr>
        <w:spacing w:line="480" w:lineRule="auto"/>
        <w:jc w:val="both"/>
        <w:rPr>
          <w:rFonts w:ascii="Arial" w:eastAsia="Arial" w:hAnsi="Arial" w:cs="Arial"/>
        </w:rPr>
      </w:pPr>
      <w:r w:rsidRPr="5E6E0106">
        <w:rPr>
          <w:rFonts w:ascii="Arial" w:eastAsia="Arial" w:hAnsi="Arial" w:cs="Arial"/>
        </w:rPr>
        <w:t>- Centralized Decision-Making: Most critical decisions are made by top management, ensuring consistency across the organization.</w:t>
      </w:r>
    </w:p>
    <w:p w14:paraId="0FC229E2" w14:textId="1AD83D1F" w:rsidR="6A92BFB8" w:rsidRDefault="6A92BFB8" w:rsidP="00A07D6F">
      <w:pPr>
        <w:spacing w:line="480" w:lineRule="auto"/>
        <w:jc w:val="both"/>
        <w:rPr>
          <w:rFonts w:ascii="Arial" w:eastAsia="Arial" w:hAnsi="Arial" w:cs="Arial"/>
        </w:rPr>
      </w:pPr>
      <w:r w:rsidRPr="5E6E0106">
        <w:rPr>
          <w:rFonts w:ascii="Arial" w:eastAsia="Arial" w:hAnsi="Arial" w:cs="Arial"/>
        </w:rPr>
        <w:t>- Defined Roles and Responsibilities: Each level of the hierarchy has specific roles and responsibilities, which helps in maintaining order and accountability.</w:t>
      </w:r>
    </w:p>
    <w:p w14:paraId="51B09CC8" w14:textId="6ACEC5FA" w:rsidR="6A92BFB8" w:rsidRDefault="6A92BFB8" w:rsidP="00A07D6F">
      <w:pPr>
        <w:spacing w:line="480" w:lineRule="auto"/>
        <w:jc w:val="both"/>
        <w:rPr>
          <w:rFonts w:ascii="Arial" w:eastAsia="Arial" w:hAnsi="Arial" w:cs="Arial"/>
        </w:rPr>
      </w:pPr>
      <w:r w:rsidRPr="0A7FA262">
        <w:rPr>
          <w:rFonts w:ascii="Arial" w:eastAsia="Arial" w:hAnsi="Arial" w:cs="Arial"/>
        </w:rPr>
        <w:t>- Formal Communication Channels: Communication flows through formal channels, which can sometimes hinder the speed of information dissemination.</w:t>
      </w:r>
    </w:p>
    <w:p w14:paraId="6478EC06" w14:textId="6BD24B18" w:rsidR="6A92BFB8" w:rsidRDefault="6A92BFB8" w:rsidP="00A07D6F">
      <w:pPr>
        <w:spacing w:line="480" w:lineRule="auto"/>
        <w:jc w:val="both"/>
        <w:rPr>
          <w:rFonts w:ascii="Arial" w:eastAsia="Arial" w:hAnsi="Arial" w:cs="Arial"/>
          <w:b/>
          <w:bCs/>
        </w:rPr>
      </w:pPr>
      <w:r w:rsidRPr="5E6E0106">
        <w:rPr>
          <w:rFonts w:ascii="Arial" w:eastAsia="Arial" w:hAnsi="Arial" w:cs="Arial"/>
          <w:b/>
          <w:bCs/>
        </w:rPr>
        <w:t>Relevant Theories</w:t>
      </w:r>
    </w:p>
    <w:p w14:paraId="65A5DED3" w14:textId="0A39CB4E" w:rsidR="6A92BFB8" w:rsidRDefault="6A92BFB8" w:rsidP="00A07D6F">
      <w:pPr>
        <w:spacing w:line="480" w:lineRule="auto"/>
        <w:jc w:val="both"/>
        <w:rPr>
          <w:rFonts w:ascii="Arial" w:eastAsia="Arial" w:hAnsi="Arial" w:cs="Arial"/>
        </w:rPr>
      </w:pPr>
      <w:r w:rsidRPr="5E6E0106">
        <w:rPr>
          <w:rFonts w:ascii="Arial" w:eastAsia="Arial" w:hAnsi="Arial" w:cs="Arial"/>
        </w:rPr>
        <w:t xml:space="preserve">- Weber’s Bureaucratic Theory: This theory highlights the importance of a structured hierarchy, clear rules, and regulations to achieve organizational efficiency and </w:t>
      </w:r>
      <w:r w:rsidRPr="5E6E0106">
        <w:rPr>
          <w:rFonts w:ascii="Arial" w:eastAsia="Arial" w:hAnsi="Arial" w:cs="Arial"/>
        </w:rPr>
        <w:lastRenderedPageBreak/>
        <w:t>effectiveness. According to Weber, a bureaucratic organization is characterized by a well-defined hierarchy, division of labor, a set of formal rules and procedures, and impersonal relationships. This theory suggests that a bureaucratic structure can lead to predictability and stability, which are essential for large organizations like Hilton.</w:t>
      </w:r>
    </w:p>
    <w:p w14:paraId="7AD5ECD0" w14:textId="7CBA085B" w:rsidR="6A92BFB8" w:rsidRDefault="6A92BFB8" w:rsidP="00A07D6F">
      <w:pPr>
        <w:spacing w:line="480" w:lineRule="auto"/>
        <w:jc w:val="both"/>
        <w:rPr>
          <w:rFonts w:ascii="Arial" w:eastAsia="Arial" w:hAnsi="Arial" w:cs="Arial"/>
        </w:rPr>
      </w:pPr>
      <w:r w:rsidRPr="5E6E0106">
        <w:rPr>
          <w:rFonts w:ascii="Arial" w:eastAsia="Arial" w:hAnsi="Arial" w:cs="Arial"/>
        </w:rPr>
        <w:t>- Mintzberg’s Organizational Configurations: According to Mintzberg, a hierarchical structure is one of the key organizational configurations suitable for stable environments where control and efficiency are prioritized. For Hilton, the Machine Bureaucracy configuration, characterized by standardized work processes and a clear chain of command, is most applicable.</w:t>
      </w:r>
    </w:p>
    <w:p w14:paraId="700B5D2E" w14:textId="5AD9DC12" w:rsidR="6A92BFB8" w:rsidRDefault="6A92BFB8" w:rsidP="00A07D6F">
      <w:pPr>
        <w:pStyle w:val="Heading1"/>
        <w:keepNext w:val="0"/>
        <w:keepLines w:val="0"/>
        <w:spacing w:line="480" w:lineRule="auto"/>
        <w:jc w:val="both"/>
        <w:rPr>
          <w:rFonts w:ascii="Arial" w:eastAsia="Arial" w:hAnsi="Arial" w:cs="Arial"/>
          <w:b/>
          <w:bCs/>
          <w:color w:val="000000" w:themeColor="text1"/>
          <w:sz w:val="24"/>
          <w:szCs w:val="24"/>
        </w:rPr>
      </w:pPr>
      <w:bookmarkStart w:id="1" w:name="_Toc550918533"/>
      <w:r w:rsidRPr="0A7FA262">
        <w:rPr>
          <w:rFonts w:ascii="Arial" w:eastAsia="Arial" w:hAnsi="Arial" w:cs="Arial"/>
          <w:b/>
          <w:bCs/>
          <w:color w:val="000000" w:themeColor="text1"/>
          <w:sz w:val="24"/>
          <w:szCs w:val="24"/>
        </w:rPr>
        <w:t>Culture</w:t>
      </w:r>
      <w:bookmarkEnd w:id="1"/>
    </w:p>
    <w:p w14:paraId="7F542EED" w14:textId="1B11AEB8" w:rsidR="6A92BFB8" w:rsidRDefault="6A92BFB8" w:rsidP="00A07D6F">
      <w:pPr>
        <w:spacing w:line="480" w:lineRule="auto"/>
        <w:jc w:val="both"/>
        <w:rPr>
          <w:rFonts w:ascii="Arial" w:eastAsia="Arial" w:hAnsi="Arial" w:cs="Arial"/>
        </w:rPr>
      </w:pPr>
      <w:r w:rsidRPr="5E6E0106">
        <w:rPr>
          <w:rFonts w:ascii="Arial" w:eastAsia="Arial" w:hAnsi="Arial" w:cs="Arial"/>
        </w:rPr>
        <w:t>The organizational culture at Hilton Group Hotels is characterized by a strong emphasis on performance, innovation, and collaboration. The core values that define the culture include:</w:t>
      </w:r>
    </w:p>
    <w:p w14:paraId="29A616EC" w14:textId="37541385" w:rsidR="6A92BFB8" w:rsidRDefault="6A92BFB8" w:rsidP="00A07D6F">
      <w:pPr>
        <w:spacing w:line="480" w:lineRule="auto"/>
        <w:jc w:val="both"/>
        <w:rPr>
          <w:rFonts w:ascii="Arial" w:eastAsia="Arial" w:hAnsi="Arial" w:cs="Arial"/>
        </w:rPr>
      </w:pPr>
      <w:r w:rsidRPr="5E6E0106">
        <w:rPr>
          <w:rFonts w:ascii="Arial" w:eastAsia="Arial" w:hAnsi="Arial" w:cs="Arial"/>
        </w:rPr>
        <w:t>- Performance-Driven: High expectations for employee performance and results, with regular performance reviews and incentives. This focus on performance is reflected in Hilton's reward systems, designed to recognize and motivate high achievers.</w:t>
      </w:r>
    </w:p>
    <w:p w14:paraId="0A029807" w14:textId="5EE6CA34" w:rsidR="6A92BFB8" w:rsidRDefault="6A92BFB8" w:rsidP="00A07D6F">
      <w:pPr>
        <w:spacing w:line="480" w:lineRule="auto"/>
        <w:jc w:val="both"/>
        <w:rPr>
          <w:rFonts w:ascii="Arial" w:eastAsia="Arial" w:hAnsi="Arial" w:cs="Arial"/>
        </w:rPr>
      </w:pPr>
      <w:r w:rsidRPr="5E6E0106">
        <w:rPr>
          <w:rFonts w:ascii="Arial" w:eastAsia="Arial" w:hAnsi="Arial" w:cs="Arial"/>
        </w:rPr>
        <w:t>- Innovative Mindset: Encouragement of innovation and creativity, with support for new ideas and continuous improvement. Hilton fosters a culture of experimentation, where employees are encouraged to take risks and learn from failures.</w:t>
      </w:r>
    </w:p>
    <w:p w14:paraId="5FC67CA8" w14:textId="6C03B158" w:rsidR="6A92BFB8" w:rsidRDefault="6A92BFB8" w:rsidP="00A07D6F">
      <w:pPr>
        <w:spacing w:line="480" w:lineRule="auto"/>
        <w:jc w:val="both"/>
        <w:rPr>
          <w:rFonts w:ascii="Arial" w:eastAsia="Arial" w:hAnsi="Arial" w:cs="Arial"/>
        </w:rPr>
      </w:pPr>
      <w:r w:rsidRPr="5E6E0106">
        <w:rPr>
          <w:rFonts w:ascii="Arial" w:eastAsia="Arial" w:hAnsi="Arial" w:cs="Arial"/>
        </w:rPr>
        <w:t xml:space="preserve">- Collaborative Environment: Emphasis on teamwork and collaboration, with open communication and a supportive work environment. Cross-functional teams and </w:t>
      </w:r>
      <w:r w:rsidRPr="5E6E0106">
        <w:rPr>
          <w:rFonts w:ascii="Arial" w:eastAsia="Arial" w:hAnsi="Arial" w:cs="Arial"/>
        </w:rPr>
        <w:lastRenderedPageBreak/>
        <w:t>collaborative projects are common, promoting knowledge sharing and collective problem-solving.</w:t>
      </w:r>
    </w:p>
    <w:p w14:paraId="39470D5F" w14:textId="70A0BA26" w:rsidR="6A92BFB8" w:rsidRDefault="6A92BFB8" w:rsidP="00A07D6F">
      <w:pPr>
        <w:spacing w:line="480" w:lineRule="auto"/>
        <w:jc w:val="both"/>
        <w:rPr>
          <w:rFonts w:ascii="Arial" w:eastAsia="Arial" w:hAnsi="Arial" w:cs="Arial"/>
          <w:b/>
          <w:bCs/>
        </w:rPr>
      </w:pPr>
      <w:r w:rsidRPr="5E6E0106">
        <w:rPr>
          <w:rFonts w:ascii="Arial" w:eastAsia="Arial" w:hAnsi="Arial" w:cs="Arial"/>
          <w:b/>
          <w:bCs/>
        </w:rPr>
        <w:t>Relevant Theories</w:t>
      </w:r>
    </w:p>
    <w:p w14:paraId="4E2A141A" w14:textId="0CBFE9A3" w:rsidR="6A92BFB8" w:rsidRDefault="6A92BFB8" w:rsidP="00A07D6F">
      <w:pPr>
        <w:spacing w:line="480" w:lineRule="auto"/>
        <w:jc w:val="both"/>
        <w:rPr>
          <w:rFonts w:ascii="Arial" w:eastAsia="Arial" w:hAnsi="Arial" w:cs="Arial"/>
        </w:rPr>
      </w:pPr>
      <w:r w:rsidRPr="5E6E0106">
        <w:rPr>
          <w:rFonts w:ascii="Arial" w:eastAsia="Arial" w:hAnsi="Arial" w:cs="Arial"/>
        </w:rPr>
        <w:t>- Schein’s Organizational Culture Model: Schein’s model suggests that culture is comprised of artifacts, espoused values, and underlying assumptions. The performance-driven and innovative aspects reflect the espoused values and underlying assumptions of Hilton.</w:t>
      </w:r>
    </w:p>
    <w:p w14:paraId="0AF8859B" w14:textId="1755ECD7" w:rsidR="6A92BFB8" w:rsidRDefault="6A92BFB8" w:rsidP="00A07D6F">
      <w:pPr>
        <w:spacing w:line="480" w:lineRule="auto"/>
        <w:jc w:val="both"/>
        <w:rPr>
          <w:rFonts w:ascii="Arial" w:eastAsia="Arial" w:hAnsi="Arial" w:cs="Arial"/>
        </w:rPr>
      </w:pPr>
      <w:r w:rsidRPr="5E6E0106">
        <w:rPr>
          <w:rFonts w:ascii="Arial" w:eastAsia="Arial" w:hAnsi="Arial" w:cs="Arial"/>
        </w:rPr>
        <w:t>- Hofstede’s Cultural Dimensions: Hilton's culture can be analyzed using Hofstede’s dimensions, particularly focusing on dimensions like individualism vs. collectivism and uncertainty avoidance. For instance, a low uncertainty avoidance culture would be more accepting of change and innovation, which aligns with Hilton’s emphasis on an innovative mindset.</w:t>
      </w:r>
    </w:p>
    <w:p w14:paraId="554CC445" w14:textId="67E7CAA1" w:rsidR="6A92BFB8" w:rsidRDefault="6A92BFB8" w:rsidP="00A07D6F">
      <w:pPr>
        <w:pStyle w:val="Heading1"/>
        <w:keepNext w:val="0"/>
        <w:keepLines w:val="0"/>
        <w:spacing w:line="480" w:lineRule="auto"/>
        <w:jc w:val="both"/>
        <w:rPr>
          <w:rFonts w:ascii="Arial" w:eastAsia="Arial" w:hAnsi="Arial" w:cs="Arial"/>
          <w:b/>
          <w:bCs/>
          <w:color w:val="000000" w:themeColor="text1"/>
          <w:sz w:val="24"/>
          <w:szCs w:val="24"/>
        </w:rPr>
      </w:pPr>
      <w:bookmarkStart w:id="2" w:name="_Toc1913390404"/>
      <w:r w:rsidRPr="0A7FA262">
        <w:rPr>
          <w:rFonts w:ascii="Arial" w:eastAsia="Arial" w:hAnsi="Arial" w:cs="Arial"/>
          <w:b/>
          <w:bCs/>
          <w:color w:val="000000" w:themeColor="text1"/>
          <w:sz w:val="24"/>
          <w:szCs w:val="24"/>
        </w:rPr>
        <w:t>Goals</w:t>
      </w:r>
      <w:bookmarkEnd w:id="2"/>
    </w:p>
    <w:p w14:paraId="5BC77A9D" w14:textId="6E09764F" w:rsidR="6A92BFB8" w:rsidRDefault="6A92BFB8" w:rsidP="00A07D6F">
      <w:pPr>
        <w:spacing w:line="480" w:lineRule="auto"/>
        <w:jc w:val="both"/>
        <w:rPr>
          <w:rFonts w:ascii="Arial" w:eastAsia="Arial" w:hAnsi="Arial" w:cs="Arial"/>
        </w:rPr>
      </w:pPr>
      <w:r w:rsidRPr="5E6E0106">
        <w:rPr>
          <w:rFonts w:ascii="Arial" w:eastAsia="Arial" w:hAnsi="Arial" w:cs="Arial"/>
        </w:rPr>
        <w:t>Hilton’s goals are aligned with its mission and vision statements, which focus on growth, customer satisfaction, and sustainability. The key goals include:</w:t>
      </w:r>
    </w:p>
    <w:p w14:paraId="24CBFEAC" w14:textId="18D1584F" w:rsidR="6A92BFB8" w:rsidRDefault="6A92BFB8" w:rsidP="00A07D6F">
      <w:pPr>
        <w:spacing w:line="480" w:lineRule="auto"/>
        <w:jc w:val="both"/>
        <w:rPr>
          <w:rFonts w:ascii="Arial" w:eastAsia="Arial" w:hAnsi="Arial" w:cs="Arial"/>
        </w:rPr>
      </w:pPr>
      <w:r w:rsidRPr="5E6E0106">
        <w:rPr>
          <w:rFonts w:ascii="Arial" w:eastAsia="Arial" w:hAnsi="Arial" w:cs="Arial"/>
        </w:rPr>
        <w:t xml:space="preserve">- </w:t>
      </w:r>
      <w:r w:rsidR="56EE5412" w:rsidRPr="5E6E0106">
        <w:rPr>
          <w:rFonts w:ascii="Arial" w:eastAsia="Arial" w:hAnsi="Arial" w:cs="Arial"/>
        </w:rPr>
        <w:t>G</w:t>
      </w:r>
      <w:r w:rsidRPr="5E6E0106">
        <w:rPr>
          <w:rFonts w:ascii="Arial" w:eastAsia="Arial" w:hAnsi="Arial" w:cs="Arial"/>
        </w:rPr>
        <w:t>rowth: Achieving steady financial growth and expanding market share. This involves exploring new markets, diversifying product offerings, and strategic partnerships.</w:t>
      </w:r>
    </w:p>
    <w:p w14:paraId="2583600C" w14:textId="631EBC27" w:rsidR="6A92BFB8" w:rsidRDefault="6A92BFB8" w:rsidP="00A07D6F">
      <w:pPr>
        <w:spacing w:line="480" w:lineRule="auto"/>
        <w:jc w:val="both"/>
        <w:rPr>
          <w:rFonts w:ascii="Arial" w:eastAsia="Arial" w:hAnsi="Arial" w:cs="Arial"/>
        </w:rPr>
      </w:pPr>
      <w:r w:rsidRPr="5E6E0106">
        <w:rPr>
          <w:rFonts w:ascii="Arial" w:eastAsia="Arial" w:hAnsi="Arial" w:cs="Arial"/>
        </w:rPr>
        <w:t>- Customer Satisfaction: Enhancing customer experience and maintaining high levels of satisfaction. Customer feedback mechanisms and continuous improvement initiatives are integral to this goal.</w:t>
      </w:r>
    </w:p>
    <w:p w14:paraId="4C60BF27" w14:textId="51B3FE5E" w:rsidR="6A92BFB8" w:rsidRDefault="6A92BFB8" w:rsidP="00A07D6F">
      <w:pPr>
        <w:spacing w:line="480" w:lineRule="auto"/>
        <w:jc w:val="both"/>
        <w:rPr>
          <w:rFonts w:ascii="Arial" w:eastAsia="Arial" w:hAnsi="Arial" w:cs="Arial"/>
        </w:rPr>
      </w:pPr>
      <w:r w:rsidRPr="5E6E0106">
        <w:rPr>
          <w:rFonts w:ascii="Arial" w:eastAsia="Arial" w:hAnsi="Arial" w:cs="Arial"/>
        </w:rPr>
        <w:lastRenderedPageBreak/>
        <w:t>-</w:t>
      </w:r>
      <w:r w:rsidR="1B759D86" w:rsidRPr="5E6E0106">
        <w:rPr>
          <w:rFonts w:ascii="Arial" w:eastAsia="Arial" w:hAnsi="Arial" w:cs="Arial"/>
        </w:rPr>
        <w:t xml:space="preserve"> </w:t>
      </w:r>
      <w:r w:rsidRPr="5E6E0106">
        <w:rPr>
          <w:rFonts w:ascii="Arial" w:eastAsia="Arial" w:hAnsi="Arial" w:cs="Arial"/>
        </w:rPr>
        <w:t>Sustainability: Implementing sustainable practices and reducing environmental impact. Hilton aims to integrate sustainability into all aspects of its operations, from sourcing materials to waste management.</w:t>
      </w:r>
    </w:p>
    <w:p w14:paraId="29EC729F" w14:textId="466667DE" w:rsidR="6A92BFB8" w:rsidRDefault="6A92BFB8" w:rsidP="00A07D6F">
      <w:pPr>
        <w:spacing w:line="480" w:lineRule="auto"/>
        <w:jc w:val="both"/>
        <w:rPr>
          <w:rFonts w:ascii="Arial" w:eastAsia="Arial" w:hAnsi="Arial" w:cs="Arial"/>
          <w:b/>
          <w:bCs/>
        </w:rPr>
      </w:pPr>
      <w:r w:rsidRPr="5E6E0106">
        <w:rPr>
          <w:rFonts w:ascii="Arial" w:eastAsia="Arial" w:hAnsi="Arial" w:cs="Arial"/>
          <w:b/>
          <w:bCs/>
        </w:rPr>
        <w:t xml:space="preserve"> Relevant Theories</w:t>
      </w:r>
    </w:p>
    <w:p w14:paraId="155B5950" w14:textId="1562DD0E" w:rsidR="6A92BFB8" w:rsidRDefault="6A92BFB8" w:rsidP="00A07D6F">
      <w:pPr>
        <w:spacing w:line="480" w:lineRule="auto"/>
        <w:jc w:val="both"/>
        <w:rPr>
          <w:rFonts w:ascii="Arial" w:eastAsia="Arial" w:hAnsi="Arial" w:cs="Arial"/>
        </w:rPr>
      </w:pPr>
      <w:r w:rsidRPr="5E6E0106">
        <w:rPr>
          <w:rFonts w:ascii="Arial" w:eastAsia="Arial" w:hAnsi="Arial" w:cs="Arial"/>
        </w:rPr>
        <w:t>- SMART Goals Framework: Hilton’s goals can be evaluated using the SMART framework (Specific, Measurable, Achievable, Relevant, Time-bound) to ensure they are well-defined and attainable. For example, a goal like "reduce carbon footprint by 20% within five years" is specific, measurable, achievable, relevant, and time bound.</w:t>
      </w:r>
    </w:p>
    <w:p w14:paraId="280D6BC3" w14:textId="46BE58FC" w:rsidR="6A92BFB8" w:rsidRDefault="6A92BFB8" w:rsidP="00A07D6F">
      <w:pPr>
        <w:spacing w:line="480" w:lineRule="auto"/>
        <w:jc w:val="both"/>
        <w:rPr>
          <w:rFonts w:ascii="Arial" w:eastAsia="Arial" w:hAnsi="Arial" w:cs="Arial"/>
          <w:b/>
          <w:bCs/>
          <w:color w:val="000000" w:themeColor="text1"/>
        </w:rPr>
      </w:pPr>
      <w:r w:rsidRPr="0A7FA262">
        <w:rPr>
          <w:rFonts w:ascii="Arial" w:eastAsia="Arial" w:hAnsi="Arial" w:cs="Arial"/>
        </w:rPr>
        <w:t>- Balanced Scorecard: This strategic planning and management system helps align business activities with Hilton’s vision and strategy by monitoring performance against strategic goals. The Balanced Scorecard includes financial, customer, internal process, and learning and growth perspectives, providing a comprehensive view of organizational performance.</w:t>
      </w:r>
    </w:p>
    <w:p w14:paraId="407E6CD8" w14:textId="1089405F" w:rsidR="6A92BFB8" w:rsidRDefault="6A92BFB8" w:rsidP="00A07D6F">
      <w:pPr>
        <w:spacing w:line="480" w:lineRule="auto"/>
        <w:jc w:val="both"/>
        <w:rPr>
          <w:rFonts w:ascii="Arial" w:eastAsia="Arial" w:hAnsi="Arial" w:cs="Arial"/>
          <w:b/>
          <w:bCs/>
          <w:color w:val="000000" w:themeColor="text1"/>
        </w:rPr>
      </w:pPr>
      <w:bookmarkStart w:id="3" w:name="_Toc1205020663"/>
      <w:r w:rsidRPr="0A7FA262">
        <w:rPr>
          <w:rFonts w:ascii="Arial" w:eastAsia="Arial" w:hAnsi="Arial" w:cs="Arial"/>
          <w:b/>
          <w:bCs/>
          <w:color w:val="000000" w:themeColor="text1"/>
        </w:rPr>
        <w:t>Recent Change Initiatives, Their Impact, and Management</w:t>
      </w:r>
      <w:bookmarkEnd w:id="3"/>
    </w:p>
    <w:p w14:paraId="3971FB15" w14:textId="2B50EA0C" w:rsidR="6A92BFB8" w:rsidRDefault="6A92BFB8" w:rsidP="00A07D6F">
      <w:pPr>
        <w:spacing w:line="480" w:lineRule="auto"/>
        <w:jc w:val="both"/>
        <w:rPr>
          <w:rFonts w:ascii="Arial" w:eastAsia="Arial" w:hAnsi="Arial" w:cs="Arial"/>
        </w:rPr>
      </w:pPr>
      <w:r w:rsidRPr="0A7FA262">
        <w:rPr>
          <w:rFonts w:ascii="Arial" w:eastAsia="Arial" w:hAnsi="Arial" w:cs="Arial"/>
        </w:rPr>
        <w:t>Recent Change Initiatives</w:t>
      </w:r>
    </w:p>
    <w:p w14:paraId="7DC91A2B" w14:textId="175F28F8" w:rsidR="6A92BFB8" w:rsidRDefault="6A92BFB8" w:rsidP="00A07D6F">
      <w:pPr>
        <w:spacing w:line="480" w:lineRule="auto"/>
        <w:jc w:val="both"/>
        <w:rPr>
          <w:rFonts w:ascii="Arial" w:eastAsia="Arial" w:hAnsi="Arial" w:cs="Arial"/>
        </w:rPr>
      </w:pPr>
      <w:r w:rsidRPr="5E6E0106">
        <w:rPr>
          <w:rFonts w:ascii="Arial" w:eastAsia="Arial" w:hAnsi="Arial" w:cs="Arial"/>
        </w:rPr>
        <w:t>Hilton Group Hotels has recently undergone several change initiatives aimed at improving operational efficiency and staying competitive. These initiatives include:</w:t>
      </w:r>
    </w:p>
    <w:p w14:paraId="3DA13272" w14:textId="15C456CF" w:rsidR="6A92BFB8" w:rsidRDefault="6A92BFB8" w:rsidP="00A07D6F">
      <w:pPr>
        <w:spacing w:line="480" w:lineRule="auto"/>
        <w:jc w:val="both"/>
        <w:rPr>
          <w:rFonts w:ascii="Arial" w:eastAsia="Arial" w:hAnsi="Arial" w:cs="Arial"/>
        </w:rPr>
      </w:pPr>
      <w:r w:rsidRPr="5E6E0106">
        <w:rPr>
          <w:rFonts w:ascii="Arial" w:eastAsia="Arial" w:hAnsi="Arial" w:cs="Arial"/>
        </w:rPr>
        <w:t>- Digital Transformation:</w:t>
      </w:r>
      <w:r w:rsidR="6E7F1578" w:rsidRPr="5E6E0106">
        <w:rPr>
          <w:rFonts w:ascii="Arial" w:eastAsia="Arial" w:hAnsi="Arial" w:cs="Arial"/>
        </w:rPr>
        <w:t xml:space="preserve"> </w:t>
      </w:r>
      <w:r w:rsidRPr="5E6E0106">
        <w:rPr>
          <w:rFonts w:ascii="Arial" w:eastAsia="Arial" w:hAnsi="Arial" w:cs="Arial"/>
        </w:rPr>
        <w:t>Adoption of new technologies and digital tools to streamline operations and enhance customer experience. This includes implementing advanced data analytics, artificial intelligence, and cloud computing solutions.</w:t>
      </w:r>
    </w:p>
    <w:p w14:paraId="2878D7FD" w14:textId="788ED6BA" w:rsidR="6A92BFB8" w:rsidRDefault="6A92BFB8" w:rsidP="00A07D6F">
      <w:pPr>
        <w:spacing w:line="480" w:lineRule="auto"/>
        <w:jc w:val="both"/>
        <w:rPr>
          <w:rFonts w:ascii="Arial" w:eastAsia="Arial" w:hAnsi="Arial" w:cs="Arial"/>
        </w:rPr>
      </w:pPr>
      <w:r w:rsidRPr="5E6E0106">
        <w:rPr>
          <w:rFonts w:ascii="Arial" w:eastAsia="Arial" w:hAnsi="Arial" w:cs="Arial"/>
        </w:rPr>
        <w:lastRenderedPageBreak/>
        <w:t>- Organizational Restructuring: Redesigning the organizational structure to improve agility and decision-making processes. The restructuring involved flattening the hierarchy, reducing layers of management, and empowering frontline employees.</w:t>
      </w:r>
    </w:p>
    <w:p w14:paraId="62D18D05" w14:textId="110CD928" w:rsidR="6A92BFB8" w:rsidRDefault="6A92BFB8" w:rsidP="00A07D6F">
      <w:pPr>
        <w:spacing w:line="480" w:lineRule="auto"/>
        <w:jc w:val="both"/>
        <w:rPr>
          <w:rFonts w:ascii="Arial" w:eastAsia="Arial" w:hAnsi="Arial" w:cs="Arial"/>
        </w:rPr>
      </w:pPr>
      <w:r w:rsidRPr="5E6E0106">
        <w:rPr>
          <w:rFonts w:ascii="Arial" w:eastAsia="Arial" w:hAnsi="Arial" w:cs="Arial"/>
        </w:rPr>
        <w:t>- Sustainability Programs: Implementing eco-friendly practices and reducing Hilton’s carbon footprint. This includes initiatives like zero-waste programs, renewable energy projects, and sustainable supply chain practices.</w:t>
      </w:r>
    </w:p>
    <w:p w14:paraId="72839C70" w14:textId="2F9255CC" w:rsidR="6A92BFB8" w:rsidRDefault="6A92BFB8" w:rsidP="00A07D6F">
      <w:pPr>
        <w:spacing w:line="480" w:lineRule="auto"/>
        <w:jc w:val="both"/>
        <w:rPr>
          <w:rFonts w:ascii="Arial" w:eastAsia="Arial" w:hAnsi="Arial" w:cs="Arial"/>
          <w:b/>
          <w:bCs/>
        </w:rPr>
      </w:pPr>
      <w:r w:rsidRPr="5E6E0106">
        <w:rPr>
          <w:rFonts w:ascii="Arial" w:eastAsia="Arial" w:hAnsi="Arial" w:cs="Arial"/>
          <w:b/>
          <w:bCs/>
        </w:rPr>
        <w:t>Relevant Theories</w:t>
      </w:r>
    </w:p>
    <w:p w14:paraId="1572F215" w14:textId="6D66E100" w:rsidR="6A92BFB8" w:rsidRDefault="6A92BFB8" w:rsidP="00A07D6F">
      <w:pPr>
        <w:spacing w:line="480" w:lineRule="auto"/>
        <w:jc w:val="both"/>
        <w:rPr>
          <w:rFonts w:ascii="Arial" w:eastAsia="Arial" w:hAnsi="Arial" w:cs="Arial"/>
        </w:rPr>
      </w:pPr>
      <w:r w:rsidRPr="5E6E0106">
        <w:rPr>
          <w:rFonts w:ascii="Arial" w:eastAsia="Arial" w:hAnsi="Arial" w:cs="Arial"/>
        </w:rPr>
        <w:t>- Kotter’s 8-Step Change Model: This model provides a comprehensive framework for managing change, emphasizing the importance of creating urgency, forming a powerful coalition, and consolidating gains. The eight steps are: create a sense of urgency, build a guiding coalition, form a strategic vision, communicate the vision, remove barriers, generate short-term wins, sustain acceleration, and institute change.</w:t>
      </w:r>
    </w:p>
    <w:p w14:paraId="6EB14C1A" w14:textId="3B5F4F2C" w:rsidR="6A92BFB8" w:rsidRDefault="6A92BFB8" w:rsidP="00A07D6F">
      <w:pPr>
        <w:spacing w:line="480" w:lineRule="auto"/>
        <w:jc w:val="both"/>
        <w:rPr>
          <w:rFonts w:ascii="Arial" w:eastAsia="Arial" w:hAnsi="Arial" w:cs="Arial"/>
        </w:rPr>
      </w:pPr>
      <w:r w:rsidRPr="5E6E0106">
        <w:rPr>
          <w:rFonts w:ascii="Arial" w:eastAsia="Arial" w:hAnsi="Arial" w:cs="Arial"/>
        </w:rPr>
        <w:t>- Lewin’s Change Management Model: Lewin’s model focuses on unfreezing the current state, moving to a new state, and refreezing to ensure the changes are embedded in the organization. This model highlights the importance of preparing the organization for change (unfreezing), implementing the change (moving), and making the change permanent (refreezing).</w:t>
      </w:r>
    </w:p>
    <w:p w14:paraId="35DEAA85" w14:textId="3DCEE736" w:rsidR="6A92BFB8" w:rsidRDefault="6A92BFB8" w:rsidP="00A07D6F">
      <w:pPr>
        <w:pStyle w:val="Heading1"/>
        <w:keepNext w:val="0"/>
        <w:keepLines w:val="0"/>
        <w:spacing w:line="480" w:lineRule="auto"/>
        <w:jc w:val="both"/>
        <w:rPr>
          <w:rFonts w:ascii="Arial" w:eastAsia="Arial" w:hAnsi="Arial" w:cs="Arial"/>
          <w:b/>
          <w:bCs/>
          <w:color w:val="000000" w:themeColor="text1"/>
          <w:sz w:val="24"/>
          <w:szCs w:val="24"/>
        </w:rPr>
      </w:pPr>
      <w:bookmarkStart w:id="4" w:name="_Toc1299459214"/>
      <w:r w:rsidRPr="0A7FA262">
        <w:rPr>
          <w:rFonts w:ascii="Arial" w:eastAsia="Arial" w:hAnsi="Arial" w:cs="Arial"/>
          <w:b/>
          <w:bCs/>
          <w:color w:val="000000" w:themeColor="text1"/>
          <w:sz w:val="24"/>
          <w:szCs w:val="24"/>
        </w:rPr>
        <w:t>Impact of Change Initiatives</w:t>
      </w:r>
      <w:bookmarkEnd w:id="4"/>
    </w:p>
    <w:p w14:paraId="5050566F" w14:textId="5A8473C1" w:rsidR="6A92BFB8" w:rsidRDefault="6A92BFB8" w:rsidP="00A07D6F">
      <w:pPr>
        <w:spacing w:line="480" w:lineRule="auto"/>
        <w:jc w:val="both"/>
        <w:rPr>
          <w:rFonts w:ascii="Arial" w:eastAsia="Arial" w:hAnsi="Arial" w:cs="Arial"/>
        </w:rPr>
      </w:pPr>
      <w:r w:rsidRPr="5E6E0106">
        <w:rPr>
          <w:rFonts w:ascii="Arial" w:eastAsia="Arial" w:hAnsi="Arial" w:cs="Arial"/>
        </w:rPr>
        <w:t>- Operational Efficiency: The digital transformation has led to more efficient processes, reducing costs and improving service delivery. For example, the implementation of automated systems has streamlined supply chain management and reduced lead times.</w:t>
      </w:r>
    </w:p>
    <w:p w14:paraId="77A4AD91" w14:textId="3991B4CF" w:rsidR="6A92BFB8" w:rsidRDefault="6A92BFB8" w:rsidP="00A07D6F">
      <w:pPr>
        <w:spacing w:line="480" w:lineRule="auto"/>
        <w:jc w:val="both"/>
        <w:rPr>
          <w:rFonts w:ascii="Arial" w:eastAsia="Arial" w:hAnsi="Arial" w:cs="Arial"/>
        </w:rPr>
      </w:pPr>
      <w:r w:rsidRPr="5E6E0106">
        <w:rPr>
          <w:rFonts w:ascii="Arial" w:eastAsia="Arial" w:hAnsi="Arial" w:cs="Arial"/>
        </w:rPr>
        <w:lastRenderedPageBreak/>
        <w:t>- Employee Morale: Organizational restructuring initially caused uncertainty among employees, but clear communication and involvement in the process have helped mitigate negative impacts. Training programs and change management workshops were conducted to support employees during the transition.</w:t>
      </w:r>
    </w:p>
    <w:p w14:paraId="746D9BD2" w14:textId="0C43127A" w:rsidR="6A92BFB8" w:rsidRDefault="6A92BFB8" w:rsidP="00A07D6F">
      <w:pPr>
        <w:spacing w:line="480" w:lineRule="auto"/>
        <w:jc w:val="both"/>
        <w:rPr>
          <w:rFonts w:ascii="Arial" w:eastAsia="Arial" w:hAnsi="Arial" w:cs="Arial"/>
        </w:rPr>
      </w:pPr>
      <w:r w:rsidRPr="5E6E0106">
        <w:rPr>
          <w:rFonts w:ascii="Arial" w:eastAsia="Arial" w:hAnsi="Arial" w:cs="Arial"/>
        </w:rPr>
        <w:t>- Environmental Impact: Sustainability programs have successfully reduced Hilton’s environmental footprint, enhanced its reputation and met regulatory requirements. The adoption of renewable energy sources and waste reduction initiatives have led to significant environmental benefits.</w:t>
      </w:r>
    </w:p>
    <w:p w14:paraId="0B92BB37" w14:textId="56574553" w:rsidR="6A92BFB8" w:rsidRDefault="6A92BFB8" w:rsidP="00A07D6F">
      <w:pPr>
        <w:pStyle w:val="Heading1"/>
        <w:keepNext w:val="0"/>
        <w:keepLines w:val="0"/>
        <w:spacing w:line="480" w:lineRule="auto"/>
        <w:jc w:val="both"/>
        <w:rPr>
          <w:rFonts w:ascii="Arial" w:eastAsia="Arial" w:hAnsi="Arial" w:cs="Arial"/>
          <w:b/>
          <w:bCs/>
          <w:color w:val="000000" w:themeColor="text1"/>
          <w:sz w:val="24"/>
          <w:szCs w:val="24"/>
        </w:rPr>
      </w:pPr>
      <w:bookmarkStart w:id="5" w:name="_Toc1848826757"/>
      <w:r w:rsidRPr="0A7FA262">
        <w:rPr>
          <w:rFonts w:ascii="Arial" w:eastAsia="Arial" w:hAnsi="Arial" w:cs="Arial"/>
          <w:b/>
          <w:bCs/>
          <w:color w:val="000000" w:themeColor="text1"/>
          <w:sz w:val="24"/>
          <w:szCs w:val="24"/>
        </w:rPr>
        <w:t>Management of Change Initiatives</w:t>
      </w:r>
      <w:bookmarkEnd w:id="5"/>
    </w:p>
    <w:p w14:paraId="7885DA66" w14:textId="73367D26" w:rsidR="6A92BFB8" w:rsidRDefault="6A92BFB8" w:rsidP="00A07D6F">
      <w:pPr>
        <w:spacing w:line="480" w:lineRule="auto"/>
        <w:jc w:val="both"/>
        <w:rPr>
          <w:rFonts w:ascii="Arial" w:eastAsia="Arial" w:hAnsi="Arial" w:cs="Arial"/>
        </w:rPr>
      </w:pPr>
      <w:r w:rsidRPr="5E6E0106">
        <w:rPr>
          <w:rFonts w:ascii="Arial" w:eastAsia="Arial" w:hAnsi="Arial" w:cs="Arial"/>
        </w:rPr>
        <w:t>- Leadership Involvement: Top management has played a crucial role in driving change by clearly communicating the vision and supporting the initiatives. Leaders have acted as change champions, demonstrating commitment and enthusiasm for the new direction.</w:t>
      </w:r>
    </w:p>
    <w:p w14:paraId="321D8356" w14:textId="3422D8AE" w:rsidR="6A92BFB8" w:rsidRDefault="6A92BFB8" w:rsidP="00A07D6F">
      <w:pPr>
        <w:spacing w:line="480" w:lineRule="auto"/>
        <w:jc w:val="both"/>
        <w:rPr>
          <w:rFonts w:ascii="Arial" w:eastAsia="Arial" w:hAnsi="Arial" w:cs="Arial"/>
        </w:rPr>
      </w:pPr>
      <w:r w:rsidRPr="5E6E0106">
        <w:rPr>
          <w:rFonts w:ascii="Arial" w:eastAsia="Arial" w:hAnsi="Arial" w:cs="Arial"/>
        </w:rPr>
        <w:t>- Employee Engagement: Employees were involved in the change process through regular updates, feedback sessions, and training programs to adapt to new technologies and processes. This engagement has fostered a sense of ownership and accountability among employees.</w:t>
      </w:r>
    </w:p>
    <w:p w14:paraId="64E0D983" w14:textId="6803C3D9" w:rsidR="6A92BFB8" w:rsidRDefault="6A92BFB8" w:rsidP="00A07D6F">
      <w:pPr>
        <w:spacing w:line="480" w:lineRule="auto"/>
        <w:jc w:val="both"/>
        <w:rPr>
          <w:rFonts w:ascii="Arial" w:eastAsia="Arial" w:hAnsi="Arial" w:cs="Arial"/>
        </w:rPr>
      </w:pPr>
      <w:r w:rsidRPr="5E6E0106">
        <w:rPr>
          <w:rFonts w:ascii="Arial" w:eastAsia="Arial" w:hAnsi="Arial" w:cs="Arial"/>
        </w:rPr>
        <w:t>- Monitoring and Evaluation:</w:t>
      </w:r>
      <w:r w:rsidR="060FD6DF" w:rsidRPr="5E6E0106">
        <w:rPr>
          <w:rFonts w:ascii="Arial" w:eastAsia="Arial" w:hAnsi="Arial" w:cs="Arial"/>
        </w:rPr>
        <w:t xml:space="preserve"> </w:t>
      </w:r>
      <w:r w:rsidRPr="5E6E0106">
        <w:rPr>
          <w:rFonts w:ascii="Arial" w:eastAsia="Arial" w:hAnsi="Arial" w:cs="Arial"/>
        </w:rPr>
        <w:t>Continuous monitoring and evaluation of the change initiatives have ensured that they stay on track and deliver the desired outcomes. Key performance indicators (KPIs) were established to measure progress and identify areas for improvement.</w:t>
      </w:r>
    </w:p>
    <w:p w14:paraId="1CAE4778" w14:textId="575473DC" w:rsidR="6A92BFB8" w:rsidRDefault="6A92BFB8" w:rsidP="00A07D6F">
      <w:pPr>
        <w:spacing w:line="480" w:lineRule="auto"/>
        <w:jc w:val="both"/>
        <w:rPr>
          <w:rFonts w:ascii="Arial" w:eastAsia="Arial" w:hAnsi="Arial" w:cs="Arial"/>
          <w:b/>
          <w:bCs/>
        </w:rPr>
      </w:pPr>
      <w:r w:rsidRPr="5E6E0106">
        <w:rPr>
          <w:rFonts w:ascii="Arial" w:eastAsia="Arial" w:hAnsi="Arial" w:cs="Arial"/>
          <w:b/>
          <w:bCs/>
        </w:rPr>
        <w:t>Relevant Theories</w:t>
      </w:r>
    </w:p>
    <w:p w14:paraId="75E50FC4" w14:textId="3F9D6501" w:rsidR="6A92BFB8" w:rsidRDefault="6A92BFB8" w:rsidP="00A07D6F">
      <w:pPr>
        <w:spacing w:line="480" w:lineRule="auto"/>
        <w:jc w:val="both"/>
        <w:rPr>
          <w:rFonts w:ascii="Arial" w:eastAsia="Arial" w:hAnsi="Arial" w:cs="Arial"/>
        </w:rPr>
      </w:pPr>
      <w:r w:rsidRPr="5E6E0106">
        <w:rPr>
          <w:rFonts w:ascii="Arial" w:eastAsia="Arial" w:hAnsi="Arial" w:cs="Arial"/>
        </w:rPr>
        <w:lastRenderedPageBreak/>
        <w:t>- ADKAR Model: This model focuses on five key building blocks of change: Awareness, Desire, Knowledge, Ability, and Reinforcement, which are crucial for successful change management. The model suggests that for change to be successful, individuals need to be aware of the need for change, desire to participate and support the change, know how to change, have the ability to implement new skills and behaviors, and be able to sustain the change.</w:t>
      </w:r>
    </w:p>
    <w:p w14:paraId="73F4B126" w14:textId="0BC2FB05" w:rsidR="6A92BFB8" w:rsidRDefault="6A92BFB8" w:rsidP="00A07D6F">
      <w:pPr>
        <w:spacing w:line="480" w:lineRule="auto"/>
        <w:jc w:val="both"/>
        <w:rPr>
          <w:rFonts w:ascii="Arial" w:eastAsia="Arial" w:hAnsi="Arial" w:cs="Arial"/>
        </w:rPr>
      </w:pPr>
      <w:r w:rsidRPr="5E6E0106">
        <w:rPr>
          <w:rFonts w:ascii="Arial" w:eastAsia="Arial" w:hAnsi="Arial" w:cs="Arial"/>
        </w:rPr>
        <w:t>- Bridges’ Transition Model: Bridges’ model emphasizes the psychological transition that employees go through during change, highlighting the need for support and communication. The model identifies three stages: ending, losing, and letting go; the neutral zone; and the new beginning.</w:t>
      </w:r>
    </w:p>
    <w:p w14:paraId="1A58FD2E" w14:textId="0844FE06" w:rsidR="6A92BFB8" w:rsidRDefault="6A92BFB8" w:rsidP="00A07D6F">
      <w:pPr>
        <w:spacing w:line="480" w:lineRule="auto"/>
        <w:jc w:val="both"/>
        <w:rPr>
          <w:rStyle w:val="Heading1Char"/>
          <w:rFonts w:ascii="Arial" w:eastAsia="Arial" w:hAnsi="Arial" w:cs="Arial"/>
          <w:b/>
          <w:bCs/>
          <w:color w:val="000000" w:themeColor="text1"/>
          <w:sz w:val="24"/>
          <w:szCs w:val="24"/>
        </w:rPr>
      </w:pPr>
      <w:bookmarkStart w:id="6" w:name="_Toc1474564987"/>
      <w:r w:rsidRPr="0A7FA262">
        <w:rPr>
          <w:rStyle w:val="Heading1Char"/>
          <w:rFonts w:ascii="Arial" w:eastAsia="Arial" w:hAnsi="Arial" w:cs="Arial"/>
          <w:b/>
          <w:bCs/>
          <w:color w:val="000000" w:themeColor="text1"/>
          <w:sz w:val="24"/>
          <w:szCs w:val="24"/>
        </w:rPr>
        <w:t>The Organization’s Strategic Direction</w:t>
      </w:r>
      <w:bookmarkEnd w:id="6"/>
    </w:p>
    <w:p w14:paraId="6F6CE88B" w14:textId="7B72A55A" w:rsidR="6A92BFB8" w:rsidRDefault="6A92BFB8" w:rsidP="00A07D6F">
      <w:pPr>
        <w:spacing w:line="480" w:lineRule="auto"/>
        <w:jc w:val="both"/>
        <w:rPr>
          <w:rFonts w:ascii="Arial" w:eastAsia="Arial" w:hAnsi="Arial" w:cs="Arial"/>
        </w:rPr>
      </w:pPr>
      <w:r w:rsidRPr="5E6E0106">
        <w:rPr>
          <w:rFonts w:ascii="Arial" w:eastAsia="Arial" w:hAnsi="Arial" w:cs="Arial"/>
        </w:rPr>
        <w:t>Strategic Direction</w:t>
      </w:r>
    </w:p>
    <w:p w14:paraId="2C7CA0BC" w14:textId="58664D9D" w:rsidR="6A92BFB8" w:rsidRDefault="6A92BFB8" w:rsidP="00A07D6F">
      <w:pPr>
        <w:spacing w:line="480" w:lineRule="auto"/>
        <w:jc w:val="both"/>
        <w:rPr>
          <w:rFonts w:ascii="Arial" w:eastAsia="Arial" w:hAnsi="Arial" w:cs="Arial"/>
        </w:rPr>
      </w:pPr>
      <w:r w:rsidRPr="5E6E0106">
        <w:rPr>
          <w:rFonts w:ascii="Arial" w:eastAsia="Arial" w:hAnsi="Arial" w:cs="Arial"/>
        </w:rPr>
        <w:t>Hilton’s strategic direction is centered on growth, innovation, and sustainability. The key components of the strategic direction include:</w:t>
      </w:r>
    </w:p>
    <w:p w14:paraId="42B99351" w14:textId="65304B54" w:rsidR="6A92BFB8" w:rsidRDefault="6A92BFB8" w:rsidP="00A07D6F">
      <w:pPr>
        <w:spacing w:line="480" w:lineRule="auto"/>
        <w:jc w:val="both"/>
        <w:rPr>
          <w:rFonts w:ascii="Arial" w:eastAsia="Arial" w:hAnsi="Arial" w:cs="Arial"/>
        </w:rPr>
      </w:pPr>
      <w:r w:rsidRPr="5E6E0106">
        <w:rPr>
          <w:rFonts w:ascii="Arial" w:eastAsia="Arial" w:hAnsi="Arial" w:cs="Arial"/>
        </w:rPr>
        <w:t>- Market Expansion: Expanding into new markets to increase market share and revenue. This involves market research, localization strategies, and partnerships with local firms.</w:t>
      </w:r>
    </w:p>
    <w:p w14:paraId="71E0E0F1" w14:textId="44736121" w:rsidR="6A92BFB8" w:rsidRDefault="6A92BFB8" w:rsidP="00A07D6F">
      <w:pPr>
        <w:spacing w:line="480" w:lineRule="auto"/>
        <w:jc w:val="both"/>
        <w:rPr>
          <w:rFonts w:ascii="Arial" w:eastAsia="Arial" w:hAnsi="Arial" w:cs="Arial"/>
        </w:rPr>
      </w:pPr>
      <w:r w:rsidRPr="5E6E0106">
        <w:rPr>
          <w:rFonts w:ascii="Arial" w:eastAsia="Arial" w:hAnsi="Arial" w:cs="Arial"/>
        </w:rPr>
        <w:t>- Innovation and R&amp;D: Investing in research and development to drive innovation and stay ahead of competitors. Hilton focuses on developing new products and services, improving existing offerings, and exploring new business models.</w:t>
      </w:r>
    </w:p>
    <w:p w14:paraId="18745FD7" w14:textId="4F8C5245" w:rsidR="6A92BFB8" w:rsidRDefault="6A92BFB8" w:rsidP="00A07D6F">
      <w:pPr>
        <w:spacing w:line="480" w:lineRule="auto"/>
        <w:jc w:val="both"/>
        <w:rPr>
          <w:rFonts w:ascii="Arial" w:eastAsia="Arial" w:hAnsi="Arial" w:cs="Arial"/>
        </w:rPr>
      </w:pPr>
      <w:r w:rsidRPr="5E6E0106">
        <w:rPr>
          <w:rFonts w:ascii="Arial" w:eastAsia="Arial" w:hAnsi="Arial" w:cs="Arial"/>
        </w:rPr>
        <w:lastRenderedPageBreak/>
        <w:t>- Sustainability Goals: Committing to sustainable practices and setting ambitious targets for reducing environmental impact. Hilton aims to achieve carbon neutrality, reduce waste, and promote sustainable practices throughout its supply chain.</w:t>
      </w:r>
    </w:p>
    <w:p w14:paraId="1E07CD6F" w14:textId="7D3DE981" w:rsidR="0C766D43" w:rsidRDefault="0C766D43" w:rsidP="00A07D6F">
      <w:pPr>
        <w:spacing w:line="480" w:lineRule="auto"/>
        <w:jc w:val="both"/>
        <w:rPr>
          <w:rFonts w:ascii="Arial" w:eastAsia="Arial" w:hAnsi="Arial" w:cs="Arial"/>
          <w:b/>
          <w:bCs/>
        </w:rPr>
      </w:pPr>
      <w:r w:rsidRPr="5E6E0106">
        <w:rPr>
          <w:rFonts w:ascii="Arial" w:eastAsia="Arial" w:hAnsi="Arial" w:cs="Arial"/>
          <w:b/>
          <w:bCs/>
        </w:rPr>
        <w:t>R</w:t>
      </w:r>
      <w:r w:rsidR="6A92BFB8" w:rsidRPr="5E6E0106">
        <w:rPr>
          <w:rFonts w:ascii="Arial" w:eastAsia="Arial" w:hAnsi="Arial" w:cs="Arial"/>
          <w:b/>
          <w:bCs/>
        </w:rPr>
        <w:t>elevant Theories</w:t>
      </w:r>
    </w:p>
    <w:p w14:paraId="30CBCEA6" w14:textId="29641F16" w:rsidR="6A92BFB8" w:rsidRDefault="6A92BFB8" w:rsidP="00A07D6F">
      <w:pPr>
        <w:spacing w:line="480" w:lineRule="auto"/>
        <w:jc w:val="both"/>
        <w:rPr>
          <w:rFonts w:ascii="Arial" w:eastAsia="Arial" w:hAnsi="Arial" w:cs="Arial"/>
        </w:rPr>
      </w:pPr>
      <w:r w:rsidRPr="5E6E0106">
        <w:rPr>
          <w:rFonts w:ascii="Arial" w:eastAsia="Arial" w:hAnsi="Arial" w:cs="Arial"/>
        </w:rPr>
        <w:t>- Porter’s Generic Strategies: Hilton’s strategic direction can be analyzed using Porter’s generic strategies, which include cost leadership, differentiation, and focus. For instance, Hilton may pursue a differentiation strategy by offering unique, innovative products and services that provide value to customers.</w:t>
      </w:r>
    </w:p>
    <w:p w14:paraId="5C4BFA34" w14:textId="0E191A66" w:rsidR="6A92BFB8" w:rsidRDefault="6A92BFB8" w:rsidP="00A07D6F">
      <w:pPr>
        <w:spacing w:line="480" w:lineRule="auto"/>
        <w:jc w:val="both"/>
        <w:rPr>
          <w:rFonts w:ascii="Arial" w:eastAsia="Arial" w:hAnsi="Arial" w:cs="Arial"/>
        </w:rPr>
      </w:pPr>
      <w:r w:rsidRPr="5E6E0106">
        <w:rPr>
          <w:rFonts w:ascii="Arial" w:eastAsia="Arial" w:hAnsi="Arial" w:cs="Arial"/>
        </w:rPr>
        <w:t>- Ansoff’s Matrix: This matrix provides a framework for identifying growth strategies, including market penetration, market development, product development, and diversification. Hilton’s focus on market expansion and innovation aligns with the market development and product development strategies.</w:t>
      </w:r>
    </w:p>
    <w:p w14:paraId="42C60B44" w14:textId="7EC8CCE7" w:rsidR="6A92BFB8" w:rsidRDefault="6A92BFB8" w:rsidP="00A07D6F">
      <w:pPr>
        <w:spacing w:line="480" w:lineRule="auto"/>
        <w:jc w:val="both"/>
        <w:rPr>
          <w:rStyle w:val="Heading1Char"/>
          <w:rFonts w:ascii="Arial" w:eastAsia="Arial" w:hAnsi="Arial" w:cs="Arial"/>
          <w:b/>
          <w:bCs/>
          <w:color w:val="000000" w:themeColor="text1"/>
          <w:sz w:val="24"/>
          <w:szCs w:val="24"/>
        </w:rPr>
      </w:pPr>
      <w:r w:rsidRPr="5E6E0106">
        <w:rPr>
          <w:rFonts w:ascii="Arial" w:eastAsia="Arial" w:hAnsi="Arial" w:cs="Arial"/>
        </w:rPr>
        <w:t xml:space="preserve"> </w:t>
      </w:r>
      <w:r w:rsidRPr="5E6E0106">
        <w:rPr>
          <w:rStyle w:val="Heading1Char"/>
          <w:rFonts w:ascii="Arial" w:eastAsia="Arial" w:hAnsi="Arial" w:cs="Arial"/>
          <w:b/>
          <w:bCs/>
          <w:color w:val="000000" w:themeColor="text1"/>
          <w:sz w:val="24"/>
          <w:szCs w:val="24"/>
        </w:rPr>
        <w:t>Implementation of Strategic Direction</w:t>
      </w:r>
    </w:p>
    <w:p w14:paraId="7AF34477" w14:textId="7207CF43" w:rsidR="6A92BFB8" w:rsidRDefault="6A92BFB8" w:rsidP="00A07D6F">
      <w:pPr>
        <w:spacing w:line="480" w:lineRule="auto"/>
        <w:jc w:val="both"/>
        <w:rPr>
          <w:rFonts w:ascii="Arial" w:eastAsia="Arial" w:hAnsi="Arial" w:cs="Arial"/>
        </w:rPr>
      </w:pPr>
      <w:r w:rsidRPr="5E6E0106">
        <w:rPr>
          <w:rFonts w:ascii="Arial" w:eastAsia="Arial" w:hAnsi="Arial" w:cs="Arial"/>
        </w:rPr>
        <w:t>- Market Expansion: Hilton has identified potential markets for expansion and is using targeted marketing strategies to enter these markets. Market analysis, competitive intelligence, and localized marketing campaigns are key components of this strategy.</w:t>
      </w:r>
    </w:p>
    <w:p w14:paraId="3AB1D9E5" w14:textId="5A0D9A46" w:rsidR="6A92BFB8" w:rsidRDefault="6A92BFB8" w:rsidP="00A07D6F">
      <w:pPr>
        <w:spacing w:line="480" w:lineRule="auto"/>
        <w:jc w:val="both"/>
        <w:rPr>
          <w:rFonts w:ascii="Arial" w:eastAsia="Arial" w:hAnsi="Arial" w:cs="Arial"/>
        </w:rPr>
      </w:pPr>
      <w:r w:rsidRPr="5E6E0106">
        <w:rPr>
          <w:rFonts w:ascii="Arial" w:eastAsia="Arial" w:hAnsi="Arial" w:cs="Arial"/>
        </w:rPr>
        <w:t>- Innovation and R&amp;D: Significant investment in R&amp;D has led to the development of new products and services that meet customer needs and differentiate Hilton from competitors. Hilton has established innovation labs and partnerships with research institutions to drive R&amp;D efforts.</w:t>
      </w:r>
    </w:p>
    <w:p w14:paraId="53D4F12B" w14:textId="62FED482" w:rsidR="6A92BFB8" w:rsidRDefault="6A92BFB8" w:rsidP="00A07D6F">
      <w:pPr>
        <w:spacing w:line="480" w:lineRule="auto"/>
        <w:jc w:val="both"/>
        <w:rPr>
          <w:rFonts w:ascii="Arial" w:eastAsia="Arial" w:hAnsi="Arial" w:cs="Arial"/>
        </w:rPr>
      </w:pPr>
      <w:r w:rsidRPr="5E6E0106">
        <w:rPr>
          <w:rFonts w:ascii="Arial" w:eastAsia="Arial" w:hAnsi="Arial" w:cs="Arial"/>
        </w:rPr>
        <w:lastRenderedPageBreak/>
        <w:t>- Sustainability Goals: Hilton has set clear sustainability goals and is implementing various initiatives to achieve these goals, such as reducing energy consumption, minimizing waste, and sourcing sustainable materials. Sustainability metrics are tracked and reported to ensure transparency and accountability.</w:t>
      </w:r>
    </w:p>
    <w:p w14:paraId="037F9E84" w14:textId="4F3CE1AD" w:rsidR="6A92BFB8" w:rsidRDefault="6A92BFB8" w:rsidP="00A07D6F">
      <w:pPr>
        <w:spacing w:line="480" w:lineRule="auto"/>
        <w:jc w:val="both"/>
        <w:rPr>
          <w:rFonts w:ascii="Arial" w:eastAsia="Arial" w:hAnsi="Arial" w:cs="Arial"/>
          <w:b/>
          <w:bCs/>
        </w:rPr>
      </w:pPr>
      <w:r w:rsidRPr="5E6E0106">
        <w:rPr>
          <w:rFonts w:ascii="Arial" w:eastAsia="Arial" w:hAnsi="Arial" w:cs="Arial"/>
          <w:b/>
          <w:bCs/>
        </w:rPr>
        <w:t>Relevant Theories</w:t>
      </w:r>
    </w:p>
    <w:p w14:paraId="52B859DB" w14:textId="43C609FB" w:rsidR="6A92BFB8" w:rsidRDefault="6A92BFB8" w:rsidP="00A07D6F">
      <w:pPr>
        <w:spacing w:line="480" w:lineRule="auto"/>
        <w:jc w:val="both"/>
        <w:rPr>
          <w:rFonts w:ascii="Arial" w:eastAsia="Arial" w:hAnsi="Arial" w:cs="Arial"/>
        </w:rPr>
      </w:pPr>
      <w:r w:rsidRPr="5E6E0106">
        <w:rPr>
          <w:rFonts w:ascii="Arial" w:eastAsia="Arial" w:hAnsi="Arial" w:cs="Arial"/>
        </w:rPr>
        <w:t>- Resource-Based View (RBV): This theory emphasizes</w:t>
      </w:r>
      <w:r w:rsidR="24072EA9" w:rsidRPr="5E6E0106">
        <w:rPr>
          <w:rFonts w:ascii="Arial" w:eastAsia="Arial" w:hAnsi="Arial" w:cs="Arial"/>
        </w:rPr>
        <w:t xml:space="preserve"> </w:t>
      </w:r>
      <w:r w:rsidRPr="5E6E0106">
        <w:rPr>
          <w:rFonts w:ascii="Arial" w:eastAsia="Arial" w:hAnsi="Arial" w:cs="Arial"/>
        </w:rPr>
        <w:t>the importance of leveraging internal resources and capabilities to achieve a competitive advantage. Hilton’s investments in R&amp;D and sustainability are examples of leveraging unique resources to create value.</w:t>
      </w:r>
    </w:p>
    <w:p w14:paraId="5760798B" w14:textId="26A3F2A2" w:rsidR="6A92BFB8" w:rsidRDefault="6A92BFB8" w:rsidP="00A07D6F">
      <w:pPr>
        <w:spacing w:line="480" w:lineRule="auto"/>
        <w:jc w:val="both"/>
        <w:rPr>
          <w:rFonts w:ascii="Arial" w:eastAsia="Arial" w:hAnsi="Arial" w:cs="Arial"/>
        </w:rPr>
      </w:pPr>
      <w:r w:rsidRPr="5E6E0106">
        <w:rPr>
          <w:rFonts w:ascii="Arial" w:eastAsia="Arial" w:hAnsi="Arial" w:cs="Arial"/>
        </w:rPr>
        <w:t>- Blue Ocean Strategy: Hilton’s focus on innovation and differentiation aligns with the Blue Ocean Strategy, which aims to create uncontested market space and make the competition irrelevant. By offering unique and innovative products, Hilton can attract new customers and create new demand.</w:t>
      </w:r>
    </w:p>
    <w:p w14:paraId="46DBFF3A" w14:textId="05F024A9" w:rsidR="6A92BFB8" w:rsidRDefault="6A92BFB8" w:rsidP="00A07D6F">
      <w:pPr>
        <w:pStyle w:val="Heading1"/>
        <w:keepNext w:val="0"/>
        <w:keepLines w:val="0"/>
        <w:spacing w:line="480" w:lineRule="auto"/>
        <w:jc w:val="both"/>
        <w:rPr>
          <w:rFonts w:ascii="Arial" w:eastAsia="Arial" w:hAnsi="Arial" w:cs="Arial"/>
          <w:b/>
          <w:bCs/>
          <w:color w:val="000000" w:themeColor="text1"/>
          <w:sz w:val="24"/>
          <w:szCs w:val="24"/>
        </w:rPr>
      </w:pPr>
      <w:bookmarkStart w:id="7" w:name="_Toc1716661568"/>
      <w:r w:rsidRPr="0A7FA262">
        <w:rPr>
          <w:rFonts w:ascii="Arial" w:eastAsia="Arial" w:hAnsi="Arial" w:cs="Arial"/>
          <w:b/>
          <w:bCs/>
          <w:color w:val="000000" w:themeColor="text1"/>
          <w:sz w:val="24"/>
          <w:szCs w:val="24"/>
        </w:rPr>
        <w:t>Challenges and Opportunities</w:t>
      </w:r>
      <w:bookmarkEnd w:id="7"/>
    </w:p>
    <w:p w14:paraId="2451C878" w14:textId="2F44064F" w:rsidR="6A92BFB8" w:rsidRDefault="6A92BFB8" w:rsidP="00A07D6F">
      <w:pPr>
        <w:spacing w:line="480" w:lineRule="auto"/>
        <w:jc w:val="both"/>
        <w:rPr>
          <w:rFonts w:ascii="Arial" w:eastAsia="Arial" w:hAnsi="Arial" w:cs="Arial"/>
        </w:rPr>
      </w:pPr>
      <w:r w:rsidRPr="5E6E0106">
        <w:rPr>
          <w:rFonts w:ascii="Arial" w:eastAsia="Arial" w:hAnsi="Arial" w:cs="Arial"/>
        </w:rPr>
        <w:t>- Challenges: Hilton faces challenges such as market saturation, increasing competition, and regulatory pressures. Additionally, achieving sustainability goals requires significant investment and changes to existing processes. Hilton must also navigate geopolitical uncertainties and supply chain disruptions.</w:t>
      </w:r>
    </w:p>
    <w:p w14:paraId="0E89809A" w14:textId="6EC91852" w:rsidR="6A92BFB8" w:rsidRDefault="6A92BFB8" w:rsidP="00A07D6F">
      <w:pPr>
        <w:spacing w:line="480" w:lineRule="auto"/>
        <w:jc w:val="both"/>
        <w:rPr>
          <w:rFonts w:ascii="Arial" w:eastAsia="Arial" w:hAnsi="Arial" w:cs="Arial"/>
        </w:rPr>
      </w:pPr>
      <w:r w:rsidRPr="5E6E0106">
        <w:rPr>
          <w:rFonts w:ascii="Arial" w:eastAsia="Arial" w:hAnsi="Arial" w:cs="Arial"/>
        </w:rPr>
        <w:t>- Opportunities: Opportunities include expanding into emerging markets, leveraging new technologies to enhance customer experience, and capitalizing on the growing demand for sustainable products and services. Hilton can also explore new revenue streams through digital transformation and innovative business models.</w:t>
      </w:r>
    </w:p>
    <w:p w14:paraId="0CF3DFD0" w14:textId="4B52D8F6" w:rsidR="6A92BFB8" w:rsidRDefault="6A92BFB8" w:rsidP="00A07D6F">
      <w:pPr>
        <w:spacing w:line="480" w:lineRule="auto"/>
        <w:jc w:val="both"/>
        <w:rPr>
          <w:rFonts w:ascii="Arial" w:eastAsia="Arial" w:hAnsi="Arial" w:cs="Arial"/>
          <w:b/>
          <w:bCs/>
        </w:rPr>
      </w:pPr>
      <w:r w:rsidRPr="5E6E0106">
        <w:rPr>
          <w:rFonts w:ascii="Arial" w:eastAsia="Arial" w:hAnsi="Arial" w:cs="Arial"/>
          <w:b/>
          <w:bCs/>
        </w:rPr>
        <w:lastRenderedPageBreak/>
        <w:t>Relevant Theories</w:t>
      </w:r>
    </w:p>
    <w:p w14:paraId="2CBADCDF" w14:textId="5BFCD9AC" w:rsidR="6A92BFB8" w:rsidRDefault="6A92BFB8" w:rsidP="00A07D6F">
      <w:pPr>
        <w:spacing w:line="480" w:lineRule="auto"/>
        <w:jc w:val="both"/>
        <w:rPr>
          <w:rFonts w:ascii="Arial" w:eastAsia="Arial" w:hAnsi="Arial" w:cs="Arial"/>
        </w:rPr>
      </w:pPr>
      <w:r w:rsidRPr="5E6E0106">
        <w:rPr>
          <w:rFonts w:ascii="Arial" w:eastAsia="Arial" w:hAnsi="Arial" w:cs="Arial"/>
        </w:rPr>
        <w:t>- SWOT Analysis: This tool helps identify Hilton’s strengths, weaknesses, opportunities, and threats, providing a comprehensive view of its strategic position. Strengths might include a strong brand, innovative products, and a commitment to sustainability, while weaknesses could be high operational costs and reliance on specific markets.</w:t>
      </w:r>
    </w:p>
    <w:p w14:paraId="5ECA3310" w14:textId="77605666" w:rsidR="6A92BFB8" w:rsidRDefault="6A92BFB8" w:rsidP="00A07D6F">
      <w:pPr>
        <w:spacing w:line="480" w:lineRule="auto"/>
        <w:jc w:val="both"/>
        <w:rPr>
          <w:rFonts w:ascii="Arial" w:eastAsia="Arial" w:hAnsi="Arial" w:cs="Arial"/>
        </w:rPr>
      </w:pPr>
      <w:r w:rsidRPr="5E6E0106">
        <w:rPr>
          <w:rFonts w:ascii="Arial" w:eastAsia="Arial" w:hAnsi="Arial" w:cs="Arial"/>
        </w:rPr>
        <w:t>- PESTLE Analysis: This framework analyzes external factors (Political, Economic, Social, Technological, Legal, Environmental) that impact Hilton, helping to identify opportunities and threats. For example, technological advancements and regulatory incentives for sustainability can present opportunities, while political instability and economic downturns may pose threats.</w:t>
      </w:r>
    </w:p>
    <w:p w14:paraId="2CB93D7C" w14:textId="1A82E89D" w:rsidR="6A92BFB8" w:rsidRDefault="6A92BFB8" w:rsidP="00A07D6F">
      <w:pPr>
        <w:spacing w:line="480" w:lineRule="auto"/>
        <w:jc w:val="both"/>
        <w:rPr>
          <w:rFonts w:ascii="Arial" w:eastAsia="Arial" w:hAnsi="Arial" w:cs="Arial"/>
        </w:rPr>
      </w:pPr>
      <w:r w:rsidRPr="0A7FA262">
        <w:rPr>
          <w:rFonts w:ascii="Arial" w:eastAsia="Arial" w:hAnsi="Arial" w:cs="Arial"/>
          <w:b/>
          <w:bCs/>
          <w:color w:val="000000" w:themeColor="text1"/>
        </w:rPr>
        <w:t>Conclusion</w:t>
      </w:r>
      <w:r w:rsidR="5650A8C9" w:rsidRPr="0A7FA262">
        <w:rPr>
          <w:rFonts w:ascii="Arial" w:eastAsia="Arial" w:hAnsi="Arial" w:cs="Arial"/>
        </w:rPr>
        <w:t xml:space="preserve"> </w:t>
      </w:r>
    </w:p>
    <w:p w14:paraId="230437F1" w14:textId="1CAA11C7" w:rsidR="5650A8C9" w:rsidRDefault="5650A8C9" w:rsidP="00A07D6F">
      <w:pPr>
        <w:spacing w:line="480" w:lineRule="auto"/>
        <w:jc w:val="both"/>
      </w:pPr>
      <w:r w:rsidRPr="5E6E0106">
        <w:rPr>
          <w:rFonts w:ascii="Arial" w:eastAsia="Arial" w:hAnsi="Arial" w:cs="Arial"/>
        </w:rPr>
        <w:t>This report has provided a comprehensive analysis of Hilton Group Hotels, focusing on its organizational structure, culture, goals, recent change initiatives, and strategic direction. By applying relevant theories and incorporating up-to-date materials, the report has offered valuable insights into how Hilton operates and manages change.</w:t>
      </w:r>
    </w:p>
    <w:p w14:paraId="372379C0" w14:textId="36B83FC2" w:rsidR="5650A8C9" w:rsidRDefault="5650A8C9" w:rsidP="00A07D6F">
      <w:pPr>
        <w:spacing w:line="480" w:lineRule="auto"/>
        <w:jc w:val="both"/>
      </w:pPr>
      <w:r w:rsidRPr="5E6E0106">
        <w:rPr>
          <w:rFonts w:ascii="Arial" w:eastAsia="Arial" w:hAnsi="Arial" w:cs="Arial"/>
        </w:rPr>
        <w:t xml:space="preserve">Hilton's hierarchical structure, with its centralized decision-making and defined roles, supports clear lines of authority and communication, though it can also slow down decision-making processes. The organization's culture emphasizes performance, innovation, and collaboration, fostering an environment where employees are motivated to excel, innovate, and work together effectively. These cultural attributes are aligned with Hilton’s goals of growth, customer satisfaction, and sustainability, which are pursued </w:t>
      </w:r>
      <w:r w:rsidRPr="5E6E0106">
        <w:rPr>
          <w:rFonts w:ascii="Arial" w:eastAsia="Arial" w:hAnsi="Arial" w:cs="Arial"/>
        </w:rPr>
        <w:lastRenderedPageBreak/>
        <w:t>through strategic initiatives like market expansion, R&amp;D investment, and eco-friendly practices.</w:t>
      </w:r>
    </w:p>
    <w:p w14:paraId="4FA40B68" w14:textId="24769E47" w:rsidR="5650A8C9" w:rsidRDefault="5650A8C9" w:rsidP="00A07D6F">
      <w:pPr>
        <w:spacing w:line="480" w:lineRule="auto"/>
        <w:jc w:val="both"/>
        <w:rPr>
          <w:rFonts w:ascii="Arial" w:eastAsia="Arial" w:hAnsi="Arial" w:cs="Arial"/>
        </w:rPr>
      </w:pPr>
      <w:r w:rsidRPr="5E6E0106">
        <w:rPr>
          <w:rFonts w:ascii="Arial" w:eastAsia="Arial" w:hAnsi="Arial" w:cs="Arial"/>
        </w:rPr>
        <w:t>Recent change initiatives, such as digital transformation, organizational restructuring, and sustainability programs, have significantly impacted Hilton’s operational efficiency, employee morale, and environmental footprint. Effective change management practices, including leadership involvement, employee engagement, and continuous monitoring, have been critical in ensuring these initiatives' success.</w:t>
      </w:r>
    </w:p>
    <w:p w14:paraId="54CCDAF8" w14:textId="06F3D209" w:rsidR="5650A8C9" w:rsidRDefault="5650A8C9" w:rsidP="00A07D6F">
      <w:pPr>
        <w:spacing w:line="480" w:lineRule="auto"/>
        <w:jc w:val="both"/>
      </w:pPr>
      <w:r w:rsidRPr="5E6E0106">
        <w:rPr>
          <w:rFonts w:ascii="Arial" w:eastAsia="Arial" w:hAnsi="Arial" w:cs="Arial"/>
        </w:rPr>
        <w:t>Strategically, Hilton's focus on growth, innovation, and sustainability positions it well for future success. By expanding into new markets, investing in research and development, and committing to ambitious sustainability goals, Hilton can maintain its competitive edge and respond to the growing demand for eco-friendly accommodations. However, challenges such as market saturation, increasing competition, and regulatory pressures require continuous evaluation and adaptation.</w:t>
      </w:r>
    </w:p>
    <w:p w14:paraId="1FA22803" w14:textId="4B2891B1" w:rsidR="5650A8C9" w:rsidRDefault="5650A8C9" w:rsidP="00A07D6F">
      <w:pPr>
        <w:spacing w:line="480" w:lineRule="auto"/>
        <w:jc w:val="both"/>
        <w:rPr>
          <w:rFonts w:ascii="Arial" w:eastAsia="Arial" w:hAnsi="Arial" w:cs="Arial"/>
        </w:rPr>
      </w:pPr>
      <w:r w:rsidRPr="5E6E0106">
        <w:rPr>
          <w:rFonts w:ascii="Arial" w:eastAsia="Arial" w:hAnsi="Arial" w:cs="Arial"/>
        </w:rPr>
        <w:t>In conclusion, Hilton’s commitment to sustainability, innovation, and growth, combined with its strategic management of change, positions it strongly for future success. Implementing the recommended sustainability measures will further enhance Hilton’s operational efficiency, reputation, and ability to meet the evolving expectations of its guests, employees, and stakeholders.</w:t>
      </w:r>
    </w:p>
    <w:p w14:paraId="0076BDED" w14:textId="38B67BB9" w:rsidR="5E6E0106" w:rsidRDefault="5E6E0106" w:rsidP="00A07D6F">
      <w:pPr>
        <w:spacing w:line="480" w:lineRule="auto"/>
        <w:jc w:val="both"/>
        <w:rPr>
          <w:rFonts w:ascii="Arial" w:eastAsia="Arial" w:hAnsi="Arial" w:cs="Arial"/>
          <w:b/>
          <w:bCs/>
          <w:color w:val="000000" w:themeColor="text1"/>
        </w:rPr>
      </w:pPr>
    </w:p>
    <w:p w14:paraId="7C3584C7" w14:textId="77777777" w:rsidR="00A07D6F" w:rsidRDefault="00A07D6F" w:rsidP="00A07D6F">
      <w:pPr>
        <w:spacing w:line="480" w:lineRule="auto"/>
        <w:jc w:val="both"/>
        <w:rPr>
          <w:rFonts w:ascii="Arial" w:eastAsia="Arial" w:hAnsi="Arial" w:cs="Arial"/>
          <w:b/>
          <w:bCs/>
          <w:color w:val="000000" w:themeColor="text1"/>
        </w:rPr>
      </w:pPr>
    </w:p>
    <w:p w14:paraId="5A1EDEC6" w14:textId="77777777" w:rsidR="00A07D6F" w:rsidRDefault="00A07D6F" w:rsidP="00A07D6F">
      <w:pPr>
        <w:spacing w:line="480" w:lineRule="auto"/>
        <w:jc w:val="both"/>
        <w:rPr>
          <w:rFonts w:ascii="Arial" w:eastAsia="Arial" w:hAnsi="Arial" w:cs="Arial"/>
          <w:b/>
          <w:bCs/>
          <w:color w:val="000000" w:themeColor="text1"/>
        </w:rPr>
      </w:pPr>
    </w:p>
    <w:p w14:paraId="0A1D4860" w14:textId="0FF19687" w:rsidR="00A07D6F" w:rsidRPr="00A07D6F" w:rsidRDefault="53750466" w:rsidP="00A07D6F">
      <w:pPr>
        <w:spacing w:line="480" w:lineRule="auto"/>
        <w:jc w:val="both"/>
        <w:rPr>
          <w:rFonts w:ascii="Arial" w:eastAsia="Arial" w:hAnsi="Arial" w:cs="Arial"/>
          <w:color w:val="000000" w:themeColor="text1"/>
        </w:rPr>
      </w:pPr>
      <w:r w:rsidRPr="5E6E0106">
        <w:rPr>
          <w:rFonts w:ascii="Arial" w:eastAsia="Arial" w:hAnsi="Arial" w:cs="Arial"/>
          <w:b/>
          <w:bCs/>
          <w:color w:val="000000" w:themeColor="text1"/>
        </w:rPr>
        <w:lastRenderedPageBreak/>
        <w:t>References</w:t>
      </w:r>
    </w:p>
    <w:p w14:paraId="206E5249" w14:textId="77777777" w:rsidR="00A07D6F" w:rsidRDefault="00A07D6F" w:rsidP="00A07D6F">
      <w:pPr>
        <w:spacing w:before="240" w:after="240" w:line="480" w:lineRule="auto"/>
        <w:jc w:val="both"/>
        <w:rPr>
          <w:rFonts w:ascii="Arial" w:eastAsia="Arial" w:hAnsi="Arial" w:cs="Arial"/>
        </w:rPr>
      </w:pPr>
      <w:proofErr w:type="spellStart"/>
      <w:r w:rsidRPr="0A7FA262">
        <w:rPr>
          <w:rFonts w:ascii="Arial" w:eastAsia="Arial" w:hAnsi="Arial" w:cs="Arial"/>
        </w:rPr>
        <w:t>Athuraliya</w:t>
      </w:r>
      <w:proofErr w:type="spellEnd"/>
      <w:r w:rsidRPr="0A7FA262">
        <w:rPr>
          <w:rFonts w:ascii="Arial" w:eastAsia="Arial" w:hAnsi="Arial" w:cs="Arial"/>
        </w:rPr>
        <w:t xml:space="preserve">, A. (2020) </w:t>
      </w:r>
      <w:r w:rsidRPr="0A7FA262">
        <w:rPr>
          <w:rFonts w:ascii="Arial" w:eastAsia="Arial" w:hAnsi="Arial" w:cs="Arial"/>
          <w:i/>
          <w:iCs/>
        </w:rPr>
        <w:t>Kotter’s 8 step change model</w:t>
      </w:r>
      <w:r w:rsidRPr="0A7FA262">
        <w:rPr>
          <w:rFonts w:ascii="Arial" w:eastAsia="Arial" w:hAnsi="Arial" w:cs="Arial"/>
        </w:rPr>
        <w:t xml:space="preserve">, </w:t>
      </w:r>
      <w:proofErr w:type="spellStart"/>
      <w:r w:rsidRPr="0A7FA262">
        <w:rPr>
          <w:rFonts w:ascii="Arial" w:eastAsia="Arial" w:hAnsi="Arial" w:cs="Arial"/>
          <w:i/>
          <w:iCs/>
        </w:rPr>
        <w:t>Creately</w:t>
      </w:r>
      <w:proofErr w:type="spellEnd"/>
      <w:r w:rsidRPr="0A7FA262">
        <w:rPr>
          <w:rFonts w:ascii="Arial" w:eastAsia="Arial" w:hAnsi="Arial" w:cs="Arial"/>
          <w:i/>
          <w:iCs/>
        </w:rPr>
        <w:t xml:space="preserve"> Blog</w:t>
      </w:r>
      <w:r w:rsidRPr="0A7FA262">
        <w:rPr>
          <w:rFonts w:ascii="Arial" w:eastAsia="Arial" w:hAnsi="Arial" w:cs="Arial"/>
        </w:rPr>
        <w:t xml:space="preserve">. </w:t>
      </w:r>
      <w:proofErr w:type="spellStart"/>
      <w:r w:rsidRPr="0A7FA262">
        <w:rPr>
          <w:rFonts w:ascii="Arial" w:eastAsia="Arial" w:hAnsi="Arial" w:cs="Arial"/>
        </w:rPr>
        <w:t>Creately</w:t>
      </w:r>
      <w:proofErr w:type="spellEnd"/>
      <w:r w:rsidRPr="0A7FA262">
        <w:rPr>
          <w:rFonts w:ascii="Arial" w:eastAsia="Arial" w:hAnsi="Arial" w:cs="Arial"/>
        </w:rPr>
        <w:t xml:space="preserve">. Available at: </w:t>
      </w:r>
      <w:hyperlink r:id="rId6">
        <w:r w:rsidRPr="0A7FA262">
          <w:rPr>
            <w:rStyle w:val="Hyperlink"/>
            <w:rFonts w:ascii="Arial" w:eastAsia="Arial" w:hAnsi="Arial" w:cs="Arial"/>
          </w:rPr>
          <w:t>https://creately.com/blog/strategy-and-planning/kotters-8-step-change-model/</w:t>
        </w:r>
      </w:hyperlink>
      <w:r w:rsidRPr="0A7FA262">
        <w:rPr>
          <w:rFonts w:ascii="Arial" w:eastAsia="Arial" w:hAnsi="Arial" w:cs="Arial"/>
        </w:rPr>
        <w:t xml:space="preserve"> (Accessed: May 17, 2024).</w:t>
      </w:r>
    </w:p>
    <w:p w14:paraId="435771F7" w14:textId="77777777" w:rsidR="00A07D6F" w:rsidRDefault="00A07D6F" w:rsidP="00A07D6F">
      <w:pPr>
        <w:spacing w:before="240" w:after="240" w:line="480" w:lineRule="auto"/>
        <w:jc w:val="both"/>
        <w:rPr>
          <w:rFonts w:ascii="Arial" w:eastAsia="Arial" w:hAnsi="Arial" w:cs="Arial"/>
        </w:rPr>
      </w:pPr>
      <w:r w:rsidRPr="0A7FA262">
        <w:rPr>
          <w:rFonts w:ascii="Arial" w:eastAsia="Arial" w:hAnsi="Arial" w:cs="Arial"/>
        </w:rPr>
        <w:t xml:space="preserve">Boogaard, K. (2023) </w:t>
      </w:r>
      <w:r w:rsidRPr="0A7FA262">
        <w:rPr>
          <w:rFonts w:ascii="Arial" w:eastAsia="Arial" w:hAnsi="Arial" w:cs="Arial"/>
          <w:i/>
          <w:iCs/>
        </w:rPr>
        <w:t>How to write SMART goals</w:t>
      </w:r>
      <w:r w:rsidRPr="0A7FA262">
        <w:rPr>
          <w:rFonts w:ascii="Arial" w:eastAsia="Arial" w:hAnsi="Arial" w:cs="Arial"/>
        </w:rPr>
        <w:t xml:space="preserve">, </w:t>
      </w:r>
      <w:r w:rsidRPr="0A7FA262">
        <w:rPr>
          <w:rFonts w:ascii="Arial" w:eastAsia="Arial" w:hAnsi="Arial" w:cs="Arial"/>
          <w:i/>
          <w:iCs/>
        </w:rPr>
        <w:t>Work Life by Atlassian</w:t>
      </w:r>
      <w:r w:rsidRPr="0A7FA262">
        <w:rPr>
          <w:rFonts w:ascii="Arial" w:eastAsia="Arial" w:hAnsi="Arial" w:cs="Arial"/>
        </w:rPr>
        <w:t xml:space="preserve">. Available at: </w:t>
      </w:r>
      <w:hyperlink r:id="rId7">
        <w:r w:rsidRPr="0A7FA262">
          <w:rPr>
            <w:rStyle w:val="Hyperlink"/>
            <w:rFonts w:ascii="Arial" w:eastAsia="Arial" w:hAnsi="Arial" w:cs="Arial"/>
          </w:rPr>
          <w:t>https://www.atlassian.com/blog/productivity/how-to-write-smart-goals</w:t>
        </w:r>
      </w:hyperlink>
      <w:r w:rsidRPr="0A7FA262">
        <w:rPr>
          <w:rFonts w:ascii="Arial" w:eastAsia="Arial" w:hAnsi="Arial" w:cs="Arial"/>
        </w:rPr>
        <w:t xml:space="preserve"> (Accessed: May 17, 2024).</w:t>
      </w:r>
    </w:p>
    <w:p w14:paraId="0CBBFA75" w14:textId="77777777" w:rsidR="00A07D6F" w:rsidRDefault="00A07D6F" w:rsidP="00A07D6F">
      <w:pPr>
        <w:spacing w:line="480" w:lineRule="auto"/>
        <w:jc w:val="both"/>
        <w:rPr>
          <w:rFonts w:ascii="Arial" w:eastAsia="Arial" w:hAnsi="Arial" w:cs="Arial"/>
          <w:color w:val="000000" w:themeColor="text1"/>
        </w:rPr>
      </w:pPr>
      <w:r w:rsidRPr="5E6E0106">
        <w:rPr>
          <w:rFonts w:ascii="Arial" w:eastAsia="Arial" w:hAnsi="Arial" w:cs="Arial"/>
          <w:color w:val="000000" w:themeColor="text1"/>
        </w:rPr>
        <w:t>Bridges, W. (2009). Managing Transitions: Making the Most of Change. Da Capo Lifelong Books.</w:t>
      </w:r>
    </w:p>
    <w:p w14:paraId="2284194C" w14:textId="77777777" w:rsidR="00A07D6F" w:rsidRDefault="00A07D6F" w:rsidP="00A07D6F">
      <w:pPr>
        <w:spacing w:line="480" w:lineRule="auto"/>
        <w:jc w:val="both"/>
        <w:rPr>
          <w:rFonts w:ascii="Arial" w:eastAsia="Arial" w:hAnsi="Arial" w:cs="Arial"/>
          <w:color w:val="000000" w:themeColor="text1"/>
        </w:rPr>
      </w:pPr>
      <w:r w:rsidRPr="5E6E0106">
        <w:rPr>
          <w:rFonts w:ascii="Arial" w:eastAsia="Arial" w:hAnsi="Arial" w:cs="Arial"/>
          <w:color w:val="000000" w:themeColor="text1"/>
        </w:rPr>
        <w:t>Hofstede, G. (1980). Culture’s Consequences: International Differences in Work-Related Values. Sage Publications.</w:t>
      </w:r>
    </w:p>
    <w:p w14:paraId="40CB3454" w14:textId="77777777" w:rsidR="00A07D6F" w:rsidRDefault="00A07D6F" w:rsidP="00A07D6F">
      <w:pPr>
        <w:shd w:val="clear" w:color="auto" w:fill="FFFFFF" w:themeFill="background1"/>
        <w:spacing w:before="240" w:after="240" w:line="480" w:lineRule="auto"/>
        <w:jc w:val="both"/>
        <w:rPr>
          <w:rFonts w:ascii="Arial" w:eastAsia="Arial" w:hAnsi="Arial" w:cs="Arial"/>
          <w:color w:val="000000" w:themeColor="text1"/>
        </w:rPr>
      </w:pPr>
      <w:r w:rsidRPr="0A7FA262">
        <w:rPr>
          <w:rFonts w:ascii="Arial" w:eastAsia="Arial" w:hAnsi="Arial" w:cs="Arial"/>
          <w:color w:val="000000" w:themeColor="text1"/>
        </w:rPr>
        <w:t xml:space="preserve">Kaplan, R.S. and Norton, D.P. (1992). </w:t>
      </w:r>
      <w:r w:rsidRPr="0A7FA262">
        <w:rPr>
          <w:rFonts w:ascii="Arial" w:eastAsia="Arial" w:hAnsi="Arial" w:cs="Arial"/>
          <w:i/>
          <w:iCs/>
          <w:color w:val="000000" w:themeColor="text1"/>
        </w:rPr>
        <w:t>The Balanced Scorecard - Measures that Drive Performance</w:t>
      </w:r>
      <w:r w:rsidRPr="0A7FA262">
        <w:rPr>
          <w:rFonts w:ascii="Arial" w:eastAsia="Arial" w:hAnsi="Arial" w:cs="Arial"/>
          <w:color w:val="000000" w:themeColor="text1"/>
        </w:rPr>
        <w:t xml:space="preserve">. Harvard Business Review, 70(1), pp. 71-79. Available at: </w:t>
      </w:r>
      <w:hyperlink r:id="rId8">
        <w:r w:rsidRPr="0A7FA262">
          <w:rPr>
            <w:rStyle w:val="Hyperlink"/>
            <w:rFonts w:ascii="Arial" w:eastAsia="Arial" w:hAnsi="Arial" w:cs="Arial"/>
          </w:rPr>
          <w:t>https://hbr.org/1992/01/the-balanced-scorecard-measures-that-drive-performance-2</w:t>
        </w:r>
      </w:hyperlink>
      <w:r w:rsidRPr="0A7FA262">
        <w:rPr>
          <w:rFonts w:ascii="Arial" w:eastAsia="Arial" w:hAnsi="Arial" w:cs="Arial"/>
          <w:color w:val="000000" w:themeColor="text1"/>
        </w:rPr>
        <w:t xml:space="preserve"> (Accessed: 15 May 2024).</w:t>
      </w:r>
    </w:p>
    <w:p w14:paraId="4EA34B70" w14:textId="77777777" w:rsidR="00A07D6F" w:rsidRDefault="00A07D6F" w:rsidP="00A07D6F">
      <w:pPr>
        <w:spacing w:before="240" w:after="240" w:line="480" w:lineRule="auto"/>
        <w:jc w:val="both"/>
        <w:rPr>
          <w:rFonts w:ascii="Arial" w:eastAsia="Arial" w:hAnsi="Arial" w:cs="Arial"/>
        </w:rPr>
      </w:pPr>
      <w:proofErr w:type="spellStart"/>
      <w:r w:rsidRPr="0A7FA262">
        <w:rPr>
          <w:rFonts w:ascii="Arial" w:eastAsia="Arial" w:hAnsi="Arial" w:cs="Arial"/>
        </w:rPr>
        <w:t>Khlif</w:t>
      </w:r>
      <w:proofErr w:type="spellEnd"/>
      <w:r w:rsidRPr="0A7FA262">
        <w:rPr>
          <w:rFonts w:ascii="Arial" w:eastAsia="Arial" w:hAnsi="Arial" w:cs="Arial"/>
        </w:rPr>
        <w:t xml:space="preserve">, H. (2016) “Hofstede’s cultural dimensions in accounting research: a review,” </w:t>
      </w:r>
      <w:proofErr w:type="spellStart"/>
      <w:r w:rsidRPr="0A7FA262">
        <w:rPr>
          <w:rFonts w:ascii="Arial" w:eastAsia="Arial" w:hAnsi="Arial" w:cs="Arial"/>
          <w:i/>
          <w:iCs/>
        </w:rPr>
        <w:t>Meditari</w:t>
      </w:r>
      <w:proofErr w:type="spellEnd"/>
      <w:r w:rsidRPr="0A7FA262">
        <w:rPr>
          <w:rFonts w:ascii="Arial" w:eastAsia="Arial" w:hAnsi="Arial" w:cs="Arial"/>
          <w:i/>
          <w:iCs/>
        </w:rPr>
        <w:t xml:space="preserve"> accountancy research</w:t>
      </w:r>
      <w:r w:rsidRPr="0A7FA262">
        <w:rPr>
          <w:rFonts w:ascii="Arial" w:eastAsia="Arial" w:hAnsi="Arial" w:cs="Arial"/>
        </w:rPr>
        <w:t xml:space="preserve">, 24(4), pp. 545–573. </w:t>
      </w:r>
      <w:proofErr w:type="spellStart"/>
      <w:r w:rsidRPr="0A7FA262">
        <w:rPr>
          <w:rFonts w:ascii="Arial" w:eastAsia="Arial" w:hAnsi="Arial" w:cs="Arial"/>
        </w:rPr>
        <w:t>doi</w:t>
      </w:r>
      <w:proofErr w:type="spellEnd"/>
      <w:r w:rsidRPr="0A7FA262">
        <w:rPr>
          <w:rFonts w:ascii="Arial" w:eastAsia="Arial" w:hAnsi="Arial" w:cs="Arial"/>
        </w:rPr>
        <w:t>: 10.1108/medar-02-2016-0041.</w:t>
      </w:r>
    </w:p>
    <w:p w14:paraId="6991E81E" w14:textId="77777777" w:rsidR="00A07D6F" w:rsidRDefault="00A07D6F" w:rsidP="00A07D6F">
      <w:pPr>
        <w:spacing w:line="480" w:lineRule="auto"/>
        <w:jc w:val="both"/>
        <w:rPr>
          <w:rFonts w:ascii="Arial" w:eastAsia="Arial" w:hAnsi="Arial" w:cs="Arial"/>
          <w:color w:val="000000" w:themeColor="text1"/>
        </w:rPr>
      </w:pPr>
      <w:r w:rsidRPr="5E6E0106">
        <w:rPr>
          <w:rFonts w:ascii="Arial" w:eastAsia="Arial" w:hAnsi="Arial" w:cs="Arial"/>
          <w:color w:val="000000" w:themeColor="text1"/>
        </w:rPr>
        <w:t>Kotter, J. P. (1996). Leading Change. Harvard Business Review Press.</w:t>
      </w:r>
    </w:p>
    <w:p w14:paraId="1D82BE56" w14:textId="77777777" w:rsidR="00A07D6F" w:rsidRDefault="00A07D6F" w:rsidP="00A07D6F">
      <w:pPr>
        <w:shd w:val="clear" w:color="auto" w:fill="FFFFFF" w:themeFill="background1"/>
        <w:spacing w:before="240" w:after="240" w:line="480" w:lineRule="auto"/>
        <w:jc w:val="both"/>
        <w:rPr>
          <w:rFonts w:ascii="Arial" w:eastAsia="Arial" w:hAnsi="Arial" w:cs="Arial"/>
          <w:color w:val="0D0D0D" w:themeColor="text1" w:themeTint="F2"/>
        </w:rPr>
      </w:pPr>
      <w:r w:rsidRPr="5E6E0106">
        <w:rPr>
          <w:rFonts w:ascii="Arial" w:eastAsia="Arial" w:hAnsi="Arial" w:cs="Arial"/>
          <w:color w:val="0D0D0D" w:themeColor="text1" w:themeTint="F2"/>
        </w:rPr>
        <w:lastRenderedPageBreak/>
        <w:t xml:space="preserve">Lewin, K. (1947). </w:t>
      </w:r>
      <w:r w:rsidRPr="5E6E0106">
        <w:rPr>
          <w:rFonts w:ascii="Arial" w:eastAsia="Arial" w:hAnsi="Arial" w:cs="Arial"/>
          <w:i/>
          <w:iCs/>
          <w:color w:val="0D0D0D" w:themeColor="text1" w:themeTint="F2"/>
        </w:rPr>
        <w:t>Frontiers in Group Dynamics</w:t>
      </w:r>
      <w:r w:rsidRPr="5E6E0106">
        <w:rPr>
          <w:rFonts w:ascii="Arial" w:eastAsia="Arial" w:hAnsi="Arial" w:cs="Arial"/>
          <w:color w:val="0D0D0D" w:themeColor="text1" w:themeTint="F2"/>
        </w:rPr>
        <w:t xml:space="preserve">. Human Relations, 1(1), pp. 5-41. Available at: </w:t>
      </w:r>
      <w:hyperlink r:id="rId9">
        <w:r w:rsidRPr="5E6E0106">
          <w:rPr>
            <w:rStyle w:val="Hyperlink"/>
            <w:rFonts w:ascii="Arial" w:eastAsia="Arial" w:hAnsi="Arial" w:cs="Arial"/>
          </w:rPr>
          <w:t>https://journals.sagepub.com/doi/10.1177/001872674700100103</w:t>
        </w:r>
      </w:hyperlink>
      <w:r w:rsidRPr="5E6E0106">
        <w:rPr>
          <w:rFonts w:ascii="Arial" w:eastAsia="Arial" w:hAnsi="Arial" w:cs="Arial"/>
          <w:color w:val="0D0D0D" w:themeColor="text1" w:themeTint="F2"/>
        </w:rPr>
        <w:t xml:space="preserve"> (Accessed: 15 May 2024).</w:t>
      </w:r>
    </w:p>
    <w:p w14:paraId="3BCCB140" w14:textId="77777777" w:rsidR="00A07D6F" w:rsidRDefault="00A07D6F" w:rsidP="00A07D6F">
      <w:pPr>
        <w:spacing w:line="480" w:lineRule="auto"/>
        <w:jc w:val="both"/>
        <w:rPr>
          <w:rFonts w:ascii="Arial" w:eastAsia="Arial" w:hAnsi="Arial" w:cs="Arial"/>
          <w:color w:val="000000" w:themeColor="text1"/>
        </w:rPr>
      </w:pPr>
      <w:r w:rsidRPr="5E6E0106">
        <w:rPr>
          <w:rFonts w:ascii="Arial" w:eastAsia="Arial" w:hAnsi="Arial" w:cs="Arial"/>
          <w:color w:val="000000" w:themeColor="text1"/>
        </w:rPr>
        <w:t>Lewin, K. (1947). Frontiers in Group Dynamics. Human Relations.</w:t>
      </w:r>
    </w:p>
    <w:p w14:paraId="36B8AD15" w14:textId="77777777" w:rsidR="00A07D6F" w:rsidRDefault="00A07D6F" w:rsidP="00A07D6F">
      <w:pPr>
        <w:spacing w:before="240" w:after="240" w:line="480" w:lineRule="auto"/>
        <w:jc w:val="both"/>
        <w:rPr>
          <w:rFonts w:ascii="Arial" w:eastAsia="Arial" w:hAnsi="Arial" w:cs="Arial"/>
        </w:rPr>
      </w:pPr>
      <w:r w:rsidRPr="0A7FA262">
        <w:rPr>
          <w:rFonts w:ascii="Arial" w:eastAsia="Arial" w:hAnsi="Arial" w:cs="Arial"/>
        </w:rPr>
        <w:t xml:space="preserve">Makos, J. (2024) </w:t>
      </w:r>
      <w:r w:rsidRPr="0A7FA262">
        <w:rPr>
          <w:rFonts w:ascii="Arial" w:eastAsia="Arial" w:hAnsi="Arial" w:cs="Arial"/>
          <w:i/>
          <w:iCs/>
        </w:rPr>
        <w:t>Pestleanalysis.com</w:t>
      </w:r>
      <w:r w:rsidRPr="0A7FA262">
        <w:rPr>
          <w:rFonts w:ascii="Arial" w:eastAsia="Arial" w:hAnsi="Arial" w:cs="Arial"/>
        </w:rPr>
        <w:t xml:space="preserve">. Available at: </w:t>
      </w:r>
      <w:hyperlink r:id="rId10">
        <w:r w:rsidRPr="0A7FA262">
          <w:rPr>
            <w:rStyle w:val="Hyperlink"/>
            <w:rFonts w:ascii="Arial" w:eastAsia="Arial" w:hAnsi="Arial" w:cs="Arial"/>
          </w:rPr>
          <w:t>https://pestleanalysis.com/what-is-pestle-analysis/</w:t>
        </w:r>
      </w:hyperlink>
      <w:r w:rsidRPr="0A7FA262">
        <w:rPr>
          <w:rFonts w:ascii="Arial" w:eastAsia="Arial" w:hAnsi="Arial" w:cs="Arial"/>
        </w:rPr>
        <w:t xml:space="preserve"> (Accessed: May 17, 2024).</w:t>
      </w:r>
    </w:p>
    <w:p w14:paraId="65D4C762" w14:textId="77777777" w:rsidR="00A07D6F" w:rsidRDefault="00A07D6F" w:rsidP="00A07D6F">
      <w:pPr>
        <w:spacing w:before="240" w:after="240" w:line="480" w:lineRule="auto"/>
        <w:jc w:val="both"/>
        <w:rPr>
          <w:rFonts w:ascii="Arial" w:eastAsia="Arial" w:hAnsi="Arial" w:cs="Arial"/>
        </w:rPr>
      </w:pPr>
      <w:r w:rsidRPr="0A7FA262">
        <w:rPr>
          <w:rFonts w:ascii="Arial" w:eastAsia="Arial" w:hAnsi="Arial" w:cs="Arial"/>
          <w:i/>
          <w:iCs/>
        </w:rPr>
        <w:t>MindTools</w:t>
      </w:r>
      <w:r w:rsidRPr="0A7FA262">
        <w:rPr>
          <w:rFonts w:ascii="Arial" w:eastAsia="Arial" w:hAnsi="Arial" w:cs="Arial"/>
        </w:rPr>
        <w:t xml:space="preserve"> (2024) </w:t>
      </w:r>
      <w:r w:rsidRPr="0A7FA262">
        <w:rPr>
          <w:rFonts w:ascii="Arial" w:eastAsia="Arial" w:hAnsi="Arial" w:cs="Arial"/>
          <w:i/>
          <w:iCs/>
        </w:rPr>
        <w:t>Mindtools.com</w:t>
      </w:r>
      <w:r w:rsidRPr="0A7FA262">
        <w:rPr>
          <w:rFonts w:ascii="Arial" w:eastAsia="Arial" w:hAnsi="Arial" w:cs="Arial"/>
        </w:rPr>
        <w:t xml:space="preserve">. Available at: </w:t>
      </w:r>
      <w:hyperlink r:id="rId11">
        <w:r w:rsidRPr="0A7FA262">
          <w:rPr>
            <w:rStyle w:val="Hyperlink"/>
            <w:rFonts w:ascii="Arial" w:eastAsia="Arial" w:hAnsi="Arial" w:cs="Arial"/>
          </w:rPr>
          <w:t>https://www.mindtools.com/apfv1rk/mintzbergs-organizational-configurations</w:t>
        </w:r>
      </w:hyperlink>
      <w:r w:rsidRPr="0A7FA262">
        <w:rPr>
          <w:rFonts w:ascii="Arial" w:eastAsia="Arial" w:hAnsi="Arial" w:cs="Arial"/>
        </w:rPr>
        <w:t xml:space="preserve"> (Accessed: May 17, 2024).</w:t>
      </w:r>
    </w:p>
    <w:p w14:paraId="2EF1E2C1" w14:textId="77777777" w:rsidR="00A07D6F" w:rsidRDefault="00A07D6F" w:rsidP="00A07D6F">
      <w:pPr>
        <w:spacing w:line="480" w:lineRule="auto"/>
        <w:jc w:val="both"/>
        <w:rPr>
          <w:rFonts w:ascii="Arial" w:eastAsia="Arial" w:hAnsi="Arial" w:cs="Arial"/>
          <w:color w:val="000000" w:themeColor="text1"/>
        </w:rPr>
      </w:pPr>
      <w:r w:rsidRPr="5E6E0106">
        <w:rPr>
          <w:rFonts w:ascii="Arial" w:eastAsia="Arial" w:hAnsi="Arial" w:cs="Arial"/>
          <w:color w:val="000000" w:themeColor="text1"/>
        </w:rPr>
        <w:t>Mintzberg, H. (1979). The Structuring of Organizations: A Synthesis of the Research. Prentice-Hall.</w:t>
      </w:r>
    </w:p>
    <w:p w14:paraId="1094CC06" w14:textId="77777777" w:rsidR="00A07D6F" w:rsidRDefault="00A07D6F" w:rsidP="00A07D6F">
      <w:pPr>
        <w:spacing w:before="240" w:after="240" w:line="480" w:lineRule="auto"/>
        <w:jc w:val="both"/>
        <w:rPr>
          <w:rFonts w:ascii="Arial" w:eastAsia="Arial" w:hAnsi="Arial" w:cs="Arial"/>
        </w:rPr>
      </w:pPr>
      <w:r w:rsidRPr="0A7FA262">
        <w:rPr>
          <w:rFonts w:ascii="Arial" w:eastAsia="Arial" w:hAnsi="Arial" w:cs="Arial"/>
        </w:rPr>
        <w:t xml:space="preserve">Nickerson, C. (2023) </w:t>
      </w:r>
      <w:r w:rsidRPr="0A7FA262">
        <w:rPr>
          <w:rFonts w:ascii="Arial" w:eastAsia="Arial" w:hAnsi="Arial" w:cs="Arial"/>
          <w:i/>
          <w:iCs/>
        </w:rPr>
        <w:t>Bureaucratic management theory of max Weber</w:t>
      </w:r>
      <w:r w:rsidRPr="0A7FA262">
        <w:rPr>
          <w:rFonts w:ascii="Arial" w:eastAsia="Arial" w:hAnsi="Arial" w:cs="Arial"/>
        </w:rPr>
        <w:t xml:space="preserve">, </w:t>
      </w:r>
      <w:r w:rsidRPr="0A7FA262">
        <w:rPr>
          <w:rFonts w:ascii="Arial" w:eastAsia="Arial" w:hAnsi="Arial" w:cs="Arial"/>
          <w:i/>
          <w:iCs/>
        </w:rPr>
        <w:t>Simply Psychology</w:t>
      </w:r>
      <w:r w:rsidRPr="0A7FA262">
        <w:rPr>
          <w:rFonts w:ascii="Arial" w:eastAsia="Arial" w:hAnsi="Arial" w:cs="Arial"/>
        </w:rPr>
        <w:t xml:space="preserve">. Available at: </w:t>
      </w:r>
      <w:hyperlink r:id="rId12">
        <w:r w:rsidRPr="0A7FA262">
          <w:rPr>
            <w:rStyle w:val="Hyperlink"/>
            <w:rFonts w:ascii="Arial" w:eastAsia="Arial" w:hAnsi="Arial" w:cs="Arial"/>
          </w:rPr>
          <w:t>https://www.simplypsychology.org/bureaucratic-theory-weber.html</w:t>
        </w:r>
      </w:hyperlink>
      <w:r w:rsidRPr="0A7FA262">
        <w:rPr>
          <w:rFonts w:ascii="Arial" w:eastAsia="Arial" w:hAnsi="Arial" w:cs="Arial"/>
        </w:rPr>
        <w:t xml:space="preserve"> (Accessed: May 17, 2024).</w:t>
      </w:r>
    </w:p>
    <w:p w14:paraId="3763C7B7" w14:textId="77777777" w:rsidR="00A07D6F" w:rsidRDefault="00A07D6F" w:rsidP="00A07D6F">
      <w:pPr>
        <w:spacing w:before="240" w:after="240" w:line="480" w:lineRule="auto"/>
        <w:jc w:val="both"/>
        <w:rPr>
          <w:rFonts w:ascii="Arial" w:eastAsia="Arial" w:hAnsi="Arial" w:cs="Arial"/>
        </w:rPr>
      </w:pPr>
      <w:r w:rsidRPr="097860E7">
        <w:rPr>
          <w:rFonts w:ascii="Arial" w:eastAsia="Arial" w:hAnsi="Arial" w:cs="Arial"/>
        </w:rPr>
        <w:t xml:space="preserve">Pereira, D. (2023) “What is PESTLE Analysis? Understanding the external factors impacting your business,” </w:t>
      </w:r>
      <w:r w:rsidRPr="097860E7">
        <w:rPr>
          <w:rFonts w:ascii="Arial" w:eastAsia="Arial" w:hAnsi="Arial" w:cs="Arial"/>
          <w:i/>
          <w:iCs/>
        </w:rPr>
        <w:t>Business Model Analyst</w:t>
      </w:r>
      <w:r w:rsidRPr="097860E7">
        <w:rPr>
          <w:rFonts w:ascii="Arial" w:eastAsia="Arial" w:hAnsi="Arial" w:cs="Arial"/>
        </w:rPr>
        <w:t xml:space="preserve">. Daniel Pereira, 11 April. Available at: </w:t>
      </w:r>
      <w:hyperlink r:id="rId13">
        <w:r w:rsidRPr="097860E7">
          <w:rPr>
            <w:rStyle w:val="Hyperlink"/>
            <w:rFonts w:ascii="Arial" w:eastAsia="Arial" w:hAnsi="Arial" w:cs="Arial"/>
          </w:rPr>
          <w:t>https://businessmodelanalyst.com/what-is-pestle-analysis/</w:t>
        </w:r>
      </w:hyperlink>
      <w:r w:rsidRPr="097860E7">
        <w:rPr>
          <w:rFonts w:ascii="Arial" w:eastAsia="Arial" w:hAnsi="Arial" w:cs="Arial"/>
        </w:rPr>
        <w:t xml:space="preserve"> (Accessed: May 17, 2024).</w:t>
      </w:r>
    </w:p>
    <w:p w14:paraId="09F1808A" w14:textId="77777777" w:rsidR="00A07D6F" w:rsidRDefault="00A07D6F" w:rsidP="00A07D6F">
      <w:pPr>
        <w:spacing w:line="480" w:lineRule="auto"/>
        <w:jc w:val="both"/>
        <w:rPr>
          <w:rFonts w:ascii="Arial" w:eastAsia="Arial" w:hAnsi="Arial" w:cs="Arial"/>
          <w:color w:val="000000" w:themeColor="text1"/>
        </w:rPr>
      </w:pPr>
      <w:r w:rsidRPr="5E6E0106">
        <w:rPr>
          <w:rFonts w:ascii="Arial" w:eastAsia="Arial" w:hAnsi="Arial" w:cs="Arial"/>
          <w:color w:val="000000" w:themeColor="text1"/>
        </w:rPr>
        <w:t>Porter, M. E. (1980). Competitive Strategy: Techniques for Analyzing Industries and Competitors. Free Press.</w:t>
      </w:r>
    </w:p>
    <w:p w14:paraId="10DCE56F" w14:textId="77777777" w:rsidR="00A07D6F" w:rsidRDefault="00A07D6F" w:rsidP="00A07D6F">
      <w:pPr>
        <w:shd w:val="clear" w:color="auto" w:fill="FFFFFF" w:themeFill="background1"/>
        <w:spacing w:before="240" w:after="240" w:line="480" w:lineRule="auto"/>
        <w:jc w:val="both"/>
        <w:rPr>
          <w:rFonts w:ascii="Arial" w:eastAsia="Arial" w:hAnsi="Arial" w:cs="Arial"/>
          <w:color w:val="0D0D0D" w:themeColor="text1" w:themeTint="F2"/>
        </w:rPr>
      </w:pPr>
      <w:r w:rsidRPr="5E6E0106">
        <w:rPr>
          <w:rFonts w:ascii="Arial" w:eastAsia="Arial" w:hAnsi="Arial" w:cs="Arial"/>
          <w:color w:val="0D0D0D" w:themeColor="text1" w:themeTint="F2"/>
        </w:rPr>
        <w:lastRenderedPageBreak/>
        <w:t xml:space="preserve">Porter, M.E. (1980). </w:t>
      </w:r>
      <w:r w:rsidRPr="5E6E0106">
        <w:rPr>
          <w:rFonts w:ascii="Arial" w:eastAsia="Arial" w:hAnsi="Arial" w:cs="Arial"/>
          <w:i/>
          <w:iCs/>
          <w:color w:val="0D0D0D" w:themeColor="text1" w:themeTint="F2"/>
        </w:rPr>
        <w:t>Competitive Strategy: Techniques for Analyzing Industries and Competitors</w:t>
      </w:r>
      <w:r w:rsidRPr="5E6E0106">
        <w:rPr>
          <w:rFonts w:ascii="Arial" w:eastAsia="Arial" w:hAnsi="Arial" w:cs="Arial"/>
          <w:color w:val="0D0D0D" w:themeColor="text1" w:themeTint="F2"/>
        </w:rPr>
        <w:t xml:space="preserve">. Free Press. Available at: </w:t>
      </w:r>
      <w:hyperlink r:id="rId14">
        <w:r w:rsidRPr="5E6E0106">
          <w:rPr>
            <w:rStyle w:val="Hyperlink"/>
            <w:rFonts w:ascii="Arial" w:eastAsia="Arial" w:hAnsi="Arial" w:cs="Arial"/>
          </w:rPr>
          <w:t>https://www.hbs.edu/faculty/Pages/item.aspx?num=207</w:t>
        </w:r>
      </w:hyperlink>
      <w:r w:rsidRPr="5E6E0106">
        <w:rPr>
          <w:rFonts w:ascii="Arial" w:eastAsia="Arial" w:hAnsi="Arial" w:cs="Arial"/>
          <w:color w:val="0D0D0D" w:themeColor="text1" w:themeTint="F2"/>
        </w:rPr>
        <w:t xml:space="preserve"> (Accessed: 15 May 2024).</w:t>
      </w:r>
    </w:p>
    <w:p w14:paraId="055A88C1" w14:textId="77777777" w:rsidR="00A07D6F" w:rsidRDefault="00A07D6F" w:rsidP="00A07D6F">
      <w:pPr>
        <w:spacing w:line="480" w:lineRule="auto"/>
        <w:jc w:val="both"/>
        <w:rPr>
          <w:rFonts w:ascii="Arial" w:eastAsia="Arial" w:hAnsi="Arial" w:cs="Arial"/>
          <w:color w:val="000000" w:themeColor="text1"/>
        </w:rPr>
      </w:pPr>
      <w:r w:rsidRPr="0A7FA262">
        <w:rPr>
          <w:rFonts w:ascii="Arial" w:eastAsia="Arial" w:hAnsi="Arial" w:cs="Arial"/>
          <w:color w:val="000000" w:themeColor="text1"/>
        </w:rPr>
        <w:t>Schein, E. H. (2010). Organizational Culture and Leadership. Jossey-Bass.</w:t>
      </w:r>
    </w:p>
    <w:p w14:paraId="7D3CF4C7" w14:textId="77777777" w:rsidR="00A07D6F" w:rsidRDefault="00A07D6F" w:rsidP="00A07D6F">
      <w:pPr>
        <w:spacing w:before="240" w:after="240" w:line="480" w:lineRule="auto"/>
        <w:jc w:val="both"/>
        <w:rPr>
          <w:rFonts w:ascii="Arial" w:eastAsia="Arial" w:hAnsi="Arial" w:cs="Arial"/>
        </w:rPr>
      </w:pPr>
      <w:r w:rsidRPr="0A7FA262">
        <w:rPr>
          <w:rFonts w:ascii="Arial" w:eastAsia="Arial" w:hAnsi="Arial" w:cs="Arial"/>
        </w:rPr>
        <w:t xml:space="preserve">Soares, A. M., </w:t>
      </w:r>
      <w:proofErr w:type="spellStart"/>
      <w:r w:rsidRPr="0A7FA262">
        <w:rPr>
          <w:rFonts w:ascii="Arial" w:eastAsia="Arial" w:hAnsi="Arial" w:cs="Arial"/>
        </w:rPr>
        <w:t>Farhangmehr</w:t>
      </w:r>
      <w:proofErr w:type="spellEnd"/>
      <w:r w:rsidRPr="0A7FA262">
        <w:rPr>
          <w:rFonts w:ascii="Arial" w:eastAsia="Arial" w:hAnsi="Arial" w:cs="Arial"/>
        </w:rPr>
        <w:t xml:space="preserve">, M. and </w:t>
      </w:r>
      <w:proofErr w:type="spellStart"/>
      <w:r w:rsidRPr="0A7FA262">
        <w:rPr>
          <w:rFonts w:ascii="Arial" w:eastAsia="Arial" w:hAnsi="Arial" w:cs="Arial"/>
        </w:rPr>
        <w:t>Shoham</w:t>
      </w:r>
      <w:proofErr w:type="spellEnd"/>
      <w:r w:rsidRPr="0A7FA262">
        <w:rPr>
          <w:rFonts w:ascii="Arial" w:eastAsia="Arial" w:hAnsi="Arial" w:cs="Arial"/>
        </w:rPr>
        <w:t xml:space="preserve">, A. (2007) “Hofstede’s dimensions of culture in international marketing studies,” </w:t>
      </w:r>
      <w:r w:rsidRPr="0A7FA262">
        <w:rPr>
          <w:rFonts w:ascii="Arial" w:eastAsia="Arial" w:hAnsi="Arial" w:cs="Arial"/>
          <w:i/>
          <w:iCs/>
        </w:rPr>
        <w:t>Journal of business research</w:t>
      </w:r>
      <w:r w:rsidRPr="0A7FA262">
        <w:rPr>
          <w:rFonts w:ascii="Arial" w:eastAsia="Arial" w:hAnsi="Arial" w:cs="Arial"/>
        </w:rPr>
        <w:t xml:space="preserve">, 60(3), pp. 277–284. </w:t>
      </w:r>
      <w:proofErr w:type="spellStart"/>
      <w:r w:rsidRPr="0A7FA262">
        <w:rPr>
          <w:rFonts w:ascii="Arial" w:eastAsia="Arial" w:hAnsi="Arial" w:cs="Arial"/>
        </w:rPr>
        <w:t>doi</w:t>
      </w:r>
      <w:proofErr w:type="spellEnd"/>
      <w:r w:rsidRPr="0A7FA262">
        <w:rPr>
          <w:rFonts w:ascii="Arial" w:eastAsia="Arial" w:hAnsi="Arial" w:cs="Arial"/>
        </w:rPr>
        <w:t>: 10.1016/j.jbusres.2006.10.018.</w:t>
      </w:r>
    </w:p>
    <w:p w14:paraId="26877DFD" w14:textId="77777777" w:rsidR="00A07D6F" w:rsidRDefault="00A07D6F" w:rsidP="00A07D6F">
      <w:pPr>
        <w:spacing w:before="240" w:after="240" w:line="480" w:lineRule="auto"/>
        <w:jc w:val="both"/>
        <w:rPr>
          <w:rFonts w:ascii="Arial" w:eastAsia="Arial" w:hAnsi="Arial" w:cs="Arial"/>
        </w:rPr>
      </w:pPr>
      <w:r w:rsidRPr="0A7FA262">
        <w:rPr>
          <w:rFonts w:ascii="Arial" w:eastAsia="Arial" w:hAnsi="Arial" w:cs="Arial"/>
          <w:i/>
          <w:iCs/>
        </w:rPr>
        <w:t>The ADKAR model explained</w:t>
      </w:r>
      <w:r w:rsidRPr="0A7FA262">
        <w:rPr>
          <w:rFonts w:ascii="Arial" w:eastAsia="Arial" w:hAnsi="Arial" w:cs="Arial"/>
        </w:rPr>
        <w:t xml:space="preserve"> (2023) </w:t>
      </w:r>
      <w:r w:rsidRPr="0A7FA262">
        <w:rPr>
          <w:rFonts w:ascii="Arial" w:eastAsia="Arial" w:hAnsi="Arial" w:cs="Arial"/>
          <w:i/>
          <w:iCs/>
        </w:rPr>
        <w:t>People solutions for business challenges</w:t>
      </w:r>
      <w:r w:rsidRPr="0A7FA262">
        <w:rPr>
          <w:rFonts w:ascii="Arial" w:eastAsia="Arial" w:hAnsi="Arial" w:cs="Arial"/>
        </w:rPr>
        <w:t xml:space="preserve">. Available at: </w:t>
      </w:r>
      <w:hyperlink r:id="rId15">
        <w:r w:rsidRPr="0A7FA262">
          <w:rPr>
            <w:rStyle w:val="Hyperlink"/>
            <w:rFonts w:ascii="Arial" w:eastAsia="Arial" w:hAnsi="Arial" w:cs="Arial"/>
          </w:rPr>
          <w:t>https://www.proscieurope.com/adkar-model-explained</w:t>
        </w:r>
      </w:hyperlink>
      <w:r w:rsidRPr="0A7FA262">
        <w:rPr>
          <w:rFonts w:ascii="Arial" w:eastAsia="Arial" w:hAnsi="Arial" w:cs="Arial"/>
        </w:rPr>
        <w:t xml:space="preserve"> (Accessed: May 17, 2024).</w:t>
      </w:r>
    </w:p>
    <w:p w14:paraId="36F92AF4" w14:textId="77777777" w:rsidR="00A07D6F" w:rsidRDefault="00A07D6F" w:rsidP="00A07D6F">
      <w:pPr>
        <w:spacing w:before="240" w:after="240" w:line="480" w:lineRule="auto"/>
        <w:jc w:val="both"/>
        <w:rPr>
          <w:rFonts w:ascii="Arial" w:eastAsia="Arial" w:hAnsi="Arial" w:cs="Arial"/>
        </w:rPr>
      </w:pPr>
      <w:r w:rsidRPr="0A7FA262">
        <w:rPr>
          <w:rFonts w:ascii="Arial" w:eastAsia="Arial" w:hAnsi="Arial" w:cs="Arial"/>
        </w:rPr>
        <w:t xml:space="preserve">Watts, S. (2023) </w:t>
      </w:r>
      <w:r w:rsidRPr="0A7FA262">
        <w:rPr>
          <w:rFonts w:ascii="Arial" w:eastAsia="Arial" w:hAnsi="Arial" w:cs="Arial"/>
          <w:i/>
          <w:iCs/>
        </w:rPr>
        <w:t>Kotter’s 8 steps for leading change in organizations</w:t>
      </w:r>
      <w:r w:rsidRPr="0A7FA262">
        <w:rPr>
          <w:rFonts w:ascii="Arial" w:eastAsia="Arial" w:hAnsi="Arial" w:cs="Arial"/>
        </w:rPr>
        <w:t xml:space="preserve">, </w:t>
      </w:r>
      <w:r w:rsidRPr="0A7FA262">
        <w:rPr>
          <w:rFonts w:ascii="Arial" w:eastAsia="Arial" w:hAnsi="Arial" w:cs="Arial"/>
          <w:i/>
          <w:iCs/>
        </w:rPr>
        <w:t>Splunk</w:t>
      </w:r>
      <w:r w:rsidRPr="0A7FA262">
        <w:rPr>
          <w:rFonts w:ascii="Arial" w:eastAsia="Arial" w:hAnsi="Arial" w:cs="Arial"/>
        </w:rPr>
        <w:t xml:space="preserve">. Available at: </w:t>
      </w:r>
      <w:hyperlink r:id="rId16">
        <w:r w:rsidRPr="0A7FA262">
          <w:rPr>
            <w:rStyle w:val="Hyperlink"/>
            <w:rFonts w:ascii="Arial" w:eastAsia="Arial" w:hAnsi="Arial" w:cs="Arial"/>
          </w:rPr>
          <w:t>https://www.splunk.com/en_us/blog/learn/kotter-8-steps-change.html</w:t>
        </w:r>
      </w:hyperlink>
      <w:r w:rsidRPr="0A7FA262">
        <w:rPr>
          <w:rFonts w:ascii="Arial" w:eastAsia="Arial" w:hAnsi="Arial" w:cs="Arial"/>
        </w:rPr>
        <w:t xml:space="preserve"> (Accessed: May 17, 2024).</w:t>
      </w:r>
    </w:p>
    <w:sectPr w:rsidR="00A07D6F">
      <w:headerReference w:type="default" r:id="rId17"/>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1C000E" w14:textId="77777777" w:rsidR="008045BE" w:rsidRDefault="008045BE">
      <w:pPr>
        <w:spacing w:after="0" w:line="240" w:lineRule="auto"/>
      </w:pPr>
      <w:r>
        <w:separator/>
      </w:r>
    </w:p>
  </w:endnote>
  <w:endnote w:type="continuationSeparator" w:id="0">
    <w:p w14:paraId="4EE1B91A" w14:textId="77777777" w:rsidR="008045BE" w:rsidRDefault="008045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5E6E0106" w14:paraId="62F4F1B5" w14:textId="77777777" w:rsidTr="5E6E0106">
      <w:trPr>
        <w:trHeight w:val="300"/>
      </w:trPr>
      <w:tc>
        <w:tcPr>
          <w:tcW w:w="3120" w:type="dxa"/>
        </w:tcPr>
        <w:p w14:paraId="43794995" w14:textId="08AAD553" w:rsidR="5E6E0106" w:rsidRDefault="5E6E0106" w:rsidP="5E6E0106">
          <w:pPr>
            <w:pStyle w:val="Header"/>
            <w:ind w:left="-115"/>
          </w:pPr>
        </w:p>
      </w:tc>
      <w:tc>
        <w:tcPr>
          <w:tcW w:w="3120" w:type="dxa"/>
        </w:tcPr>
        <w:p w14:paraId="2E77B367" w14:textId="6464F090" w:rsidR="5E6E0106" w:rsidRDefault="5E6E0106" w:rsidP="5E6E0106">
          <w:pPr>
            <w:pStyle w:val="Header"/>
            <w:jc w:val="center"/>
          </w:pPr>
          <w:r>
            <w:fldChar w:fldCharType="begin"/>
          </w:r>
          <w:r>
            <w:instrText>PAGE</w:instrText>
          </w:r>
          <w:r w:rsidR="00000000">
            <w:fldChar w:fldCharType="separate"/>
          </w:r>
          <w:r w:rsidR="00A07D6F">
            <w:rPr>
              <w:noProof/>
            </w:rPr>
            <w:t>1</w:t>
          </w:r>
          <w:r>
            <w:fldChar w:fldCharType="end"/>
          </w:r>
        </w:p>
      </w:tc>
      <w:tc>
        <w:tcPr>
          <w:tcW w:w="3120" w:type="dxa"/>
        </w:tcPr>
        <w:p w14:paraId="71B1D6AA" w14:textId="20C790AC" w:rsidR="5E6E0106" w:rsidRDefault="5E6E0106" w:rsidP="5E6E0106">
          <w:pPr>
            <w:pStyle w:val="Header"/>
            <w:ind w:right="-115"/>
            <w:jc w:val="right"/>
          </w:pPr>
        </w:p>
      </w:tc>
    </w:tr>
  </w:tbl>
  <w:p w14:paraId="47CA6731" w14:textId="5B7141C6" w:rsidR="5E6E0106" w:rsidRDefault="5E6E0106" w:rsidP="5E6E01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5CE02B" w14:textId="77777777" w:rsidR="008045BE" w:rsidRDefault="008045BE">
      <w:pPr>
        <w:spacing w:after="0" w:line="240" w:lineRule="auto"/>
      </w:pPr>
      <w:r>
        <w:separator/>
      </w:r>
    </w:p>
  </w:footnote>
  <w:footnote w:type="continuationSeparator" w:id="0">
    <w:p w14:paraId="512CB86D" w14:textId="77777777" w:rsidR="008045BE" w:rsidRDefault="008045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5E6E0106" w14:paraId="6183FE6E" w14:textId="77777777" w:rsidTr="5E6E0106">
      <w:trPr>
        <w:trHeight w:val="300"/>
      </w:trPr>
      <w:tc>
        <w:tcPr>
          <w:tcW w:w="3120" w:type="dxa"/>
        </w:tcPr>
        <w:p w14:paraId="79165374" w14:textId="03EE7137" w:rsidR="5E6E0106" w:rsidRDefault="5E6E0106" w:rsidP="5E6E0106">
          <w:pPr>
            <w:pStyle w:val="Header"/>
            <w:ind w:left="-115"/>
          </w:pPr>
        </w:p>
      </w:tc>
      <w:tc>
        <w:tcPr>
          <w:tcW w:w="3120" w:type="dxa"/>
        </w:tcPr>
        <w:p w14:paraId="69AF2CB1" w14:textId="532B4610" w:rsidR="5E6E0106" w:rsidRDefault="5E6E0106" w:rsidP="5E6E0106">
          <w:pPr>
            <w:pStyle w:val="Header"/>
            <w:jc w:val="center"/>
          </w:pPr>
        </w:p>
      </w:tc>
      <w:tc>
        <w:tcPr>
          <w:tcW w:w="3120" w:type="dxa"/>
        </w:tcPr>
        <w:p w14:paraId="10BBC70A" w14:textId="71F0E24C" w:rsidR="5E6E0106" w:rsidRDefault="5E6E0106" w:rsidP="5E6E0106">
          <w:pPr>
            <w:pStyle w:val="Header"/>
            <w:ind w:right="-115"/>
            <w:jc w:val="right"/>
          </w:pPr>
        </w:p>
      </w:tc>
    </w:tr>
  </w:tbl>
  <w:p w14:paraId="0296E301" w14:textId="537EB846" w:rsidR="5E6E0106" w:rsidRDefault="5E6E0106" w:rsidP="5E6E010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458C7FF"/>
    <w:rsid w:val="008045BE"/>
    <w:rsid w:val="00A07D6F"/>
    <w:rsid w:val="02BBE2EE"/>
    <w:rsid w:val="05A20CD2"/>
    <w:rsid w:val="060FD6DF"/>
    <w:rsid w:val="097860E7"/>
    <w:rsid w:val="0A7FA262"/>
    <w:rsid w:val="0C766D43"/>
    <w:rsid w:val="0E0C59F4"/>
    <w:rsid w:val="111D9D2E"/>
    <w:rsid w:val="13BDDC25"/>
    <w:rsid w:val="1B759D86"/>
    <w:rsid w:val="1FA34C5B"/>
    <w:rsid w:val="208B2456"/>
    <w:rsid w:val="213BBE08"/>
    <w:rsid w:val="24072EA9"/>
    <w:rsid w:val="255E9579"/>
    <w:rsid w:val="2A21ED1E"/>
    <w:rsid w:val="2AA8F599"/>
    <w:rsid w:val="2D99F3B2"/>
    <w:rsid w:val="2E557CCB"/>
    <w:rsid w:val="3458C7FF"/>
    <w:rsid w:val="34A10B69"/>
    <w:rsid w:val="37EB243A"/>
    <w:rsid w:val="38F6FC48"/>
    <w:rsid w:val="40FEFF85"/>
    <w:rsid w:val="432DD6E1"/>
    <w:rsid w:val="4375B361"/>
    <w:rsid w:val="44C9A742"/>
    <w:rsid w:val="499D1865"/>
    <w:rsid w:val="4B38E8C6"/>
    <w:rsid w:val="4C6D38E5"/>
    <w:rsid w:val="4CA3CF78"/>
    <w:rsid w:val="4CC6FB56"/>
    <w:rsid w:val="4E478119"/>
    <w:rsid w:val="4FCCF4FE"/>
    <w:rsid w:val="5014476F"/>
    <w:rsid w:val="51B017D0"/>
    <w:rsid w:val="53750466"/>
    <w:rsid w:val="54E7B892"/>
    <w:rsid w:val="5650A8C9"/>
    <w:rsid w:val="568388F3"/>
    <w:rsid w:val="56EE5412"/>
    <w:rsid w:val="57DA4622"/>
    <w:rsid w:val="5C8B3BC0"/>
    <w:rsid w:val="5E6E0106"/>
    <w:rsid w:val="62B61981"/>
    <w:rsid w:val="6A92BFB8"/>
    <w:rsid w:val="6C2E9019"/>
    <w:rsid w:val="6C66113B"/>
    <w:rsid w:val="6E7F1578"/>
    <w:rsid w:val="6F6630DB"/>
    <w:rsid w:val="6FD03B1F"/>
    <w:rsid w:val="7452CA5B"/>
    <w:rsid w:val="75EE9A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58C7FF"/>
  <w15:chartTrackingRefBased/>
  <w15:docId w15:val="{8480A883-EB65-4851-8BD6-FACD713DA3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paragraph" w:styleId="TOC1">
    <w:name w:val="toc 1"/>
    <w:basedOn w:val="Normal"/>
    <w:next w:val="Normal"/>
    <w:autoRedefine/>
    <w:uiPriority w:val="39"/>
    <w:unhideWhenUsed/>
    <w:pPr>
      <w:spacing w:after="10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1992/01/the-balanced-scorecard-measures-that-drive-performance-2" TargetMode="External"/><Relationship Id="rId13" Type="http://schemas.openxmlformats.org/officeDocument/2006/relationships/hyperlink" Target="https://businessmodelanalyst.com/what-is-pestle-analysis/" TargetMode="Externa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atlassian.com/blog/productivity/how-to-write-smart-goals" TargetMode="External"/><Relationship Id="rId12" Type="http://schemas.openxmlformats.org/officeDocument/2006/relationships/hyperlink" Target="https://www.simplypsychology.org/bureaucratic-theory-weber.html"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splunk.com/en_us/blog/learn/kotter-8-steps-change.html"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creately.com/blog/strategy-and-planning/kotters-8-step-change-model/" TargetMode="External"/><Relationship Id="rId11" Type="http://schemas.openxmlformats.org/officeDocument/2006/relationships/hyperlink" Target="https://www.mindtools.com/apfv1rk/mintzbergs-organizational-configurations" TargetMode="External"/><Relationship Id="rId5" Type="http://schemas.openxmlformats.org/officeDocument/2006/relationships/endnotes" Target="endnotes.xml"/><Relationship Id="rId15" Type="http://schemas.openxmlformats.org/officeDocument/2006/relationships/hyperlink" Target="https://www.proscieurope.com/adkar-model-explained" TargetMode="External"/><Relationship Id="rId10" Type="http://schemas.openxmlformats.org/officeDocument/2006/relationships/hyperlink" Target="https://pestleanalysis.com/what-is-pestle-analysis/"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journals.sagepub.com/doi/10.1177/001872674700100103" TargetMode="External"/><Relationship Id="rId14" Type="http://schemas.openxmlformats.org/officeDocument/2006/relationships/hyperlink" Target="https://www.hbs.edu/faculty/Pages/item.aspx?num=20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18</Pages>
  <Words>3526</Words>
  <Characters>20104</Characters>
  <Application>Microsoft Office Word</Application>
  <DocSecurity>0</DocSecurity>
  <Lines>167</Lines>
  <Paragraphs>47</Paragraphs>
  <ScaleCrop>false</ScaleCrop>
  <Company/>
  <LinksUpToDate>false</LinksUpToDate>
  <CharactersWithSpaces>23583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Galen Atanasov</dc:creator>
  <cp:keywords/>
  <dc:description/>
  <cp:lastModifiedBy>Microsoft Office User</cp:lastModifiedBy>
  <cp:revision>2</cp:revision>
  <dcterms:created xsi:type="dcterms:W3CDTF">2024-05-15T23:48:00Z</dcterms:created>
  <dcterms:modified xsi:type="dcterms:W3CDTF">2024-05-30T11:20:00Z</dcterms:modified>
</cp:coreProperties>
</file>