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36909"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49514ED1"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4F498BE1"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53881C6A"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27B6FB01"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31C82FCE"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67DEAE87"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64DA4FD3"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2635493D" w14:textId="77777777" w:rsidR="00C80B11" w:rsidRPr="00A44509" w:rsidRDefault="00A44509">
      <w:pPr>
        <w:pStyle w:val="Normal1"/>
        <w:jc w:val="center"/>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Law and Case Studies</w:t>
      </w:r>
    </w:p>
    <w:p w14:paraId="65477F1A" w14:textId="3FDA6CE3" w:rsidR="00C80B11" w:rsidRPr="00A44509" w:rsidRDefault="00A44509">
      <w:pPr>
        <w:pStyle w:val="Normal1"/>
        <w:jc w:val="center"/>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Name of </w:t>
      </w:r>
      <w:r w:rsidR="00B9375A" w:rsidRPr="00A44509">
        <w:rPr>
          <w:rFonts w:ascii="Times New Roman" w:eastAsia="Times New Roman" w:hAnsi="Times New Roman" w:cs="Times New Roman"/>
          <w:color w:val="000000" w:themeColor="text1"/>
          <w:sz w:val="24"/>
          <w:szCs w:val="24"/>
        </w:rPr>
        <w:t>Student:</w:t>
      </w:r>
      <w:r w:rsidR="00B9375A">
        <w:rPr>
          <w:rFonts w:ascii="Times New Roman" w:eastAsia="Times New Roman" w:hAnsi="Times New Roman" w:cs="Times New Roman"/>
          <w:color w:val="000000" w:themeColor="text1"/>
          <w:sz w:val="24"/>
          <w:szCs w:val="24"/>
        </w:rPr>
        <w:t xml:space="preserve"> Carmen Tutu</w:t>
      </w:r>
    </w:p>
    <w:p w14:paraId="02E3EF67" w14:textId="6742DA9B" w:rsidR="00C80B11" w:rsidRPr="00A44509" w:rsidRDefault="00A44509">
      <w:pPr>
        <w:pStyle w:val="Normal1"/>
        <w:jc w:val="center"/>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Name of Module:</w:t>
      </w:r>
      <w:r w:rsidR="00B9375A">
        <w:rPr>
          <w:rFonts w:ascii="Times New Roman" w:eastAsia="Times New Roman" w:hAnsi="Times New Roman" w:cs="Times New Roman"/>
          <w:color w:val="000000" w:themeColor="text1"/>
          <w:sz w:val="24"/>
          <w:szCs w:val="24"/>
        </w:rPr>
        <w:t xml:space="preserve"> Criminal law</w:t>
      </w:r>
    </w:p>
    <w:p w14:paraId="7D63E58E" w14:textId="1CD2DD0B" w:rsidR="00C80B11" w:rsidRPr="00A44509" w:rsidRDefault="00A44509">
      <w:pPr>
        <w:pStyle w:val="Normal1"/>
        <w:jc w:val="center"/>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Number of Module:</w:t>
      </w:r>
      <w:r w:rsidR="00B9375A">
        <w:rPr>
          <w:rFonts w:ascii="Times New Roman" w:eastAsia="Times New Roman" w:hAnsi="Times New Roman" w:cs="Times New Roman"/>
          <w:color w:val="000000" w:themeColor="text1"/>
          <w:sz w:val="24"/>
          <w:szCs w:val="24"/>
        </w:rPr>
        <w:t xml:space="preserve"> BMLW4005</w:t>
      </w:r>
    </w:p>
    <w:p w14:paraId="7C6A800E"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1CBF9997"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7D73FD1C"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65C21168"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6122B4E5"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0B82A789"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2E61ED4A"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7DD90466"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098AB911"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29EA65F8"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205695B1"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4B95C6D"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461B931F"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2AE7D7B7"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1B4B5DF3"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55FFE48"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EAAE32D"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CDA1914"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1600E50B"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B5F8321"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5A36624D"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73661197"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2DBDC418"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64189878"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1E9E25F0"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342222B5"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1C9A4E47" w14:textId="77777777" w:rsidR="00C80B11" w:rsidRPr="00A44509" w:rsidRDefault="00C80B11">
      <w:pPr>
        <w:pStyle w:val="Normal1"/>
        <w:jc w:val="center"/>
        <w:rPr>
          <w:rFonts w:ascii="Times New Roman" w:eastAsia="Times New Roman" w:hAnsi="Times New Roman" w:cs="Times New Roman"/>
          <w:color w:val="000000" w:themeColor="text1"/>
          <w:sz w:val="24"/>
          <w:szCs w:val="24"/>
        </w:rPr>
      </w:pPr>
    </w:p>
    <w:p w14:paraId="66B9A912"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7B9808FA" w14:textId="77777777" w:rsidR="00C80B11" w:rsidRPr="00A44509" w:rsidRDefault="00A44509">
      <w:pPr>
        <w:pStyle w:val="Normal1"/>
        <w:jc w:val="both"/>
        <w:rPr>
          <w:rFonts w:ascii="Times New Roman" w:eastAsia="Times New Roman" w:hAnsi="Times New Roman" w:cs="Times New Roman"/>
          <w:b/>
          <w:color w:val="000000" w:themeColor="text1"/>
          <w:sz w:val="26"/>
          <w:szCs w:val="26"/>
          <w:u w:val="single"/>
        </w:rPr>
      </w:pPr>
      <w:r w:rsidRPr="00A44509">
        <w:rPr>
          <w:rFonts w:ascii="Times New Roman" w:eastAsia="Times New Roman" w:hAnsi="Times New Roman" w:cs="Times New Roman"/>
          <w:b/>
          <w:color w:val="000000" w:themeColor="text1"/>
          <w:sz w:val="26"/>
          <w:szCs w:val="26"/>
          <w:u w:val="single"/>
        </w:rPr>
        <w:lastRenderedPageBreak/>
        <w:t>Task A:</w:t>
      </w:r>
    </w:p>
    <w:p w14:paraId="129D5F2D" w14:textId="77777777" w:rsidR="00C80B11" w:rsidRPr="00A44509" w:rsidRDefault="00C80B11">
      <w:pPr>
        <w:pStyle w:val="Normal1"/>
        <w:jc w:val="both"/>
        <w:rPr>
          <w:rFonts w:ascii="Times New Roman" w:eastAsia="Times New Roman" w:hAnsi="Times New Roman" w:cs="Times New Roman"/>
          <w:b/>
          <w:color w:val="000000" w:themeColor="text1"/>
          <w:sz w:val="26"/>
          <w:szCs w:val="26"/>
          <w:u w:val="single"/>
        </w:rPr>
      </w:pPr>
    </w:p>
    <w:p w14:paraId="3A58FAAB"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Introduction:</w:t>
      </w:r>
    </w:p>
    <w:p w14:paraId="02954A3E" w14:textId="7DA76863"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The case study introduces two characters, </w:t>
      </w:r>
      <w:r w:rsidR="001A1FB1" w:rsidRPr="00A44509">
        <w:rPr>
          <w:rFonts w:ascii="Times New Roman" w:eastAsia="Times New Roman" w:hAnsi="Times New Roman" w:cs="Times New Roman"/>
          <w:color w:val="000000" w:themeColor="text1"/>
          <w:sz w:val="24"/>
          <w:szCs w:val="24"/>
        </w:rPr>
        <w:t>Ronan,</w:t>
      </w:r>
      <w:r w:rsidRPr="00A44509">
        <w:rPr>
          <w:rFonts w:ascii="Times New Roman" w:eastAsia="Times New Roman" w:hAnsi="Times New Roman" w:cs="Times New Roman"/>
          <w:color w:val="000000" w:themeColor="text1"/>
          <w:sz w:val="24"/>
          <w:szCs w:val="24"/>
        </w:rPr>
        <w:t xml:space="preserve"> and Hadley. Ronan was a successful businessman and was able to purchase branded trainers from Bucci and take vacations in the Maldives. The case shows that Hadley was unimpressed by Ronan’s success and was quite agitated due to its tendency of bragging about his new purchases. This pushed Hadley to take action and get even with Ronan. Upon having overheard the news of his vacation, Hadley decides to go into Ronan’s house and steal the Bucci trainers that he had been bragging about. However, stealing any item from a house without notifying its owner may be considered a criminal offense. </w:t>
      </w:r>
    </w:p>
    <w:p w14:paraId="344DD104"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Following this, he climbed up the boundary walls and landed on a bench within the property, snapping it in half. Hadley uses a bamboo stick from the garden to break and enter Ronan’s house which may be considered a criminal offense as well. Upon entering the house, Hadley was not able to find the Bucci trainers. But he noticed a Kolex watch and decided to take that instead, which may also be classified as an offense. Finally, right before leaving, he poured Ronan’s aftershave into the bin and set fire to it. This is a dangerous act and might set the entire house on fire. Hadley may be held accountable for the same. </w:t>
      </w:r>
    </w:p>
    <w:p w14:paraId="28584B8B"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Discussion with reference to literature: </w:t>
      </w:r>
    </w:p>
    <w:p w14:paraId="5E56C9BE"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rPr>
        <w:t xml:space="preserve">Different countries around the globe are known to have a number of different types of laws and policies regarding various criminal or unethical activities. The case study is situated in the United Kingdom. </w:t>
      </w:r>
      <w:r w:rsidRPr="00A44509">
        <w:rPr>
          <w:rFonts w:ascii="Times New Roman" w:eastAsia="Times New Roman" w:hAnsi="Times New Roman" w:cs="Times New Roman"/>
          <w:color w:val="000000" w:themeColor="text1"/>
          <w:sz w:val="24"/>
          <w:szCs w:val="24"/>
          <w:highlight w:val="white"/>
        </w:rPr>
        <w:t xml:space="preserve">Section 9 of the Theft Act 1968, is directly connected to the case study at hand. This law has two different variants. If an individual is seen entering the house of an individual without their consent or with an intention of stealing, they may be held accountable for burglary. Any form of destruction of property is also considered an offense in this area of study. </w:t>
      </w:r>
    </w:p>
    <w:p w14:paraId="42866B58"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The Theft Act of 1968 states that if an individual tries to obtain any property or material belonging </w:t>
      </w:r>
      <w:r w:rsidRPr="00A44509">
        <w:rPr>
          <w:rFonts w:ascii="Times New Roman" w:eastAsia="Times New Roman" w:hAnsi="Times New Roman" w:cs="Times New Roman"/>
          <w:color w:val="000000" w:themeColor="text1"/>
          <w:sz w:val="24"/>
          <w:szCs w:val="24"/>
        </w:rPr>
        <w:t xml:space="preserve">unlawfully from another individual through deception or some other trick, then they may be held accountable for the theft and may be sentenced to up to 7 years in prison. </w:t>
      </w:r>
    </w:p>
    <w:p w14:paraId="39D0E955"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Hadley also broke the Fire Safety Act of 2021 by setting Ronan’s bin on fire. Section 4 CDA 1971 of the laws of the country states that this act may be considered arson. The punishment for the same may be life imprisonment, based on the intensity and intention of the arson. </w:t>
      </w:r>
    </w:p>
    <w:p w14:paraId="1E943DF8"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Criminal Offences: </w:t>
      </w:r>
    </w:p>
    <w:p w14:paraId="381A0FA3"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A thorough analysis of the case study reveals that Hadley committed a number of different offenses and may be held accountable for the same at any time by Ronan. These acts are being highlighted and briefly discussed below. </w:t>
      </w:r>
    </w:p>
    <w:p w14:paraId="5AD6B110" w14:textId="77777777" w:rsidR="00C80B11" w:rsidRPr="00A44509" w:rsidRDefault="00A44509">
      <w:pPr>
        <w:pStyle w:val="Normal1"/>
        <w:numPr>
          <w:ilvl w:val="0"/>
          <w:numId w:val="1"/>
        </w:numPr>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Breaking and Entering: Breaking and entering into anyone’s house without their knowledge and permission may be considered B&amp;E in the United Kingdom. Having the intention to steal alongside the same makes the issue even graver. However, there is no proof of Hadley’s intentions. </w:t>
      </w:r>
    </w:p>
    <w:p w14:paraId="79538C46" w14:textId="46765DD9" w:rsidR="00C80B11" w:rsidRPr="00A44509" w:rsidRDefault="00A44509">
      <w:pPr>
        <w:pStyle w:val="Normal1"/>
        <w:numPr>
          <w:ilvl w:val="0"/>
          <w:numId w:val="1"/>
        </w:numPr>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lastRenderedPageBreak/>
        <w:t xml:space="preserve">Destruction of Property: The plan of illegally entering by climbing up the fence fired back at Hadley. He fell on a bench within Ronan’s </w:t>
      </w:r>
      <w:r w:rsidR="001A1FB1" w:rsidRPr="00A44509">
        <w:rPr>
          <w:rFonts w:ascii="Times New Roman" w:eastAsia="Times New Roman" w:hAnsi="Times New Roman" w:cs="Times New Roman"/>
          <w:color w:val="000000" w:themeColor="text1"/>
          <w:sz w:val="24"/>
          <w:szCs w:val="24"/>
        </w:rPr>
        <w:t>property and</w:t>
      </w:r>
      <w:r w:rsidRPr="00A44509">
        <w:rPr>
          <w:rFonts w:ascii="Times New Roman" w:eastAsia="Times New Roman" w:hAnsi="Times New Roman" w:cs="Times New Roman"/>
          <w:color w:val="000000" w:themeColor="text1"/>
          <w:sz w:val="24"/>
          <w:szCs w:val="24"/>
        </w:rPr>
        <w:t xml:space="preserve"> broke the same. Following this, he took a bamboo stick from the garden to pry open the window and climb in. He also emptied an entire bottle of expensive aftershave into a bin. Both of these acts may be considered as the destruction of Ronan’s property, and Hadley may be held accountable for the same. </w:t>
      </w:r>
    </w:p>
    <w:p w14:paraId="153954FD" w14:textId="77777777" w:rsidR="00C80B11" w:rsidRPr="00A44509" w:rsidRDefault="00A44509">
      <w:pPr>
        <w:pStyle w:val="Normal1"/>
        <w:numPr>
          <w:ilvl w:val="0"/>
          <w:numId w:val="1"/>
        </w:numPr>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Theft: Hadley took the expensive Kolex watch that she found in Ronan’s house after being unable to find the Bucci trainers that he had come to steal. This is an act of theft with strong intentions to do the same and Hadley will be held accountable for the same. </w:t>
      </w:r>
    </w:p>
    <w:p w14:paraId="537E359E" w14:textId="77777777" w:rsidR="00C80B11" w:rsidRPr="00A44509" w:rsidRDefault="00A44509">
      <w:pPr>
        <w:pStyle w:val="Normal1"/>
        <w:numPr>
          <w:ilvl w:val="0"/>
          <w:numId w:val="1"/>
        </w:numPr>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Arson: Arson is a very serious offense in the United Kingdom. Hadley set Ronan’s aftershave on fire and this might have led to a huge house fire, burning all belongings of Ronan. Furthermore, it was a deliberate act and therefore, has a criminal accent to the same. </w:t>
      </w:r>
    </w:p>
    <w:p w14:paraId="2BDBC1B8"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Conclusion: </w:t>
      </w:r>
    </w:p>
    <w:p w14:paraId="28A38916"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In conclusion, the analysis of the case study reveals that Hadley had committed a string of crimes when trying to steal Ronan’s expensive trainers. She should be held accountable for her actions, and if Ronan lodges a complaint against him, she will be incarcerated immediately. Hadley was seen to commit three separate activities with criminal intent and will be held accountable for the same in court. These offenses have been highlighted in this paper as well. </w:t>
      </w:r>
    </w:p>
    <w:p w14:paraId="24CED148" w14:textId="77777777" w:rsidR="00C80B11" w:rsidRPr="00A44509" w:rsidRDefault="00C80B11">
      <w:pPr>
        <w:pStyle w:val="Normal1"/>
        <w:jc w:val="both"/>
        <w:rPr>
          <w:rFonts w:ascii="Times New Roman" w:eastAsia="Times New Roman" w:hAnsi="Times New Roman" w:cs="Times New Roman"/>
          <w:color w:val="000000" w:themeColor="text1"/>
          <w:sz w:val="24"/>
          <w:szCs w:val="24"/>
        </w:rPr>
      </w:pPr>
    </w:p>
    <w:p w14:paraId="2D3F8B27" w14:textId="77777777" w:rsidR="00C80B11" w:rsidRPr="00A44509" w:rsidRDefault="00C80B11">
      <w:pPr>
        <w:pStyle w:val="Normal1"/>
        <w:jc w:val="both"/>
        <w:rPr>
          <w:rFonts w:ascii="Times New Roman" w:eastAsia="Times New Roman" w:hAnsi="Times New Roman" w:cs="Times New Roman"/>
          <w:color w:val="000000" w:themeColor="text1"/>
          <w:sz w:val="24"/>
          <w:szCs w:val="24"/>
        </w:rPr>
      </w:pPr>
    </w:p>
    <w:p w14:paraId="79CA2265" w14:textId="77777777" w:rsidR="00C80B11" w:rsidRPr="00A44509" w:rsidRDefault="00A44509">
      <w:pPr>
        <w:pStyle w:val="Normal1"/>
        <w:jc w:val="both"/>
        <w:rPr>
          <w:rFonts w:ascii="Times New Roman" w:eastAsia="Times New Roman" w:hAnsi="Times New Roman" w:cs="Times New Roman"/>
          <w:b/>
          <w:color w:val="000000" w:themeColor="text1"/>
          <w:sz w:val="26"/>
          <w:szCs w:val="26"/>
          <w:u w:val="single"/>
        </w:rPr>
      </w:pPr>
      <w:r w:rsidRPr="00A44509">
        <w:rPr>
          <w:rFonts w:ascii="Times New Roman" w:eastAsia="Times New Roman" w:hAnsi="Times New Roman" w:cs="Times New Roman"/>
          <w:b/>
          <w:color w:val="000000" w:themeColor="text1"/>
          <w:sz w:val="26"/>
          <w:szCs w:val="26"/>
          <w:u w:val="single"/>
        </w:rPr>
        <w:t>Task B:</w:t>
      </w:r>
    </w:p>
    <w:p w14:paraId="5A96649E" w14:textId="77777777" w:rsidR="00C80B11" w:rsidRPr="00A44509" w:rsidRDefault="00C80B11">
      <w:pPr>
        <w:pStyle w:val="Normal1"/>
        <w:jc w:val="both"/>
        <w:rPr>
          <w:rFonts w:ascii="Times New Roman" w:eastAsia="Times New Roman" w:hAnsi="Times New Roman" w:cs="Times New Roman"/>
          <w:color w:val="000000" w:themeColor="text1"/>
          <w:sz w:val="24"/>
          <w:szCs w:val="24"/>
        </w:rPr>
      </w:pPr>
    </w:p>
    <w:p w14:paraId="569ED8D7"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Introduction: </w:t>
      </w:r>
    </w:p>
    <w:p w14:paraId="26F188F9" w14:textId="4F50419B"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The case study that has been provided for this task outlines an incident involving Freya and Nicky, who met each other during the college fresher’s week. It has been established in the case study that Freya was diagnosed with epilepsy as a </w:t>
      </w:r>
      <w:r w:rsidR="001A1FB1" w:rsidRPr="00A44509">
        <w:rPr>
          <w:rFonts w:ascii="Times New Roman" w:eastAsia="Times New Roman" w:hAnsi="Times New Roman" w:cs="Times New Roman"/>
          <w:color w:val="000000" w:themeColor="text1"/>
          <w:sz w:val="24"/>
          <w:szCs w:val="24"/>
        </w:rPr>
        <w:t>child and</w:t>
      </w:r>
      <w:r w:rsidRPr="00A44509">
        <w:rPr>
          <w:rFonts w:ascii="Times New Roman" w:eastAsia="Times New Roman" w:hAnsi="Times New Roman" w:cs="Times New Roman"/>
          <w:color w:val="000000" w:themeColor="text1"/>
          <w:sz w:val="24"/>
          <w:szCs w:val="24"/>
        </w:rPr>
        <w:t xml:space="preserve"> underwent treatment for the same. Her symptoms disappeared and she stopped taking medication for the same. At a foam party in a local club, Freya drank one whole bottle of gin with her friend Nicky and then downed </w:t>
      </w:r>
      <w:r w:rsidR="00515324">
        <w:rPr>
          <w:rFonts w:ascii="Times New Roman" w:eastAsia="Times New Roman" w:hAnsi="Times New Roman" w:cs="Times New Roman"/>
          <w:color w:val="000000" w:themeColor="text1"/>
          <w:sz w:val="24"/>
          <w:szCs w:val="24"/>
        </w:rPr>
        <w:t>six</w:t>
      </w:r>
      <w:r w:rsidRPr="00A44509">
        <w:rPr>
          <w:rFonts w:ascii="Times New Roman" w:eastAsia="Times New Roman" w:hAnsi="Times New Roman" w:cs="Times New Roman"/>
          <w:color w:val="000000" w:themeColor="text1"/>
          <w:sz w:val="24"/>
          <w:szCs w:val="24"/>
        </w:rPr>
        <w:t xml:space="preserve"> double gins and tonic. This led to severe intoxication. Once the party was over, Freya started vomiting at the student hull and Nicky went to get water for her. When she </w:t>
      </w:r>
      <w:r w:rsidR="00515324" w:rsidRPr="00A44509">
        <w:rPr>
          <w:rFonts w:ascii="Times New Roman" w:eastAsia="Times New Roman" w:hAnsi="Times New Roman" w:cs="Times New Roman"/>
          <w:color w:val="000000" w:themeColor="text1"/>
          <w:sz w:val="24"/>
          <w:szCs w:val="24"/>
        </w:rPr>
        <w:t>returned,</w:t>
      </w:r>
      <w:r w:rsidRPr="00A44509">
        <w:rPr>
          <w:rFonts w:ascii="Times New Roman" w:eastAsia="Times New Roman" w:hAnsi="Times New Roman" w:cs="Times New Roman"/>
          <w:color w:val="000000" w:themeColor="text1"/>
          <w:sz w:val="24"/>
          <w:szCs w:val="24"/>
        </w:rPr>
        <w:t xml:space="preserve"> she saw Freya having a seizure on the floor. Nicky called Mike who lived next door. Mike tried to help Freya but her uncontrolled movements during the seizure made her punch Mike in the eye. </w:t>
      </w:r>
    </w:p>
    <w:p w14:paraId="1B207C45"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This paper aims to study if Freya can be held accountable on grounds of the Offences Against the Person Act 1861 and whether she would be able to rely on the defenses of intoxication and automatism.</w:t>
      </w:r>
    </w:p>
    <w:p w14:paraId="484C254E"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Discussion:</w:t>
      </w:r>
    </w:p>
    <w:p w14:paraId="2C3FEAB1"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Epilepsy is a serious health condition that might cause an individual to be triggered by some external stimuli and suffer from uncontrollable tremors for a certain period of time. This health issue is quite serious as while having a seizure, an individual is a threat to their own well-being, </w:t>
      </w:r>
      <w:r w:rsidRPr="00A44509">
        <w:rPr>
          <w:rFonts w:ascii="Times New Roman" w:eastAsia="Times New Roman" w:hAnsi="Times New Roman" w:cs="Times New Roman"/>
          <w:color w:val="000000" w:themeColor="text1"/>
          <w:sz w:val="24"/>
          <w:szCs w:val="24"/>
        </w:rPr>
        <w:lastRenderedPageBreak/>
        <w:t xml:space="preserve">as well as the individuals around them. Freya had discontinued her medication after her symptoms had vanished. However, one night of heavy drinking impacted her brain negatively and her seizures returned. Even though Freya voluntarily chose to get drunk, she was not aware of the medical consequences of the same. When Mike came to help Freya, she was unconscious and having an active seizure. In her tremors, her hand hit Mike which was considered a punch. </w:t>
      </w:r>
    </w:p>
    <w:p w14:paraId="2B1B5B79"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In a situation like this, it is impossible to blame Freya as she did not do anything voluntarily and was not even aware of the happenings around her. </w:t>
      </w:r>
    </w:p>
    <w:p w14:paraId="5390FC42"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Effective Defense: </w:t>
      </w:r>
    </w:p>
    <w:p w14:paraId="7C2A5EDE"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Studying the case study and critically analyzing the same reveals that if Mike lodges a case against Freya on the grounds of physical harm, she would be able to use the defenses of automatism and intoxication. During the time of the incident, Freya was extremely intoxicated which probably triggered her seizures, automizing her movement. Freya was unaware of Mike’s presence around her, and it was during the episode that Freya punched Mike in the face. Freya had no intention of hurting Mike in any way and ultimately her intent to commit such a crime cannot be established either, proving her not guilty. However, proper evidence is required to go down this path. </w:t>
      </w:r>
      <w:r w:rsidRPr="00A44509">
        <w:rPr>
          <w:rFonts w:ascii="Times New Roman" w:eastAsia="Times New Roman" w:hAnsi="Times New Roman" w:cs="Times New Roman"/>
          <w:color w:val="000000" w:themeColor="text1"/>
          <w:sz w:val="24"/>
          <w:szCs w:val="24"/>
          <w:highlight w:val="white"/>
        </w:rPr>
        <w:t>If a charged crime is a specific intent crime, meaning that the criminal defendant must have had the specific intent to commit the crime in question, involuntary intoxication can be a defense to criminal charges if it prevents the defendant from forming the intent that is required.</w:t>
      </w:r>
    </w:p>
    <w:p w14:paraId="00866443" w14:textId="77777777" w:rsidR="00A44509"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Section 85 is used to cover intoxication and automatism and states that an individual who injures or harms another individual under the influence of alcohol or abusive substances the same might be considered as automatism if their cognitive senses are inactive. From the discussion of the case study it is clearly visible that Freya did not have the ability to control her own functions in the moment. Therefore, she might be considered under laws from section 85 of the UK constitution. </w:t>
      </w:r>
    </w:p>
    <w:p w14:paraId="3EC10A53"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 xml:space="preserve">Conclusion: </w:t>
      </w:r>
    </w:p>
    <w:p w14:paraId="0EB5DD89" w14:textId="77777777" w:rsidR="00C80B11" w:rsidRPr="00A44509" w:rsidRDefault="00A44509">
      <w:pPr>
        <w:pStyle w:val="Normal1"/>
        <w:jc w:val="both"/>
        <w:rPr>
          <w:rFonts w:ascii="Times New Roman" w:eastAsia="Times New Roman" w:hAnsi="Times New Roman" w:cs="Times New Roman"/>
          <w:color w:val="000000" w:themeColor="text1"/>
          <w:sz w:val="24"/>
          <w:szCs w:val="24"/>
        </w:rPr>
      </w:pPr>
      <w:r w:rsidRPr="00A44509">
        <w:rPr>
          <w:rFonts w:ascii="Times New Roman" w:eastAsia="Times New Roman" w:hAnsi="Times New Roman" w:cs="Times New Roman"/>
          <w:color w:val="000000" w:themeColor="text1"/>
          <w:sz w:val="24"/>
          <w:szCs w:val="24"/>
        </w:rPr>
        <w:t xml:space="preserve">In conclusion, the main aim of this paper is to study the case and identify the intent behind Freya’s actions. It is evident that Mike was injured as a result of Freya’s uncontrolled movements. However, she was not able to consciously control the same during a seizure. Furthermore, during this time Freya was extremely drunk, as has been established in the case study, which forced her to lose track of her own actions. Thus, it can be said that the defenses of automatism and intoxication may be used by Freya in this case. </w:t>
      </w:r>
    </w:p>
    <w:p w14:paraId="7200855E"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1909549F"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160019C7"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1CE99BBF"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4908A78F"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6C10E320"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5EE63C15"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419BDC67"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13632F0A"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5F106162"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1274C2C6"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2460D510"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31DA83F5"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270509E0" w14:textId="77777777" w:rsidR="00C80B11" w:rsidRPr="00A44509" w:rsidRDefault="00C80B11">
      <w:pPr>
        <w:pStyle w:val="Normal1"/>
        <w:jc w:val="both"/>
        <w:rPr>
          <w:rFonts w:ascii="Times New Roman" w:eastAsia="Times New Roman" w:hAnsi="Times New Roman" w:cs="Times New Roman"/>
          <w:b/>
          <w:color w:val="000000" w:themeColor="text1"/>
          <w:sz w:val="24"/>
          <w:szCs w:val="24"/>
        </w:rPr>
      </w:pPr>
    </w:p>
    <w:p w14:paraId="07588EE0" w14:textId="77777777" w:rsidR="00C80B11" w:rsidRPr="00A44509" w:rsidRDefault="00A44509">
      <w:pPr>
        <w:pStyle w:val="Normal1"/>
        <w:jc w:val="both"/>
        <w:rPr>
          <w:rFonts w:ascii="Times New Roman" w:eastAsia="Times New Roman" w:hAnsi="Times New Roman" w:cs="Times New Roman"/>
          <w:b/>
          <w:color w:val="000000" w:themeColor="text1"/>
          <w:sz w:val="24"/>
          <w:szCs w:val="24"/>
        </w:rPr>
      </w:pPr>
      <w:r w:rsidRPr="00A44509">
        <w:rPr>
          <w:rFonts w:ascii="Times New Roman" w:eastAsia="Times New Roman" w:hAnsi="Times New Roman" w:cs="Times New Roman"/>
          <w:b/>
          <w:color w:val="000000" w:themeColor="text1"/>
          <w:sz w:val="24"/>
          <w:szCs w:val="24"/>
        </w:rPr>
        <w:t>References:</w:t>
      </w:r>
    </w:p>
    <w:p w14:paraId="6B6DD933"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Palmer, A. and Greenhough, B., 2021. Out of the laboratory, into the field: perspectives on social, ethical and regulatory challenges in UK wildlife research. </w:t>
      </w:r>
      <w:r w:rsidRPr="00A44509">
        <w:rPr>
          <w:rFonts w:ascii="Times New Roman" w:eastAsia="Times New Roman" w:hAnsi="Times New Roman" w:cs="Times New Roman"/>
          <w:i/>
          <w:color w:val="000000" w:themeColor="text1"/>
          <w:sz w:val="24"/>
          <w:szCs w:val="24"/>
          <w:highlight w:val="white"/>
        </w:rPr>
        <w:t>Philosophical Transactions of the Royal Society B</w:t>
      </w:r>
      <w:r w:rsidRPr="00A44509">
        <w:rPr>
          <w:rFonts w:ascii="Times New Roman" w:eastAsia="Times New Roman" w:hAnsi="Times New Roman" w:cs="Times New Roman"/>
          <w:color w:val="000000" w:themeColor="text1"/>
          <w:sz w:val="24"/>
          <w:szCs w:val="24"/>
          <w:highlight w:val="white"/>
        </w:rPr>
        <w:t xml:space="preserve">, </w:t>
      </w:r>
      <w:r w:rsidRPr="00A44509">
        <w:rPr>
          <w:rFonts w:ascii="Times New Roman" w:eastAsia="Times New Roman" w:hAnsi="Times New Roman" w:cs="Times New Roman"/>
          <w:i/>
          <w:color w:val="000000" w:themeColor="text1"/>
          <w:sz w:val="24"/>
          <w:szCs w:val="24"/>
          <w:highlight w:val="white"/>
        </w:rPr>
        <w:t>376</w:t>
      </w:r>
      <w:r w:rsidRPr="00A44509">
        <w:rPr>
          <w:rFonts w:ascii="Times New Roman" w:eastAsia="Times New Roman" w:hAnsi="Times New Roman" w:cs="Times New Roman"/>
          <w:color w:val="000000" w:themeColor="text1"/>
          <w:sz w:val="24"/>
          <w:szCs w:val="24"/>
          <w:highlight w:val="white"/>
        </w:rPr>
        <w:t>(1831), p.20200226.</w:t>
      </w:r>
    </w:p>
    <w:p w14:paraId="703271B6"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Craig, P. and De Búrca, G., 2020. </w:t>
      </w:r>
      <w:r w:rsidRPr="00A44509">
        <w:rPr>
          <w:rFonts w:ascii="Times New Roman" w:eastAsia="Times New Roman" w:hAnsi="Times New Roman" w:cs="Times New Roman"/>
          <w:i/>
          <w:color w:val="000000" w:themeColor="text1"/>
          <w:sz w:val="24"/>
          <w:szCs w:val="24"/>
          <w:highlight w:val="white"/>
        </w:rPr>
        <w:t>EU Law: Text, Cases, and Materials UK Version</w:t>
      </w:r>
      <w:r w:rsidRPr="00A44509">
        <w:rPr>
          <w:rFonts w:ascii="Times New Roman" w:eastAsia="Times New Roman" w:hAnsi="Times New Roman" w:cs="Times New Roman"/>
          <w:color w:val="000000" w:themeColor="text1"/>
          <w:sz w:val="24"/>
          <w:szCs w:val="24"/>
          <w:highlight w:val="white"/>
        </w:rPr>
        <w:t>. Oxford University Press, USA.</w:t>
      </w:r>
    </w:p>
    <w:p w14:paraId="5A413A71"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Cygan, A., Lynch, P. and Whitaker, R., 2020. UK parliamentary scrutiny of the EU political and legal space after Brexit. </w:t>
      </w:r>
      <w:r w:rsidRPr="00A44509">
        <w:rPr>
          <w:rFonts w:ascii="Times New Roman" w:eastAsia="Times New Roman" w:hAnsi="Times New Roman" w:cs="Times New Roman"/>
          <w:i/>
          <w:color w:val="000000" w:themeColor="text1"/>
          <w:sz w:val="24"/>
          <w:szCs w:val="24"/>
          <w:highlight w:val="white"/>
        </w:rPr>
        <w:t>JCMS: Journal of Common Market Studies</w:t>
      </w:r>
      <w:r w:rsidRPr="00A44509">
        <w:rPr>
          <w:rFonts w:ascii="Times New Roman" w:eastAsia="Times New Roman" w:hAnsi="Times New Roman" w:cs="Times New Roman"/>
          <w:color w:val="000000" w:themeColor="text1"/>
          <w:sz w:val="24"/>
          <w:szCs w:val="24"/>
          <w:highlight w:val="white"/>
        </w:rPr>
        <w:t xml:space="preserve">, </w:t>
      </w:r>
      <w:r w:rsidRPr="00A44509">
        <w:rPr>
          <w:rFonts w:ascii="Times New Roman" w:eastAsia="Times New Roman" w:hAnsi="Times New Roman" w:cs="Times New Roman"/>
          <w:i/>
          <w:color w:val="000000" w:themeColor="text1"/>
          <w:sz w:val="24"/>
          <w:szCs w:val="24"/>
          <w:highlight w:val="white"/>
        </w:rPr>
        <w:t>58</w:t>
      </w:r>
      <w:r w:rsidRPr="00A44509">
        <w:rPr>
          <w:rFonts w:ascii="Times New Roman" w:eastAsia="Times New Roman" w:hAnsi="Times New Roman" w:cs="Times New Roman"/>
          <w:color w:val="000000" w:themeColor="text1"/>
          <w:sz w:val="24"/>
          <w:szCs w:val="24"/>
          <w:highlight w:val="white"/>
        </w:rPr>
        <w:t>(6), pp.1605-1620.</w:t>
      </w:r>
    </w:p>
    <w:p w14:paraId="136BED7A"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Kim, S., Rees, W. and Sila, V., 2020. Do anti‐bribery laws reduce the cost of equity? Evidence from the UK Bribery Act 2010. </w:t>
      </w:r>
      <w:r w:rsidRPr="00A44509">
        <w:rPr>
          <w:rFonts w:ascii="Times New Roman" w:eastAsia="Times New Roman" w:hAnsi="Times New Roman" w:cs="Times New Roman"/>
          <w:i/>
          <w:color w:val="000000" w:themeColor="text1"/>
          <w:sz w:val="24"/>
          <w:szCs w:val="24"/>
          <w:highlight w:val="white"/>
        </w:rPr>
        <w:t>Journal of Business Finance &amp; Accounting</w:t>
      </w:r>
      <w:r w:rsidRPr="00A44509">
        <w:rPr>
          <w:rFonts w:ascii="Times New Roman" w:eastAsia="Times New Roman" w:hAnsi="Times New Roman" w:cs="Times New Roman"/>
          <w:color w:val="000000" w:themeColor="text1"/>
          <w:sz w:val="24"/>
          <w:szCs w:val="24"/>
          <w:highlight w:val="white"/>
        </w:rPr>
        <w:t xml:space="preserve">, </w:t>
      </w:r>
      <w:r w:rsidRPr="00A44509">
        <w:rPr>
          <w:rFonts w:ascii="Times New Roman" w:eastAsia="Times New Roman" w:hAnsi="Times New Roman" w:cs="Times New Roman"/>
          <w:i/>
          <w:color w:val="000000" w:themeColor="text1"/>
          <w:sz w:val="24"/>
          <w:szCs w:val="24"/>
          <w:highlight w:val="white"/>
        </w:rPr>
        <w:t>47</w:t>
      </w:r>
      <w:r w:rsidRPr="00A44509">
        <w:rPr>
          <w:rFonts w:ascii="Times New Roman" w:eastAsia="Times New Roman" w:hAnsi="Times New Roman" w:cs="Times New Roman"/>
          <w:color w:val="000000" w:themeColor="text1"/>
          <w:sz w:val="24"/>
          <w:szCs w:val="24"/>
          <w:highlight w:val="white"/>
        </w:rPr>
        <w:t>(3-4), pp.438-455.</w:t>
      </w:r>
    </w:p>
    <w:p w14:paraId="2E820E6E"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Arrowsmith, S., 2018. </w:t>
      </w:r>
      <w:r w:rsidRPr="00A44509">
        <w:rPr>
          <w:rFonts w:ascii="Times New Roman" w:eastAsia="Times New Roman" w:hAnsi="Times New Roman" w:cs="Times New Roman"/>
          <w:i/>
          <w:color w:val="000000" w:themeColor="text1"/>
          <w:sz w:val="24"/>
          <w:szCs w:val="24"/>
          <w:highlight w:val="white"/>
        </w:rPr>
        <w:t>The Law of Public and Utilities Procurement Volume 1 &amp; 2: Regulation in the EU and the UK</w:t>
      </w:r>
      <w:r w:rsidRPr="00A44509">
        <w:rPr>
          <w:rFonts w:ascii="Times New Roman" w:eastAsia="Times New Roman" w:hAnsi="Times New Roman" w:cs="Times New Roman"/>
          <w:color w:val="000000" w:themeColor="text1"/>
          <w:sz w:val="24"/>
          <w:szCs w:val="24"/>
          <w:highlight w:val="white"/>
        </w:rPr>
        <w:t>. Sweet and Maxwell.</w:t>
      </w:r>
    </w:p>
    <w:p w14:paraId="4E7052C6"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Leigh, I., 2019. Intelligence law and oversight in the UK. CH Beck/Hart.</w:t>
      </w:r>
    </w:p>
    <w:p w14:paraId="46245457"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Endicott, T., 2021. </w:t>
      </w:r>
      <w:r w:rsidRPr="00A44509">
        <w:rPr>
          <w:rFonts w:ascii="Times New Roman" w:eastAsia="Times New Roman" w:hAnsi="Times New Roman" w:cs="Times New Roman"/>
          <w:i/>
          <w:color w:val="000000" w:themeColor="text1"/>
          <w:sz w:val="24"/>
          <w:szCs w:val="24"/>
          <w:highlight w:val="white"/>
        </w:rPr>
        <w:t>Administrative law</w:t>
      </w:r>
      <w:r w:rsidRPr="00A44509">
        <w:rPr>
          <w:rFonts w:ascii="Times New Roman" w:eastAsia="Times New Roman" w:hAnsi="Times New Roman" w:cs="Times New Roman"/>
          <w:color w:val="000000" w:themeColor="text1"/>
          <w:sz w:val="24"/>
          <w:szCs w:val="24"/>
          <w:highlight w:val="white"/>
        </w:rPr>
        <w:t>. Oxford University Press.</w:t>
      </w:r>
    </w:p>
    <w:p w14:paraId="7AC46259"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Parpworth, N., 2018. </w:t>
      </w:r>
      <w:r w:rsidRPr="00A44509">
        <w:rPr>
          <w:rFonts w:ascii="Times New Roman" w:eastAsia="Times New Roman" w:hAnsi="Times New Roman" w:cs="Times New Roman"/>
          <w:i/>
          <w:color w:val="000000" w:themeColor="text1"/>
          <w:sz w:val="24"/>
          <w:szCs w:val="24"/>
          <w:highlight w:val="white"/>
        </w:rPr>
        <w:t>Constitutional and administrative law</w:t>
      </w:r>
      <w:r w:rsidRPr="00A44509">
        <w:rPr>
          <w:rFonts w:ascii="Times New Roman" w:eastAsia="Times New Roman" w:hAnsi="Times New Roman" w:cs="Times New Roman"/>
          <w:color w:val="000000" w:themeColor="text1"/>
          <w:sz w:val="24"/>
          <w:szCs w:val="24"/>
          <w:highlight w:val="white"/>
        </w:rPr>
        <w:t>. Oxford University Press.</w:t>
      </w:r>
    </w:p>
    <w:p w14:paraId="5AFDDAE1"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Chalkidis, I., Fergadiotis, M., Malakasiotis, P., Aletras, N. and Androutsopoulos, I., 2020. LEGAL-BERT: The muppets straight out of law school. </w:t>
      </w:r>
      <w:r w:rsidRPr="00A44509">
        <w:rPr>
          <w:rFonts w:ascii="Times New Roman" w:eastAsia="Times New Roman" w:hAnsi="Times New Roman" w:cs="Times New Roman"/>
          <w:i/>
          <w:color w:val="000000" w:themeColor="text1"/>
          <w:sz w:val="24"/>
          <w:szCs w:val="24"/>
          <w:highlight w:val="white"/>
        </w:rPr>
        <w:t>arXiv preprint arXiv:2010.02559</w:t>
      </w:r>
      <w:r w:rsidRPr="00A44509">
        <w:rPr>
          <w:rFonts w:ascii="Times New Roman" w:eastAsia="Times New Roman" w:hAnsi="Times New Roman" w:cs="Times New Roman"/>
          <w:color w:val="000000" w:themeColor="text1"/>
          <w:sz w:val="24"/>
          <w:szCs w:val="24"/>
          <w:highlight w:val="white"/>
        </w:rPr>
        <w:t>.</w:t>
      </w:r>
    </w:p>
    <w:p w14:paraId="57C2CEF7" w14:textId="77777777" w:rsidR="00C80B11" w:rsidRPr="00A44509" w:rsidRDefault="00A44509">
      <w:pPr>
        <w:pStyle w:val="Normal1"/>
        <w:jc w:val="both"/>
        <w:rPr>
          <w:rFonts w:ascii="Times New Roman" w:eastAsia="Times New Roman" w:hAnsi="Times New Roman" w:cs="Times New Roman"/>
          <w:color w:val="000000" w:themeColor="text1"/>
          <w:sz w:val="24"/>
          <w:szCs w:val="24"/>
          <w:highlight w:val="white"/>
        </w:rPr>
      </w:pPr>
      <w:r w:rsidRPr="00A44509">
        <w:rPr>
          <w:rFonts w:ascii="Times New Roman" w:eastAsia="Times New Roman" w:hAnsi="Times New Roman" w:cs="Times New Roman"/>
          <w:color w:val="000000" w:themeColor="text1"/>
          <w:sz w:val="24"/>
          <w:szCs w:val="24"/>
          <w:highlight w:val="white"/>
        </w:rPr>
        <w:t xml:space="preserve">Bently, L., Sherman, B., Gangjee, D. and Johnson, P., 2022. </w:t>
      </w:r>
      <w:r w:rsidRPr="00A44509">
        <w:rPr>
          <w:rFonts w:ascii="Times New Roman" w:eastAsia="Times New Roman" w:hAnsi="Times New Roman" w:cs="Times New Roman"/>
          <w:i/>
          <w:color w:val="000000" w:themeColor="text1"/>
          <w:sz w:val="24"/>
          <w:szCs w:val="24"/>
          <w:highlight w:val="white"/>
        </w:rPr>
        <w:t>Intellectual property law</w:t>
      </w:r>
      <w:r w:rsidRPr="00A44509">
        <w:rPr>
          <w:rFonts w:ascii="Times New Roman" w:eastAsia="Times New Roman" w:hAnsi="Times New Roman" w:cs="Times New Roman"/>
          <w:color w:val="000000" w:themeColor="text1"/>
          <w:sz w:val="24"/>
          <w:szCs w:val="24"/>
          <w:highlight w:val="white"/>
        </w:rPr>
        <w:t>. Oxford university press.</w:t>
      </w:r>
    </w:p>
    <w:sectPr w:rsidR="00C80B11" w:rsidRPr="00A44509" w:rsidSect="00C80B1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10BD1"/>
    <w:multiLevelType w:val="multilevel"/>
    <w:tmpl w:val="F4CA6E7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96711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80B11"/>
    <w:rsid w:val="001A1FB1"/>
    <w:rsid w:val="00515324"/>
    <w:rsid w:val="00A44509"/>
    <w:rsid w:val="00A852A0"/>
    <w:rsid w:val="00B9375A"/>
    <w:rsid w:val="00C80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3F75"/>
  <w15:docId w15:val="{4A81F6C6-7834-4EE6-902A-9CA31845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80B11"/>
    <w:pPr>
      <w:keepNext/>
      <w:keepLines/>
      <w:spacing w:before="400" w:after="120"/>
      <w:outlineLvl w:val="0"/>
    </w:pPr>
    <w:rPr>
      <w:sz w:val="40"/>
      <w:szCs w:val="40"/>
    </w:rPr>
  </w:style>
  <w:style w:type="paragraph" w:styleId="Heading2">
    <w:name w:val="heading 2"/>
    <w:basedOn w:val="Normal1"/>
    <w:next w:val="Normal1"/>
    <w:rsid w:val="00C80B11"/>
    <w:pPr>
      <w:keepNext/>
      <w:keepLines/>
      <w:spacing w:before="360" w:after="120"/>
      <w:outlineLvl w:val="1"/>
    </w:pPr>
    <w:rPr>
      <w:sz w:val="32"/>
      <w:szCs w:val="32"/>
    </w:rPr>
  </w:style>
  <w:style w:type="paragraph" w:styleId="Heading3">
    <w:name w:val="heading 3"/>
    <w:basedOn w:val="Normal1"/>
    <w:next w:val="Normal1"/>
    <w:rsid w:val="00C80B11"/>
    <w:pPr>
      <w:keepNext/>
      <w:keepLines/>
      <w:spacing w:before="320" w:after="80"/>
      <w:outlineLvl w:val="2"/>
    </w:pPr>
    <w:rPr>
      <w:color w:val="434343"/>
      <w:sz w:val="28"/>
      <w:szCs w:val="28"/>
    </w:rPr>
  </w:style>
  <w:style w:type="paragraph" w:styleId="Heading4">
    <w:name w:val="heading 4"/>
    <w:basedOn w:val="Normal1"/>
    <w:next w:val="Normal1"/>
    <w:rsid w:val="00C80B11"/>
    <w:pPr>
      <w:keepNext/>
      <w:keepLines/>
      <w:spacing w:before="280" w:after="80"/>
      <w:outlineLvl w:val="3"/>
    </w:pPr>
    <w:rPr>
      <w:color w:val="666666"/>
      <w:sz w:val="24"/>
      <w:szCs w:val="24"/>
    </w:rPr>
  </w:style>
  <w:style w:type="paragraph" w:styleId="Heading5">
    <w:name w:val="heading 5"/>
    <w:basedOn w:val="Normal1"/>
    <w:next w:val="Normal1"/>
    <w:rsid w:val="00C80B11"/>
    <w:pPr>
      <w:keepNext/>
      <w:keepLines/>
      <w:spacing w:before="240" w:after="80"/>
      <w:outlineLvl w:val="4"/>
    </w:pPr>
    <w:rPr>
      <w:color w:val="666666"/>
    </w:rPr>
  </w:style>
  <w:style w:type="paragraph" w:styleId="Heading6">
    <w:name w:val="heading 6"/>
    <w:basedOn w:val="Normal1"/>
    <w:next w:val="Normal1"/>
    <w:rsid w:val="00C80B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0B11"/>
  </w:style>
  <w:style w:type="paragraph" w:styleId="Title">
    <w:name w:val="Title"/>
    <w:basedOn w:val="Normal1"/>
    <w:next w:val="Normal1"/>
    <w:rsid w:val="00C80B11"/>
    <w:pPr>
      <w:keepNext/>
      <w:keepLines/>
      <w:spacing w:after="60"/>
    </w:pPr>
    <w:rPr>
      <w:sz w:val="52"/>
      <w:szCs w:val="52"/>
    </w:rPr>
  </w:style>
  <w:style w:type="paragraph" w:styleId="Subtitle">
    <w:name w:val="Subtitle"/>
    <w:basedOn w:val="Normal1"/>
    <w:next w:val="Normal1"/>
    <w:rsid w:val="00C80B1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1484</Words>
  <Characters>8465</Characters>
  <Application>Microsoft Office Word</Application>
  <DocSecurity>0</DocSecurity>
  <Lines>70</Lines>
  <Paragraphs>19</Paragraphs>
  <ScaleCrop>false</ScaleCrop>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Mihaela Carmen Tutu</cp:lastModifiedBy>
  <cp:revision>6</cp:revision>
  <dcterms:created xsi:type="dcterms:W3CDTF">2023-01-06T14:57:00Z</dcterms:created>
  <dcterms:modified xsi:type="dcterms:W3CDTF">2023-01-10T18:55:00Z</dcterms:modified>
</cp:coreProperties>
</file>