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1CCD21" w14:textId="77777777" w:rsidR="00EF30DA" w:rsidRPr="00C67C25" w:rsidRDefault="00EF30DA" w:rsidP="004A5658">
      <w:pPr>
        <w:spacing w:line="360" w:lineRule="auto"/>
        <w:jc w:val="both"/>
        <w:rPr>
          <w:rFonts w:ascii="Arial" w:hAnsi="Arial" w:cs="Arial"/>
          <w:b/>
          <w:bCs/>
          <w:sz w:val="48"/>
          <w:szCs w:val="48"/>
        </w:rPr>
      </w:pPr>
      <w:r w:rsidRPr="00C67C25">
        <w:rPr>
          <w:rFonts w:ascii="Arial" w:hAnsi="Arial" w:cs="Arial"/>
          <w:b/>
          <w:bCs/>
          <w:sz w:val="48"/>
          <w:szCs w:val="48"/>
        </w:rPr>
        <w:t>University of Wales Trinity Saint David</w:t>
      </w:r>
    </w:p>
    <w:p w14:paraId="7CF63C35" w14:textId="77777777" w:rsidR="00EF30DA" w:rsidRPr="00C67C25" w:rsidRDefault="00EF30DA" w:rsidP="004A5658">
      <w:pPr>
        <w:spacing w:line="360" w:lineRule="auto"/>
        <w:jc w:val="both"/>
        <w:rPr>
          <w:rFonts w:ascii="Arial" w:hAnsi="Arial" w:cs="Arial"/>
          <w:b/>
          <w:bCs/>
          <w:sz w:val="48"/>
          <w:szCs w:val="48"/>
        </w:rPr>
      </w:pPr>
      <w:r w:rsidRPr="00C67C25">
        <w:rPr>
          <w:rFonts w:ascii="Arial" w:hAnsi="Arial" w:cs="Arial"/>
          <w:b/>
          <w:bCs/>
          <w:sz w:val="48"/>
          <w:szCs w:val="48"/>
        </w:rPr>
        <w:t>Programme:</w:t>
      </w:r>
      <w:r w:rsidRPr="00C67C25">
        <w:rPr>
          <w:rFonts w:ascii="Arial" w:hAnsi="Arial" w:cs="Arial"/>
          <w:b/>
          <w:bCs/>
          <w:sz w:val="48"/>
          <w:szCs w:val="48"/>
        </w:rPr>
        <w:tab/>
        <w:t xml:space="preserve"> BSc (Hons) Health and Social Care </w:t>
      </w:r>
    </w:p>
    <w:p w14:paraId="0D70B990" w14:textId="5BB00AB0" w:rsidR="00EF30DA" w:rsidRPr="009F2828" w:rsidRDefault="00EF30DA" w:rsidP="004A5658">
      <w:pPr>
        <w:spacing w:line="360" w:lineRule="auto"/>
        <w:jc w:val="both"/>
        <w:rPr>
          <w:rFonts w:ascii="Arial" w:hAnsi="Arial" w:cs="Arial"/>
          <w:b/>
          <w:bCs/>
          <w:i/>
          <w:iCs/>
          <w:sz w:val="48"/>
          <w:szCs w:val="48"/>
        </w:rPr>
      </w:pPr>
      <w:r w:rsidRPr="00C67C25">
        <w:rPr>
          <w:rFonts w:ascii="Arial" w:hAnsi="Arial" w:cs="Arial"/>
          <w:b/>
          <w:bCs/>
          <w:sz w:val="48"/>
          <w:szCs w:val="48"/>
        </w:rPr>
        <w:t>Module:</w:t>
      </w:r>
      <w:r w:rsidRPr="00C67C25">
        <w:rPr>
          <w:rFonts w:ascii="Arial" w:hAnsi="Arial" w:cs="Arial"/>
          <w:b/>
          <w:bCs/>
          <w:sz w:val="48"/>
          <w:szCs w:val="48"/>
        </w:rPr>
        <w:tab/>
      </w:r>
      <w:r w:rsidR="005F7015" w:rsidRPr="009F2828">
        <w:rPr>
          <w:rFonts w:ascii="Arial" w:hAnsi="Arial" w:cs="Arial"/>
          <w:b/>
          <w:bCs/>
          <w:i/>
          <w:iCs/>
          <w:sz w:val="48"/>
          <w:szCs w:val="48"/>
        </w:rPr>
        <w:t>”</w:t>
      </w:r>
      <w:r w:rsidRPr="009F2828">
        <w:rPr>
          <w:rFonts w:ascii="Arial" w:hAnsi="Arial" w:cs="Arial"/>
          <w:b/>
          <w:bCs/>
          <w:i/>
          <w:iCs/>
          <w:sz w:val="48"/>
          <w:szCs w:val="48"/>
        </w:rPr>
        <w:t>Empowerment of the elderly person</w:t>
      </w:r>
      <w:r w:rsidR="005F7015" w:rsidRPr="009F2828">
        <w:rPr>
          <w:rFonts w:ascii="Arial" w:hAnsi="Arial" w:cs="Arial"/>
          <w:b/>
          <w:bCs/>
          <w:i/>
          <w:iCs/>
          <w:sz w:val="48"/>
          <w:szCs w:val="48"/>
        </w:rPr>
        <w:t>.”</w:t>
      </w:r>
    </w:p>
    <w:p w14:paraId="5C390C4B" w14:textId="115D4B68" w:rsidR="00EF30DA" w:rsidRPr="00C67C25" w:rsidRDefault="00EF30DA" w:rsidP="004A5658">
      <w:pPr>
        <w:spacing w:line="360" w:lineRule="auto"/>
        <w:jc w:val="both"/>
        <w:rPr>
          <w:rFonts w:ascii="Arial" w:hAnsi="Arial" w:cs="Arial"/>
          <w:b/>
          <w:bCs/>
          <w:sz w:val="48"/>
          <w:szCs w:val="48"/>
        </w:rPr>
      </w:pPr>
      <w:r w:rsidRPr="00C67C25">
        <w:rPr>
          <w:rFonts w:ascii="Arial" w:hAnsi="Arial" w:cs="Arial"/>
          <w:b/>
          <w:bCs/>
          <w:sz w:val="48"/>
          <w:szCs w:val="48"/>
        </w:rPr>
        <w:t>Module code:</w:t>
      </w:r>
      <w:r w:rsidRPr="00C67C25">
        <w:rPr>
          <w:rFonts w:ascii="Arial" w:hAnsi="Arial" w:cs="Arial"/>
          <w:b/>
          <w:bCs/>
          <w:sz w:val="48"/>
          <w:szCs w:val="48"/>
        </w:rPr>
        <w:tab/>
        <w:t>BMHP6027</w:t>
      </w:r>
    </w:p>
    <w:p w14:paraId="1399763C" w14:textId="77777777" w:rsidR="00EF30DA" w:rsidRDefault="00EF30DA" w:rsidP="004A5658">
      <w:pPr>
        <w:spacing w:line="360" w:lineRule="auto"/>
        <w:jc w:val="both"/>
        <w:rPr>
          <w:rFonts w:ascii="Arial" w:hAnsi="Arial" w:cs="Arial"/>
          <w:b/>
          <w:bCs/>
          <w:sz w:val="48"/>
          <w:szCs w:val="48"/>
        </w:rPr>
      </w:pPr>
      <w:r w:rsidRPr="00C67C25">
        <w:rPr>
          <w:rFonts w:ascii="Arial" w:hAnsi="Arial" w:cs="Arial"/>
          <w:b/>
          <w:bCs/>
          <w:sz w:val="48"/>
          <w:szCs w:val="48"/>
        </w:rPr>
        <w:t>Topic title:</w:t>
      </w:r>
      <w:r w:rsidRPr="00C67C25">
        <w:rPr>
          <w:rFonts w:ascii="Arial" w:hAnsi="Arial" w:cs="Arial"/>
          <w:b/>
          <w:bCs/>
          <w:sz w:val="48"/>
          <w:szCs w:val="48"/>
        </w:rPr>
        <w:tab/>
        <w:t>Component 2: Debate / Discussion</w:t>
      </w:r>
    </w:p>
    <w:p w14:paraId="04735183" w14:textId="7BDE1BE1" w:rsidR="00F9125A" w:rsidRPr="005E1EA1" w:rsidRDefault="00F9125A" w:rsidP="00426FDA">
      <w:pPr>
        <w:spacing w:line="360" w:lineRule="auto"/>
        <w:jc w:val="both"/>
        <w:rPr>
          <w:rFonts w:ascii="Arial" w:hAnsi="Arial" w:cs="Arial"/>
          <w:b/>
          <w:bCs/>
          <w:i/>
          <w:iCs/>
          <w:sz w:val="48"/>
          <w:szCs w:val="48"/>
        </w:rPr>
      </w:pPr>
      <w:r>
        <w:rPr>
          <w:rFonts w:ascii="Arial" w:hAnsi="Arial" w:cs="Arial"/>
          <w:b/>
          <w:bCs/>
          <w:i/>
          <w:iCs/>
          <w:sz w:val="48"/>
          <w:szCs w:val="48"/>
        </w:rPr>
        <w:t>”</w:t>
      </w:r>
      <w:r w:rsidRPr="005E1EA1">
        <w:rPr>
          <w:rFonts w:ascii="Arial" w:hAnsi="Arial" w:cs="Arial"/>
          <w:b/>
          <w:bCs/>
          <w:i/>
          <w:iCs/>
          <w:sz w:val="48"/>
          <w:szCs w:val="48"/>
        </w:rPr>
        <w:t xml:space="preserve">Older people in the United Kingdom </w:t>
      </w:r>
    </w:p>
    <w:p w14:paraId="508AB174" w14:textId="56B171D7" w:rsidR="00F9125A" w:rsidRDefault="00F9125A" w:rsidP="00426FDA">
      <w:pPr>
        <w:spacing w:line="360" w:lineRule="auto"/>
        <w:jc w:val="both"/>
        <w:rPr>
          <w:rFonts w:ascii="Arial" w:hAnsi="Arial" w:cs="Arial"/>
          <w:b/>
          <w:bCs/>
          <w:i/>
          <w:iCs/>
          <w:sz w:val="48"/>
          <w:szCs w:val="48"/>
        </w:rPr>
      </w:pPr>
      <w:r w:rsidRPr="005E1EA1">
        <w:rPr>
          <w:rFonts w:ascii="Arial" w:hAnsi="Arial" w:cs="Arial"/>
          <w:b/>
          <w:bCs/>
          <w:i/>
          <w:iCs/>
          <w:sz w:val="48"/>
          <w:szCs w:val="48"/>
        </w:rPr>
        <w:t>who tend to stay in the house for a long time</w:t>
      </w:r>
      <w:r w:rsidR="00081A1B">
        <w:rPr>
          <w:rFonts w:ascii="Arial" w:hAnsi="Arial" w:cs="Arial"/>
          <w:b/>
          <w:bCs/>
          <w:i/>
          <w:iCs/>
          <w:sz w:val="48"/>
          <w:szCs w:val="48"/>
        </w:rPr>
        <w:t>;</w:t>
      </w:r>
      <w:r w:rsidR="001F4D80">
        <w:rPr>
          <w:rFonts w:ascii="Arial" w:hAnsi="Arial" w:cs="Arial"/>
          <w:b/>
          <w:bCs/>
          <w:i/>
          <w:iCs/>
          <w:sz w:val="48"/>
          <w:szCs w:val="48"/>
        </w:rPr>
        <w:t xml:space="preserve"> </w:t>
      </w:r>
      <w:r w:rsidRPr="005E1EA1">
        <w:rPr>
          <w:rFonts w:ascii="Arial" w:hAnsi="Arial" w:cs="Arial"/>
          <w:b/>
          <w:bCs/>
          <w:i/>
          <w:iCs/>
          <w:sz w:val="48"/>
          <w:szCs w:val="48"/>
        </w:rPr>
        <w:t>-causes and effects-</w:t>
      </w:r>
      <w:r>
        <w:rPr>
          <w:rFonts w:ascii="Arial" w:hAnsi="Arial" w:cs="Arial"/>
          <w:b/>
          <w:bCs/>
          <w:i/>
          <w:iCs/>
          <w:sz w:val="48"/>
          <w:szCs w:val="48"/>
        </w:rPr>
        <w:t>”</w:t>
      </w:r>
    </w:p>
    <w:p w14:paraId="0F951065" w14:textId="77777777" w:rsidR="001F4D80" w:rsidRDefault="001F4D80" w:rsidP="00426FDA">
      <w:pPr>
        <w:spacing w:line="360" w:lineRule="auto"/>
        <w:jc w:val="both"/>
        <w:rPr>
          <w:rFonts w:ascii="Arial" w:hAnsi="Arial" w:cs="Arial"/>
          <w:b/>
          <w:bCs/>
          <w:i/>
          <w:iCs/>
          <w:sz w:val="48"/>
          <w:szCs w:val="48"/>
        </w:rPr>
      </w:pPr>
    </w:p>
    <w:p w14:paraId="174DFDAD" w14:textId="5B96FACD" w:rsidR="00A9016F" w:rsidRDefault="00A9016F" w:rsidP="00426FDA">
      <w:pPr>
        <w:spacing w:line="360" w:lineRule="auto"/>
        <w:jc w:val="both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Student:    Geamanu Marian Gherasim</w:t>
      </w:r>
    </w:p>
    <w:p w14:paraId="0890D152" w14:textId="234E89CB" w:rsidR="006D2BD4" w:rsidRDefault="006D2BD4" w:rsidP="00426FDA">
      <w:pPr>
        <w:spacing w:line="360" w:lineRule="auto"/>
        <w:jc w:val="both"/>
        <w:rPr>
          <w:rFonts w:ascii="Arial" w:hAnsi="Arial" w:cs="Arial"/>
          <w:b/>
          <w:bCs/>
          <w:sz w:val="52"/>
          <w:szCs w:val="52"/>
        </w:rPr>
      </w:pPr>
      <w:r w:rsidRPr="00260759">
        <w:rPr>
          <w:rFonts w:ascii="Arial" w:hAnsi="Arial" w:cs="Arial"/>
          <w:b/>
          <w:bCs/>
          <w:sz w:val="52"/>
          <w:szCs w:val="52"/>
        </w:rPr>
        <w:t>Tutor:     Mr Dr</w:t>
      </w:r>
      <w:r w:rsidR="00F8058C">
        <w:rPr>
          <w:rFonts w:ascii="Arial" w:hAnsi="Arial" w:cs="Arial"/>
          <w:b/>
          <w:bCs/>
          <w:sz w:val="52"/>
          <w:szCs w:val="52"/>
        </w:rPr>
        <w:t xml:space="preserve"> PhD</w:t>
      </w:r>
      <w:r w:rsidRPr="00260759">
        <w:rPr>
          <w:rFonts w:ascii="Arial" w:hAnsi="Arial" w:cs="Arial"/>
          <w:b/>
          <w:bCs/>
          <w:sz w:val="52"/>
          <w:szCs w:val="52"/>
        </w:rPr>
        <w:t xml:space="preserve"> </w:t>
      </w:r>
      <w:r w:rsidR="0056575D" w:rsidRPr="00260759">
        <w:rPr>
          <w:rFonts w:ascii="Arial" w:hAnsi="Arial" w:cs="Arial"/>
          <w:b/>
          <w:bCs/>
          <w:sz w:val="52"/>
          <w:szCs w:val="52"/>
        </w:rPr>
        <w:t>Kennedy Obo</w:t>
      </w:r>
      <w:r w:rsidR="005B0A78" w:rsidRPr="00260759">
        <w:rPr>
          <w:rFonts w:ascii="Arial" w:hAnsi="Arial" w:cs="Arial"/>
          <w:b/>
          <w:bCs/>
          <w:sz w:val="52"/>
          <w:szCs w:val="52"/>
        </w:rPr>
        <w:t>h</w:t>
      </w:r>
      <w:r w:rsidR="005F7015" w:rsidRPr="00260759">
        <w:rPr>
          <w:rFonts w:ascii="Arial" w:hAnsi="Arial" w:cs="Arial"/>
          <w:b/>
          <w:bCs/>
          <w:sz w:val="52"/>
          <w:szCs w:val="52"/>
        </w:rPr>
        <w:t>wemu</w:t>
      </w:r>
    </w:p>
    <w:p w14:paraId="3B3D3D29" w14:textId="77777777" w:rsidR="00640AF2" w:rsidRDefault="00640AF2" w:rsidP="00426FDA">
      <w:pPr>
        <w:spacing w:line="360" w:lineRule="auto"/>
        <w:jc w:val="both"/>
        <w:rPr>
          <w:rFonts w:ascii="Arial" w:hAnsi="Arial" w:cs="Arial"/>
          <w:b/>
          <w:bCs/>
          <w:sz w:val="52"/>
          <w:szCs w:val="52"/>
        </w:rPr>
      </w:pPr>
    </w:p>
    <w:p w14:paraId="34AEBF59" w14:textId="43B83A73" w:rsidR="00640AF2" w:rsidRPr="00640AF2" w:rsidRDefault="00640AF2" w:rsidP="00640AF2">
      <w:pPr>
        <w:spacing w:line="360" w:lineRule="auto"/>
        <w:jc w:val="both"/>
        <w:rPr>
          <w:rFonts w:ascii="Arial" w:hAnsi="Arial" w:cs="Arial"/>
          <w:b/>
          <w:bCs/>
          <w:sz w:val="52"/>
          <w:szCs w:val="52"/>
        </w:rPr>
      </w:pPr>
      <w:r w:rsidRPr="004219C2">
        <w:rPr>
          <w:rFonts w:ascii="Arial" w:hAnsi="Arial" w:cs="Arial"/>
          <w:b/>
          <w:bCs/>
          <w:sz w:val="32"/>
          <w:szCs w:val="32"/>
          <w:u w:val="single"/>
        </w:rPr>
        <w:t>References.</w:t>
      </w:r>
    </w:p>
    <w:p w14:paraId="2EEF9798" w14:textId="1EFDD5B9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AGE UK (2019). All Lonely People: Loneliness in Later Life. [online] Ageuk.org.uk. Available at: https://www.ageuk.org.uk/latest-press/articles/2018/october/all-the-lonely-people-report/.</w:t>
      </w:r>
    </w:p>
    <w:p w14:paraId="38976907" w14:textId="08E15D70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BMC Public Health (no date) Volume 21, Issue 1. Springer Nature. Available at: https://link.springer.com/journal/12889/volumes-and-issues/21-1  (Accessed: 6 March 2026).</w:t>
      </w:r>
    </w:p>
    <w:p w14:paraId="0BAFF76D" w14:textId="53FC3CC0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British Society of Geriatrics. (2025). Healthy Aging Back: Perspectives on the 'Local' and Age-Friendliness in the Built Environment | British Society of Geriatrics. [online] Available at: https://www.bgs.org.uk/healthy-ageing-in-place-perspectives-on-local-and-age-friendliness-in-the-built-environment.</w:t>
      </w:r>
    </w:p>
    <w:p w14:paraId="78B3CC63" w14:textId="3F56BA7F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Campion, J. (2018) „Understanding Health and Social Care, Jon Glasby”, The British Journal of Social Work, 48(4), pp. 1141–1143. doi: 10.1093/bjsw/bcx040.</w:t>
      </w:r>
    </w:p>
    <w:p w14:paraId="430DE7E3" w14:textId="35775A60" w:rsidR="00AB336C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 xml:space="preserve">Centre for Better Aging (2025). Our Aging Population | State of Aging 2025. [online] The Centre for Better Aging. Available at: </w:t>
      </w:r>
      <w:r w:rsidR="00CC3E78" w:rsidRPr="00724C12">
        <w:rPr>
          <w:rFonts w:ascii="Arial" w:hAnsi="Arial" w:cs="Arial"/>
        </w:rPr>
        <w:t>https://ageing-better.org.uk/our-ageing-population-state-ageing-2025</w:t>
      </w:r>
      <w:r w:rsidRPr="00724C12">
        <w:rPr>
          <w:rFonts w:ascii="Arial" w:hAnsi="Arial" w:cs="Arial"/>
        </w:rPr>
        <w:t>.</w:t>
      </w:r>
    </w:p>
    <w:p w14:paraId="02D38E46" w14:textId="77777777" w:rsidR="00181088" w:rsidRPr="00724C12" w:rsidRDefault="00181088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Foster, D., Carthew, H., Woodhouse, J., Garratt, K., &amp; Wilson, S. (2024). Loneliness and isolation in the elderly and vulnerable. [online] Library of the House of Commons. Available at: https://commonslibrary.parliament.uk/research-briefings/cdp-2023-0215/.</w:t>
      </w:r>
    </w:p>
    <w:p w14:paraId="4C7070BB" w14:textId="662B47F2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Glendinning, C. (2003). Dismantling barriers: integrating health and care services for older people in England. Health Policy, 65(2), pp.139–151. doi:https://doi.org/10.1016/s0168-8510(02)00205-1.</w:t>
      </w:r>
    </w:p>
    <w:p w14:paraId="10A18E5A" w14:textId="7BCBAE30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Goodwin, V.A., Low, M., Quinn, T.J., Cockcroft, E., Shepherd, V., Evans, P., Henderson, E., Mahmood, F., Mary Ní Lochlainn, Needham, C., Underwood, B.R., Arora, A., &amp; Witham, M. (2023). Inclusion of older people in health and social care research: good practice recommendations based on the INCLUDE framework. Age and Aging, 52(6). doi:https://doi.org/10.1093/ageing/afad082.</w:t>
      </w:r>
    </w:p>
    <w:p w14:paraId="20DED310" w14:textId="56123D53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GOV.UK. (2023). Reforming the adult social care system: the next steps to put people at the center of care. [online] Available at: https://www.gov.uk/government/publications/adult-social-care-system-reform-next-steps-to-put-people-at-the-heart-of-care.</w:t>
      </w:r>
    </w:p>
    <w:p w14:paraId="59DBA8C1" w14:textId="2127E593" w:rsidR="002D39FE" w:rsidRPr="00A87877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87877">
        <w:rPr>
          <w:rFonts w:ascii="Arial" w:hAnsi="Arial" w:cs="Arial"/>
        </w:rPr>
        <w:lastRenderedPageBreak/>
        <w:t>Helsper, E.J., &amp; Reisdorf, B.C. (2016). The emergence of a 'digital lower class' in the UK and Sweden: Changing reasons for digital exclusion. New Media &amp; Society, 19(8), pp.1253–1270.</w:t>
      </w:r>
    </w:p>
    <w:p w14:paraId="60C2A0F3" w14:textId="1B382F46" w:rsidR="00365F50" w:rsidRPr="00A87877" w:rsidRDefault="002D39FE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87877">
        <w:rPr>
          <w:rFonts w:ascii="Arial" w:hAnsi="Arial" w:cs="Arial"/>
        </w:rPr>
        <w:t xml:space="preserve">Her Majesty's Government (2018). A connected society, a strategy to combat loneliness – laying the foundations for change. [online] Available at: </w:t>
      </w:r>
      <w:r w:rsidR="00D96972" w:rsidRPr="00A87877">
        <w:rPr>
          <w:rFonts w:ascii="Arial" w:hAnsi="Arial" w:cs="Arial"/>
        </w:rPr>
        <w:t>https://assets.publishing.service.gov.uk/media/5fb66cf98fa8f54aafb3c333/6.4882_DCMS_Loneliness_Strategy_web_Update_V2.pd</w:t>
      </w:r>
    </w:p>
    <w:p w14:paraId="2A5888E7" w14:textId="402076D6" w:rsidR="00D96972" w:rsidRPr="00A87877" w:rsidRDefault="00365F50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A87877">
        <w:rPr>
          <w:rFonts w:ascii="Arial" w:hAnsi="Arial" w:cs="Arial"/>
        </w:rPr>
        <w:t>Innovation in Aging (2025) Volume 9, Issue 6. Oxford University Press. Available at: https://academic.oup.com/innovateage/issue/9/6  (Accessed: 7 March 2026).</w:t>
      </w:r>
    </w:p>
    <w:p w14:paraId="62D2711C" w14:textId="017A9A71" w:rsidR="008C3FEB" w:rsidRPr="00724C12" w:rsidRDefault="004F0C21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Office for National Statistics (2015). Health and life expectancy - Bureau for National Statistics. [online] Ons.gov.uk. Available at: https://www.ons.gov.uk/peoplepopulationandcommunity/healthandsocialcare/healthandlifeexpectancies.</w:t>
      </w:r>
    </w:p>
    <w:p w14:paraId="6B2FC69D" w14:textId="58A9072E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 xml:space="preserve">Holt-Lunstad, J., Smith, T.B., Baker, M., Harris, T. &amp; Stephenson, D. (2015), </w:t>
      </w:r>
      <w:r w:rsidR="00601AD1" w:rsidRPr="00724C12">
        <w:rPr>
          <w:rFonts w:ascii="Arial" w:hAnsi="Arial" w:cs="Arial"/>
        </w:rPr>
        <w:t>Loneliness,</w:t>
      </w:r>
      <w:r w:rsidRPr="00724C12">
        <w:rPr>
          <w:rFonts w:ascii="Arial" w:hAnsi="Arial" w:cs="Arial"/>
        </w:rPr>
        <w:t xml:space="preserve"> and social isolation as risk factors for mortality: A meta-analytic review, Perspectives on Psychological Science, vol. 10, nr. 2, pp. 227–237. Disponibil la: https://local.psy.miami.edu/faculty/dmessinger/c_c/rsrcs/rdgs/emot/PerspectivesonPsychologicalScience-2015-Holt-Lunstad-227-37.pdf  (accessed on March 3, 2026).</w:t>
      </w:r>
    </w:p>
    <w:p w14:paraId="22E35D56" w14:textId="4D9F031B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Lewis, C., &amp; Buffel, T. (2020). Aging at home and the places of aging: a longitudinal study. Journal of Aging Studies, 54(54), p.100870. doi:https://doi.org/10.1016/j.jaging.2020.100870.</w:t>
      </w:r>
    </w:p>
    <w:p w14:paraId="07808017" w14:textId="1598615F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Li, L., Carrino, L., Reinhard, E., &amp; Avendano, M. (2023). Has the UK's Campaign to End Loneliness reduced loneliness and improved mental health at ages? A design with differences in differences. The American Journal of Geriatric Psychiatry, [online] 32(3). doi:https://doi.org/10.1016/j.jagp.2023.10.007.</w:t>
      </w:r>
    </w:p>
    <w:p w14:paraId="19653D1D" w14:textId="4BF16753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London Borough of Hammersmith and Fulham. (2014). Care Act 2014. [online] Available at: https://www.lbhf.gov.uk/living-independently/care-and-support/managing-your-affairs/care-act-2014.</w:t>
      </w:r>
    </w:p>
    <w:p w14:paraId="5BE631CA" w14:textId="7324448A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Lowe, T.A., &amp; Meijering, L. (2026). Special Issue on Aging Back: Introduction. Tijdschrift voor Economische en Sociale Geografie, 117(1), pp.4–9. doi:https://doi.org/10.1111/tesg.70063.</w:t>
      </w:r>
    </w:p>
    <w:p w14:paraId="012DC42C" w14:textId="77777777" w:rsidR="003445AF" w:rsidRDefault="003445AF" w:rsidP="000A56C5">
      <w:pPr>
        <w:pStyle w:val="Listparagraf"/>
        <w:spacing w:line="360" w:lineRule="auto"/>
        <w:jc w:val="both"/>
        <w:rPr>
          <w:rFonts w:ascii="Arial" w:hAnsi="Arial" w:cs="Arial"/>
        </w:rPr>
      </w:pPr>
    </w:p>
    <w:p w14:paraId="756CAA02" w14:textId="60358B4C" w:rsidR="00BF0AE6" w:rsidRPr="003445AF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445AF">
        <w:rPr>
          <w:rFonts w:ascii="Arial" w:hAnsi="Arial" w:cs="Arial"/>
        </w:rPr>
        <w:t xml:space="preserve">Mehlmann-Wicks, J. (2022). The impact of the pandemic on population health and health inequalities. [online] The British Medical Association is the trade union and professional body for doctors in the UK. Available at: </w:t>
      </w:r>
      <w:r w:rsidR="004F0C21" w:rsidRPr="003445AF">
        <w:rPr>
          <w:rFonts w:ascii="Arial" w:hAnsi="Arial" w:cs="Arial"/>
        </w:rPr>
        <w:t>https://www.bma.org.uk/advice-and-support/covid-19/what-the-bma-is-doing/the-impact-of-the-pandemic-on-population-health-and-health-inequalities</w:t>
      </w:r>
      <w:r w:rsidRPr="003445AF">
        <w:rPr>
          <w:rFonts w:ascii="Arial" w:hAnsi="Arial" w:cs="Arial"/>
        </w:rPr>
        <w:t>.</w:t>
      </w:r>
    </w:p>
    <w:p w14:paraId="21441796" w14:textId="74E684AD" w:rsidR="004F0C21" w:rsidRPr="00724C12" w:rsidRDefault="004D6058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lastRenderedPageBreak/>
        <w:t xml:space="preserve">Office for National Statistics (2015). Health and life expectancy - Bureau for National Statistics. [online] Ons.gov.uk. Available at: </w:t>
      </w:r>
      <w:r w:rsidR="00653711" w:rsidRPr="00724C12">
        <w:rPr>
          <w:rFonts w:ascii="Arial" w:hAnsi="Arial" w:cs="Arial"/>
        </w:rPr>
        <w:t>https://www.ons.gov.uk/peoplepopulationandcommunity/healthandsocialcare/healthandlifeexpectancies</w:t>
      </w:r>
      <w:r w:rsidRPr="00724C12">
        <w:rPr>
          <w:rFonts w:ascii="Arial" w:hAnsi="Arial" w:cs="Arial"/>
        </w:rPr>
        <w:t>.</w:t>
      </w:r>
    </w:p>
    <w:p w14:paraId="092099EF" w14:textId="340B960B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Ornstein, K.A., Leff, B., Covinsky, K.E., Ritchie, C.S., Federman, A.D., Roberts, L., Kelley, A.S., Siu, A.L., &amp; Szanton, S.L. (2015). Epidemiology of the Population Immobilized at Home in the United States. JAMA Internal Medicine, [online] 175(7), p.1180. doi:https://doi.org/10.1001/jamainternmed.2015.1849.</w:t>
      </w:r>
    </w:p>
    <w:p w14:paraId="42BE23F1" w14:textId="7A626A76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Palacios, A., Walker, S., Woods, B., &amp; Richardson, G. (2024). Economic Evaluation of the Empowerment of Older Patients Making the Transition from Hospital to Home: A Study-Based Analysis of the "Your Care Needs You" Intervention. arXiv (Cornell University). doi:https://doi.org/10.48550/arxiv.2411.04339.</w:t>
      </w:r>
    </w:p>
    <w:p w14:paraId="13759E49" w14:textId="6A1D0D4B" w:rsidR="00640AF2" w:rsidRPr="00724C12" w:rsidRDefault="00981324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Policy navigator. (2022). White Paper on the Integration of Health and Social Care: 'Uniting Care for People, Places and Populations' | Policy navigator. [online] Available at: https://navigator.health.org.uk/theme/health-and-social-care-integration-white-paper-joining-up-care-for-people-places-and-populations [Accessed 7 March 2026].</w:t>
      </w:r>
    </w:p>
    <w:p w14:paraId="2245FFCF" w14:textId="4679B6C9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Rocío Fernández-Piqueras, González-García, R.J., Sanz-Ponce, R., &amp; Calero-Plaza, J. (2025). Digital divides in older people: assessment of digital skills and proposals for meaningful inclusion. European Journal of Investigation in Health Psychology and Education, [online] 15(10), pp.196–196. doi:https://doi.org/10.3390/ejihpe15100196.</w:t>
      </w:r>
    </w:p>
    <w:p w14:paraId="72735EE5" w14:textId="56546437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Sciepub.com. (2019). Victor, C., &amp; Bowling, A. (2012). A longitudinal analysis of loneliness among older people in the UK, The Journal of Psychology, 146:3, 313-331. [online] Available at: https://www.sciepub.com/reference/280712 [Accessed 7 March 2026].</w:t>
      </w:r>
    </w:p>
    <w:p w14:paraId="4F0C67F5" w14:textId="513D4908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Sixsmith, A. &amp; Sixsmith, J. (2008). Aging back in the United Kingdom. Ageing International, [online] 32(3), pp.219–235. doi:https://doi.org/10.1007/s12126-008-9019-y.</w:t>
      </w:r>
    </w:p>
    <w:p w14:paraId="29FD0A15" w14:textId="1B9B19A5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Springer Nature (2023). Fundamentals of Open Access and Open Research | Open Science | Springer Nature. [online] Springernature.com. Available at: https://www.springernature.com/gp/open-science/about/the-fundamentals-of-open-access-and-open-research.</w:t>
      </w:r>
    </w:p>
    <w:p w14:paraId="6B788691" w14:textId="1D38686F" w:rsidR="00640AF2" w:rsidRPr="00724C12" w:rsidRDefault="00640AF2" w:rsidP="003445AF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World Health Organization (2020). WHO guidelines on physical activity and sedentary behaviour. [online] World Health Organization. Available at:</w:t>
      </w:r>
    </w:p>
    <w:p w14:paraId="7CAAE271" w14:textId="263F3606" w:rsidR="00640AF2" w:rsidRPr="00724C12" w:rsidRDefault="00365F50" w:rsidP="003445AF">
      <w:pPr>
        <w:pStyle w:val="Listparagraf"/>
        <w:spacing w:line="360" w:lineRule="auto"/>
        <w:jc w:val="both"/>
        <w:rPr>
          <w:rFonts w:ascii="Arial" w:hAnsi="Arial" w:cs="Arial"/>
        </w:rPr>
      </w:pPr>
      <w:r w:rsidRPr="00724C12">
        <w:rPr>
          <w:rFonts w:ascii="Arial" w:hAnsi="Arial" w:cs="Arial"/>
        </w:rPr>
        <w:t>https://www.who.int/publications/i/item/9789240015128</w:t>
      </w:r>
      <w:r w:rsidR="00640AF2" w:rsidRPr="00724C12">
        <w:rPr>
          <w:rFonts w:ascii="Arial" w:hAnsi="Arial" w:cs="Arial"/>
        </w:rPr>
        <w:t>.</w:t>
      </w:r>
    </w:p>
    <w:p w14:paraId="3C565D3E" w14:textId="77777777" w:rsidR="008C2892" w:rsidRPr="00724C12" w:rsidRDefault="008C2892" w:rsidP="003445AF">
      <w:pPr>
        <w:pStyle w:val="Listparagraf"/>
        <w:spacing w:line="360" w:lineRule="auto"/>
        <w:jc w:val="both"/>
        <w:rPr>
          <w:rFonts w:ascii="Arial" w:hAnsi="Arial" w:cs="Arial"/>
        </w:rPr>
      </w:pPr>
    </w:p>
    <w:sectPr w:rsidR="008C2892" w:rsidRPr="00724C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DF0E22"/>
    <w:multiLevelType w:val="hybridMultilevel"/>
    <w:tmpl w:val="F52E9060"/>
    <w:lvl w:ilvl="0" w:tplc="9ADEA81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A1F82"/>
    <w:multiLevelType w:val="multilevel"/>
    <w:tmpl w:val="DC9E20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" w15:restartNumberingAfterBreak="0">
    <w:nsid w:val="6A1044AC"/>
    <w:multiLevelType w:val="multilevel"/>
    <w:tmpl w:val="9CF4D8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" w15:restartNumberingAfterBreak="0">
    <w:nsid w:val="6B1B37DE"/>
    <w:multiLevelType w:val="hybridMultilevel"/>
    <w:tmpl w:val="A2CAA81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7C0AE1"/>
    <w:multiLevelType w:val="multilevel"/>
    <w:tmpl w:val="1AE647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1088424345">
    <w:abstractNumId w:val="3"/>
  </w:num>
  <w:num w:numId="2" w16cid:durableId="1408838863">
    <w:abstractNumId w:val="0"/>
  </w:num>
  <w:num w:numId="3" w16cid:durableId="2066025298">
    <w:abstractNumId w:val="2"/>
  </w:num>
  <w:num w:numId="4" w16cid:durableId="614142547">
    <w:abstractNumId w:val="4"/>
  </w:num>
  <w:num w:numId="5" w16cid:durableId="19019383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EDC"/>
    <w:rsid w:val="00076A84"/>
    <w:rsid w:val="00081A1B"/>
    <w:rsid w:val="00092546"/>
    <w:rsid w:val="000A56C5"/>
    <w:rsid w:val="00113B85"/>
    <w:rsid w:val="00181088"/>
    <w:rsid w:val="001F4D80"/>
    <w:rsid w:val="00260759"/>
    <w:rsid w:val="002D39FE"/>
    <w:rsid w:val="002D4AC5"/>
    <w:rsid w:val="00316EDC"/>
    <w:rsid w:val="003445AF"/>
    <w:rsid w:val="00365F50"/>
    <w:rsid w:val="003A222C"/>
    <w:rsid w:val="003E7430"/>
    <w:rsid w:val="004219C2"/>
    <w:rsid w:val="004D4E4C"/>
    <w:rsid w:val="004D5ABB"/>
    <w:rsid w:val="004D6058"/>
    <w:rsid w:val="004F0C21"/>
    <w:rsid w:val="0056575D"/>
    <w:rsid w:val="005B0A78"/>
    <w:rsid w:val="005E1EA1"/>
    <w:rsid w:val="005F7015"/>
    <w:rsid w:val="00601AD1"/>
    <w:rsid w:val="00640AF2"/>
    <w:rsid w:val="00653711"/>
    <w:rsid w:val="00693A0A"/>
    <w:rsid w:val="006C7DB2"/>
    <w:rsid w:val="006D2BD4"/>
    <w:rsid w:val="00724C12"/>
    <w:rsid w:val="008C2892"/>
    <w:rsid w:val="008C3FEB"/>
    <w:rsid w:val="008E3941"/>
    <w:rsid w:val="00904E76"/>
    <w:rsid w:val="00981324"/>
    <w:rsid w:val="009F2828"/>
    <w:rsid w:val="00A20388"/>
    <w:rsid w:val="00A35C43"/>
    <w:rsid w:val="00A87877"/>
    <w:rsid w:val="00A9016F"/>
    <w:rsid w:val="00AB336C"/>
    <w:rsid w:val="00BF0AE6"/>
    <w:rsid w:val="00C67C25"/>
    <w:rsid w:val="00CC3E78"/>
    <w:rsid w:val="00D96972"/>
    <w:rsid w:val="00E54A97"/>
    <w:rsid w:val="00EA5EB6"/>
    <w:rsid w:val="00EF30DA"/>
    <w:rsid w:val="00F174F1"/>
    <w:rsid w:val="00F70C7D"/>
    <w:rsid w:val="00F8058C"/>
    <w:rsid w:val="00F9125A"/>
    <w:rsid w:val="00FD6E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3D38F9"/>
  <w15:chartTrackingRefBased/>
  <w15:docId w15:val="{B13DE20F-9AE4-4BD1-B0A4-665F59BCAE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316E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316E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316E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316E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316E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316E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316E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316E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316E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316E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316E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316E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316ED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316ED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316ED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316ED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316ED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316ED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316E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316E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316E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316E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316E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316ED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316ED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316ED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316E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316ED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316ED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Fontdeparagrafimplicit"/>
    <w:uiPriority w:val="99"/>
    <w:unhideWhenUsed/>
    <w:rsid w:val="002D4AC5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2D4A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1101</Words>
  <Characters>6276</Characters>
  <Application>Microsoft Office Word</Application>
  <DocSecurity>0</DocSecurity>
  <Lines>52</Lines>
  <Paragraphs>14</Paragraphs>
  <ScaleCrop>false</ScaleCrop>
  <Company/>
  <LinksUpToDate>false</LinksUpToDate>
  <CharactersWithSpaces>7363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GEAMĂNU</dc:creator>
  <cp:keywords/>
  <dc:description/>
  <cp:lastModifiedBy>Marian GEAMĂNU</cp:lastModifiedBy>
  <cp:revision>51</cp:revision>
  <dcterms:created xsi:type="dcterms:W3CDTF">2026-03-07T15:49:00Z</dcterms:created>
  <dcterms:modified xsi:type="dcterms:W3CDTF">2026-03-07T20:55:00Z</dcterms:modified>
</cp:coreProperties>
</file>