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408C" w:rsidRDefault="00467D7B">
      <w:r>
        <w:t>James Llewellyn-Matthews</w:t>
      </w:r>
      <w:r>
        <w:tab/>
      </w:r>
    </w:p>
    <w:p w:rsidR="00467D7B" w:rsidRDefault="00C02958">
      <w:r>
        <w:t xml:space="preserve">PC </w:t>
      </w:r>
      <w:r w:rsidR="00467D7B">
        <w:t>6838</w:t>
      </w:r>
      <w:r>
        <w:t xml:space="preserve"> South Wales Police</w:t>
      </w:r>
    </w:p>
    <w:p w:rsidR="00467D7B" w:rsidRDefault="00467D7B">
      <w:r>
        <w:t>Student number: 2023719</w:t>
      </w:r>
    </w:p>
    <w:p w:rsidR="00467D7B" w:rsidRDefault="00283A10">
      <w:r>
        <w:t>Cohort</w:t>
      </w:r>
      <w:r w:rsidR="00467D7B">
        <w:t>: 01/2021</w:t>
      </w:r>
    </w:p>
    <w:p w:rsidR="00C02958" w:rsidRDefault="00C02958">
      <w:r>
        <w:t>Exam 2: 01/06/2021</w:t>
      </w:r>
    </w:p>
    <w:p w:rsidR="00467D7B" w:rsidRDefault="00467D7B"/>
    <w:p w:rsidR="00283A10" w:rsidRDefault="00467D7B">
      <w:r>
        <w:t>1.</w:t>
      </w:r>
      <w:r w:rsidR="00283A10">
        <w:t xml:space="preserve"> Section 163 Road traffic act allows a police officer to stop a vehicle if they have reasonable suspicion that a driver has committed an offence whilst their vehicle is in motion</w:t>
      </w:r>
      <w:bookmarkStart w:id="0" w:name="_GoBack"/>
      <w:bookmarkEnd w:id="0"/>
      <w:r w:rsidR="00283A10">
        <w:t>.</w:t>
      </w:r>
    </w:p>
    <w:p w:rsidR="00467D7B" w:rsidRDefault="00467D7B">
      <w:r>
        <w:t>2.</w:t>
      </w:r>
      <w:r w:rsidR="00283A10">
        <w:t xml:space="preserve"> Section 6(4) Road traffic act 1988 states that a police officer has the powers to require a preliminary roadside test. Therefore, if the officer has reasonable grounds to believe that the driver is under the influence of drinks or drugs they can ask the driver to take the preliminary test to check that they are not under the influence of drink or drugs. </w:t>
      </w:r>
    </w:p>
    <w:p w:rsidR="00467D7B" w:rsidRDefault="00467D7B">
      <w:r>
        <w:t>3.</w:t>
      </w:r>
      <w:r w:rsidR="00283A10">
        <w:t xml:space="preserve"> Section 3 of the road traffic act 1988 states that “if a person drives a mechanically compelled vehicle whilst on a road or other public place without due care and attention or reasonable consideration for other persons using the road or place is guilty of an offence.</w:t>
      </w:r>
    </w:p>
    <w:p w:rsidR="00467D7B" w:rsidRDefault="00467D7B">
      <w:r>
        <w:t>4.</w:t>
      </w:r>
      <w:r w:rsidR="00283A10">
        <w:t xml:space="preserve"> The effective use of roads policing powers can help in reducing the wider unlawful activity of criminals as it will make people realise that if the police are regularly stopping individuals for roadside tests and making sure that the driver is fully insured and covered then this will make people realise that sooner or later they will be brought up on this. The roads policing powers can help reduce drink driving or people who drive whilst under the influence of drugs. Under section 103, it will stop people driving whilst disqualified. </w:t>
      </w:r>
    </w:p>
    <w:p w:rsidR="00467D7B" w:rsidRDefault="00467D7B">
      <w:r>
        <w:t>5.</w:t>
      </w:r>
      <w:r w:rsidR="00283A10">
        <w:t xml:space="preserve"> Section 165A RTA 1988 gives a police officer powers to seize any vehicle that has been involved in a motoring offence. The purpose of the seizure is so that it cannot be concealed, lost, altered, damaged or destroyed. </w:t>
      </w:r>
    </w:p>
    <w:p w:rsidR="00467D7B" w:rsidRDefault="00467D7B">
      <w:r>
        <w:t>6.</w:t>
      </w:r>
      <w:r w:rsidR="00283A10">
        <w:t xml:space="preserve"> Section 170 states that “owning to the presence of a mechanically compelled vehicle on a road or other public places, an accident occurs whereby personal injury is caused to a person; damage is caused to a vehicle, or any animal or any other property.</w:t>
      </w:r>
    </w:p>
    <w:p w:rsidR="00467D7B" w:rsidRDefault="00467D7B">
      <w:r>
        <w:t>7.</w:t>
      </w:r>
      <w:r w:rsidR="00283A10">
        <w:t xml:space="preserve"> The role of a family liaison officer to act like an investigator. They go about building a rapport and confidence with the family in order to gather information about the case. They are the person who the family can contact in order to find out any information or provide further information. The family liaison officer also keeps the family up to date with any news on the case.  </w:t>
      </w:r>
    </w:p>
    <w:p w:rsidR="00467D7B" w:rsidRDefault="00467D7B">
      <w:r>
        <w:t>8.</w:t>
      </w:r>
      <w:r w:rsidR="00283A10">
        <w:t xml:space="preserve"> The law regarding section 170 of the road traffic act 1988 is if the person is not able to provide details at the scene then they must in person report the road traffic collision to a police officer or a police station when it is reasonably practicable or within 24 hours. They must provide drivers name and address, owner of the vehicle’s name and address, the registration plate and if anyone is injured in the collision then their insurance details as well. </w:t>
      </w:r>
    </w:p>
    <w:p w:rsidR="00467D7B" w:rsidRDefault="00467D7B">
      <w:r>
        <w:t>9.</w:t>
      </w:r>
      <w:r w:rsidR="00283A10">
        <w:t xml:space="preserve"> Section 63 RTA 1988 allows an officer to enter a house to arrest the offender for providing a positive breath test or arrest the offender if they fail to take one or more of the prescribed preliminary roadside tests and that the officer has reasonable suspicion for believing that the driver is under the influence of alcohol </w:t>
      </w:r>
      <w:r w:rsidR="00691020">
        <w:t xml:space="preserve">or drugs </w:t>
      </w:r>
      <w:r w:rsidR="00283A10">
        <w:t>whilst driving.</w:t>
      </w:r>
    </w:p>
    <w:p w:rsidR="00467D7B" w:rsidRDefault="00467D7B">
      <w:r>
        <w:lastRenderedPageBreak/>
        <w:t>10.</w:t>
      </w:r>
      <w:r w:rsidR="00283A10">
        <w:t xml:space="preserve"> Section one RTA 1988 states “a person who causes the death of another person whilst driving a mechanically propelled vehicle on a road or other public place is guilty of an offence”.</w:t>
      </w:r>
    </w:p>
    <w:p w:rsidR="00467D7B" w:rsidRDefault="00467D7B">
      <w:r>
        <w:t>11.</w:t>
      </w:r>
      <w:r w:rsidR="00283A10">
        <w:t xml:space="preserve"> 35 micro grammes of alcohol in 100 millilitres of breath</w:t>
      </w:r>
    </w:p>
    <w:p w:rsidR="00283A10" w:rsidRDefault="00283A10">
      <w:r>
        <w:t>- 80 millilitres of alcohol in 100 millilitres of Blood</w:t>
      </w:r>
    </w:p>
    <w:p w:rsidR="00283A10" w:rsidRDefault="00283A10">
      <w:r>
        <w:t>- 107 millilitres of alcohol in 100 millilitres of urine</w:t>
      </w:r>
    </w:p>
    <w:p w:rsidR="00283A10" w:rsidRDefault="00283A10">
      <w:r>
        <w:t>- Cocaine – 10 micro grammes per unit</w:t>
      </w:r>
    </w:p>
    <w:p w:rsidR="00283A10" w:rsidRDefault="00283A10">
      <w:r>
        <w:t>- Cannabis – 2 micro grammes per unit</w:t>
      </w:r>
    </w:p>
    <w:p w:rsidR="00283A10" w:rsidRDefault="00467D7B">
      <w:r>
        <w:t>12.</w:t>
      </w:r>
      <w:r w:rsidR="00283A10">
        <w:t xml:space="preserve"> During suspect interviews, you could have present interviewer 1 and interviewer 2. Interviewer 1 is the officer who asks the majority of the questions and sets out the structure for the interview. Interviewer 2 is there to ask any further questions that might be relevant once interviewer 1 has completed a particular topic of questions. You could have a solicitor present who provides legal advice to the suspect.  You could have an interpreter present for the suspect, as they may not be able to spoke the spoken language of the officer. In addition, you could have an appropriate adult who is there to support the suspect but is not allowed to provide legal advice.</w:t>
      </w:r>
    </w:p>
    <w:p w:rsidR="00467D7B" w:rsidRDefault="00467D7B">
      <w:r>
        <w:t>13.</w:t>
      </w:r>
      <w:r w:rsidR="00283A10">
        <w:t xml:space="preserve"> The national police-interviewing model is called the PEACE model. The P stands for preparation and planning. In this stage, you prepare and plan for meeting your witness or suspect. You would consider the points to prove for the offence. You would consider any special measures for the interview such as section 16 or 17 and then create and record an interview plan. You would then also make a written interview plan. The E stands for engage and explain. In this stage, you would use the acronym “GRRR”. This stands for greeting, reason for the interview, routine of the interview and route map. You would also in this stage use active listening and allow the person time to reflect on the incident. You would use probing questions throughout the interview to gain more information and then make sure that they understand what is being said and clarify. You would focus on the main topics and summarise throughout. The A stands for account clarification and challenge. In this stage, you let the interviewee do the talking and make sure that the information is admissible in court. You would also use the cone system of questioning. You would use open questions such as “TED”, which stands for tell me, explain and describe. You would then use probing questions, which again is classed as open questions and use the 5WH questions. You would then also use closed questions to confirm anything. The next stage is closure so in this stage you would explain what is going to happen next. The last stage is evaluate. Here you would evaluate what has been said, determine if any further steps are needed to be taken, determine from the interviewees account how it fits into the investigation and then review your own performance.</w:t>
      </w:r>
    </w:p>
    <w:p w:rsidR="00467D7B" w:rsidRDefault="00467D7B">
      <w:r>
        <w:t>14.</w:t>
      </w:r>
      <w:r w:rsidR="00283A10">
        <w:t xml:space="preserve"> Section 76 of the Serious Crime Act 2015 states “a person (A) continuously or repeatedly engages in a behaviour towards another person (B) that is controlling or coercive. At the time of the behaviour, person (A) and person (B) are personally connected, but the behaviour has a serious effect on person (B) and person (A) knows our ought to know that the behaviour has a serious effect on person (B).</w:t>
      </w:r>
    </w:p>
    <w:p w:rsidR="00467D7B" w:rsidRDefault="00467D7B">
      <w:r>
        <w:t>15.</w:t>
      </w:r>
      <w:r w:rsidR="00283A10">
        <w:t xml:space="preserve"> The relatively new offence of “Coercive control” is so important because it is happening a lot in today’s society.  It states that for the offence to be classed as coercive control it is in an intimate or family relationship. Because it is happening in family settings, many individuals are either too scared to come and speak to someone about the behaviour or they think that it is normal. Some behaviours of coercive control involved stopping you for doing normal every day stuff such as seeing your friends, stopping you from going to certain places and wearing certain clothes. Stopping you from </w:t>
      </w:r>
      <w:r w:rsidR="00283A10">
        <w:lastRenderedPageBreak/>
        <w:t xml:space="preserve">seeing your family and friends or not allowing you to seek support services such as the doctors. Even humiliating you or depriving you of basic needs such as food. </w:t>
      </w:r>
    </w:p>
    <w:p w:rsidR="00467D7B" w:rsidRDefault="00467D7B">
      <w:r>
        <w:t>16.</w:t>
      </w:r>
      <w:r w:rsidR="00283A10">
        <w:t xml:space="preserve"> Section 46 is removing and accommodation of children by police in cases of emergency. You would ensure the child’s safety using the power provided by section 46 of the children act 1989 by allowing a police officer to take a child away from a situation that could amount in them being hurt or in a place of danger. If a child is in a hospital and doctors believe that the bruising or injuries that the child has sustained are from the parents or guardians then an officer is allowed to take that child from the hospital to keep them safe. If an officer believes that the child is being mistreated then they will take the child and look at agencies that will help with this sort of situations.</w:t>
      </w:r>
    </w:p>
    <w:p w:rsidR="00467D7B" w:rsidRDefault="00467D7B">
      <w:r>
        <w:t>17.</w:t>
      </w:r>
      <w:r w:rsidR="00283A10">
        <w:t xml:space="preserve"> Section 1 Cruelty to person under sixteen of Children and Young Persons Act 1933 refers to child cruelty where the child is not able to look after themselves, or they are being sexually, physically or emotionally abused. It also refers to the child being neglected where they are not able to look after themselves such as making food, cleaning clothes or having the right care when ill. </w:t>
      </w:r>
    </w:p>
    <w:p w:rsidR="00467D7B" w:rsidRDefault="00467D7B">
      <w:r>
        <w:t>18.</w:t>
      </w:r>
      <w:r w:rsidR="00283A10">
        <w:t xml:space="preserve"> For domestic abuse the DASH model is used by police officers to determine the risk of domestic abuse. The DASH model stands for domestic abuse, stalking and harassment. The model seeks to help front line practitioners identify high-risk domestic abuse, stalking and harassment. The model seeks to help staff identify dangerous and serial perpetrators. The model enables staff to see what cases may need to be referred to MARAC and what other support could be available to help in the situation. MARAC is a multi-agency conference, which looks at safeguarding adult victims, children and challenging the behaviours of perpetrators. Once a case is completed, it becomes an active report. The model consists of 27 questions, which looks at identifying, assess</w:t>
      </w:r>
      <w:r w:rsidR="00691020">
        <w:t>ing</w:t>
      </w:r>
      <w:r w:rsidR="00283A10">
        <w:t>,</w:t>
      </w:r>
      <w:r w:rsidR="00691020">
        <w:t xml:space="preserve"> and managing</w:t>
      </w:r>
      <w:r w:rsidR="00283A10">
        <w:t xml:space="preserve"> the risk factors of domestic abuse. From these questions,</w:t>
      </w:r>
      <w:r w:rsidR="00691020">
        <w:t xml:space="preserve"> it enables agencies </w:t>
      </w:r>
      <w:r w:rsidR="00283A10">
        <w:t>to come up with defensible solutions to help combat the offence of domestic abuse for that particular case.</w:t>
      </w:r>
    </w:p>
    <w:p w:rsidR="00467D7B" w:rsidRDefault="00467D7B">
      <w:r>
        <w:t>19.</w:t>
      </w:r>
      <w:r w:rsidR="00283A10">
        <w:t xml:space="preserve"> A PPN documents the initial risk assessment. A PPN must be submitted after every DASH incident. A PPN provides an update for partner agencies and shares information in order to provide further support. A PPN consists of 29 questions used to identify, assess and manage risks. Every question must have a response. All actions and decisions must be recorded, reviewed and updated. Risk identification process remains dynamic and must be kept under review.</w:t>
      </w:r>
    </w:p>
    <w:p w:rsidR="00467D7B" w:rsidRDefault="00467D7B">
      <w:r>
        <w:t>20.</w:t>
      </w:r>
      <w:r w:rsidR="00283A10">
        <w:t xml:space="preserve"> A DVPN is issued to provide emergency protection for the victim immediately following a domestic violence incident. It gives the victim breathing space and time to consider their options. It includes prohibitions and must be heard by a magistrate within 48 hours. The perpetrator must be 18 years of older. The officer has reasonable grounds to believe that the perpetrator has been violent or used threats of violence towards the victim. The DVPN is necessary to protect the victim from violence or threats of violence from the perpetrator. The DVPN does not need the victim and perpetrator to live at the same address. The DVPN does not need the consent of the victim. However, the DVPN does require the perpetrator to leave the address, prohibited from re-entering the address, prohibited from evicting the victim and prohibited from coming within a certain distance of the address.</w:t>
      </w:r>
    </w:p>
    <w:p w:rsidR="00467D7B" w:rsidRDefault="00467D7B">
      <w:r>
        <w:t>21.</w:t>
      </w:r>
      <w:r w:rsidR="00283A10">
        <w:t xml:space="preserve"> Child sexual exploitation is where individuals take advantage of children whether it be sexually, physically, emotionally or through neglect. It is where children are mistreated and taken advantage of. Adults use children to lure other children whether it be through money, clothes or bribes. </w:t>
      </w:r>
    </w:p>
    <w:p w:rsidR="00467D7B" w:rsidRDefault="00467D7B">
      <w:r>
        <w:t>22.</w:t>
      </w:r>
      <w:r w:rsidR="00283A10">
        <w:t xml:space="preserve"> This scheme was introduced in 2011. The scheme allows parents or people caring for a child to contact the police and ask for disclosure on an individual who is coming into contact with their child. It allows them to know of their background and to see if the individual they are disclosing about has </w:t>
      </w:r>
      <w:r w:rsidR="00283A10">
        <w:lastRenderedPageBreak/>
        <w:t>any previous convictions regarding any child sexual offences. The police can decide whether to disclose this information and either if they learn about an individual who has been convicted of any child sexual offences they can take the matter in themselves or contact other agencies to help deal with the matter. The person who is asking for the disclosure has to keep the information to themselves and is not allows sharing the information with anyone else.</w:t>
      </w:r>
    </w:p>
    <w:p w:rsidR="00467D7B" w:rsidRDefault="00467D7B">
      <w:r>
        <w:t>23.</w:t>
      </w:r>
      <w:r w:rsidR="00283A10">
        <w:t xml:space="preserve"> The evidential presumptions that a court can make under Section 75 is that suspect knew the victim would not consent to it, that he intentionally penetrated the vagina, mouth or anus of an</w:t>
      </w:r>
      <w:r w:rsidR="00691020">
        <w:t>other person with his penis.</w:t>
      </w:r>
    </w:p>
    <w:p w:rsidR="00283A10" w:rsidRDefault="00467D7B">
      <w:r>
        <w:t>24.</w:t>
      </w:r>
      <w:r w:rsidR="00283A10">
        <w:t xml:space="preserve"> The overriding objectives could involve:</w:t>
      </w:r>
    </w:p>
    <w:p w:rsidR="00467D7B" w:rsidRDefault="00283A10">
      <w:r>
        <w:t xml:space="preserve">-misleading information </w:t>
      </w:r>
    </w:p>
    <w:p w:rsidR="00283A10" w:rsidRDefault="00283A10">
      <w:r>
        <w:t>False information provided</w:t>
      </w:r>
    </w:p>
    <w:p w:rsidR="00283A10" w:rsidRDefault="00283A10">
      <w:r>
        <w:t>Forms not correctly filled out after arrest</w:t>
      </w:r>
    </w:p>
    <w:p w:rsidR="00283A10" w:rsidRDefault="00283A10">
      <w:r>
        <w:t>The police officer not stating the correct caution or even stating a caution at all at the time of arrest.</w:t>
      </w:r>
    </w:p>
    <w:p w:rsidR="00283A10" w:rsidRDefault="00283A10"/>
    <w:p w:rsidR="00467D7B" w:rsidRDefault="00467D7B">
      <w:r>
        <w:t>25.</w:t>
      </w:r>
    </w:p>
    <w:sectPr w:rsidR="00467D7B" w:rsidSect="00283A1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3A10" w:rsidRDefault="00283A10" w:rsidP="00283A10">
      <w:pPr>
        <w:spacing w:after="0" w:line="240" w:lineRule="auto"/>
      </w:pPr>
      <w:r>
        <w:separator/>
      </w:r>
    </w:p>
  </w:endnote>
  <w:endnote w:type="continuationSeparator" w:id="0">
    <w:p w:rsidR="00283A10" w:rsidRDefault="00283A10" w:rsidP="00283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020" w:rsidRDefault="00691020" w:rsidP="00691020">
    <w:pPr>
      <w:pStyle w:val="Footer"/>
      <w:rPr>
        <w:color w:val="000000"/>
        <w:sz w:val="17"/>
      </w:rPr>
    </w:pPr>
    <w:bookmarkStart w:id="3" w:name="TITUS1FooterEvenPages"/>
    <w:r w:rsidRPr="00691020">
      <w:rPr>
        <w:color w:val="000000"/>
        <w:sz w:val="17"/>
      </w:rPr>
      <w:t> </w:t>
    </w:r>
  </w:p>
  <w:bookmarkEnd w:id="3"/>
  <w:p w:rsidR="00691020" w:rsidRDefault="00691020" w:rsidP="00691020">
    <w:pPr>
      <w:pStyle w:val="Footer"/>
    </w:pPr>
  </w:p>
  <w:p w:rsidR="00283A10" w:rsidRDefault="00283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A10" w:rsidRDefault="00691020" w:rsidP="00691020">
    <w:pPr>
      <w:pStyle w:val="Footer"/>
      <w:rPr>
        <w:color w:val="000000"/>
        <w:sz w:val="17"/>
      </w:rPr>
    </w:pPr>
    <w:bookmarkStart w:id="4" w:name="TITUS1FooterPrimary"/>
    <w:r>
      <w:rPr>
        <w:color w:val="000000"/>
        <w:sz w:val="17"/>
      </w:rPr>
      <w:t> </w:t>
    </w:r>
  </w:p>
  <w:bookmarkEnd w:id="4"/>
  <w:p w:rsidR="00283A10" w:rsidRDefault="00283A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A10" w:rsidRDefault="00691020" w:rsidP="00691020">
    <w:pPr>
      <w:pStyle w:val="Footer"/>
      <w:rPr>
        <w:color w:val="000000"/>
        <w:sz w:val="17"/>
      </w:rPr>
    </w:pPr>
    <w:bookmarkStart w:id="6" w:name="TITUS1FooterFirstPage"/>
    <w:r>
      <w:rPr>
        <w:color w:val="000000"/>
        <w:sz w:val="17"/>
      </w:rPr>
      <w:t> </w:t>
    </w:r>
  </w:p>
  <w:bookmarkEnd w:id="6"/>
  <w:p w:rsidR="00283A10" w:rsidRDefault="00283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3A10" w:rsidRDefault="00283A10" w:rsidP="00283A10">
      <w:pPr>
        <w:spacing w:after="0" w:line="240" w:lineRule="auto"/>
      </w:pPr>
      <w:r>
        <w:separator/>
      </w:r>
    </w:p>
  </w:footnote>
  <w:footnote w:type="continuationSeparator" w:id="0">
    <w:p w:rsidR="00283A10" w:rsidRDefault="00283A10" w:rsidP="00283A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91020" w:rsidRDefault="00691020" w:rsidP="00691020">
    <w:pPr>
      <w:pStyle w:val="Header"/>
      <w:rPr>
        <w:color w:val="000000"/>
        <w:sz w:val="17"/>
      </w:rPr>
    </w:pPr>
    <w:bookmarkStart w:id="1" w:name="TITUS1HeaderEvenPages"/>
    <w:r w:rsidRPr="00691020">
      <w:rPr>
        <w:color w:val="000000"/>
        <w:sz w:val="17"/>
      </w:rPr>
      <w:t> </w:t>
    </w:r>
  </w:p>
  <w:bookmarkEnd w:id="1"/>
  <w:p w:rsidR="00691020" w:rsidRDefault="00691020" w:rsidP="00691020">
    <w:pPr>
      <w:pStyle w:val="Header"/>
    </w:pPr>
  </w:p>
  <w:p w:rsidR="00283A10" w:rsidRDefault="00283A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A10" w:rsidRDefault="00691020" w:rsidP="00691020">
    <w:pPr>
      <w:pStyle w:val="Header"/>
      <w:rPr>
        <w:color w:val="000000"/>
        <w:sz w:val="17"/>
      </w:rPr>
    </w:pPr>
    <w:bookmarkStart w:id="2" w:name="TITUS1HeaderPrimary"/>
    <w:r>
      <w:rPr>
        <w:color w:val="000000"/>
        <w:sz w:val="17"/>
      </w:rPr>
      <w:t> </w:t>
    </w:r>
  </w:p>
  <w:bookmarkEnd w:id="2"/>
  <w:p w:rsidR="00283A10" w:rsidRDefault="00283A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3A10" w:rsidRDefault="00691020" w:rsidP="00691020">
    <w:pPr>
      <w:pStyle w:val="Header"/>
      <w:rPr>
        <w:color w:val="000000"/>
        <w:sz w:val="17"/>
      </w:rPr>
    </w:pPr>
    <w:bookmarkStart w:id="5" w:name="TITUS1HeaderFirstPage"/>
    <w:r>
      <w:rPr>
        <w:color w:val="000000"/>
        <w:sz w:val="17"/>
      </w:rPr>
      <w:t> </w:t>
    </w:r>
  </w:p>
  <w:bookmarkEnd w:id="5"/>
  <w:p w:rsidR="00283A10" w:rsidRDefault="00283A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D7B"/>
    <w:rsid w:val="00283A10"/>
    <w:rsid w:val="00467D7B"/>
    <w:rsid w:val="00691020"/>
    <w:rsid w:val="00780CEF"/>
    <w:rsid w:val="0088408C"/>
    <w:rsid w:val="00B12BD7"/>
    <w:rsid w:val="00C02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0DC7889"/>
  <w15:chartTrackingRefBased/>
  <w15:docId w15:val="{1D0B892F-8551-492D-AE5F-1FD96DDB6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A10"/>
  </w:style>
  <w:style w:type="paragraph" w:styleId="Footer">
    <w:name w:val="footer"/>
    <w:basedOn w:val="Normal"/>
    <w:link w:val="FooterChar"/>
    <w:uiPriority w:val="99"/>
    <w:unhideWhenUsed/>
    <w:rsid w:val="00283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A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5953C2-5C6B-4A64-BE74-CD96297FC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1805</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Llewellyn-Matthews,James swp6838</dc:creator>
  <cp:keywords/>
  <dc:description/>
  <cp:lastModifiedBy>Llewellyn-Matthews,James swp6838</cp:lastModifiedBy>
  <cp:revision>2</cp:revision>
  <dcterms:created xsi:type="dcterms:W3CDTF">2021-06-01T10:09:00Z</dcterms:created>
  <dcterms:modified xsi:type="dcterms:W3CDTF">2021-06-01T10:09:00Z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ae67f342-5ba0-4b8a-9dec-20364ad36260</vt:lpwstr>
  </property>
  <property fmtid="{D5CDD505-2E9C-101B-9397-08002B2CF9AE}" pid="3" name="Classification">
    <vt:lpwstr>OFFICIAL</vt:lpwstr>
  </property>
  <property fmtid="{D5CDD505-2E9C-101B-9397-08002B2CF9AE}" pid="4" name="Visibility">
    <vt:lpwstr>NOT VISIBLE</vt:lpwstr>
  </property>
</Properties>
</file>