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895F88" w14:textId="4A4C7DBF" w:rsidR="004F2DB9" w:rsidRDefault="004F2DB9" w:rsidP="004F2DB9">
      <w:pPr>
        <w:spacing w:line="360" w:lineRule="auto"/>
        <w:jc w:val="center"/>
        <w:rPr>
          <w:rFonts w:ascii="Calibri" w:hAnsi="Calibri" w:cs="Calibri"/>
          <w:b/>
          <w:bCs/>
          <w:sz w:val="40"/>
          <w:szCs w:val="40"/>
          <w:u w:val="single"/>
        </w:rPr>
      </w:pPr>
      <w:r>
        <w:rPr>
          <w:rFonts w:ascii="Calibri" w:hAnsi="Calibri" w:cs="Calibri"/>
          <w:b/>
          <w:bCs/>
          <w:sz w:val="40"/>
          <w:szCs w:val="40"/>
          <w:u w:val="single"/>
        </w:rPr>
        <w:t>Self-Assessment &amp; Self-Evaluation Portfolio</w:t>
      </w:r>
    </w:p>
    <w:p w14:paraId="179A3912" w14:textId="77777777" w:rsidR="004F2DB9" w:rsidRDefault="004F2DB9" w:rsidP="00C65112">
      <w:pPr>
        <w:spacing w:line="360" w:lineRule="auto"/>
        <w:jc w:val="center"/>
        <w:rPr>
          <w:rFonts w:ascii="Calibri" w:hAnsi="Calibri" w:cs="Calibri"/>
          <w:b/>
          <w:bCs/>
          <w:sz w:val="40"/>
          <w:szCs w:val="40"/>
          <w:u w:val="single"/>
        </w:rPr>
      </w:pPr>
    </w:p>
    <w:p w14:paraId="3FEDD44B" w14:textId="5DCC6283" w:rsidR="004F2DB9" w:rsidRPr="004F2DB9" w:rsidRDefault="004F2DB9" w:rsidP="00C65112">
      <w:pPr>
        <w:spacing w:line="360" w:lineRule="auto"/>
        <w:jc w:val="center"/>
        <w:rPr>
          <w:rFonts w:ascii="Calibri" w:hAnsi="Calibri" w:cs="Calibri"/>
          <w:b/>
          <w:bCs/>
          <w:sz w:val="40"/>
          <w:szCs w:val="40"/>
          <w:u w:val="single"/>
        </w:rPr>
      </w:pPr>
      <w:r w:rsidRPr="004F2DB9">
        <w:rPr>
          <w:rFonts w:ascii="Calibri" w:hAnsi="Calibri" w:cs="Calibri"/>
          <w:b/>
          <w:bCs/>
          <w:sz w:val="40"/>
          <w:szCs w:val="40"/>
          <w:u w:val="single"/>
        </w:rPr>
        <w:t>Contents Page</w:t>
      </w:r>
    </w:p>
    <w:p w14:paraId="31BDC5E4" w14:textId="77777777" w:rsidR="00C65112" w:rsidRPr="003723FA" w:rsidRDefault="00C65112" w:rsidP="004F2DB9">
      <w:pPr>
        <w:rPr>
          <w:rFonts w:ascii="Calibri" w:hAnsi="Calibri" w:cs="Calibri"/>
        </w:rPr>
      </w:pPr>
    </w:p>
    <w:p w14:paraId="7C6DFCE7" w14:textId="42294C5B" w:rsidR="00853206" w:rsidRPr="00B823B9" w:rsidRDefault="00C65112" w:rsidP="00853206">
      <w:pPr>
        <w:pStyle w:val="ListParagraph"/>
        <w:numPr>
          <w:ilvl w:val="0"/>
          <w:numId w:val="2"/>
        </w:numPr>
        <w:rPr>
          <w:rFonts w:ascii="Calibri" w:hAnsi="Calibri" w:cs="Calibri"/>
          <w:b/>
          <w:bCs/>
        </w:rPr>
      </w:pPr>
      <w:r w:rsidRPr="00B823B9">
        <w:rPr>
          <w:rFonts w:ascii="Calibri" w:hAnsi="Calibri" w:cs="Calibri"/>
          <w:b/>
          <w:bCs/>
        </w:rPr>
        <w:t xml:space="preserve">Introduction  </w:t>
      </w:r>
    </w:p>
    <w:p w14:paraId="45630EA2" w14:textId="77777777" w:rsidR="00853206" w:rsidRPr="003723FA" w:rsidRDefault="00853206" w:rsidP="00853206">
      <w:pPr>
        <w:pStyle w:val="ListParagraph"/>
        <w:rPr>
          <w:rFonts w:ascii="Calibri" w:hAnsi="Calibri" w:cs="Calibri"/>
        </w:rPr>
      </w:pPr>
    </w:p>
    <w:p w14:paraId="3CD2E7E8" w14:textId="54097BAB" w:rsidR="00B823B9" w:rsidRPr="00B823B9" w:rsidRDefault="00B823B9" w:rsidP="00B823B9">
      <w:pPr>
        <w:pStyle w:val="ListParagraph"/>
        <w:numPr>
          <w:ilvl w:val="0"/>
          <w:numId w:val="2"/>
        </w:numPr>
        <w:rPr>
          <w:rFonts w:ascii="Calibri" w:hAnsi="Calibri" w:cs="Calibri"/>
          <w:b/>
          <w:bCs/>
        </w:rPr>
      </w:pPr>
      <w:r w:rsidRPr="00B823B9">
        <w:rPr>
          <w:rFonts w:ascii="Calibri" w:hAnsi="Calibri" w:cs="Calibri"/>
          <w:b/>
          <w:bCs/>
        </w:rPr>
        <w:t>S</w:t>
      </w:r>
      <w:r w:rsidR="001E6523" w:rsidRPr="00B823B9">
        <w:rPr>
          <w:rFonts w:ascii="Calibri" w:hAnsi="Calibri" w:cs="Calibri"/>
          <w:b/>
          <w:bCs/>
        </w:rPr>
        <w:t>elf-</w:t>
      </w:r>
      <w:r w:rsidR="00C65112" w:rsidRPr="00B823B9">
        <w:rPr>
          <w:rFonts w:ascii="Calibri" w:hAnsi="Calibri" w:cs="Calibri"/>
          <w:b/>
          <w:bCs/>
        </w:rPr>
        <w:t>assessment</w:t>
      </w:r>
      <w:r w:rsidR="001E6523" w:rsidRPr="00B823B9">
        <w:rPr>
          <w:rFonts w:ascii="Calibri" w:hAnsi="Calibri" w:cs="Calibri"/>
          <w:b/>
          <w:bCs/>
        </w:rPr>
        <w:t xml:space="preserve"> and self-evaluation</w:t>
      </w:r>
    </w:p>
    <w:p w14:paraId="771D5F03" w14:textId="50A5D2EF" w:rsidR="00B823B9" w:rsidRPr="003723FA" w:rsidRDefault="00B823B9" w:rsidP="00B823B9">
      <w:pPr>
        <w:pStyle w:val="ListParagraph"/>
        <w:numPr>
          <w:ilvl w:val="1"/>
          <w:numId w:val="2"/>
        </w:numPr>
        <w:rPr>
          <w:rFonts w:ascii="Calibri" w:hAnsi="Calibri" w:cs="Calibri"/>
        </w:rPr>
      </w:pPr>
      <w:r>
        <w:rPr>
          <w:rFonts w:ascii="Calibri" w:hAnsi="Calibri" w:cs="Calibri"/>
        </w:rPr>
        <w:t>What is assessment?</w:t>
      </w:r>
      <w:r w:rsidR="001E2467">
        <w:rPr>
          <w:rFonts w:ascii="Calibri" w:hAnsi="Calibri" w:cs="Calibri"/>
        </w:rPr>
        <w:t xml:space="preserve"> </w:t>
      </w:r>
    </w:p>
    <w:p w14:paraId="43929617" w14:textId="3BBCAF82" w:rsidR="00B823B9" w:rsidRDefault="00B823B9" w:rsidP="003723FA">
      <w:pPr>
        <w:pStyle w:val="ListParagraph"/>
        <w:numPr>
          <w:ilvl w:val="1"/>
          <w:numId w:val="2"/>
        </w:numPr>
        <w:rPr>
          <w:rFonts w:ascii="Calibri" w:hAnsi="Calibri" w:cs="Calibri"/>
        </w:rPr>
      </w:pPr>
      <w:r>
        <w:rPr>
          <w:rFonts w:ascii="Calibri" w:hAnsi="Calibri" w:cs="Calibri"/>
        </w:rPr>
        <w:t>What is self-</w:t>
      </w:r>
      <w:r w:rsidR="008C2879">
        <w:rPr>
          <w:rFonts w:ascii="Calibri" w:hAnsi="Calibri" w:cs="Calibri"/>
        </w:rPr>
        <w:t>assessment</w:t>
      </w:r>
      <w:r>
        <w:rPr>
          <w:rFonts w:ascii="Calibri" w:hAnsi="Calibri" w:cs="Calibri"/>
        </w:rPr>
        <w:t>?</w:t>
      </w:r>
      <w:r w:rsidR="001E2467">
        <w:rPr>
          <w:rFonts w:ascii="Calibri" w:hAnsi="Calibri" w:cs="Calibri"/>
        </w:rPr>
        <w:t xml:space="preserve"> </w:t>
      </w:r>
    </w:p>
    <w:p w14:paraId="73A3F42C" w14:textId="0CAF4A29" w:rsidR="008C2879" w:rsidRDefault="008C2879" w:rsidP="003723FA">
      <w:pPr>
        <w:pStyle w:val="ListParagraph"/>
        <w:numPr>
          <w:ilvl w:val="1"/>
          <w:numId w:val="2"/>
        </w:numPr>
        <w:rPr>
          <w:rFonts w:ascii="Calibri" w:hAnsi="Calibri" w:cs="Calibri"/>
        </w:rPr>
      </w:pPr>
      <w:r>
        <w:rPr>
          <w:rFonts w:ascii="Calibri" w:hAnsi="Calibri" w:cs="Calibri"/>
        </w:rPr>
        <w:t>What is self-evaluation?</w:t>
      </w:r>
      <w:r w:rsidR="001E2467">
        <w:rPr>
          <w:rFonts w:ascii="Calibri" w:hAnsi="Calibri" w:cs="Calibri"/>
        </w:rPr>
        <w:t xml:space="preserve"> </w:t>
      </w:r>
    </w:p>
    <w:p w14:paraId="32F613A0" w14:textId="03B688EB" w:rsidR="00EF190D" w:rsidRDefault="00EF190D" w:rsidP="003723FA">
      <w:pPr>
        <w:pStyle w:val="ListParagraph"/>
        <w:numPr>
          <w:ilvl w:val="1"/>
          <w:numId w:val="2"/>
        </w:numPr>
        <w:rPr>
          <w:rFonts w:ascii="Calibri" w:hAnsi="Calibri" w:cs="Calibri"/>
        </w:rPr>
      </w:pPr>
      <w:r>
        <w:rPr>
          <w:rFonts w:ascii="Calibri" w:hAnsi="Calibri" w:cs="Calibri"/>
        </w:rPr>
        <w:t>Why is self-assessment and self-evaluation needed?</w:t>
      </w:r>
      <w:r w:rsidR="001E2467">
        <w:rPr>
          <w:rFonts w:ascii="Calibri" w:hAnsi="Calibri" w:cs="Calibri"/>
        </w:rPr>
        <w:t xml:space="preserve"> </w:t>
      </w:r>
    </w:p>
    <w:p w14:paraId="7B7A5C87" w14:textId="77777777" w:rsidR="00F95A22" w:rsidRDefault="00F95A22" w:rsidP="00F95A22">
      <w:pPr>
        <w:rPr>
          <w:rFonts w:ascii="Calibri" w:hAnsi="Calibri" w:cs="Calibri"/>
        </w:rPr>
      </w:pPr>
    </w:p>
    <w:p w14:paraId="7AEFE3AF" w14:textId="3358B3FD" w:rsidR="00BD6268" w:rsidRPr="00F95A22" w:rsidRDefault="003612C4" w:rsidP="00BD6268">
      <w:pPr>
        <w:pStyle w:val="ListParagraph"/>
        <w:numPr>
          <w:ilvl w:val="0"/>
          <w:numId w:val="2"/>
        </w:numPr>
        <w:rPr>
          <w:rFonts w:ascii="Calibri" w:hAnsi="Calibri" w:cs="Calibri"/>
          <w:b/>
          <w:bCs/>
        </w:rPr>
      </w:pPr>
      <w:r w:rsidRPr="00F95A22">
        <w:rPr>
          <w:rFonts w:ascii="Calibri" w:hAnsi="Calibri" w:cs="Calibri"/>
          <w:b/>
          <w:bCs/>
        </w:rPr>
        <w:t>Benefits of using feedback to reflect</w:t>
      </w:r>
    </w:p>
    <w:p w14:paraId="19841111" w14:textId="6E331A1F" w:rsidR="007637A0" w:rsidRDefault="007637A0" w:rsidP="007637A0">
      <w:pPr>
        <w:rPr>
          <w:rFonts w:ascii="Calibri" w:hAnsi="Calibri" w:cs="Calibri"/>
        </w:rPr>
      </w:pPr>
    </w:p>
    <w:p w14:paraId="397DF886" w14:textId="4E50F283" w:rsidR="007637A0" w:rsidRDefault="002A6EC1" w:rsidP="007637A0">
      <w:pPr>
        <w:pStyle w:val="ListParagraph"/>
        <w:numPr>
          <w:ilvl w:val="0"/>
          <w:numId w:val="2"/>
        </w:numPr>
        <w:rPr>
          <w:rFonts w:ascii="Calibri" w:hAnsi="Calibri" w:cs="Calibri"/>
          <w:b/>
          <w:bCs/>
        </w:rPr>
      </w:pPr>
      <w:r w:rsidRPr="002A6EC1">
        <w:rPr>
          <w:rFonts w:ascii="Calibri" w:hAnsi="Calibri" w:cs="Calibri"/>
          <w:b/>
          <w:bCs/>
        </w:rPr>
        <w:t>Principles</w:t>
      </w:r>
    </w:p>
    <w:p w14:paraId="620EA336" w14:textId="6B8711FC" w:rsidR="005D492C" w:rsidRDefault="00AD0785" w:rsidP="00AD0785">
      <w:pPr>
        <w:pStyle w:val="ListParagraph"/>
        <w:numPr>
          <w:ilvl w:val="1"/>
          <w:numId w:val="2"/>
        </w:numPr>
        <w:rPr>
          <w:rFonts w:ascii="Calibri" w:hAnsi="Calibri" w:cs="Calibri"/>
          <w:bCs/>
        </w:rPr>
      </w:pPr>
      <w:r w:rsidRPr="00AD0785">
        <w:rPr>
          <w:rFonts w:ascii="Calibri" w:hAnsi="Calibri" w:cs="Calibri"/>
          <w:bCs/>
        </w:rPr>
        <w:t xml:space="preserve">Validity </w:t>
      </w:r>
    </w:p>
    <w:p w14:paraId="737F3017" w14:textId="1A004CE5" w:rsidR="00C65112" w:rsidRDefault="00AD0785" w:rsidP="00AD0785">
      <w:pPr>
        <w:pStyle w:val="ListParagraph"/>
        <w:numPr>
          <w:ilvl w:val="1"/>
          <w:numId w:val="2"/>
        </w:numPr>
        <w:rPr>
          <w:rFonts w:ascii="Calibri" w:hAnsi="Calibri" w:cs="Calibri"/>
          <w:bCs/>
        </w:rPr>
      </w:pPr>
      <w:r>
        <w:rPr>
          <w:rFonts w:ascii="Calibri" w:hAnsi="Calibri" w:cs="Calibri"/>
          <w:bCs/>
        </w:rPr>
        <w:t>Reliability</w:t>
      </w:r>
    </w:p>
    <w:p w14:paraId="1892BECB" w14:textId="77777777" w:rsidR="00AD0785" w:rsidRPr="00AD0785" w:rsidRDefault="00AD0785" w:rsidP="00AD0785">
      <w:pPr>
        <w:pStyle w:val="ListParagraph"/>
        <w:ind w:left="1440"/>
        <w:rPr>
          <w:rFonts w:ascii="Calibri" w:hAnsi="Calibri" w:cs="Calibri"/>
          <w:bCs/>
        </w:rPr>
      </w:pPr>
    </w:p>
    <w:p w14:paraId="6BCE7FBF" w14:textId="55AEE420" w:rsidR="00C65112" w:rsidRPr="003612C4" w:rsidRDefault="00C65112" w:rsidP="003612C4">
      <w:pPr>
        <w:pStyle w:val="ListParagraph"/>
        <w:numPr>
          <w:ilvl w:val="0"/>
          <w:numId w:val="2"/>
        </w:numPr>
        <w:rPr>
          <w:rFonts w:ascii="Calibri" w:hAnsi="Calibri" w:cs="Calibri"/>
          <w:b/>
          <w:bCs/>
        </w:rPr>
      </w:pPr>
      <w:r w:rsidRPr="003612C4">
        <w:rPr>
          <w:rFonts w:ascii="Calibri" w:hAnsi="Calibri" w:cs="Calibri"/>
          <w:b/>
          <w:bCs/>
        </w:rPr>
        <w:t xml:space="preserve"> Conclusion </w:t>
      </w:r>
    </w:p>
    <w:p w14:paraId="4651173D" w14:textId="77777777" w:rsidR="00C65112" w:rsidRPr="00EF190D" w:rsidRDefault="00C65112" w:rsidP="00C65112">
      <w:pPr>
        <w:rPr>
          <w:rFonts w:ascii="Calibri" w:hAnsi="Calibri" w:cs="Calibri"/>
          <w:b/>
          <w:bCs/>
        </w:rPr>
      </w:pPr>
    </w:p>
    <w:p w14:paraId="78F4BD94" w14:textId="24831205" w:rsidR="00155F41" w:rsidRPr="003612C4" w:rsidRDefault="00EF190D" w:rsidP="003612C4">
      <w:pPr>
        <w:pStyle w:val="ListParagraph"/>
        <w:numPr>
          <w:ilvl w:val="0"/>
          <w:numId w:val="2"/>
        </w:numPr>
        <w:rPr>
          <w:rFonts w:ascii="Calibri" w:hAnsi="Calibri" w:cs="Calibri"/>
          <w:b/>
          <w:bCs/>
        </w:rPr>
      </w:pPr>
      <w:r w:rsidRPr="003612C4">
        <w:rPr>
          <w:rFonts w:ascii="Calibri" w:hAnsi="Calibri" w:cs="Calibri"/>
          <w:b/>
          <w:bCs/>
        </w:rPr>
        <w:t>References</w:t>
      </w:r>
    </w:p>
    <w:p w14:paraId="51390B0E" w14:textId="1BDF1861" w:rsidR="00AF7867" w:rsidRPr="003723FA" w:rsidRDefault="00AF7867" w:rsidP="00C65112">
      <w:pPr>
        <w:rPr>
          <w:rFonts w:ascii="Calibri" w:hAnsi="Calibri" w:cs="Calibri"/>
        </w:rPr>
      </w:pPr>
    </w:p>
    <w:p w14:paraId="58B70A98" w14:textId="011E3C65" w:rsidR="00AF7867" w:rsidRPr="003723FA" w:rsidRDefault="00AF7867" w:rsidP="00C65112">
      <w:pPr>
        <w:rPr>
          <w:rFonts w:ascii="Calibri" w:hAnsi="Calibri" w:cs="Calibri"/>
        </w:rPr>
      </w:pPr>
    </w:p>
    <w:p w14:paraId="7FFF93A1" w14:textId="0ACF7663" w:rsidR="00AF7867" w:rsidRDefault="00AF7867" w:rsidP="00C65112"/>
    <w:p w14:paraId="53FD6C63" w14:textId="3C33E330" w:rsidR="00AF7867" w:rsidRDefault="00AF7867" w:rsidP="00C65112"/>
    <w:p w14:paraId="2D9F7E62" w14:textId="5AC03630" w:rsidR="00AF7867" w:rsidRDefault="00AF7867" w:rsidP="00C65112"/>
    <w:p w14:paraId="1AEBBF4F" w14:textId="6116F471" w:rsidR="00AF7867" w:rsidRDefault="00AF7867" w:rsidP="00C65112"/>
    <w:p w14:paraId="48AC7C7A" w14:textId="4C7BA3F3" w:rsidR="00AF7867" w:rsidRDefault="00AF7867" w:rsidP="00C65112"/>
    <w:p w14:paraId="7CFD9B56" w14:textId="64FC93A6" w:rsidR="00B823B9" w:rsidRDefault="00B823B9" w:rsidP="00C65112"/>
    <w:p w14:paraId="251B36D5" w14:textId="20135B0E" w:rsidR="00EF190D" w:rsidRDefault="00EF190D" w:rsidP="00C65112"/>
    <w:p w14:paraId="2198DB1D" w14:textId="49D43FAC" w:rsidR="00EF190D" w:rsidRDefault="00EF190D" w:rsidP="00C65112"/>
    <w:p w14:paraId="6E9B7B3B" w14:textId="5DD366CA" w:rsidR="00010011" w:rsidRDefault="00010011" w:rsidP="00C65112"/>
    <w:p w14:paraId="121B4401" w14:textId="3B0C8E10" w:rsidR="00010011" w:rsidRDefault="00010011" w:rsidP="00C65112"/>
    <w:p w14:paraId="6BB2E263" w14:textId="48A3E35B" w:rsidR="00010011" w:rsidRDefault="00010011" w:rsidP="00C65112"/>
    <w:p w14:paraId="5255E968" w14:textId="44E82255" w:rsidR="00010011" w:rsidRDefault="00010011" w:rsidP="00C65112"/>
    <w:p w14:paraId="1879F1C5" w14:textId="193CD2B5" w:rsidR="00010011" w:rsidRDefault="00010011" w:rsidP="00C65112"/>
    <w:p w14:paraId="4D6C2FD0" w14:textId="29413948" w:rsidR="00010011" w:rsidRDefault="00010011" w:rsidP="00C65112"/>
    <w:p w14:paraId="463F4B0F" w14:textId="052F585E" w:rsidR="00010011" w:rsidRDefault="00010011" w:rsidP="00C65112"/>
    <w:p w14:paraId="045DC06E" w14:textId="1BABEADE" w:rsidR="00010011" w:rsidRDefault="00010011" w:rsidP="00C65112"/>
    <w:p w14:paraId="2D5E1540" w14:textId="0D62007C" w:rsidR="00010011" w:rsidRDefault="00010011" w:rsidP="00C65112"/>
    <w:p w14:paraId="03B94C6C" w14:textId="76B587A0" w:rsidR="00010011" w:rsidRDefault="00010011" w:rsidP="00C65112"/>
    <w:p w14:paraId="30AD5F0B" w14:textId="77777777" w:rsidR="00010011" w:rsidRDefault="00010011" w:rsidP="00C65112"/>
    <w:p w14:paraId="571D01D5" w14:textId="765DC9CF" w:rsidR="00AF7867" w:rsidRDefault="00AF7867" w:rsidP="00C65112"/>
    <w:p w14:paraId="24F3C31F" w14:textId="77777777" w:rsidR="00196CAE" w:rsidRDefault="00196CAE" w:rsidP="00C65112"/>
    <w:p w14:paraId="55069584" w14:textId="77777777" w:rsidR="00AF7867" w:rsidRPr="0016489B" w:rsidRDefault="00AF7867" w:rsidP="00AF7867">
      <w:pPr>
        <w:pStyle w:val="ListParagraph"/>
        <w:numPr>
          <w:ilvl w:val="0"/>
          <w:numId w:val="1"/>
        </w:numPr>
        <w:spacing w:line="360" w:lineRule="auto"/>
        <w:rPr>
          <w:rFonts w:ascii="Calibri" w:hAnsi="Calibri" w:cs="Calibri"/>
          <w:b/>
          <w:bCs/>
        </w:rPr>
      </w:pPr>
      <w:r w:rsidRPr="0016489B">
        <w:rPr>
          <w:rFonts w:ascii="Calibri" w:hAnsi="Calibri" w:cs="Calibri"/>
          <w:b/>
          <w:bCs/>
        </w:rPr>
        <w:lastRenderedPageBreak/>
        <w:t>Introduction</w:t>
      </w:r>
    </w:p>
    <w:p w14:paraId="08BD34DD" w14:textId="7528B451" w:rsidR="00853206" w:rsidRDefault="00AF7867" w:rsidP="00AF7867">
      <w:pPr>
        <w:spacing w:line="360" w:lineRule="auto"/>
        <w:rPr>
          <w:rFonts w:ascii="Calibri" w:hAnsi="Calibri" w:cs="Calibri"/>
        </w:rPr>
      </w:pPr>
      <w:r w:rsidRPr="00AF7867">
        <w:rPr>
          <w:rFonts w:ascii="Calibri" w:hAnsi="Calibri" w:cs="Calibri"/>
        </w:rPr>
        <w:t xml:space="preserve">This portfolio critically evaluates the principles of self-assessment and self-evaluation. The portfolio will discuss the importance of these principles to the development of effective learners. </w:t>
      </w:r>
      <w:r>
        <w:rPr>
          <w:rFonts w:ascii="Calibri" w:hAnsi="Calibri" w:cs="Calibri"/>
        </w:rPr>
        <w:t>Subsequently</w:t>
      </w:r>
      <w:r w:rsidR="00DE0D23">
        <w:rPr>
          <w:rFonts w:ascii="Calibri" w:hAnsi="Calibri" w:cs="Calibri"/>
        </w:rPr>
        <w:t>, the portfolio will demonstrate the relevance of these principles within higher education. Additionally, the portfolio will highlight the importance of student engagement within self-assessment, and how it develops the individual learner.</w:t>
      </w:r>
      <w:r w:rsidR="00364752">
        <w:rPr>
          <w:rFonts w:ascii="Calibri" w:hAnsi="Calibri" w:cs="Calibri"/>
        </w:rPr>
        <w:t xml:space="preserve"> </w:t>
      </w:r>
      <w:r w:rsidR="00364752" w:rsidRPr="00AF7867">
        <w:rPr>
          <w:rFonts w:ascii="Calibri" w:hAnsi="Calibri" w:cs="Calibri"/>
        </w:rPr>
        <w:t xml:space="preserve">This </w:t>
      </w:r>
      <w:r w:rsidR="00364752">
        <w:rPr>
          <w:rFonts w:ascii="Calibri" w:hAnsi="Calibri" w:cs="Calibri"/>
        </w:rPr>
        <w:t>portfolio</w:t>
      </w:r>
      <w:r w:rsidR="00364752" w:rsidRPr="00AF7867">
        <w:rPr>
          <w:rFonts w:ascii="Calibri" w:hAnsi="Calibri" w:cs="Calibri"/>
        </w:rPr>
        <w:t xml:space="preserve"> will assess whether the assessments within </w:t>
      </w:r>
      <w:r w:rsidR="00364752">
        <w:rPr>
          <w:rFonts w:ascii="Calibri" w:hAnsi="Calibri" w:cs="Calibri"/>
        </w:rPr>
        <w:t>higher education</w:t>
      </w:r>
      <w:r w:rsidR="00364752" w:rsidRPr="00AF7867">
        <w:rPr>
          <w:rFonts w:ascii="Calibri" w:hAnsi="Calibri" w:cs="Calibri"/>
        </w:rPr>
        <w:t xml:space="preserve"> course are fit for purpose by looking at aspects such as validity, reliability, and measurement.</w:t>
      </w:r>
    </w:p>
    <w:p w14:paraId="359A8F0C" w14:textId="77777777" w:rsidR="00B46F29" w:rsidRDefault="00B46F29" w:rsidP="00AF7867">
      <w:pPr>
        <w:spacing w:line="360" w:lineRule="auto"/>
        <w:rPr>
          <w:rFonts w:ascii="Calibri" w:hAnsi="Calibri" w:cs="Calibri"/>
        </w:rPr>
      </w:pPr>
    </w:p>
    <w:p w14:paraId="04C25195" w14:textId="502ABE4D" w:rsidR="00C50A15" w:rsidRDefault="00B823B9" w:rsidP="00387A47">
      <w:pPr>
        <w:pStyle w:val="ListParagraph"/>
        <w:numPr>
          <w:ilvl w:val="0"/>
          <w:numId w:val="1"/>
        </w:numPr>
        <w:spacing w:line="360" w:lineRule="auto"/>
        <w:rPr>
          <w:rFonts w:ascii="Calibri" w:hAnsi="Calibri" w:cs="Calibri"/>
          <w:b/>
          <w:bCs/>
        </w:rPr>
      </w:pPr>
      <w:r>
        <w:rPr>
          <w:rFonts w:ascii="Calibri" w:hAnsi="Calibri" w:cs="Calibri"/>
          <w:b/>
          <w:bCs/>
        </w:rPr>
        <w:t>Self-assessment and Self-evaluation</w:t>
      </w:r>
    </w:p>
    <w:p w14:paraId="12D37CEC" w14:textId="6EDB9287" w:rsidR="00B823B9" w:rsidRPr="00B823B9" w:rsidRDefault="00B823B9" w:rsidP="00B823B9">
      <w:pPr>
        <w:pStyle w:val="ListParagraph"/>
        <w:numPr>
          <w:ilvl w:val="1"/>
          <w:numId w:val="1"/>
        </w:numPr>
        <w:spacing w:line="360" w:lineRule="auto"/>
        <w:rPr>
          <w:rFonts w:ascii="Calibri" w:hAnsi="Calibri" w:cs="Calibri"/>
          <w:b/>
          <w:bCs/>
        </w:rPr>
      </w:pPr>
      <w:r>
        <w:rPr>
          <w:rFonts w:ascii="Calibri" w:hAnsi="Calibri" w:cs="Calibri"/>
          <w:b/>
          <w:bCs/>
        </w:rPr>
        <w:t>What is assessment?</w:t>
      </w:r>
    </w:p>
    <w:p w14:paraId="3EA1DF00" w14:textId="4E38F832" w:rsidR="00B823B9" w:rsidRDefault="00364752" w:rsidP="003B6864">
      <w:pPr>
        <w:pStyle w:val="c-author-listitem"/>
        <w:spacing w:line="360" w:lineRule="auto"/>
        <w:rPr>
          <w:rFonts w:ascii="Calibri" w:hAnsi="Calibri" w:cs="Calibri"/>
        </w:rPr>
      </w:pPr>
      <w:r w:rsidRPr="003B6864">
        <w:rPr>
          <w:rFonts w:ascii="Calibri" w:hAnsi="Calibri" w:cs="Calibri"/>
        </w:rPr>
        <w:t xml:space="preserve">Bryan and Clegg (2006) state that assessment </w:t>
      </w:r>
      <w:r w:rsidR="00B823B9" w:rsidRPr="003B6864">
        <w:rPr>
          <w:rFonts w:ascii="Calibri" w:hAnsi="Calibri" w:cs="Calibri"/>
        </w:rPr>
        <w:t>undoubtedly</w:t>
      </w:r>
      <w:r w:rsidRPr="003B6864">
        <w:rPr>
          <w:rFonts w:ascii="Calibri" w:hAnsi="Calibri" w:cs="Calibri"/>
        </w:rPr>
        <w:t xml:space="preserve"> generates more </w:t>
      </w:r>
      <w:r w:rsidR="00537FDC" w:rsidRPr="003B6864">
        <w:rPr>
          <w:rFonts w:ascii="Calibri" w:hAnsi="Calibri" w:cs="Calibri"/>
        </w:rPr>
        <w:t>apprehension</w:t>
      </w:r>
      <w:r w:rsidRPr="003B6864">
        <w:rPr>
          <w:rFonts w:ascii="Calibri" w:hAnsi="Calibri" w:cs="Calibri"/>
        </w:rPr>
        <w:t xml:space="preserve"> </w:t>
      </w:r>
      <w:r w:rsidR="00537FDC">
        <w:rPr>
          <w:rFonts w:ascii="Calibri" w:hAnsi="Calibri" w:cs="Calibri"/>
        </w:rPr>
        <w:t>with</w:t>
      </w:r>
      <w:r w:rsidR="00A34D31" w:rsidRPr="003B6864">
        <w:rPr>
          <w:rFonts w:ascii="Calibri" w:hAnsi="Calibri" w:cs="Calibri"/>
        </w:rPr>
        <w:t xml:space="preserve"> students</w:t>
      </w:r>
      <w:r w:rsidR="00537FDC">
        <w:rPr>
          <w:rFonts w:ascii="Calibri" w:hAnsi="Calibri" w:cs="Calibri"/>
        </w:rPr>
        <w:t xml:space="preserve"> more than anything else in higher education</w:t>
      </w:r>
      <w:r w:rsidRPr="003B6864">
        <w:rPr>
          <w:rFonts w:ascii="Calibri" w:hAnsi="Calibri" w:cs="Calibri"/>
        </w:rPr>
        <w:t xml:space="preserve">. It </w:t>
      </w:r>
      <w:r w:rsidR="00537FDC">
        <w:rPr>
          <w:rFonts w:ascii="Calibri" w:hAnsi="Calibri" w:cs="Calibri"/>
        </w:rPr>
        <w:t>consume</w:t>
      </w:r>
      <w:r w:rsidRPr="003B6864">
        <w:rPr>
          <w:rFonts w:ascii="Calibri" w:hAnsi="Calibri" w:cs="Calibri"/>
        </w:rPr>
        <w:t xml:space="preserve">s a </w:t>
      </w:r>
      <w:r w:rsidR="00537FDC">
        <w:rPr>
          <w:rFonts w:ascii="Calibri" w:hAnsi="Calibri" w:cs="Calibri"/>
        </w:rPr>
        <w:t>large</w:t>
      </w:r>
      <w:r w:rsidRPr="003B6864">
        <w:rPr>
          <w:rFonts w:ascii="Calibri" w:hAnsi="Calibri" w:cs="Calibri"/>
        </w:rPr>
        <w:t xml:space="preserve"> </w:t>
      </w:r>
      <w:r w:rsidR="00537FDC">
        <w:rPr>
          <w:rFonts w:ascii="Calibri" w:hAnsi="Calibri" w:cs="Calibri"/>
        </w:rPr>
        <w:t>amount</w:t>
      </w:r>
      <w:r w:rsidRPr="003B6864">
        <w:rPr>
          <w:rFonts w:ascii="Calibri" w:hAnsi="Calibri" w:cs="Calibri"/>
        </w:rPr>
        <w:t xml:space="preserve"> of time and is the </w:t>
      </w:r>
      <w:r w:rsidR="00537FDC" w:rsidRPr="003B6864">
        <w:rPr>
          <w:rFonts w:ascii="Calibri" w:hAnsi="Calibri" w:cs="Calibri"/>
        </w:rPr>
        <w:t>focus</w:t>
      </w:r>
      <w:r w:rsidRPr="003B6864">
        <w:rPr>
          <w:rFonts w:ascii="Calibri" w:hAnsi="Calibri" w:cs="Calibri"/>
        </w:rPr>
        <w:t xml:space="preserve"> of </w:t>
      </w:r>
      <w:r w:rsidR="00537FDC" w:rsidRPr="003B6864">
        <w:rPr>
          <w:rFonts w:ascii="Calibri" w:hAnsi="Calibri" w:cs="Calibri"/>
        </w:rPr>
        <w:t>significant</w:t>
      </w:r>
      <w:r w:rsidRPr="003B6864">
        <w:rPr>
          <w:rFonts w:ascii="Calibri" w:hAnsi="Calibri" w:cs="Calibri"/>
        </w:rPr>
        <w:t xml:space="preserve"> </w:t>
      </w:r>
      <w:r w:rsidR="00537FDC" w:rsidRPr="003B6864">
        <w:rPr>
          <w:rFonts w:ascii="Calibri" w:hAnsi="Calibri" w:cs="Calibri"/>
        </w:rPr>
        <w:t>consideration</w:t>
      </w:r>
      <w:r w:rsidRPr="003B6864">
        <w:rPr>
          <w:rFonts w:ascii="Calibri" w:hAnsi="Calibri" w:cs="Calibri"/>
        </w:rPr>
        <w:t xml:space="preserve"> </w:t>
      </w:r>
      <w:r w:rsidR="00537FDC">
        <w:rPr>
          <w:rFonts w:ascii="Calibri" w:hAnsi="Calibri" w:cs="Calibri"/>
        </w:rPr>
        <w:t xml:space="preserve">in regards to if it is effective, fair and overall worth spending </w:t>
      </w:r>
      <w:r w:rsidRPr="003B6864">
        <w:rPr>
          <w:rFonts w:ascii="Calibri" w:hAnsi="Calibri" w:cs="Calibri"/>
        </w:rPr>
        <w:t xml:space="preserve">time on. However, </w:t>
      </w:r>
      <w:r w:rsidR="00603B86" w:rsidRPr="003B6864">
        <w:rPr>
          <w:rFonts w:ascii="Calibri" w:hAnsi="Calibri" w:cs="Calibri"/>
        </w:rPr>
        <w:t>Black and William</w:t>
      </w:r>
      <w:r w:rsidRPr="003B6864">
        <w:rPr>
          <w:rFonts w:ascii="Calibri" w:hAnsi="Calibri" w:cs="Calibri"/>
        </w:rPr>
        <w:t xml:space="preserve"> (</w:t>
      </w:r>
      <w:r w:rsidR="00603B86" w:rsidRPr="003B6864">
        <w:rPr>
          <w:rFonts w:ascii="Calibri" w:hAnsi="Calibri" w:cs="Calibri"/>
        </w:rPr>
        <w:t>1998</w:t>
      </w:r>
      <w:r w:rsidRPr="003B6864">
        <w:rPr>
          <w:rFonts w:ascii="Calibri" w:hAnsi="Calibri" w:cs="Calibri"/>
        </w:rPr>
        <w:t xml:space="preserve">) states that assessment is an essential element of the overall quality of teaching and learning and should be seen as positive and gives </w:t>
      </w:r>
      <w:r w:rsidR="00155F41">
        <w:rPr>
          <w:rFonts w:ascii="Calibri" w:hAnsi="Calibri" w:cs="Calibri"/>
        </w:rPr>
        <w:t>students</w:t>
      </w:r>
      <w:r w:rsidRPr="003B6864">
        <w:rPr>
          <w:rFonts w:ascii="Calibri" w:hAnsi="Calibri" w:cs="Calibri"/>
        </w:rPr>
        <w:t xml:space="preserve"> the opportunity to demonstrate their knowledge and understanding. Assessment is a process of collecting, interpreting, recording and using information for decision making about pupils</w:t>
      </w:r>
      <w:r w:rsidR="009668E0" w:rsidRPr="003B6864">
        <w:rPr>
          <w:rFonts w:ascii="Calibri" w:hAnsi="Calibri" w:cs="Calibri"/>
        </w:rPr>
        <w:t>/students</w:t>
      </w:r>
      <w:r w:rsidRPr="003B6864">
        <w:rPr>
          <w:rFonts w:ascii="Calibri" w:hAnsi="Calibri" w:cs="Calibri"/>
        </w:rPr>
        <w:t xml:space="preserve"> or schools</w:t>
      </w:r>
      <w:r w:rsidR="009668E0" w:rsidRPr="003B6864">
        <w:rPr>
          <w:rFonts w:ascii="Calibri" w:hAnsi="Calibri" w:cs="Calibri"/>
        </w:rPr>
        <w:t>/universities</w:t>
      </w:r>
      <w:r w:rsidRPr="003B6864">
        <w:rPr>
          <w:rFonts w:ascii="Calibri" w:hAnsi="Calibri" w:cs="Calibri"/>
        </w:rPr>
        <w:t xml:space="preserve"> </w:t>
      </w:r>
      <w:r w:rsidR="009668E0" w:rsidRPr="003B6864">
        <w:rPr>
          <w:rFonts w:ascii="Calibri" w:hAnsi="Calibri" w:cs="Calibri"/>
        </w:rPr>
        <w:t xml:space="preserve">(EPPI, 2002). </w:t>
      </w:r>
      <w:r w:rsidRPr="003B6864">
        <w:rPr>
          <w:rFonts w:ascii="Calibri" w:hAnsi="Calibri" w:cs="Calibri"/>
        </w:rPr>
        <w:t xml:space="preserve">This is echoed by Broadfoot (1996) who explains that the process measures and evaluates those measurements against specific performance norms eg pupils should ideally achieve grades A * to C in their GCSE subjects. </w:t>
      </w:r>
      <w:r w:rsidR="00BE069E" w:rsidRPr="003B6864">
        <w:rPr>
          <w:rFonts w:ascii="Calibri" w:hAnsi="Calibri" w:cs="Calibri"/>
        </w:rPr>
        <w:t>Educators</w:t>
      </w:r>
      <w:r w:rsidRPr="003B6864">
        <w:rPr>
          <w:rFonts w:ascii="Calibri" w:hAnsi="Calibri" w:cs="Calibri"/>
        </w:rPr>
        <w:t xml:space="preserve"> use assessment information to make decisions on how teaching techniques can be improved to help further the </w:t>
      </w:r>
      <w:r w:rsidR="00BE069E" w:rsidRPr="003B6864">
        <w:rPr>
          <w:rFonts w:ascii="Calibri" w:hAnsi="Calibri" w:cs="Calibri"/>
        </w:rPr>
        <w:t>pupil or student’s</w:t>
      </w:r>
      <w:r w:rsidRPr="003B6864">
        <w:rPr>
          <w:rFonts w:ascii="Calibri" w:hAnsi="Calibri" w:cs="Calibri"/>
        </w:rPr>
        <w:t xml:space="preserve"> development. Assessment can provide effective feedback on the extent to which pupils have achieved and is a means of rewarding pupils </w:t>
      </w:r>
      <w:r w:rsidR="00BE069E" w:rsidRPr="003B6864">
        <w:rPr>
          <w:rFonts w:ascii="Calibri" w:hAnsi="Calibri" w:cs="Calibri"/>
        </w:rPr>
        <w:t xml:space="preserve">and students </w:t>
      </w:r>
      <w:r w:rsidRPr="003B6864">
        <w:rPr>
          <w:rFonts w:ascii="Calibri" w:hAnsi="Calibri" w:cs="Calibri"/>
        </w:rPr>
        <w:t>for their efforts and achievements (Gulley, 2014)</w:t>
      </w:r>
      <w:r w:rsidR="00B22843" w:rsidRPr="003B6864">
        <w:rPr>
          <w:rFonts w:ascii="Calibri" w:hAnsi="Calibri" w:cs="Calibri"/>
        </w:rPr>
        <w:t xml:space="preserve">. </w:t>
      </w:r>
    </w:p>
    <w:p w14:paraId="67F3E853" w14:textId="12EF5ADC" w:rsidR="00B823B9" w:rsidRPr="00B823B9" w:rsidRDefault="00B823B9" w:rsidP="00B823B9">
      <w:pPr>
        <w:pStyle w:val="ListParagraph"/>
        <w:numPr>
          <w:ilvl w:val="1"/>
          <w:numId w:val="1"/>
        </w:numPr>
        <w:rPr>
          <w:rFonts w:ascii="Calibri" w:hAnsi="Calibri" w:cs="Calibri"/>
          <w:b/>
          <w:bCs/>
        </w:rPr>
      </w:pPr>
      <w:r w:rsidRPr="00B823B9">
        <w:rPr>
          <w:rFonts w:ascii="Calibri" w:hAnsi="Calibri" w:cs="Calibri"/>
          <w:b/>
          <w:bCs/>
        </w:rPr>
        <w:t>What is self-assessment?</w:t>
      </w:r>
    </w:p>
    <w:p w14:paraId="0B9888F8" w14:textId="0E371D96" w:rsidR="00383E01" w:rsidRPr="002A6EC1" w:rsidRDefault="00CC6678" w:rsidP="002A6EC1">
      <w:pPr>
        <w:pStyle w:val="c-author-listitem"/>
        <w:spacing w:line="360" w:lineRule="auto"/>
        <w:rPr>
          <w:rFonts w:ascii="Calibri" w:hAnsi="Calibri" w:cs="Calibri"/>
          <w:color w:val="000000" w:themeColor="text1"/>
        </w:rPr>
      </w:pPr>
      <w:r>
        <w:rPr>
          <w:rFonts w:ascii="Calibri" w:hAnsi="Calibri" w:cs="Calibri"/>
        </w:rPr>
        <w:t>S</w:t>
      </w:r>
      <w:r w:rsidR="009747A8" w:rsidRPr="003B6864">
        <w:rPr>
          <w:rFonts w:ascii="Calibri" w:hAnsi="Calibri" w:cs="Calibri"/>
        </w:rPr>
        <w:t>elf-assessment</w:t>
      </w:r>
      <w:r w:rsidR="0016489B">
        <w:rPr>
          <w:rFonts w:ascii="Calibri" w:hAnsi="Calibri" w:cs="Calibri"/>
        </w:rPr>
        <w:t xml:space="preserve"> </w:t>
      </w:r>
      <w:r w:rsidR="009747A8" w:rsidRPr="003B6864">
        <w:rPr>
          <w:rFonts w:ascii="Calibri" w:hAnsi="Calibri" w:cs="Calibri"/>
        </w:rPr>
        <w:t>is slightly different to a teacher or a lecturer assessing a student’s learning. Self-assessment requires the learner to</w:t>
      </w:r>
      <w:r w:rsidR="00B42AE8">
        <w:rPr>
          <w:rFonts w:ascii="Calibri" w:hAnsi="Calibri" w:cs="Calibri"/>
        </w:rPr>
        <w:t xml:space="preserve"> take the position of a teacher and</w:t>
      </w:r>
      <w:r w:rsidR="009747A8" w:rsidRPr="003B6864">
        <w:rPr>
          <w:rFonts w:ascii="Calibri" w:hAnsi="Calibri" w:cs="Calibri"/>
        </w:rPr>
        <w:t xml:space="preserve"> critically </w:t>
      </w:r>
      <w:r w:rsidR="00A43AC3">
        <w:rPr>
          <w:rFonts w:ascii="Calibri" w:hAnsi="Calibri" w:cs="Calibri"/>
        </w:rPr>
        <w:t>assess</w:t>
      </w:r>
      <w:r w:rsidR="009747A8" w:rsidRPr="003B6864">
        <w:rPr>
          <w:rFonts w:ascii="Calibri" w:hAnsi="Calibri" w:cs="Calibri"/>
        </w:rPr>
        <w:t xml:space="preserve"> </w:t>
      </w:r>
      <w:r w:rsidR="002E298D" w:rsidRPr="003B6864">
        <w:rPr>
          <w:rFonts w:ascii="Calibri" w:hAnsi="Calibri" w:cs="Calibri"/>
        </w:rPr>
        <w:t>their own learning.</w:t>
      </w:r>
      <w:r w:rsidR="000D64AC">
        <w:rPr>
          <w:rFonts w:ascii="Calibri" w:hAnsi="Calibri" w:cs="Calibri"/>
        </w:rPr>
        <w:t xml:space="preserve"> It is important to note that self-assessment is a form of formative </w:t>
      </w:r>
      <w:r w:rsidR="000D64AC">
        <w:rPr>
          <w:rFonts w:ascii="Calibri" w:hAnsi="Calibri" w:cs="Calibri"/>
        </w:rPr>
        <w:lastRenderedPageBreak/>
        <w:t xml:space="preserve">assessment (Brown, Andrade &amp; Chen, 2015). </w:t>
      </w:r>
      <w:r w:rsidR="002E298D" w:rsidRPr="003B6864">
        <w:rPr>
          <w:rFonts w:ascii="Calibri" w:hAnsi="Calibri" w:cs="Calibri"/>
        </w:rPr>
        <w:t>Boud &amp; Falchikov (</w:t>
      </w:r>
      <w:r w:rsidR="003B6864">
        <w:rPr>
          <w:rFonts w:ascii="Calibri" w:hAnsi="Calibri" w:cs="Calibri"/>
        </w:rPr>
        <w:t>1989</w:t>
      </w:r>
      <w:r w:rsidR="002E298D" w:rsidRPr="003B6864">
        <w:rPr>
          <w:rFonts w:ascii="Calibri" w:hAnsi="Calibri" w:cs="Calibri"/>
        </w:rPr>
        <w:t xml:space="preserve">) note that </w:t>
      </w:r>
      <w:r w:rsidR="003B6864" w:rsidRPr="003B6864">
        <w:rPr>
          <w:rFonts w:ascii="Calibri" w:hAnsi="Calibri" w:cs="Calibri"/>
        </w:rPr>
        <w:t>student self-assessment happens when students judge qualities of their own performance</w:t>
      </w:r>
      <w:r w:rsidR="00B42AE8">
        <w:rPr>
          <w:rFonts w:ascii="Calibri" w:hAnsi="Calibri" w:cs="Calibri"/>
        </w:rPr>
        <w:t xml:space="preserve"> and learning. </w:t>
      </w:r>
      <w:r w:rsidR="0045775E">
        <w:rPr>
          <w:rFonts w:ascii="Calibri" w:hAnsi="Calibri" w:cs="Calibri"/>
        </w:rPr>
        <w:t xml:space="preserve">This </w:t>
      </w:r>
      <w:r w:rsidR="0045775E" w:rsidRPr="007E678E">
        <w:rPr>
          <w:rFonts w:ascii="Calibri" w:hAnsi="Calibri" w:cs="Calibri"/>
          <w:color w:val="000000" w:themeColor="text1"/>
        </w:rPr>
        <w:t>is echoed by Andrade and Valtcheva (200</w:t>
      </w:r>
      <w:r w:rsidR="00302829" w:rsidRPr="007E678E">
        <w:rPr>
          <w:rFonts w:ascii="Calibri" w:hAnsi="Calibri" w:cs="Calibri"/>
          <w:color w:val="000000" w:themeColor="text1"/>
        </w:rPr>
        <w:t>9</w:t>
      </w:r>
      <w:r w:rsidR="0045775E" w:rsidRPr="007E678E">
        <w:rPr>
          <w:rFonts w:ascii="Calibri" w:hAnsi="Calibri" w:cs="Calibri"/>
          <w:color w:val="000000" w:themeColor="text1"/>
        </w:rPr>
        <w:t xml:space="preserve">) who state that students must compare their work </w:t>
      </w:r>
      <w:r w:rsidR="000A5A87" w:rsidRPr="007E678E">
        <w:rPr>
          <w:rFonts w:ascii="Calibri" w:hAnsi="Calibri" w:cs="Calibri"/>
          <w:color w:val="000000" w:themeColor="text1"/>
        </w:rPr>
        <w:t xml:space="preserve">against a </w:t>
      </w:r>
      <w:r w:rsidR="00F957C0" w:rsidRPr="007E678E">
        <w:rPr>
          <w:rFonts w:ascii="Calibri" w:hAnsi="Calibri" w:cs="Calibri"/>
          <w:color w:val="000000" w:themeColor="text1"/>
        </w:rPr>
        <w:t>specific criterion</w:t>
      </w:r>
      <w:r w:rsidR="000A5A87" w:rsidRPr="007E678E">
        <w:rPr>
          <w:rFonts w:ascii="Calibri" w:hAnsi="Calibri" w:cs="Calibri"/>
          <w:color w:val="000000" w:themeColor="text1"/>
        </w:rPr>
        <w:t xml:space="preserve"> or standard and review their work appropriately. However, they argue that self-assessment should not be a case of </w:t>
      </w:r>
      <w:r w:rsidR="000E58B6" w:rsidRPr="007E678E">
        <w:rPr>
          <w:rFonts w:ascii="Calibri" w:hAnsi="Calibri" w:cs="Calibri"/>
          <w:color w:val="000000" w:themeColor="text1"/>
        </w:rPr>
        <w:t xml:space="preserve">student’s grading their own work. </w:t>
      </w:r>
      <w:r w:rsidR="009B0A77" w:rsidRPr="007E678E">
        <w:rPr>
          <w:rFonts w:ascii="Calibri" w:hAnsi="Calibri" w:cs="Calibri"/>
          <w:color w:val="000000" w:themeColor="text1"/>
        </w:rPr>
        <w:t>It should be a process of identifying their individual areas of strengths and weaknesses, in order to adapt and progress in their learning. Additionally</w:t>
      </w:r>
      <w:r w:rsidR="00302829" w:rsidRPr="007E678E">
        <w:rPr>
          <w:rFonts w:ascii="Calibri" w:hAnsi="Calibri" w:cs="Calibri"/>
          <w:color w:val="000000" w:themeColor="text1"/>
        </w:rPr>
        <w:t>,</w:t>
      </w:r>
      <w:r w:rsidR="009B0A77" w:rsidRPr="007E678E">
        <w:rPr>
          <w:rFonts w:ascii="Calibri" w:hAnsi="Calibri" w:cs="Calibri"/>
          <w:color w:val="000000" w:themeColor="text1"/>
        </w:rPr>
        <w:t xml:space="preserve"> this will promote learning.</w:t>
      </w:r>
      <w:r w:rsidR="00D164DF" w:rsidRPr="007E678E">
        <w:rPr>
          <w:rFonts w:ascii="Calibri" w:hAnsi="Calibri" w:cs="Calibri"/>
          <w:color w:val="000000" w:themeColor="text1"/>
        </w:rPr>
        <w:t xml:space="preserve"> </w:t>
      </w:r>
      <w:r w:rsidR="002A6EC1">
        <w:rPr>
          <w:rFonts w:ascii="Calibri" w:hAnsi="Calibri" w:cs="Calibri"/>
          <w:color w:val="000000" w:themeColor="text1"/>
        </w:rPr>
        <w:t>There are numerous proven benefits of student self-assessment. Papanthymou (20</w:t>
      </w:r>
      <w:r w:rsidR="0001769C">
        <w:rPr>
          <w:rFonts w:ascii="Calibri" w:hAnsi="Calibri" w:cs="Calibri"/>
          <w:color w:val="000000" w:themeColor="text1"/>
        </w:rPr>
        <w:t>18</w:t>
      </w:r>
      <w:r w:rsidR="002A6EC1">
        <w:rPr>
          <w:rFonts w:ascii="Calibri" w:hAnsi="Calibri" w:cs="Calibri"/>
          <w:color w:val="000000" w:themeColor="text1"/>
        </w:rPr>
        <w:t xml:space="preserve">) states that self-assessment motivates students to ask for help and assistance from their teachers/professors and fellow peers. A regular use of self-assessment has even been proven to reduce student anxiety about assessment. This is reverberated by </w:t>
      </w:r>
      <w:r w:rsidR="00D164DF" w:rsidRPr="007E678E">
        <w:rPr>
          <w:rFonts w:ascii="Calibri" w:hAnsi="Calibri" w:cs="Calibri"/>
          <w:color w:val="000000" w:themeColor="text1"/>
        </w:rPr>
        <w:t>McMillan and Hearn (200</w:t>
      </w:r>
      <w:r w:rsidR="00F957C0" w:rsidRPr="007E678E">
        <w:rPr>
          <w:rFonts w:ascii="Calibri" w:hAnsi="Calibri" w:cs="Calibri"/>
          <w:color w:val="000000" w:themeColor="text1"/>
        </w:rPr>
        <w:t>8</w:t>
      </w:r>
      <w:r w:rsidR="00D164DF" w:rsidRPr="007E678E">
        <w:rPr>
          <w:rFonts w:ascii="Calibri" w:hAnsi="Calibri" w:cs="Calibri"/>
          <w:color w:val="000000" w:themeColor="text1"/>
        </w:rPr>
        <w:t xml:space="preserve">) </w:t>
      </w:r>
      <w:r w:rsidR="002A6EC1">
        <w:rPr>
          <w:rFonts w:ascii="Calibri" w:hAnsi="Calibri" w:cs="Calibri"/>
          <w:color w:val="000000" w:themeColor="text1"/>
        </w:rPr>
        <w:t xml:space="preserve">who </w:t>
      </w:r>
      <w:r w:rsidR="00D164DF" w:rsidRPr="007E678E">
        <w:rPr>
          <w:rFonts w:ascii="Calibri" w:hAnsi="Calibri" w:cs="Calibri"/>
          <w:color w:val="000000" w:themeColor="text1"/>
        </w:rPr>
        <w:t>note that self-assessment has been proven to improve student motivation, engagement and learning.</w:t>
      </w:r>
      <w:r w:rsidR="00B87346" w:rsidRPr="007E678E">
        <w:rPr>
          <w:rFonts w:ascii="Calibri" w:hAnsi="Calibri" w:cs="Calibri"/>
          <w:color w:val="000000" w:themeColor="text1"/>
        </w:rPr>
        <w:t xml:space="preserve"> </w:t>
      </w:r>
      <w:r w:rsidR="00432B75" w:rsidRPr="007E678E">
        <w:rPr>
          <w:rFonts w:ascii="Calibri" w:hAnsi="Calibri" w:cs="Calibri"/>
          <w:color w:val="000000" w:themeColor="text1"/>
        </w:rPr>
        <w:t>Overall, self-assessment promotes student learning and is thought of as one of the most vital skills that a student can acquire for lifelong learning and future development professionally, as it improves the capacity to be assessors of learning (Boud and Falchikov, 2006; Taras, 2010).</w:t>
      </w:r>
      <w:r w:rsidR="00383E01">
        <w:rPr>
          <w:rFonts w:ascii="Calibri" w:hAnsi="Calibri" w:cs="Calibri"/>
          <w:color w:val="000000" w:themeColor="text1"/>
        </w:rPr>
        <w:t xml:space="preserve"> Orsmond, Merry and Reiling (1997) state that </w:t>
      </w:r>
      <w:r w:rsidR="00345376">
        <w:rPr>
          <w:rFonts w:ascii="Calibri" w:hAnsi="Calibri" w:cs="Calibri"/>
          <w:color w:val="000000" w:themeColor="text1"/>
        </w:rPr>
        <w:t>students develop a better understanding of assessment criteria’s and the purpose and benefits that assessment itself brings, when they partake in self-assessment on a regular basis.</w:t>
      </w:r>
    </w:p>
    <w:p w14:paraId="4EDA4A7E" w14:textId="59397219" w:rsidR="0016489B" w:rsidRDefault="0016489B" w:rsidP="0016489B">
      <w:pPr>
        <w:pStyle w:val="c-author-listitem"/>
        <w:numPr>
          <w:ilvl w:val="1"/>
          <w:numId w:val="1"/>
        </w:numPr>
        <w:spacing w:line="360" w:lineRule="auto"/>
        <w:rPr>
          <w:rFonts w:ascii="Calibri" w:hAnsi="Calibri" w:cs="Calibri"/>
          <w:b/>
          <w:bCs/>
        </w:rPr>
      </w:pPr>
      <w:r w:rsidRPr="0016489B">
        <w:rPr>
          <w:rFonts w:ascii="Calibri" w:hAnsi="Calibri" w:cs="Calibri"/>
          <w:b/>
          <w:bCs/>
        </w:rPr>
        <w:t>What is self-evaluation?</w:t>
      </w:r>
    </w:p>
    <w:p w14:paraId="64D703CB" w14:textId="2927113C" w:rsidR="00BD6268" w:rsidRPr="00BD6268" w:rsidRDefault="00B87346" w:rsidP="00B7526B">
      <w:pPr>
        <w:pStyle w:val="NormalWeb"/>
        <w:spacing w:line="360" w:lineRule="auto"/>
        <w:rPr>
          <w:rFonts w:ascii="Calibri" w:hAnsi="Calibri" w:cs="Calibri"/>
          <w:color w:val="000000" w:themeColor="text1"/>
        </w:rPr>
      </w:pPr>
      <w:r w:rsidRPr="007E678E">
        <w:rPr>
          <w:rFonts w:ascii="Calibri" w:hAnsi="Calibri" w:cs="Calibri"/>
          <w:color w:val="000000" w:themeColor="text1"/>
        </w:rPr>
        <w:t>It is key to understand that self-assessment and self-evaluation are differentiated. Self-assessment is feedback for oneself delivered by oneself (Andrade and Du, 2007; Andrade and Valtcheva, 2009). Furthermore, self-evaluation requires the student to take a step back from the situation to answer questions on their work. The questions can range from what did I learn? What can I do to improve? (MacBeath and McGlynn, 2002)</w:t>
      </w:r>
      <w:r w:rsidR="007E678E" w:rsidRPr="007E678E">
        <w:rPr>
          <w:rFonts w:ascii="Calibri" w:hAnsi="Calibri" w:cs="Calibri"/>
          <w:color w:val="000000" w:themeColor="text1"/>
        </w:rPr>
        <w:t xml:space="preserve">. </w:t>
      </w:r>
      <w:r w:rsidRPr="007E678E">
        <w:rPr>
          <w:rFonts w:ascii="Calibri" w:hAnsi="Calibri" w:cs="Calibri"/>
          <w:color w:val="000000" w:themeColor="text1"/>
        </w:rPr>
        <w:t>In a sense the learner is asked to answer the 5Ws and How (who, what, when, where, why, how) relating to their work</w:t>
      </w:r>
      <w:r w:rsidR="007E678E" w:rsidRPr="007E678E">
        <w:rPr>
          <w:rFonts w:ascii="Calibri" w:hAnsi="Calibri" w:cs="Calibri"/>
          <w:color w:val="000000" w:themeColor="text1"/>
        </w:rPr>
        <w:t xml:space="preserve">. </w:t>
      </w:r>
      <w:r w:rsidR="00A43AC3" w:rsidRPr="007E678E">
        <w:rPr>
          <w:rFonts w:ascii="Calibri" w:hAnsi="Calibri" w:cs="Calibri"/>
          <w:color w:val="000000" w:themeColor="text1"/>
        </w:rPr>
        <w:t>When students are asked to self-evaluate their work, it requires a step further than marking one’s own work against a set of criteria.</w:t>
      </w:r>
      <w:r w:rsidR="005E26E3" w:rsidRPr="007E678E">
        <w:rPr>
          <w:rFonts w:ascii="Calibri" w:hAnsi="Calibri" w:cs="Calibri"/>
          <w:color w:val="000000" w:themeColor="text1"/>
        </w:rPr>
        <w:t xml:space="preserve"> The student is required to judge the quality of their own work based on specific criteria and evidence, in aim to produce better work in the future. Self-evaluation is an influential method due to its impact on student </w:t>
      </w:r>
      <w:r w:rsidR="005E26E3" w:rsidRPr="007E678E">
        <w:rPr>
          <w:rFonts w:ascii="Calibri" w:hAnsi="Calibri" w:cs="Calibri"/>
          <w:color w:val="000000" w:themeColor="text1"/>
        </w:rPr>
        <w:lastRenderedPageBreak/>
        <w:t>performance, by enhancing how efficient the student is and increasing motivation</w:t>
      </w:r>
      <w:r w:rsidR="007E678E">
        <w:rPr>
          <w:rFonts w:ascii="Calibri" w:hAnsi="Calibri" w:cs="Calibri"/>
          <w:color w:val="000000" w:themeColor="text1"/>
        </w:rPr>
        <w:t xml:space="preserve"> (</w:t>
      </w:r>
      <w:r w:rsidR="007E678E" w:rsidRPr="007E678E">
        <w:rPr>
          <w:rFonts w:ascii="Calibri" w:hAnsi="Calibri" w:cs="Calibri"/>
          <w:color w:val="000000" w:themeColor="text1"/>
        </w:rPr>
        <w:t>Boud and Falchikov, 2006</w:t>
      </w:r>
      <w:r w:rsidR="007E678E">
        <w:rPr>
          <w:rFonts w:ascii="Calibri" w:hAnsi="Calibri" w:cs="Calibri"/>
          <w:color w:val="000000" w:themeColor="text1"/>
        </w:rPr>
        <w:t xml:space="preserve">). </w:t>
      </w:r>
    </w:p>
    <w:p w14:paraId="1C4630F5" w14:textId="6395939A" w:rsidR="00BD6268" w:rsidRDefault="00BD6268" w:rsidP="00BD6268">
      <w:pPr>
        <w:pStyle w:val="ListParagraph"/>
        <w:numPr>
          <w:ilvl w:val="1"/>
          <w:numId w:val="1"/>
        </w:numPr>
        <w:rPr>
          <w:rFonts w:ascii="Calibri" w:hAnsi="Calibri" w:cs="Calibri"/>
          <w:b/>
          <w:bCs/>
        </w:rPr>
      </w:pPr>
      <w:r w:rsidRPr="00BD6268">
        <w:rPr>
          <w:rFonts w:ascii="Calibri" w:hAnsi="Calibri" w:cs="Calibri"/>
          <w:b/>
          <w:bCs/>
        </w:rPr>
        <w:t>Why is self-assessment and self-evaluation needed?</w:t>
      </w:r>
    </w:p>
    <w:p w14:paraId="20425E81" w14:textId="77777777" w:rsidR="001B163D" w:rsidRDefault="001B163D" w:rsidP="001B163D">
      <w:pPr>
        <w:spacing w:line="360" w:lineRule="auto"/>
        <w:rPr>
          <w:rFonts w:ascii="Calibri" w:hAnsi="Calibri" w:cs="Calibri"/>
          <w:color w:val="222222"/>
        </w:rPr>
      </w:pPr>
    </w:p>
    <w:p w14:paraId="2A8C0EE2" w14:textId="6E933418" w:rsidR="001B163D" w:rsidRDefault="001B163D" w:rsidP="001B163D">
      <w:pPr>
        <w:spacing w:line="360" w:lineRule="auto"/>
        <w:rPr>
          <w:rFonts w:ascii="Calibri" w:hAnsi="Calibri" w:cs="Calibri"/>
          <w:color w:val="222222"/>
        </w:rPr>
      </w:pPr>
      <w:r w:rsidRPr="001D7944">
        <w:rPr>
          <w:rFonts w:ascii="Calibri" w:hAnsi="Calibri" w:cs="Calibri"/>
          <w:color w:val="222222"/>
        </w:rPr>
        <w:t>Andrade and Valtcheva (2009) state that self-assessment is when a student has the motivation to evaluate their own work in order to progress their learning. Self-assessment is thought of as a prized learning resource as well as a process of assessment. Stanford University (2019) found that students participating in self-assessment could benefit from six different aspects</w:t>
      </w:r>
      <w:r>
        <w:rPr>
          <w:rFonts w:ascii="Calibri" w:hAnsi="Calibri" w:cs="Calibri"/>
          <w:color w:val="222222"/>
        </w:rPr>
        <w:t>.</w:t>
      </w:r>
    </w:p>
    <w:p w14:paraId="5A23C53F"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Identify their own knowledge, identify areas of weakness.</w:t>
      </w:r>
    </w:p>
    <w:p w14:paraId="2952F73A"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Identify where their focus of attention needs to be in order to improve.</w:t>
      </w:r>
    </w:p>
    <w:p w14:paraId="6EE330C7"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Students are able to set realistic targets.</w:t>
      </w:r>
    </w:p>
    <w:p w14:paraId="1CD331CA" w14:textId="77777777" w:rsidR="001B163D"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Students are able to revise their work.</w:t>
      </w:r>
    </w:p>
    <w:p w14:paraId="6D29D0A5" w14:textId="77777777" w:rsidR="001B163D" w:rsidRPr="00F95A22" w:rsidRDefault="001B163D" w:rsidP="001B163D">
      <w:pPr>
        <w:pStyle w:val="ListParagraph"/>
        <w:numPr>
          <w:ilvl w:val="0"/>
          <w:numId w:val="6"/>
        </w:numPr>
        <w:spacing w:line="360" w:lineRule="auto"/>
        <w:rPr>
          <w:rFonts w:ascii="Calibri" w:hAnsi="Calibri" w:cs="Calibri"/>
          <w:color w:val="222222"/>
        </w:rPr>
      </w:pPr>
      <w:r w:rsidRPr="000D573B">
        <w:rPr>
          <w:rFonts w:ascii="Calibri" w:hAnsi="Calibri" w:cs="Calibri"/>
          <w:color w:val="222222"/>
        </w:rPr>
        <w:t>St</w:t>
      </w:r>
      <w:r w:rsidRPr="00F95A22">
        <w:rPr>
          <w:rFonts w:ascii="Calibri" w:hAnsi="Calibri" w:cs="Calibri"/>
          <w:color w:val="222222"/>
        </w:rPr>
        <w:t>udents are able to monitor their own development.</w:t>
      </w:r>
    </w:p>
    <w:p w14:paraId="783647F8" w14:textId="77777777" w:rsidR="001B163D" w:rsidRPr="00F95A22" w:rsidRDefault="001B163D" w:rsidP="001B163D">
      <w:pPr>
        <w:pStyle w:val="ListParagraph"/>
        <w:numPr>
          <w:ilvl w:val="0"/>
          <w:numId w:val="6"/>
        </w:numPr>
        <w:spacing w:line="360" w:lineRule="auto"/>
        <w:rPr>
          <w:rFonts w:ascii="Calibri" w:hAnsi="Calibri" w:cs="Calibri"/>
          <w:color w:val="222222"/>
        </w:rPr>
      </w:pPr>
      <w:r w:rsidRPr="00F95A22">
        <w:rPr>
          <w:rFonts w:ascii="Calibri" w:hAnsi="Calibri" w:cs="Calibri"/>
          <w:color w:val="222222"/>
        </w:rPr>
        <w:t>Identify when they are capable of moving to the next level or a more intense course.</w:t>
      </w:r>
      <w:r w:rsidRPr="00F95A22">
        <w:rPr>
          <w:rStyle w:val="apple-converted-space"/>
          <w:rFonts w:ascii="Calibri" w:hAnsi="Calibri" w:cs="Calibri"/>
          <w:color w:val="222222"/>
        </w:rPr>
        <w:t> </w:t>
      </w:r>
    </w:p>
    <w:p w14:paraId="5573E303" w14:textId="77777777" w:rsidR="001B163D" w:rsidRPr="00F95A22" w:rsidRDefault="001B163D" w:rsidP="001B163D">
      <w:pPr>
        <w:spacing w:line="360" w:lineRule="auto"/>
        <w:rPr>
          <w:rFonts w:ascii="Calibri" w:hAnsi="Calibri" w:cs="Calibri"/>
          <w:color w:val="222222"/>
        </w:rPr>
      </w:pPr>
      <w:r w:rsidRPr="00F95A22">
        <w:rPr>
          <w:rFonts w:ascii="Calibri" w:hAnsi="Calibri" w:cs="Calibri"/>
          <w:color w:val="222222"/>
        </w:rPr>
        <w:t> </w:t>
      </w:r>
    </w:p>
    <w:p w14:paraId="1A57E5BE" w14:textId="77777777" w:rsidR="00F95A22" w:rsidRPr="00F95A22" w:rsidRDefault="001B163D" w:rsidP="00F95A22">
      <w:pPr>
        <w:spacing w:line="360" w:lineRule="auto"/>
        <w:rPr>
          <w:rFonts w:ascii="Calibri" w:hAnsi="Calibri" w:cs="Calibri"/>
        </w:rPr>
      </w:pPr>
      <w:r w:rsidRPr="00F95A22">
        <w:rPr>
          <w:rFonts w:ascii="Calibri" w:hAnsi="Calibri" w:cs="Calibri"/>
          <w:color w:val="222222"/>
        </w:rPr>
        <w:t>Participating in self-assessment and evaluation allows students to become and stay motivated therefore encouraging them to continue self-reflecting and taking responsibility for their own learning. Brew (2003) believes that by encouraging students in higher education to examine their levels of understanding can act as a wakeup call. For example, if a student in higher education is lacking effort when it comes to their deadlines simply having the motivation to evaluate their work can help them in understanding the areas that may require improvement or further research. This approach is also known as student centred learning as students will outline what their targets are and what actions they need to make in order to meet them. Boud (1995) goes on to say that in order for self-assessment to be successful students need to be honest with themselves on how they have performed. This does not essentially mean students will decide their own grades. However, they must provide the opportunity for themselves by identifying what forms a good piece of work over a poor piece of work.</w:t>
      </w:r>
      <w:r w:rsidR="00F95A22" w:rsidRPr="00F95A22">
        <w:rPr>
          <w:rFonts w:ascii="Calibri" w:hAnsi="Calibri" w:cs="Calibri"/>
          <w:color w:val="222222"/>
        </w:rPr>
        <w:t xml:space="preserve"> </w:t>
      </w:r>
      <w:r w:rsidR="00F95A22" w:rsidRPr="00F95A22">
        <w:rPr>
          <w:rFonts w:ascii="Calibri" w:hAnsi="Calibri" w:cs="Calibri"/>
        </w:rPr>
        <w:t xml:space="preserve">The ability to self-assess and self-evaluate one’s own work is a very advantageous skill to have. Many professional organisations require their employees to have critical thinking skills in the workforce. Therefore, it is very important for students to </w:t>
      </w:r>
      <w:r w:rsidR="00F95A22" w:rsidRPr="00F95A22">
        <w:rPr>
          <w:rFonts w:ascii="Calibri" w:hAnsi="Calibri" w:cs="Calibri"/>
        </w:rPr>
        <w:lastRenderedPageBreak/>
        <w:t>partake in self-assessment and self-evaluation tasks regularly in order to develop their critical thinking skills (Dochy, Segers, &amp; Sluijsmans, 1999).</w:t>
      </w:r>
    </w:p>
    <w:p w14:paraId="41FBD12E" w14:textId="7494A361" w:rsidR="001E2467" w:rsidRDefault="001E2467" w:rsidP="001E2467">
      <w:pPr>
        <w:rPr>
          <w:rFonts w:ascii="Calibri" w:hAnsi="Calibri" w:cs="Calibri"/>
        </w:rPr>
      </w:pPr>
    </w:p>
    <w:p w14:paraId="794C6542" w14:textId="77777777" w:rsidR="001E2467" w:rsidRPr="001E2467" w:rsidRDefault="001E2467" w:rsidP="001E2467">
      <w:pPr>
        <w:rPr>
          <w:rFonts w:ascii="Calibri" w:hAnsi="Calibri" w:cs="Calibri"/>
        </w:rPr>
      </w:pPr>
    </w:p>
    <w:p w14:paraId="4881F08D" w14:textId="6A023D7E" w:rsidR="001E2467" w:rsidRPr="00F95A22" w:rsidRDefault="001E2467" w:rsidP="00F95A22">
      <w:pPr>
        <w:pStyle w:val="ListParagraph"/>
        <w:numPr>
          <w:ilvl w:val="0"/>
          <w:numId w:val="1"/>
        </w:numPr>
        <w:rPr>
          <w:rFonts w:ascii="Calibri" w:hAnsi="Calibri" w:cs="Calibri"/>
          <w:b/>
          <w:bCs/>
        </w:rPr>
      </w:pPr>
      <w:r w:rsidRPr="00F95A22">
        <w:rPr>
          <w:rFonts w:ascii="Calibri" w:hAnsi="Calibri" w:cs="Calibri"/>
          <w:b/>
          <w:bCs/>
        </w:rPr>
        <w:t>Benefits of using feedback to reflect</w:t>
      </w:r>
    </w:p>
    <w:p w14:paraId="3BF63999" w14:textId="77777777" w:rsidR="001E2467" w:rsidRPr="001E2467" w:rsidRDefault="001E2467" w:rsidP="001E2467">
      <w:pPr>
        <w:rPr>
          <w:rFonts w:ascii="Calibri" w:hAnsi="Calibri" w:cs="Calibri"/>
          <w:b/>
          <w:bCs/>
        </w:rPr>
      </w:pPr>
    </w:p>
    <w:p w14:paraId="1CDAB43A"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Feedback is considered as a major issue within higher education. It is highly recognised as a vital part of improving students learning. Feedback is thought to be the one of the key factors in helping students develop themselves as individual learners, the process of feedback allows the learner to evaluate, regulate and monitor their own learning (Ferguson, 2011). Eraut (2006) went on to say the power of feedback on future practice was fundamental in higher education. Eraut (2006) noted that when a student was to enrol in higher education, any feedback they were to receive whether it be intentional or not will play a significant role in the development of their future of learning.</w:t>
      </w:r>
      <w:r w:rsidRPr="000D06A9">
        <w:rPr>
          <w:rStyle w:val="apple-converted-space"/>
          <w:rFonts w:ascii="Calibri" w:hAnsi="Calibri" w:cs="Calibri"/>
          <w:color w:val="333333"/>
        </w:rPr>
        <w:t> </w:t>
      </w:r>
    </w:p>
    <w:p w14:paraId="0D40DD4E"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 </w:t>
      </w:r>
    </w:p>
    <w:p w14:paraId="0C76B0B6"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Dignen (2014) states that feedback is the most important skill. He goes on to say that there are 5 key factors which make feedback so important:</w:t>
      </w:r>
    </w:p>
    <w:p w14:paraId="4065F282"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1.</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There is always room for feedback, therefore in most cases there will always be room for feedback, enabling the learner to understand what they could improve next time.</w:t>
      </w:r>
    </w:p>
    <w:p w14:paraId="22154E81"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2.</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Feedback can be regarded as another way of effective listening. In order for a learner to understand their feedback they need to know that their point of view has been understood and they must be appreciated.</w:t>
      </w:r>
      <w:r w:rsidRPr="000D06A9">
        <w:rPr>
          <w:rStyle w:val="apple-converted-space"/>
          <w:rFonts w:ascii="Calibri" w:hAnsi="Calibri" w:cs="Calibri"/>
          <w:color w:val="333333"/>
        </w:rPr>
        <w:t> </w:t>
      </w:r>
    </w:p>
    <w:p w14:paraId="26716635"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3.</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Feedback is a chance to be motivated. If the learner has thoroughly understood the topic, then positive feedback would be in order. If a lecture were to acknowledge a job well done this could be a significant point for the individual learner as they could then be inspired to maintain the level their working at or even to push on to the next level.</w:t>
      </w:r>
    </w:p>
    <w:p w14:paraId="676AD3B2"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4.</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 xml:space="preserve">Feedback is vital to enhance performance. Many students believe that feedback can be an open attack. However, this is not the case as it is important </w:t>
      </w:r>
      <w:r w:rsidRPr="000D06A9">
        <w:rPr>
          <w:rFonts w:ascii="Calibri" w:hAnsi="Calibri" w:cs="Calibri"/>
          <w:color w:val="333333"/>
        </w:rPr>
        <w:lastRenderedPageBreak/>
        <w:t>for the student to understand they are not being criticised. Instead they are being supported in a constructive way in order for them to develop themselves.</w:t>
      </w:r>
    </w:p>
    <w:p w14:paraId="084848B5" w14:textId="77777777" w:rsidR="000D06A9" w:rsidRPr="000D06A9" w:rsidRDefault="000D06A9" w:rsidP="000D06A9">
      <w:pPr>
        <w:pStyle w:val="NormalWeb"/>
        <w:spacing w:line="360" w:lineRule="auto"/>
        <w:ind w:left="1080"/>
        <w:rPr>
          <w:rFonts w:ascii="Calibri" w:hAnsi="Calibri" w:cs="Calibri"/>
          <w:color w:val="222222"/>
        </w:rPr>
      </w:pPr>
      <w:r w:rsidRPr="000D06A9">
        <w:rPr>
          <w:rFonts w:ascii="Calibri" w:hAnsi="Calibri" w:cs="Calibri"/>
          <w:color w:val="333333"/>
        </w:rPr>
        <w:t>5.</w:t>
      </w:r>
      <w:r w:rsidRPr="000D06A9">
        <w:rPr>
          <w:rFonts w:ascii="Calibri" w:hAnsi="Calibri" w:cs="Calibri"/>
          <w:color w:val="333333"/>
          <w:sz w:val="14"/>
          <w:szCs w:val="14"/>
        </w:rPr>
        <w:t>    </w:t>
      </w:r>
      <w:r w:rsidRPr="000D06A9">
        <w:rPr>
          <w:rStyle w:val="apple-converted-space"/>
          <w:rFonts w:ascii="Calibri" w:hAnsi="Calibri" w:cs="Calibri"/>
          <w:color w:val="333333"/>
          <w:sz w:val="14"/>
          <w:szCs w:val="14"/>
        </w:rPr>
        <w:t> </w:t>
      </w:r>
      <w:r w:rsidRPr="000D06A9">
        <w:rPr>
          <w:rFonts w:ascii="Calibri" w:hAnsi="Calibri" w:cs="Calibri"/>
          <w:color w:val="333333"/>
        </w:rPr>
        <w:t>Feedback is a way of achieving continuous learning. The individual learner must understand that they do not always have to wait for feedback to come to them. Individuals should seek feedback in higher education and further into their future in order to continue their individual learning.</w:t>
      </w:r>
    </w:p>
    <w:p w14:paraId="5819F097" w14:textId="77777777" w:rsidR="000D06A9" w:rsidRPr="000D06A9" w:rsidRDefault="000D06A9" w:rsidP="000D06A9">
      <w:pPr>
        <w:spacing w:line="360" w:lineRule="auto"/>
        <w:rPr>
          <w:rFonts w:ascii="Calibri" w:hAnsi="Calibri" w:cs="Calibri"/>
          <w:color w:val="222222"/>
        </w:rPr>
      </w:pPr>
      <w:r w:rsidRPr="000D06A9">
        <w:rPr>
          <w:rFonts w:ascii="Calibri" w:hAnsi="Calibri" w:cs="Calibri"/>
          <w:color w:val="333333"/>
        </w:rPr>
        <w:t> </w:t>
      </w:r>
    </w:p>
    <w:p w14:paraId="006E4B40" w14:textId="77777777" w:rsidR="00BA3620" w:rsidRDefault="000D06A9" w:rsidP="000D06A9">
      <w:pPr>
        <w:spacing w:line="360" w:lineRule="auto"/>
        <w:rPr>
          <w:rFonts w:ascii="Calibri" w:hAnsi="Calibri" w:cs="Calibri"/>
          <w:color w:val="333333"/>
        </w:rPr>
      </w:pPr>
      <w:r w:rsidRPr="000D06A9">
        <w:rPr>
          <w:rFonts w:ascii="Calibri" w:hAnsi="Calibri" w:cs="Calibri"/>
          <w:color w:val="333333"/>
        </w:rPr>
        <w:t>Although feedback is regarded as very useful for students Nicol (2010) states that it is only useful when delivered appropriately. Nicol (2010) states that many students have been left dissatisfied regarding feedback they have received with their course work. Orella (2006) goes on to say that feedback can sometimes have a negative effect when feedback is not received in a timely manner. Orella (2006) states that if feedback is not received within a short period of time after the work is submitted, then students will lack the motivation to read the feedback therefore they will not improve their individual learning.</w:t>
      </w:r>
      <w:r w:rsidR="003308EE">
        <w:rPr>
          <w:rFonts w:ascii="Calibri" w:hAnsi="Calibri" w:cs="Calibri"/>
          <w:color w:val="333333"/>
        </w:rPr>
        <w:t xml:space="preserve"> However, if students are able to stay motivated throughout their studies in higher education and commit to reading over and understanding their feedback, they can improve throughout each year in higher education. </w:t>
      </w:r>
    </w:p>
    <w:p w14:paraId="7B212BA3" w14:textId="77777777" w:rsidR="00BA3620" w:rsidRDefault="00BA3620" w:rsidP="000D06A9">
      <w:pPr>
        <w:spacing w:line="360" w:lineRule="auto"/>
        <w:rPr>
          <w:rFonts w:ascii="Calibri" w:hAnsi="Calibri" w:cs="Calibri"/>
          <w:color w:val="333333"/>
        </w:rPr>
      </w:pPr>
    </w:p>
    <w:p w14:paraId="0FC539C7" w14:textId="22498FDF" w:rsidR="00BD6268" w:rsidRPr="000D06A9" w:rsidRDefault="003308EE" w:rsidP="000D06A9">
      <w:pPr>
        <w:spacing w:line="360" w:lineRule="auto"/>
        <w:rPr>
          <w:rFonts w:ascii="Calibri" w:hAnsi="Calibri" w:cs="Calibri"/>
          <w:color w:val="222222"/>
        </w:rPr>
      </w:pPr>
      <w:r>
        <w:rPr>
          <w:rFonts w:ascii="Calibri" w:hAnsi="Calibri" w:cs="Calibri"/>
          <w:color w:val="333333"/>
        </w:rPr>
        <w:t xml:space="preserve">HESA (2019) state that students enrolled in their first year tend to improve on their overall results in their second year and then improve on that in their final year. HESA (2019) also states that more people than ever are leaving university with first class honours or upper second class honours. These results are believed to be in connection with student feedback. As more and more jobs require at least upper second class honours, students are acknowledging the importance of their degree. Using feedback to ensure that they </w:t>
      </w:r>
      <w:r w:rsidR="000C296F">
        <w:rPr>
          <w:rFonts w:ascii="Calibri" w:hAnsi="Calibri" w:cs="Calibri"/>
          <w:color w:val="333333"/>
        </w:rPr>
        <w:t>are to improve themselves as best they can to assure they get the classification they desire.</w:t>
      </w:r>
    </w:p>
    <w:p w14:paraId="3C1F89E9" w14:textId="77777777" w:rsidR="00BA3620" w:rsidRDefault="00BA3620" w:rsidP="00BA3620">
      <w:pPr>
        <w:pStyle w:val="NormalWeb"/>
        <w:ind w:left="720"/>
        <w:rPr>
          <w:rFonts w:ascii="Calibri" w:hAnsi="Calibri" w:cs="Calibri"/>
          <w:b/>
          <w:bCs/>
        </w:rPr>
      </w:pPr>
    </w:p>
    <w:p w14:paraId="20FA855D" w14:textId="77777777" w:rsidR="00BA3620" w:rsidRDefault="00BA3620" w:rsidP="00BA3620">
      <w:pPr>
        <w:pStyle w:val="NormalWeb"/>
        <w:ind w:left="720"/>
        <w:rPr>
          <w:rFonts w:ascii="Calibri" w:hAnsi="Calibri" w:cs="Calibri"/>
          <w:b/>
          <w:bCs/>
        </w:rPr>
      </w:pPr>
    </w:p>
    <w:p w14:paraId="45DB12D5" w14:textId="77777777" w:rsidR="00BA3620" w:rsidRDefault="00BA3620" w:rsidP="00BA3620">
      <w:pPr>
        <w:pStyle w:val="NormalWeb"/>
        <w:ind w:left="720"/>
        <w:rPr>
          <w:rFonts w:ascii="Calibri" w:hAnsi="Calibri" w:cs="Calibri"/>
          <w:b/>
          <w:bCs/>
        </w:rPr>
      </w:pPr>
    </w:p>
    <w:p w14:paraId="3691519B" w14:textId="77777777" w:rsidR="00196CAE" w:rsidRDefault="00196CAE" w:rsidP="00BA3620">
      <w:pPr>
        <w:pStyle w:val="NormalWeb"/>
        <w:ind w:left="720"/>
        <w:rPr>
          <w:rFonts w:ascii="Calibri" w:hAnsi="Calibri" w:cs="Calibri"/>
          <w:b/>
          <w:bCs/>
        </w:rPr>
      </w:pPr>
    </w:p>
    <w:p w14:paraId="4FCB1101" w14:textId="53F3D40E" w:rsidR="00432B75" w:rsidRDefault="00432B75" w:rsidP="0070545E">
      <w:pPr>
        <w:pStyle w:val="NormalWeb"/>
        <w:numPr>
          <w:ilvl w:val="0"/>
          <w:numId w:val="1"/>
        </w:numPr>
        <w:rPr>
          <w:rFonts w:ascii="Calibri" w:hAnsi="Calibri" w:cs="Calibri"/>
          <w:b/>
          <w:bCs/>
        </w:rPr>
      </w:pPr>
      <w:r w:rsidRPr="00432B75">
        <w:rPr>
          <w:rFonts w:ascii="Calibri" w:hAnsi="Calibri" w:cs="Calibri"/>
          <w:b/>
          <w:bCs/>
        </w:rPr>
        <w:lastRenderedPageBreak/>
        <w:t>Principles</w:t>
      </w:r>
    </w:p>
    <w:p w14:paraId="22194092" w14:textId="13A0344C" w:rsidR="00453F96" w:rsidRPr="00453F96" w:rsidRDefault="00453F96" w:rsidP="00453F96">
      <w:pPr>
        <w:spacing w:line="360" w:lineRule="auto"/>
        <w:rPr>
          <w:rFonts w:ascii="Calibri" w:hAnsi="Calibri" w:cs="Calibri"/>
          <w:color w:val="000000" w:themeColor="text1"/>
        </w:rPr>
      </w:pPr>
      <w:r w:rsidRPr="00453F96">
        <w:rPr>
          <w:rFonts w:ascii="Calibri" w:hAnsi="Calibri" w:cs="Calibri"/>
          <w:color w:val="000000" w:themeColor="text1"/>
        </w:rPr>
        <w:t xml:space="preserve">When it comes to understanding the principles of self-assessment and self-evaluation OECD (2013) state that there are four </w:t>
      </w:r>
      <w:r w:rsidR="00AB3BB2">
        <w:rPr>
          <w:rFonts w:ascii="Calibri" w:hAnsi="Calibri" w:cs="Calibri"/>
          <w:color w:val="000000" w:themeColor="text1"/>
        </w:rPr>
        <w:t>numerous principles. The most important have been noted as v</w:t>
      </w:r>
      <w:r w:rsidRPr="00453F96">
        <w:rPr>
          <w:rFonts w:ascii="Calibri" w:hAnsi="Calibri" w:cs="Calibri"/>
          <w:color w:val="000000" w:themeColor="text1"/>
        </w:rPr>
        <w:t>alidity</w:t>
      </w:r>
      <w:r w:rsidR="00AB3BB2">
        <w:rPr>
          <w:rFonts w:ascii="Calibri" w:hAnsi="Calibri" w:cs="Calibri"/>
          <w:color w:val="000000" w:themeColor="text1"/>
        </w:rPr>
        <w:t xml:space="preserve"> and </w:t>
      </w:r>
      <w:r w:rsidR="00FB1963">
        <w:rPr>
          <w:rFonts w:ascii="Calibri" w:hAnsi="Calibri" w:cs="Calibri"/>
          <w:color w:val="000000" w:themeColor="text1"/>
        </w:rPr>
        <w:t>reliability.</w:t>
      </w:r>
      <w:r w:rsidRPr="00453F96">
        <w:rPr>
          <w:rFonts w:ascii="Calibri" w:hAnsi="Calibri" w:cs="Calibri"/>
          <w:color w:val="000000" w:themeColor="text1"/>
        </w:rPr>
        <w:t xml:space="preserve"> </w:t>
      </w:r>
      <w:r w:rsidR="00FB1963">
        <w:rPr>
          <w:rFonts w:ascii="Calibri" w:hAnsi="Calibri" w:cs="Calibri"/>
          <w:color w:val="000000" w:themeColor="text1"/>
        </w:rPr>
        <w:t xml:space="preserve">Validity is defined as </w:t>
      </w:r>
      <w:r w:rsidRPr="00453F96">
        <w:rPr>
          <w:rFonts w:ascii="Calibri" w:hAnsi="Calibri" w:cs="Calibri"/>
          <w:color w:val="000000" w:themeColor="text1"/>
        </w:rPr>
        <w:t>the appropriateness and consequences regarding assessment. Reliability is the extent to which an assessment is consistent in evaluating what it intends to evaluate</w:t>
      </w:r>
      <w:r w:rsidR="00FB1963">
        <w:rPr>
          <w:rFonts w:ascii="Calibri" w:hAnsi="Calibri" w:cs="Calibri"/>
          <w:color w:val="000000" w:themeColor="text1"/>
        </w:rPr>
        <w:t xml:space="preserve"> </w:t>
      </w:r>
      <w:r w:rsidRPr="00453F96">
        <w:rPr>
          <w:rFonts w:ascii="Calibri" w:hAnsi="Calibri" w:cs="Calibri"/>
          <w:color w:val="000000" w:themeColor="text1"/>
        </w:rPr>
        <w:t>(OECD, 2013)</w:t>
      </w:r>
      <w:r w:rsidR="00FB1963">
        <w:rPr>
          <w:rFonts w:ascii="Calibri" w:hAnsi="Calibri" w:cs="Calibri"/>
          <w:color w:val="000000" w:themeColor="text1"/>
        </w:rPr>
        <w:t>.</w:t>
      </w:r>
    </w:p>
    <w:p w14:paraId="3DCEEAFE" w14:textId="77777777" w:rsidR="00453F96" w:rsidRPr="00453F96" w:rsidRDefault="00453F96" w:rsidP="00453F96">
      <w:pPr>
        <w:spacing w:line="360" w:lineRule="auto"/>
        <w:rPr>
          <w:rFonts w:ascii="Calibri" w:hAnsi="Calibri" w:cs="Calibri"/>
          <w:color w:val="000000" w:themeColor="text1"/>
        </w:rPr>
      </w:pPr>
      <w:r w:rsidRPr="00453F96">
        <w:rPr>
          <w:rFonts w:ascii="Calibri" w:hAnsi="Calibri" w:cs="Calibri"/>
          <w:color w:val="000000" w:themeColor="text1"/>
        </w:rPr>
        <w:t> </w:t>
      </w:r>
    </w:p>
    <w:p w14:paraId="60C66843" w14:textId="4CD661A3" w:rsidR="0070545E" w:rsidRPr="00AC728A" w:rsidRDefault="00FB1963" w:rsidP="00AC728A">
      <w:pPr>
        <w:spacing w:line="360" w:lineRule="auto"/>
        <w:rPr>
          <w:rFonts w:ascii="Calibri" w:hAnsi="Calibri" w:cs="Calibri"/>
          <w:color w:val="000000" w:themeColor="text1"/>
        </w:rPr>
      </w:pPr>
      <w:r>
        <w:rPr>
          <w:rFonts w:ascii="Calibri" w:hAnsi="Calibri" w:cs="Calibri"/>
          <w:color w:val="000000" w:themeColor="text1"/>
        </w:rPr>
        <w:t>T</w:t>
      </w:r>
      <w:r w:rsidR="00453F96" w:rsidRPr="00453F96">
        <w:rPr>
          <w:rFonts w:ascii="Calibri" w:hAnsi="Calibri" w:cs="Calibri"/>
          <w:color w:val="000000" w:themeColor="text1"/>
        </w:rPr>
        <w:t xml:space="preserve">hese principles are extremely important in ensuring that self-assessment and self-evaluation is undertaken correctly. </w:t>
      </w:r>
      <w:r w:rsidR="00EF190D">
        <w:rPr>
          <w:rFonts w:ascii="Calibri" w:hAnsi="Calibri" w:cs="Calibri"/>
          <w:color w:val="000000" w:themeColor="text1"/>
        </w:rPr>
        <w:t>This</w:t>
      </w:r>
      <w:r w:rsidR="00453F96" w:rsidRPr="00453F96">
        <w:rPr>
          <w:rFonts w:ascii="Calibri" w:hAnsi="Calibri" w:cs="Calibri"/>
          <w:color w:val="000000" w:themeColor="text1"/>
        </w:rPr>
        <w:t xml:space="preserve"> </w:t>
      </w:r>
      <w:r w:rsidR="005D492C">
        <w:rPr>
          <w:rFonts w:ascii="Calibri" w:hAnsi="Calibri" w:cs="Calibri"/>
          <w:color w:val="000000" w:themeColor="text1"/>
        </w:rPr>
        <w:t>section</w:t>
      </w:r>
      <w:r w:rsidR="00453F96" w:rsidRPr="00453F96">
        <w:rPr>
          <w:rFonts w:ascii="Calibri" w:hAnsi="Calibri" w:cs="Calibri"/>
          <w:color w:val="000000" w:themeColor="text1"/>
        </w:rPr>
        <w:t xml:space="preserve"> will focus on critically evaluating validity</w:t>
      </w:r>
      <w:r w:rsidR="005D492C">
        <w:rPr>
          <w:rFonts w:ascii="Calibri" w:hAnsi="Calibri" w:cs="Calibri"/>
          <w:color w:val="000000" w:themeColor="text1"/>
        </w:rPr>
        <w:t xml:space="preserve"> and </w:t>
      </w:r>
      <w:r w:rsidR="00453F96" w:rsidRPr="00453F96">
        <w:rPr>
          <w:rFonts w:ascii="Calibri" w:hAnsi="Calibri" w:cs="Calibri"/>
          <w:color w:val="000000" w:themeColor="text1"/>
        </w:rPr>
        <w:t>reliability</w:t>
      </w:r>
      <w:r w:rsidR="005D492C">
        <w:rPr>
          <w:rFonts w:ascii="Calibri" w:hAnsi="Calibri" w:cs="Calibri"/>
          <w:color w:val="000000" w:themeColor="text1"/>
        </w:rPr>
        <w:t xml:space="preserve">, whilst </w:t>
      </w:r>
      <w:r w:rsidR="00453F96" w:rsidRPr="00453F96">
        <w:rPr>
          <w:rFonts w:ascii="Calibri" w:hAnsi="Calibri" w:cs="Calibri"/>
          <w:color w:val="000000" w:themeColor="text1"/>
        </w:rPr>
        <w:t>highlighting their importance in higher education.</w:t>
      </w:r>
      <w:r w:rsidR="00453F96">
        <w:rPr>
          <w:rFonts w:ascii="Calibri" w:hAnsi="Calibri" w:cs="Calibri"/>
          <w:color w:val="000000" w:themeColor="text1"/>
        </w:rPr>
        <w:t xml:space="preserve"> </w:t>
      </w:r>
      <w:r w:rsidR="00453F96" w:rsidRPr="00453F96">
        <w:rPr>
          <w:rFonts w:ascii="Calibri" w:hAnsi="Calibri" w:cs="Calibri"/>
          <w:color w:val="000000" w:themeColor="text1"/>
        </w:rPr>
        <w:t>There are believed to be many concerns when it comes to self-assessment. Its reliability and validity are two principles that often raise question and whether self-assessment should be summative or formative and its results when assessed by teachers over the students themselves (Leach, 2012; Jackson, 2014; Brown</w:t>
      </w:r>
      <w:r w:rsidR="00453F96" w:rsidRPr="00453F96">
        <w:rPr>
          <w:rStyle w:val="apple-converted-space"/>
          <w:rFonts w:ascii="Calibri" w:hAnsi="Calibri" w:cs="Calibri"/>
          <w:color w:val="000000" w:themeColor="text1"/>
        </w:rPr>
        <w:t> </w:t>
      </w:r>
      <w:r w:rsidR="00453F96" w:rsidRPr="00453F96">
        <w:rPr>
          <w:rFonts w:ascii="Calibri" w:hAnsi="Calibri" w:cs="Calibri"/>
          <w:i/>
          <w:iCs/>
          <w:color w:val="000000" w:themeColor="text1"/>
        </w:rPr>
        <w:t>et al</w:t>
      </w:r>
      <w:r w:rsidR="00453F96" w:rsidRPr="00453F96">
        <w:rPr>
          <w:rFonts w:ascii="Calibri" w:hAnsi="Calibri" w:cs="Calibri"/>
          <w:color w:val="000000" w:themeColor="text1"/>
        </w:rPr>
        <w:t>., 2015).</w:t>
      </w:r>
    </w:p>
    <w:p w14:paraId="6BCE38B3" w14:textId="7294772D" w:rsidR="0070545E" w:rsidRDefault="0070545E" w:rsidP="00AD0785">
      <w:pPr>
        <w:pStyle w:val="NormalWeb"/>
        <w:numPr>
          <w:ilvl w:val="1"/>
          <w:numId w:val="1"/>
        </w:numPr>
        <w:spacing w:line="360" w:lineRule="auto"/>
        <w:rPr>
          <w:rFonts w:ascii="Calibri" w:hAnsi="Calibri" w:cs="Calibri"/>
          <w:b/>
          <w:bCs/>
          <w:color w:val="222222"/>
        </w:rPr>
      </w:pPr>
      <w:r w:rsidRPr="0070545E">
        <w:rPr>
          <w:rFonts w:ascii="Calibri" w:hAnsi="Calibri" w:cs="Calibri"/>
          <w:b/>
          <w:bCs/>
          <w:color w:val="222222"/>
        </w:rPr>
        <w:t>Validity</w:t>
      </w:r>
    </w:p>
    <w:p w14:paraId="036E327E" w14:textId="77777777" w:rsidR="00BA3620" w:rsidRDefault="00640FF0" w:rsidP="00432B75">
      <w:pPr>
        <w:pStyle w:val="NormalWeb"/>
        <w:spacing w:line="360" w:lineRule="auto"/>
        <w:rPr>
          <w:rFonts w:ascii="Calibri" w:hAnsi="Calibri" w:cs="Calibri"/>
          <w:color w:val="222222"/>
        </w:rPr>
      </w:pPr>
      <w:r w:rsidRPr="00B24A7F">
        <w:rPr>
          <w:rFonts w:ascii="Calibri" w:hAnsi="Calibri" w:cs="Calibri"/>
          <w:color w:val="222222"/>
        </w:rPr>
        <w:t xml:space="preserve">Validity is defined as </w:t>
      </w:r>
      <w:r w:rsidR="00B24A7F" w:rsidRPr="00B24A7F">
        <w:rPr>
          <w:rFonts w:ascii="Calibri" w:hAnsi="Calibri" w:cs="Calibri"/>
          <w:color w:val="000000"/>
          <w:shd w:val="clear" w:color="auto" w:fill="FFFFFF"/>
        </w:rPr>
        <w:t>the degree to which a method assesses what it aims to assess</w:t>
      </w:r>
      <w:r w:rsidR="00967D78">
        <w:rPr>
          <w:rFonts w:ascii="Calibri" w:hAnsi="Calibri" w:cs="Calibri"/>
          <w:color w:val="000000"/>
          <w:shd w:val="clear" w:color="auto" w:fill="FFFFFF"/>
        </w:rPr>
        <w:t xml:space="preserve"> (Brown, 1998). </w:t>
      </w:r>
      <w:r w:rsidR="00B41B86" w:rsidRPr="00B41B86">
        <w:rPr>
          <w:rFonts w:ascii="Calibri" w:hAnsi="Calibri" w:cs="Calibri"/>
          <w:color w:val="222222"/>
        </w:rPr>
        <w:t>McMillan (2008) suggests that in order to show strong validity, evidence and logic must be demonstrated to suggest that the self-evaluation undertaken by students is reasonable and accurate.</w:t>
      </w:r>
      <w:r w:rsidR="00B41B86" w:rsidRPr="00B41B86">
        <w:rPr>
          <w:rStyle w:val="apple-converted-space"/>
          <w:rFonts w:ascii="Calibri" w:hAnsi="Calibri" w:cs="Calibri"/>
          <w:color w:val="222222"/>
        </w:rPr>
        <w:t> </w:t>
      </w:r>
      <w:r w:rsidR="00B41B86" w:rsidRPr="00B41B86">
        <w:rPr>
          <w:rFonts w:ascii="Calibri" w:hAnsi="Calibri" w:cs="Calibri"/>
          <w:color w:val="222222"/>
        </w:rPr>
        <w:t>When learners undertake assessment on their own and teachers are not around the grounds of which they can manipulate assessment are shown as the learners can be dishonest and cause a feeling of ‘us and them’ (Brow et al., 1995).</w:t>
      </w:r>
      <w:r w:rsidR="00B41B86" w:rsidRPr="00B41B86">
        <w:rPr>
          <w:rStyle w:val="apple-converted-space"/>
          <w:rFonts w:ascii="Calibri" w:hAnsi="Calibri" w:cs="Calibri"/>
          <w:color w:val="222222"/>
        </w:rPr>
        <w:t> </w:t>
      </w:r>
      <w:r w:rsidR="00B41B86" w:rsidRPr="00B41B86">
        <w:rPr>
          <w:rFonts w:ascii="Calibri" w:hAnsi="Calibri" w:cs="Calibri"/>
          <w:color w:val="222222"/>
        </w:rPr>
        <w:t>Black and Wiliam (1998) states that an assessment is only to be considered valid when the learner meets the outcomes of what the teacher expected them to have. </w:t>
      </w:r>
      <w:r w:rsidR="008645F3">
        <w:rPr>
          <w:rFonts w:ascii="Calibri" w:hAnsi="Calibri" w:cs="Calibri"/>
          <w:color w:val="222222"/>
        </w:rPr>
        <w:t>Validity</w:t>
      </w:r>
      <w:r w:rsidR="008645F3" w:rsidRPr="006F7D16">
        <w:rPr>
          <w:rFonts w:ascii="Calibri" w:hAnsi="Calibri" w:cs="Calibri"/>
          <w:color w:val="222222"/>
        </w:rPr>
        <w:t xml:space="preserve"> has often been seen as more important than reliability. </w:t>
      </w:r>
      <w:r w:rsidR="00235226" w:rsidRPr="00235226">
        <w:rPr>
          <w:rFonts w:ascii="Calibri" w:hAnsi="Calibri" w:cs="Calibri"/>
          <w:color w:val="222222"/>
        </w:rPr>
        <w:t xml:space="preserve">Predictive validity refers to the 'power' or usefulness of test scores to predict. There are no different tiers for </w:t>
      </w:r>
      <w:r w:rsidR="00235226">
        <w:rPr>
          <w:rFonts w:ascii="Calibri" w:hAnsi="Calibri" w:cs="Calibri"/>
          <w:color w:val="222222"/>
        </w:rPr>
        <w:t>undergraduate degree courses</w:t>
      </w:r>
      <w:r w:rsidR="00235226" w:rsidRPr="00235226">
        <w:rPr>
          <w:rFonts w:ascii="Calibri" w:hAnsi="Calibri" w:cs="Calibri"/>
          <w:color w:val="222222"/>
        </w:rPr>
        <w:t>. All</w:t>
      </w:r>
      <w:r w:rsidR="00235226">
        <w:rPr>
          <w:rFonts w:ascii="Calibri" w:hAnsi="Calibri" w:cs="Calibri"/>
          <w:color w:val="222222"/>
        </w:rPr>
        <w:t xml:space="preserve"> students from different</w:t>
      </w:r>
      <w:r w:rsidR="00235226" w:rsidRPr="00235226">
        <w:rPr>
          <w:rFonts w:ascii="Calibri" w:hAnsi="Calibri" w:cs="Calibri"/>
          <w:color w:val="222222"/>
        </w:rPr>
        <w:t xml:space="preserve"> abilities take the same examinations and assessments.</w:t>
      </w:r>
    </w:p>
    <w:p w14:paraId="2CADCE6F" w14:textId="3593C399" w:rsidR="001B163D" w:rsidRDefault="00235226" w:rsidP="00432B75">
      <w:pPr>
        <w:pStyle w:val="NormalWeb"/>
        <w:spacing w:line="360" w:lineRule="auto"/>
        <w:rPr>
          <w:rFonts w:ascii="Calibri" w:hAnsi="Calibri" w:cs="Calibri"/>
          <w:color w:val="222222"/>
        </w:rPr>
      </w:pPr>
      <w:r w:rsidRPr="00235226">
        <w:rPr>
          <w:rFonts w:ascii="Calibri" w:hAnsi="Calibri" w:cs="Calibri"/>
          <w:color w:val="222222"/>
        </w:rPr>
        <w:t xml:space="preserve"> </w:t>
      </w:r>
    </w:p>
    <w:p w14:paraId="7FF47CE0" w14:textId="77777777" w:rsidR="00196CAE" w:rsidRDefault="00196CAE" w:rsidP="00432B75">
      <w:pPr>
        <w:pStyle w:val="NormalWeb"/>
        <w:spacing w:line="360" w:lineRule="auto"/>
        <w:rPr>
          <w:rFonts w:ascii="Calibri" w:hAnsi="Calibri" w:cs="Calibri"/>
          <w:color w:val="222222"/>
        </w:rPr>
      </w:pPr>
    </w:p>
    <w:p w14:paraId="3B2C7A23" w14:textId="37147441" w:rsidR="00E75AD5" w:rsidRDefault="00453F96" w:rsidP="00AD0785">
      <w:pPr>
        <w:pStyle w:val="NormalWeb"/>
        <w:numPr>
          <w:ilvl w:val="1"/>
          <w:numId w:val="1"/>
        </w:numPr>
        <w:spacing w:line="360" w:lineRule="auto"/>
        <w:rPr>
          <w:rFonts w:ascii="Calibri" w:hAnsi="Calibri" w:cs="Calibri"/>
          <w:b/>
          <w:bCs/>
          <w:color w:val="222222"/>
        </w:rPr>
      </w:pPr>
      <w:r w:rsidRPr="003A73A8">
        <w:rPr>
          <w:rFonts w:ascii="Calibri" w:hAnsi="Calibri" w:cs="Calibri"/>
          <w:b/>
          <w:bCs/>
          <w:color w:val="222222"/>
        </w:rPr>
        <w:lastRenderedPageBreak/>
        <w:t>Reliability</w:t>
      </w:r>
    </w:p>
    <w:p w14:paraId="710F5019" w14:textId="40371354" w:rsidR="00967D78" w:rsidRPr="00E75AD5" w:rsidRDefault="00453F96" w:rsidP="00E75AD5">
      <w:pPr>
        <w:pStyle w:val="NormalWeb"/>
        <w:spacing w:line="360" w:lineRule="auto"/>
        <w:rPr>
          <w:rFonts w:ascii="Calibri" w:hAnsi="Calibri" w:cs="Calibri"/>
          <w:b/>
          <w:bCs/>
          <w:color w:val="222222"/>
        </w:rPr>
      </w:pPr>
      <w:r w:rsidRPr="00E75AD5">
        <w:rPr>
          <w:rFonts w:ascii="Calibri" w:hAnsi="Calibri" w:cs="Calibri"/>
          <w:color w:val="222222"/>
        </w:rPr>
        <w:t xml:space="preserve">One of the biggest areas of concern in educational assessment literature over the years concerns the reliability of assessment </w:t>
      </w:r>
      <w:r w:rsidRPr="00E75AD5">
        <w:rPr>
          <w:rFonts w:ascii="Calibri" w:hAnsi="Calibri" w:cs="Calibri"/>
          <w:color w:val="222222"/>
          <w:shd w:val="clear" w:color="auto" w:fill="FFFFFF" w:themeFill="background1"/>
        </w:rPr>
        <w:t>results (Murphy, 2014).</w:t>
      </w:r>
      <w:r w:rsidRPr="00E75AD5">
        <w:rPr>
          <w:rFonts w:ascii="Calibri" w:hAnsi="Calibri" w:cs="Calibri"/>
          <w:color w:val="222222"/>
        </w:rPr>
        <w:t xml:space="preserve"> For assessment results to be taken seriously, then the </w:t>
      </w:r>
      <w:r w:rsidR="00AB3BB2" w:rsidRPr="00E75AD5">
        <w:rPr>
          <w:rFonts w:ascii="Calibri" w:hAnsi="Calibri" w:cs="Calibri"/>
          <w:color w:val="222222"/>
        </w:rPr>
        <w:t>students</w:t>
      </w:r>
      <w:r w:rsidRPr="00E75AD5">
        <w:rPr>
          <w:rFonts w:ascii="Calibri" w:hAnsi="Calibri" w:cs="Calibri"/>
          <w:color w:val="222222"/>
        </w:rPr>
        <w:t xml:space="preserve"> who make them need to be assured that they can be trusted (Murphy, 2006).</w:t>
      </w:r>
      <w:r w:rsidR="00967D78" w:rsidRPr="00E75AD5">
        <w:rPr>
          <w:rFonts w:ascii="Calibri" w:hAnsi="Calibri" w:cs="Calibri"/>
          <w:color w:val="222222"/>
        </w:rPr>
        <w:t xml:space="preserve"> </w:t>
      </w:r>
      <w:r w:rsidR="00967D78" w:rsidRPr="00E75AD5">
        <w:rPr>
          <w:rFonts w:ascii="Calibri" w:hAnsi="Calibri" w:cs="Calibri"/>
        </w:rPr>
        <w:t>Brown (1998) notes that self-assessment can be problematic, due to subjective scoring and varying accuracy across different learning tasks which results in unreliable scores.</w:t>
      </w:r>
      <w:r w:rsidR="007014F6">
        <w:rPr>
          <w:rFonts w:ascii="Calibri" w:hAnsi="Calibri" w:cs="Calibri"/>
        </w:rPr>
        <w:t xml:space="preserve"> </w:t>
      </w:r>
    </w:p>
    <w:p w14:paraId="45B11F63" w14:textId="766DE6B2" w:rsidR="00C91936" w:rsidRDefault="00C91936" w:rsidP="00EF190D">
      <w:pPr>
        <w:pStyle w:val="NormalWeb"/>
        <w:spacing w:line="360" w:lineRule="auto"/>
        <w:rPr>
          <w:rFonts w:ascii="Calibri" w:hAnsi="Calibri" w:cs="Calibri"/>
        </w:rPr>
      </w:pPr>
      <w:r w:rsidRPr="004904A5">
        <w:rPr>
          <w:rFonts w:ascii="Calibri" w:hAnsi="Calibri" w:cs="Calibri"/>
        </w:rPr>
        <w:t>Boud and Falchikov (1989) have stated that student self-assessment does have drawbacks. It is very likely that some students over-assess and some under-assess their work.</w:t>
      </w:r>
      <w:r w:rsidR="004904A5" w:rsidRPr="004904A5">
        <w:rPr>
          <w:rFonts w:ascii="Calibri" w:hAnsi="Calibri" w:cs="Calibri"/>
        </w:rPr>
        <w:t xml:space="preserve"> S</w:t>
      </w:r>
      <w:r w:rsidRPr="004904A5">
        <w:rPr>
          <w:rFonts w:ascii="Calibri" w:hAnsi="Calibri" w:cs="Calibri"/>
        </w:rPr>
        <w:t xml:space="preserve">tudents </w:t>
      </w:r>
      <w:r w:rsidR="004904A5" w:rsidRPr="004904A5">
        <w:rPr>
          <w:rFonts w:ascii="Calibri" w:hAnsi="Calibri" w:cs="Calibri"/>
        </w:rPr>
        <w:t xml:space="preserve">of higher abilities </w:t>
      </w:r>
      <w:r w:rsidRPr="004904A5">
        <w:rPr>
          <w:rFonts w:ascii="Calibri" w:hAnsi="Calibri" w:cs="Calibri"/>
        </w:rPr>
        <w:t xml:space="preserve">tend to under-assess themselves, </w:t>
      </w:r>
      <w:r w:rsidR="004904A5" w:rsidRPr="004904A5">
        <w:rPr>
          <w:rFonts w:ascii="Calibri" w:hAnsi="Calibri" w:cs="Calibri"/>
        </w:rPr>
        <w:t xml:space="preserve">and </w:t>
      </w:r>
      <w:r w:rsidRPr="004904A5">
        <w:rPr>
          <w:rFonts w:ascii="Calibri" w:hAnsi="Calibri" w:cs="Calibri"/>
        </w:rPr>
        <w:t>students</w:t>
      </w:r>
      <w:r w:rsidR="004904A5" w:rsidRPr="004904A5">
        <w:rPr>
          <w:rFonts w:ascii="Calibri" w:hAnsi="Calibri" w:cs="Calibri"/>
        </w:rPr>
        <w:t xml:space="preserve"> from lower abilities</w:t>
      </w:r>
      <w:r w:rsidRPr="004904A5">
        <w:rPr>
          <w:rFonts w:ascii="Calibri" w:hAnsi="Calibri" w:cs="Calibri"/>
        </w:rPr>
        <w:t xml:space="preserve"> tend to over-assess themselves. </w:t>
      </w:r>
      <w:r w:rsidR="004904A5" w:rsidRPr="004904A5">
        <w:rPr>
          <w:rFonts w:ascii="Calibri" w:hAnsi="Calibri" w:cs="Calibri"/>
        </w:rPr>
        <w:t>They also noted that students from higher ability classes were better at assessing themselves than lower ability classes. This information shows how self-assessment can sometimes lead to unreliable results.</w:t>
      </w:r>
      <w:r w:rsidR="00EE54F7">
        <w:rPr>
          <w:rFonts w:ascii="Calibri" w:hAnsi="Calibri" w:cs="Calibri"/>
        </w:rPr>
        <w:t xml:space="preserve"> The major drawback when looking at validity and reliability is w</w:t>
      </w:r>
      <w:r w:rsidR="00EE54F7">
        <w:rPr>
          <w:rFonts w:ascii="Calibri" w:hAnsi="Calibri" w:cs="Calibri"/>
        </w:rPr>
        <w:t>hen students in higher education are left trusted to self assess their own work</w:t>
      </w:r>
      <w:r w:rsidR="00EE54F7">
        <w:rPr>
          <w:rFonts w:ascii="Calibri" w:hAnsi="Calibri" w:cs="Calibri"/>
        </w:rPr>
        <w:t xml:space="preserve"> as</w:t>
      </w:r>
      <w:r w:rsidR="00EE54F7">
        <w:rPr>
          <w:rFonts w:ascii="Calibri" w:hAnsi="Calibri" w:cs="Calibri"/>
        </w:rPr>
        <w:t xml:space="preserve"> it opens a window for them to be dishonest with themselves</w:t>
      </w:r>
      <w:r w:rsidR="00EE54F7">
        <w:rPr>
          <w:rFonts w:ascii="Calibri" w:hAnsi="Calibri" w:cs="Calibri"/>
        </w:rPr>
        <w:t>. W</w:t>
      </w:r>
      <w:r w:rsidR="00EE54F7">
        <w:rPr>
          <w:rFonts w:ascii="Calibri" w:hAnsi="Calibri" w:cs="Calibri"/>
        </w:rPr>
        <w:t>hen they are marking their own work they can swiftly lie to themselves and the lecture by changing their wrong answer to the correct answer. This is a huge problem as they are lying to themselves and the lecture and therefore are not learning from their mistakes.</w:t>
      </w:r>
      <w:r w:rsidR="00EE54F7">
        <w:rPr>
          <w:rFonts w:ascii="Calibri" w:hAnsi="Calibri" w:cs="Calibri"/>
        </w:rPr>
        <w:t xml:space="preserve"> </w:t>
      </w:r>
      <w:r w:rsidR="00B616C8">
        <w:rPr>
          <w:rFonts w:ascii="Calibri" w:hAnsi="Calibri" w:cs="Calibri"/>
        </w:rPr>
        <w:t>Wang (2008) believes that one</w:t>
      </w:r>
      <w:r w:rsidR="00EE54F7">
        <w:rPr>
          <w:rFonts w:ascii="Calibri" w:hAnsi="Calibri" w:cs="Calibri"/>
        </w:rPr>
        <w:t xml:space="preserve"> strategy that could be used to counter this could be using self assessment in an online form. If there the class were to lock in their answers in an online survey gam</w:t>
      </w:r>
      <w:r w:rsidR="00BA3620">
        <w:rPr>
          <w:rFonts w:ascii="Calibri" w:hAnsi="Calibri" w:cs="Calibri"/>
        </w:rPr>
        <w:t>e. Once it comes to assessing their work they would be unable to change their answers therefore they would highlight what they answered wrong to and would be able to acknowledge this. Therefore, leading to them learning from their mistakes.</w:t>
      </w:r>
      <w:r w:rsidR="00C3087F">
        <w:rPr>
          <w:rFonts w:ascii="Calibri" w:hAnsi="Calibri" w:cs="Calibri"/>
        </w:rPr>
        <w:t xml:space="preserve"> Drawing on</w:t>
      </w:r>
      <w:bookmarkStart w:id="0" w:name="_GoBack"/>
      <w:bookmarkEnd w:id="0"/>
      <w:r w:rsidR="00196CAE">
        <w:rPr>
          <w:rFonts w:ascii="Calibri" w:hAnsi="Calibri" w:cs="Calibri"/>
        </w:rPr>
        <w:t xml:space="preserve"> experience this is a brilliant way of achieving self assessment whilst </w:t>
      </w:r>
      <w:r w:rsidR="0044635E">
        <w:rPr>
          <w:rFonts w:ascii="Calibri" w:hAnsi="Calibri" w:cs="Calibri"/>
        </w:rPr>
        <w:t>enjoying</w:t>
      </w:r>
      <w:r w:rsidR="00196CAE">
        <w:rPr>
          <w:rFonts w:ascii="Calibri" w:hAnsi="Calibri" w:cs="Calibri"/>
        </w:rPr>
        <w:t xml:space="preserve">. The individual </w:t>
      </w:r>
      <w:r w:rsidR="0044635E">
        <w:rPr>
          <w:rFonts w:ascii="Calibri" w:hAnsi="Calibri" w:cs="Calibri"/>
        </w:rPr>
        <w:t xml:space="preserve">is undertaking self assessment in a passive way and is noting where they went wrong and how they can improve next time. </w:t>
      </w:r>
    </w:p>
    <w:p w14:paraId="00C3846D" w14:textId="77777777" w:rsidR="00BA3620" w:rsidRDefault="00BA3620" w:rsidP="00EF190D">
      <w:pPr>
        <w:pStyle w:val="NormalWeb"/>
        <w:spacing w:line="360" w:lineRule="auto"/>
        <w:rPr>
          <w:rFonts w:ascii="Calibri" w:hAnsi="Calibri" w:cs="Calibri"/>
        </w:rPr>
      </w:pPr>
    </w:p>
    <w:p w14:paraId="1DF9F80B" w14:textId="77777777" w:rsidR="00BA3620" w:rsidRPr="000D06A9" w:rsidRDefault="00BA3620" w:rsidP="00EF190D">
      <w:pPr>
        <w:pStyle w:val="NormalWeb"/>
        <w:spacing w:line="360" w:lineRule="auto"/>
        <w:rPr>
          <w:rFonts w:ascii="Calibri" w:hAnsi="Calibri" w:cs="Calibri"/>
        </w:rPr>
      </w:pPr>
    </w:p>
    <w:p w14:paraId="26CA30D1" w14:textId="72F33395" w:rsidR="00317677" w:rsidRPr="00F95A22" w:rsidRDefault="001E2467" w:rsidP="00F95A22">
      <w:pPr>
        <w:pStyle w:val="NormalWeb"/>
        <w:numPr>
          <w:ilvl w:val="0"/>
          <w:numId w:val="1"/>
        </w:numPr>
        <w:spacing w:line="360" w:lineRule="auto"/>
        <w:rPr>
          <w:rFonts w:ascii="Calibri" w:hAnsi="Calibri" w:cs="Calibri"/>
          <w:color w:val="000000" w:themeColor="text1"/>
        </w:rPr>
      </w:pPr>
      <w:r w:rsidRPr="00F95A22">
        <w:rPr>
          <w:rFonts w:ascii="Calibri" w:hAnsi="Calibri" w:cs="Calibri"/>
          <w:b/>
          <w:bCs/>
        </w:rPr>
        <w:lastRenderedPageBreak/>
        <w:t>Conclusion</w:t>
      </w:r>
    </w:p>
    <w:p w14:paraId="13F0C334" w14:textId="639A21DC" w:rsidR="00F95A22" w:rsidRPr="00F95A22" w:rsidRDefault="00F95A22" w:rsidP="00F95A22">
      <w:pPr>
        <w:spacing w:line="360" w:lineRule="auto"/>
        <w:rPr>
          <w:rFonts w:ascii="Calibri" w:hAnsi="Calibri" w:cs="Calibri"/>
        </w:rPr>
      </w:pPr>
      <w:r w:rsidRPr="00F95A22">
        <w:rPr>
          <w:rFonts w:ascii="Calibri" w:hAnsi="Calibri" w:cs="Calibri"/>
          <w:color w:val="222222"/>
          <w:shd w:val="clear" w:color="auto" w:fill="FFFFFF"/>
        </w:rPr>
        <w:t xml:space="preserve">To conclude, through looking at aspects of self-assessment and self-evaluation in depth, it is clear to see the range of benefits it brings upon the individual learner. Self-assessment and self-evaluation are a fundamental element when it comes to individual learning and quality of teaching. It gives students the opportunity to showcase their knowledge and understanding of various topics. Self-assessment is a great motivator for students asking for guidance. However, the issue of validity and reliability is well known in the education sector, and it is vital for students to be honest with themselves for the self-assessment to be valid and reliable. This will allow them to reflect on their own understanding in order to improve their work in the future. Self-assessment and self-evaluation are often considered very </w:t>
      </w:r>
      <w:r w:rsidR="004F2DB9" w:rsidRPr="00F95A22">
        <w:rPr>
          <w:rFonts w:ascii="Calibri" w:hAnsi="Calibri" w:cs="Calibri"/>
          <w:color w:val="222222"/>
          <w:shd w:val="clear" w:color="auto" w:fill="FFFFFF"/>
        </w:rPr>
        <w:t>similar</w:t>
      </w:r>
      <w:r w:rsidR="004F2DB9">
        <w:rPr>
          <w:rFonts w:ascii="Calibri" w:hAnsi="Calibri" w:cs="Calibri"/>
          <w:color w:val="222222"/>
          <w:shd w:val="clear" w:color="auto" w:fill="FFFFFF"/>
        </w:rPr>
        <w:t xml:space="preserve">, </w:t>
      </w:r>
      <w:r w:rsidR="004F2DB9" w:rsidRPr="00F95A22">
        <w:rPr>
          <w:rFonts w:ascii="Calibri" w:hAnsi="Calibri" w:cs="Calibri"/>
          <w:color w:val="222222"/>
          <w:shd w:val="clear" w:color="auto" w:fill="FFFFFF"/>
        </w:rPr>
        <w:t>however,</w:t>
      </w:r>
      <w:r w:rsidRPr="00F95A22">
        <w:rPr>
          <w:rFonts w:ascii="Calibri" w:hAnsi="Calibri" w:cs="Calibri"/>
          <w:color w:val="222222"/>
          <w:shd w:val="clear" w:color="auto" w:fill="FFFFFF"/>
        </w:rPr>
        <w:t xml:space="preserve"> evaluation requires the learner to question their own work in depth. Self-assessment and self-evaluation are highly needed in education, as it develops critical thinking, therefore enhancing the individual learner. This is a skill that employers are looking for when employing new workers. Overall feedback is regarded as one of the most fundamental concepts in higher education, as if delivered adequately it can inspire. However</w:t>
      </w:r>
      <w:r>
        <w:rPr>
          <w:rFonts w:ascii="Calibri" w:hAnsi="Calibri" w:cs="Calibri"/>
          <w:color w:val="222222"/>
          <w:shd w:val="clear" w:color="auto" w:fill="FFFFFF"/>
        </w:rPr>
        <w:t xml:space="preserve">, </w:t>
      </w:r>
      <w:r w:rsidRPr="00F95A22">
        <w:rPr>
          <w:rFonts w:ascii="Calibri" w:hAnsi="Calibri" w:cs="Calibri"/>
          <w:color w:val="222222"/>
          <w:shd w:val="clear" w:color="auto" w:fill="FFFFFF"/>
        </w:rPr>
        <w:t>if feedback is not returned in a timely manner, it can have no or little effect at all. </w:t>
      </w:r>
    </w:p>
    <w:p w14:paraId="11B0AC6C" w14:textId="264C73E9" w:rsidR="00317677" w:rsidRPr="00B17151" w:rsidRDefault="00317677" w:rsidP="00A70687">
      <w:pPr>
        <w:pStyle w:val="NormalWeb"/>
        <w:spacing w:line="360" w:lineRule="auto"/>
        <w:rPr>
          <w:rFonts w:ascii="Calibri" w:hAnsi="Calibri" w:cs="Calibri"/>
          <w:color w:val="000000" w:themeColor="text1"/>
        </w:rPr>
      </w:pPr>
    </w:p>
    <w:p w14:paraId="61751004" w14:textId="77777777" w:rsidR="00EF190D" w:rsidRDefault="00EF190D" w:rsidP="00EF190D">
      <w:pPr>
        <w:ind w:left="720"/>
        <w:rPr>
          <w:rFonts w:ascii="Arial" w:hAnsi="Arial" w:cs="Arial"/>
        </w:rPr>
      </w:pPr>
    </w:p>
    <w:p w14:paraId="5E07851D" w14:textId="77777777" w:rsidR="007637A0" w:rsidRPr="00B17151" w:rsidRDefault="007637A0" w:rsidP="00A70687">
      <w:pPr>
        <w:pStyle w:val="NormalWeb"/>
        <w:spacing w:line="360" w:lineRule="auto"/>
        <w:rPr>
          <w:rFonts w:ascii="Calibri" w:hAnsi="Calibri" w:cs="Calibri"/>
          <w:color w:val="000000" w:themeColor="text1"/>
        </w:rPr>
      </w:pPr>
    </w:p>
    <w:p w14:paraId="2EBFE2FE" w14:textId="77777777" w:rsidR="006067F6" w:rsidRDefault="006067F6" w:rsidP="00302829">
      <w:pPr>
        <w:spacing w:line="360" w:lineRule="auto"/>
        <w:rPr>
          <w:rFonts w:ascii="Calibri" w:hAnsi="Calibri" w:cs="Calibri"/>
          <w:color w:val="000000" w:themeColor="text1"/>
          <w:sz w:val="22"/>
          <w:szCs w:val="22"/>
        </w:rPr>
      </w:pPr>
    </w:p>
    <w:p w14:paraId="36F1AA37" w14:textId="77777777" w:rsidR="00BA3620" w:rsidRDefault="00BA3620" w:rsidP="00302829">
      <w:pPr>
        <w:spacing w:line="360" w:lineRule="auto"/>
        <w:rPr>
          <w:rFonts w:ascii="Calibri" w:hAnsi="Calibri" w:cs="Calibri"/>
          <w:color w:val="000000" w:themeColor="text1"/>
          <w:sz w:val="22"/>
          <w:szCs w:val="22"/>
        </w:rPr>
      </w:pPr>
    </w:p>
    <w:p w14:paraId="701BC609" w14:textId="77777777" w:rsidR="00BA3620" w:rsidRDefault="00BA3620" w:rsidP="00302829">
      <w:pPr>
        <w:spacing w:line="360" w:lineRule="auto"/>
        <w:rPr>
          <w:rFonts w:ascii="Calibri" w:hAnsi="Calibri" w:cs="Calibri"/>
          <w:color w:val="000000" w:themeColor="text1"/>
          <w:sz w:val="22"/>
          <w:szCs w:val="22"/>
        </w:rPr>
      </w:pPr>
    </w:p>
    <w:p w14:paraId="7489411A" w14:textId="77777777" w:rsidR="00BA3620" w:rsidRDefault="00BA3620" w:rsidP="00302829">
      <w:pPr>
        <w:spacing w:line="360" w:lineRule="auto"/>
        <w:rPr>
          <w:rFonts w:ascii="Calibri" w:hAnsi="Calibri" w:cs="Calibri"/>
          <w:color w:val="000000" w:themeColor="text1"/>
          <w:sz w:val="22"/>
          <w:szCs w:val="22"/>
        </w:rPr>
      </w:pPr>
    </w:p>
    <w:p w14:paraId="509369C5" w14:textId="77777777" w:rsidR="00BA3620" w:rsidRDefault="00BA3620" w:rsidP="00302829">
      <w:pPr>
        <w:spacing w:line="360" w:lineRule="auto"/>
        <w:rPr>
          <w:rFonts w:ascii="Calibri" w:hAnsi="Calibri" w:cs="Calibri"/>
          <w:color w:val="000000" w:themeColor="text1"/>
          <w:sz w:val="22"/>
          <w:szCs w:val="22"/>
        </w:rPr>
      </w:pPr>
    </w:p>
    <w:p w14:paraId="424D96FD" w14:textId="77777777" w:rsidR="00BA3620" w:rsidRDefault="00BA3620" w:rsidP="00302829">
      <w:pPr>
        <w:spacing w:line="360" w:lineRule="auto"/>
        <w:rPr>
          <w:rFonts w:ascii="Calibri" w:hAnsi="Calibri" w:cs="Calibri"/>
          <w:color w:val="000000" w:themeColor="text1"/>
          <w:sz w:val="22"/>
          <w:szCs w:val="22"/>
        </w:rPr>
      </w:pPr>
    </w:p>
    <w:p w14:paraId="498CDDA3" w14:textId="77777777" w:rsidR="00BA3620" w:rsidRPr="000F7283" w:rsidRDefault="00BA3620" w:rsidP="00302829">
      <w:pPr>
        <w:spacing w:line="360" w:lineRule="auto"/>
        <w:rPr>
          <w:rFonts w:ascii="Calibri" w:hAnsi="Calibri" w:cs="Calibri"/>
          <w:color w:val="000000" w:themeColor="text1"/>
          <w:sz w:val="22"/>
          <w:szCs w:val="22"/>
        </w:rPr>
      </w:pPr>
    </w:p>
    <w:p w14:paraId="542289CA" w14:textId="7901EA0E" w:rsidR="00A34D31" w:rsidRPr="00F95A22" w:rsidRDefault="00302829" w:rsidP="00F95A22">
      <w:pPr>
        <w:pStyle w:val="ListParagraph"/>
        <w:numPr>
          <w:ilvl w:val="0"/>
          <w:numId w:val="1"/>
        </w:numPr>
        <w:spacing w:line="360" w:lineRule="auto"/>
        <w:rPr>
          <w:rFonts w:ascii="Calibri" w:hAnsi="Calibri" w:cs="Calibri"/>
          <w:b/>
          <w:bCs/>
          <w:color w:val="000000" w:themeColor="text1"/>
          <w:sz w:val="22"/>
          <w:szCs w:val="22"/>
          <w:u w:val="single"/>
        </w:rPr>
      </w:pPr>
      <w:r w:rsidRPr="00F95A22">
        <w:rPr>
          <w:rFonts w:ascii="Calibri" w:hAnsi="Calibri" w:cs="Calibri"/>
          <w:b/>
          <w:bCs/>
          <w:color w:val="000000" w:themeColor="text1"/>
          <w:sz w:val="22"/>
          <w:szCs w:val="22"/>
          <w:u w:val="single"/>
        </w:rPr>
        <w:t xml:space="preserve"> </w:t>
      </w:r>
      <w:r w:rsidR="00A34D31" w:rsidRPr="00F95A22">
        <w:rPr>
          <w:rFonts w:ascii="Calibri" w:hAnsi="Calibri" w:cs="Calibri"/>
          <w:b/>
          <w:bCs/>
          <w:color w:val="000000" w:themeColor="text1"/>
          <w:sz w:val="22"/>
          <w:szCs w:val="22"/>
          <w:u w:val="single"/>
        </w:rPr>
        <w:t>References</w:t>
      </w:r>
    </w:p>
    <w:p w14:paraId="7E742AE8" w14:textId="552E2ED2" w:rsidR="00432B75" w:rsidRPr="000D06A9"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Andrade, H., and Du, Y. (2007)</w:t>
      </w:r>
      <w:r w:rsidR="001B163D" w:rsidRPr="000D06A9">
        <w:rPr>
          <w:rFonts w:ascii="Calibri" w:hAnsi="Calibri" w:cs="Calibri"/>
          <w:color w:val="000000" w:themeColor="text1"/>
          <w:sz w:val="22"/>
          <w:szCs w:val="22"/>
        </w:rPr>
        <w:t xml:space="preserve"> ‘</w:t>
      </w:r>
      <w:r w:rsidRPr="000D06A9">
        <w:rPr>
          <w:rFonts w:ascii="Calibri" w:hAnsi="Calibri" w:cs="Calibri"/>
          <w:color w:val="000000" w:themeColor="text1"/>
          <w:sz w:val="22"/>
          <w:szCs w:val="22"/>
        </w:rPr>
        <w:t>Student responses to criteria-referenced self-assessment</w:t>
      </w:r>
      <w:r w:rsidR="001B163D" w:rsidRPr="000D06A9">
        <w:rPr>
          <w:rFonts w:ascii="Calibri" w:hAnsi="Calibri" w:cs="Calibri"/>
          <w:color w:val="000000" w:themeColor="text1"/>
          <w:sz w:val="22"/>
          <w:szCs w:val="22"/>
        </w:rPr>
        <w:t>’,</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Assessment &amp; Evaluation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32 (2), 159–81.</w:t>
      </w:r>
      <w:r w:rsidRPr="000D06A9">
        <w:rPr>
          <w:rStyle w:val="apple-converted-space"/>
          <w:rFonts w:ascii="Calibri" w:hAnsi="Calibri" w:cs="Calibri"/>
          <w:color w:val="000000" w:themeColor="text1"/>
          <w:sz w:val="22"/>
          <w:szCs w:val="22"/>
        </w:rPr>
        <w:t> </w:t>
      </w:r>
    </w:p>
    <w:p w14:paraId="7EB1A9FF" w14:textId="5F6A4FAE" w:rsidR="00302829" w:rsidRPr="000D06A9" w:rsidRDefault="00302829" w:rsidP="00302829">
      <w:pPr>
        <w:rPr>
          <w:rStyle w:val="pagerange"/>
          <w:rFonts w:ascii="Calibri" w:hAnsi="Calibri" w:cs="Calibri"/>
          <w:color w:val="000000" w:themeColor="text1"/>
          <w:sz w:val="22"/>
          <w:szCs w:val="22"/>
        </w:rPr>
      </w:pPr>
      <w:r w:rsidRPr="000D06A9">
        <w:rPr>
          <w:rStyle w:val="authors"/>
          <w:rFonts w:ascii="Calibri" w:hAnsi="Calibri" w:cs="Calibri"/>
          <w:color w:val="000000" w:themeColor="text1"/>
          <w:sz w:val="22"/>
          <w:szCs w:val="22"/>
        </w:rPr>
        <w:lastRenderedPageBreak/>
        <w:t>Andrade, H., &amp; Valtcheva, A.</w:t>
      </w:r>
      <w:r w:rsidRPr="000D06A9">
        <w:rPr>
          <w:rStyle w:val="apple-converted-space"/>
          <w:rFonts w:ascii="Calibri" w:hAnsi="Calibri" w:cs="Calibri"/>
          <w:color w:val="000000" w:themeColor="text1"/>
          <w:sz w:val="22"/>
          <w:szCs w:val="22"/>
          <w:shd w:val="clear" w:color="auto" w:fill="FFFFFF"/>
        </w:rPr>
        <w:t> </w:t>
      </w:r>
      <w:r w:rsidRPr="000D06A9">
        <w:rPr>
          <w:rStyle w:val="Date1"/>
          <w:rFonts w:ascii="Calibri" w:hAnsi="Calibri" w:cs="Calibri"/>
          <w:color w:val="000000" w:themeColor="text1"/>
          <w:sz w:val="22"/>
          <w:szCs w:val="22"/>
        </w:rPr>
        <w:t>(2009)</w:t>
      </w:r>
      <w:r w:rsidRPr="000D06A9">
        <w:rPr>
          <w:rStyle w:val="apple-converted-space"/>
          <w:rFonts w:ascii="Calibri" w:hAnsi="Calibri" w:cs="Calibri"/>
          <w:color w:val="000000" w:themeColor="text1"/>
          <w:sz w:val="22"/>
          <w:szCs w:val="22"/>
          <w:shd w:val="clear" w:color="auto" w:fill="FFFFFF"/>
        </w:rPr>
        <w:t> ‘</w:t>
      </w:r>
      <w:r w:rsidRPr="000D06A9">
        <w:rPr>
          <w:rStyle w:val="arttitle"/>
          <w:rFonts w:ascii="Calibri" w:hAnsi="Calibri" w:cs="Calibri"/>
          <w:color w:val="000000" w:themeColor="text1"/>
          <w:sz w:val="22"/>
          <w:szCs w:val="22"/>
        </w:rPr>
        <w:t>Promoting Learning and Achievement Through Self-Assessment,</w:t>
      </w:r>
      <w:r w:rsidRPr="000D06A9">
        <w:rPr>
          <w:rStyle w:val="apple-converted-space"/>
          <w:rFonts w:ascii="Calibri" w:hAnsi="Calibri" w:cs="Calibri"/>
          <w:color w:val="000000" w:themeColor="text1"/>
          <w:sz w:val="22"/>
          <w:szCs w:val="22"/>
          <w:shd w:val="clear" w:color="auto" w:fill="FFFFFF"/>
        </w:rPr>
        <w:t> </w:t>
      </w:r>
      <w:r w:rsidRPr="000D06A9">
        <w:rPr>
          <w:rStyle w:val="serialtitle"/>
          <w:rFonts w:ascii="Calibri" w:hAnsi="Calibri" w:cs="Calibri"/>
          <w:i/>
          <w:iCs/>
          <w:color w:val="000000" w:themeColor="text1"/>
          <w:sz w:val="22"/>
          <w:szCs w:val="22"/>
        </w:rPr>
        <w:t>Theory into Practice</w:t>
      </w:r>
      <w:r w:rsidRPr="000D06A9">
        <w:rPr>
          <w:rStyle w:val="serialtitle"/>
          <w:rFonts w:ascii="Calibri" w:hAnsi="Calibri" w:cs="Calibri"/>
          <w:color w:val="000000" w:themeColor="text1"/>
          <w:sz w:val="22"/>
          <w:szCs w:val="22"/>
        </w:rPr>
        <w:t>,</w:t>
      </w:r>
      <w:r w:rsidRPr="000D06A9">
        <w:rPr>
          <w:rStyle w:val="apple-converted-space"/>
          <w:rFonts w:ascii="Calibri" w:hAnsi="Calibri" w:cs="Calibri"/>
          <w:color w:val="000000" w:themeColor="text1"/>
          <w:sz w:val="22"/>
          <w:szCs w:val="22"/>
          <w:shd w:val="clear" w:color="auto" w:fill="FFFFFF"/>
        </w:rPr>
        <w:t> </w:t>
      </w:r>
      <w:r w:rsidRPr="000D06A9">
        <w:rPr>
          <w:rStyle w:val="volumeissue"/>
          <w:rFonts w:ascii="Calibri" w:hAnsi="Calibri" w:cs="Calibri"/>
          <w:color w:val="000000" w:themeColor="text1"/>
          <w:sz w:val="22"/>
          <w:szCs w:val="22"/>
        </w:rPr>
        <w:t>48</w:t>
      </w:r>
      <w:r w:rsidR="00697417" w:rsidRPr="000D06A9">
        <w:rPr>
          <w:rStyle w:val="volumeissue"/>
          <w:rFonts w:ascii="Calibri" w:hAnsi="Calibri" w:cs="Calibri"/>
          <w:color w:val="000000" w:themeColor="text1"/>
          <w:sz w:val="22"/>
          <w:szCs w:val="22"/>
        </w:rPr>
        <w:t>(</w:t>
      </w:r>
      <w:r w:rsidRPr="000D06A9">
        <w:rPr>
          <w:rStyle w:val="volumeissue"/>
          <w:rFonts w:ascii="Calibri" w:hAnsi="Calibri" w:cs="Calibri"/>
          <w:color w:val="000000" w:themeColor="text1"/>
          <w:sz w:val="22"/>
          <w:szCs w:val="22"/>
        </w:rPr>
        <w:t>1</w:t>
      </w:r>
      <w:r w:rsidR="00697417" w:rsidRPr="000D06A9">
        <w:rPr>
          <w:rStyle w:val="volumeissue"/>
          <w:rFonts w:ascii="Calibri" w:hAnsi="Calibri" w:cs="Calibri"/>
          <w:color w:val="000000" w:themeColor="text1"/>
          <w:sz w:val="22"/>
          <w:szCs w:val="22"/>
        </w:rPr>
        <w:t>)</w:t>
      </w:r>
      <w:r w:rsidRPr="000D06A9">
        <w:rPr>
          <w:rStyle w:val="volumeissue"/>
          <w:rFonts w:ascii="Calibri" w:hAnsi="Calibri" w:cs="Calibri"/>
          <w:color w:val="000000" w:themeColor="text1"/>
          <w:sz w:val="22"/>
          <w:szCs w:val="22"/>
        </w:rPr>
        <w:t>,</w:t>
      </w:r>
      <w:r w:rsidRPr="000D06A9">
        <w:rPr>
          <w:rStyle w:val="apple-converted-space"/>
          <w:rFonts w:ascii="Calibri" w:hAnsi="Calibri" w:cs="Calibri"/>
          <w:color w:val="000000" w:themeColor="text1"/>
          <w:sz w:val="22"/>
          <w:szCs w:val="22"/>
          <w:shd w:val="clear" w:color="auto" w:fill="FFFFFF"/>
        </w:rPr>
        <w:t xml:space="preserve"> pp. </w:t>
      </w:r>
      <w:r w:rsidRPr="000D06A9">
        <w:rPr>
          <w:rStyle w:val="pagerange"/>
          <w:rFonts w:ascii="Calibri" w:hAnsi="Calibri" w:cs="Calibri"/>
          <w:color w:val="000000" w:themeColor="text1"/>
          <w:sz w:val="22"/>
          <w:szCs w:val="22"/>
        </w:rPr>
        <w:t>12-19.</w:t>
      </w:r>
    </w:p>
    <w:p w14:paraId="3AC768EE" w14:textId="0F113646" w:rsidR="00432B75" w:rsidRPr="000D06A9" w:rsidRDefault="00432B75" w:rsidP="00302829">
      <w:pPr>
        <w:rPr>
          <w:rStyle w:val="pagerange"/>
          <w:rFonts w:ascii="Calibri" w:hAnsi="Calibri" w:cs="Calibri"/>
          <w:color w:val="000000" w:themeColor="text1"/>
          <w:sz w:val="22"/>
          <w:szCs w:val="22"/>
        </w:rPr>
      </w:pPr>
    </w:p>
    <w:p w14:paraId="72F6AF42" w14:textId="7DF297DD" w:rsidR="00603B86" w:rsidRPr="000D06A9" w:rsidRDefault="00603B86" w:rsidP="00603B86">
      <w:pPr>
        <w:pStyle w:val="Heading1"/>
        <w:spacing w:before="0" w:beforeAutospacing="0" w:after="0" w:afterAutospacing="0"/>
        <w:rPr>
          <w:rFonts w:ascii="Calibri" w:hAnsi="Calibri" w:cs="Calibri"/>
          <w:b w:val="0"/>
          <w:bCs w:val="0"/>
          <w:color w:val="000000" w:themeColor="text1"/>
          <w:sz w:val="22"/>
          <w:szCs w:val="22"/>
          <w:shd w:val="clear" w:color="auto" w:fill="FFFFFF"/>
        </w:rPr>
      </w:pPr>
      <w:r w:rsidRPr="000D06A9">
        <w:rPr>
          <w:rFonts w:ascii="Calibri" w:hAnsi="Calibri" w:cs="Calibri"/>
          <w:b w:val="0"/>
          <w:bCs w:val="0"/>
          <w:color w:val="000000" w:themeColor="text1"/>
          <w:sz w:val="22"/>
          <w:szCs w:val="22"/>
        </w:rPr>
        <w:t xml:space="preserve">Black, P., &amp; Wiliam, D. (1998) </w:t>
      </w:r>
      <w:r w:rsidRPr="000D06A9">
        <w:rPr>
          <w:rFonts w:ascii="Calibri" w:hAnsi="Calibri" w:cs="Calibri"/>
          <w:b w:val="0"/>
          <w:bCs w:val="0"/>
          <w:i/>
          <w:iCs/>
          <w:color w:val="000000" w:themeColor="text1"/>
          <w:sz w:val="22"/>
          <w:szCs w:val="22"/>
        </w:rPr>
        <w:t>Inside the Black Box: Raising Standards Through Classroom Assessment.</w:t>
      </w:r>
      <w:r w:rsidR="00F336F8" w:rsidRPr="000D06A9">
        <w:rPr>
          <w:rFonts w:ascii="Calibri" w:hAnsi="Calibri" w:cs="Calibri"/>
          <w:b w:val="0"/>
          <w:bCs w:val="0"/>
          <w:color w:val="000000" w:themeColor="text1"/>
          <w:sz w:val="22"/>
          <w:szCs w:val="22"/>
          <w:shd w:val="clear" w:color="auto" w:fill="FFFFFF"/>
        </w:rPr>
        <w:t xml:space="preserve"> </w:t>
      </w:r>
      <w:r w:rsidR="00F336F8" w:rsidRPr="00F336F8">
        <w:rPr>
          <w:rFonts w:ascii="Calibri" w:hAnsi="Calibri" w:cs="Calibri"/>
          <w:b w:val="0"/>
          <w:bCs w:val="0"/>
          <w:color w:val="000000" w:themeColor="text1"/>
          <w:sz w:val="22"/>
          <w:szCs w:val="22"/>
          <w:shd w:val="clear" w:color="auto" w:fill="FFFFFF"/>
        </w:rPr>
        <w:t>London, United Kingdom</w:t>
      </w:r>
      <w:r w:rsidR="00F336F8" w:rsidRPr="000D06A9">
        <w:rPr>
          <w:rFonts w:ascii="Calibri" w:hAnsi="Calibri" w:cs="Calibri"/>
          <w:b w:val="0"/>
          <w:bCs w:val="0"/>
          <w:color w:val="000000" w:themeColor="text1"/>
          <w:sz w:val="22"/>
          <w:szCs w:val="22"/>
          <w:shd w:val="clear" w:color="auto" w:fill="FFFFFF"/>
        </w:rPr>
        <w:t xml:space="preserve">: </w:t>
      </w:r>
      <w:r w:rsidR="00F336F8" w:rsidRPr="000D06A9">
        <w:rPr>
          <w:rFonts w:ascii="Calibri" w:hAnsi="Calibri" w:cs="Calibri"/>
          <w:b w:val="0"/>
          <w:bCs w:val="0"/>
          <w:color w:val="000000" w:themeColor="text1"/>
          <w:sz w:val="22"/>
          <w:szCs w:val="22"/>
        </w:rPr>
        <w:t xml:space="preserve">School of Education, </w:t>
      </w:r>
      <w:r w:rsidR="00F336F8" w:rsidRPr="00F336F8">
        <w:rPr>
          <w:rFonts w:ascii="Calibri" w:hAnsi="Calibri" w:cs="Calibri"/>
          <w:b w:val="0"/>
          <w:bCs w:val="0"/>
          <w:color w:val="000000" w:themeColor="text1"/>
          <w:sz w:val="22"/>
          <w:szCs w:val="22"/>
          <w:shd w:val="clear" w:color="auto" w:fill="FFFFFF"/>
        </w:rPr>
        <w:t>King's College</w:t>
      </w:r>
      <w:r w:rsidR="008E6B1D" w:rsidRPr="000D06A9">
        <w:rPr>
          <w:rFonts w:ascii="Calibri" w:hAnsi="Calibri" w:cs="Calibri"/>
          <w:b w:val="0"/>
          <w:bCs w:val="0"/>
          <w:color w:val="000000" w:themeColor="text1"/>
          <w:sz w:val="22"/>
          <w:szCs w:val="22"/>
          <w:shd w:val="clear" w:color="auto" w:fill="FFFFFF"/>
        </w:rPr>
        <w:t>.</w:t>
      </w:r>
    </w:p>
    <w:p w14:paraId="5EB90660" w14:textId="7B366BE9" w:rsidR="002767D0" w:rsidRPr="000D06A9" w:rsidRDefault="002767D0" w:rsidP="00603B86">
      <w:pPr>
        <w:pStyle w:val="Heading1"/>
        <w:spacing w:before="0" w:beforeAutospacing="0" w:after="0" w:afterAutospacing="0"/>
        <w:rPr>
          <w:rFonts w:ascii="Calibri" w:hAnsi="Calibri" w:cs="Calibri"/>
          <w:b w:val="0"/>
          <w:bCs w:val="0"/>
          <w:color w:val="000000" w:themeColor="text1"/>
          <w:sz w:val="22"/>
          <w:szCs w:val="22"/>
          <w:shd w:val="clear" w:color="auto" w:fill="FFFFFF"/>
        </w:rPr>
      </w:pPr>
    </w:p>
    <w:p w14:paraId="3D59E0FE" w14:textId="05D89E9B" w:rsidR="0080473A" w:rsidRPr="000D06A9" w:rsidRDefault="002767D0" w:rsidP="0080473A">
      <w:pPr>
        <w:pStyle w:val="Heading1"/>
        <w:spacing w:before="0" w:beforeAutospacing="0" w:after="0" w:afterAutospacing="0"/>
        <w:rPr>
          <w:rFonts w:ascii="Calibri" w:eastAsiaTheme="minorHAnsi" w:hAnsi="Calibri" w:cs="Calibri"/>
          <w:b w:val="0"/>
          <w:bCs w:val="0"/>
          <w:color w:val="000000" w:themeColor="text1"/>
          <w:sz w:val="22"/>
          <w:szCs w:val="22"/>
          <w:lang w:eastAsia="en-US"/>
        </w:rPr>
      </w:pPr>
      <w:r w:rsidRPr="000D06A9">
        <w:rPr>
          <w:rFonts w:ascii="Calibri" w:hAnsi="Calibri" w:cs="Calibri"/>
          <w:b w:val="0"/>
          <w:bCs w:val="0"/>
          <w:color w:val="000000" w:themeColor="text1"/>
          <w:sz w:val="22"/>
          <w:szCs w:val="22"/>
        </w:rPr>
        <w:t>Boud, D., &amp; Falchikov, N. (1989)</w:t>
      </w:r>
      <w:r w:rsidR="0080473A" w:rsidRPr="000D06A9">
        <w:rPr>
          <w:rFonts w:ascii="Calibri" w:hAnsi="Calibri" w:cs="Calibri"/>
          <w:b w:val="0"/>
          <w:bCs w:val="0"/>
          <w:color w:val="000000" w:themeColor="text1"/>
          <w:sz w:val="22"/>
          <w:szCs w:val="22"/>
        </w:rPr>
        <w:t xml:space="preserve"> </w:t>
      </w:r>
      <w:r w:rsidR="0080473A" w:rsidRPr="000D06A9">
        <w:rPr>
          <w:rFonts w:ascii="Calibri" w:eastAsiaTheme="minorHAnsi" w:hAnsi="Calibri" w:cs="Calibri"/>
          <w:b w:val="0"/>
          <w:bCs w:val="0"/>
          <w:color w:val="000000" w:themeColor="text1"/>
          <w:sz w:val="22"/>
          <w:szCs w:val="22"/>
          <w:lang w:eastAsia="en-US"/>
        </w:rPr>
        <w:t xml:space="preserve">‘Quantitative studies of student self-assessment in higher education: a critical analysis of findings’, </w:t>
      </w:r>
      <w:r w:rsidR="0080473A" w:rsidRPr="000D06A9">
        <w:rPr>
          <w:rFonts w:ascii="Calibri" w:eastAsiaTheme="minorHAnsi" w:hAnsi="Calibri" w:cs="Calibri"/>
          <w:b w:val="0"/>
          <w:bCs w:val="0"/>
          <w:i/>
          <w:iCs/>
          <w:color w:val="000000" w:themeColor="text1"/>
          <w:sz w:val="22"/>
          <w:szCs w:val="22"/>
          <w:lang w:eastAsia="en-US"/>
        </w:rPr>
        <w:t>Higher Education</w:t>
      </w:r>
      <w:r w:rsidR="0080473A" w:rsidRPr="000D06A9">
        <w:rPr>
          <w:rFonts w:ascii="Calibri" w:eastAsiaTheme="minorHAnsi" w:hAnsi="Calibri" w:cs="Calibri"/>
          <w:b w:val="0"/>
          <w:bCs w:val="0"/>
          <w:color w:val="000000" w:themeColor="text1"/>
          <w:sz w:val="22"/>
          <w:szCs w:val="22"/>
          <w:lang w:eastAsia="en-US"/>
        </w:rPr>
        <w:t>, 18</w:t>
      </w:r>
      <w:r w:rsidR="00697417" w:rsidRPr="000D06A9">
        <w:rPr>
          <w:rFonts w:ascii="Calibri" w:eastAsiaTheme="minorHAnsi" w:hAnsi="Calibri" w:cs="Calibri"/>
          <w:b w:val="0"/>
          <w:bCs w:val="0"/>
          <w:color w:val="000000" w:themeColor="text1"/>
          <w:sz w:val="22"/>
          <w:szCs w:val="22"/>
          <w:lang w:eastAsia="en-US"/>
        </w:rPr>
        <w:t>(1)</w:t>
      </w:r>
      <w:r w:rsidR="0080473A" w:rsidRPr="000D06A9">
        <w:rPr>
          <w:rFonts w:ascii="Calibri" w:eastAsiaTheme="minorHAnsi" w:hAnsi="Calibri" w:cs="Calibri"/>
          <w:b w:val="0"/>
          <w:bCs w:val="0"/>
          <w:color w:val="000000" w:themeColor="text1"/>
          <w:sz w:val="22"/>
          <w:szCs w:val="22"/>
          <w:lang w:eastAsia="en-US"/>
        </w:rPr>
        <w:t>, pp. 529–549.</w:t>
      </w:r>
    </w:p>
    <w:p w14:paraId="610C4734" w14:textId="77777777" w:rsidR="00432B75" w:rsidRPr="000D06A9"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Boud, D., Falchikov, N. (2006) Aligning assessment with long-term learning. Assessment &amp; Evaluation in</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31(4), 399–413.</w:t>
      </w:r>
      <w:r w:rsidRPr="000D06A9">
        <w:rPr>
          <w:rStyle w:val="apple-converted-space"/>
          <w:rFonts w:ascii="Calibri" w:hAnsi="Calibri" w:cs="Calibri"/>
          <w:color w:val="000000" w:themeColor="text1"/>
          <w:sz w:val="22"/>
          <w:szCs w:val="22"/>
        </w:rPr>
        <w:t> </w:t>
      </w:r>
    </w:p>
    <w:p w14:paraId="1452ED4E" w14:textId="3720A661" w:rsidR="00BE069E" w:rsidRPr="000D06A9" w:rsidRDefault="00BE069E" w:rsidP="00BE069E">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Broadfoot, P. (1996) </w:t>
      </w:r>
      <w:r w:rsidRPr="000D06A9">
        <w:rPr>
          <w:rFonts w:ascii="Calibri" w:hAnsi="Calibri" w:cs="Calibri"/>
          <w:i/>
          <w:iCs/>
          <w:color w:val="000000" w:themeColor="text1"/>
          <w:sz w:val="22"/>
          <w:szCs w:val="22"/>
        </w:rPr>
        <w:t xml:space="preserve">Education, Assessment and Society. </w:t>
      </w:r>
      <w:r w:rsidRPr="000D06A9">
        <w:rPr>
          <w:rFonts w:ascii="Calibri" w:hAnsi="Calibri" w:cs="Calibri"/>
          <w:color w:val="000000" w:themeColor="text1"/>
          <w:sz w:val="22"/>
          <w:szCs w:val="22"/>
        </w:rPr>
        <w:t>Milton Keynes, UK: Open University Press.</w:t>
      </w:r>
    </w:p>
    <w:p w14:paraId="215AD3D4" w14:textId="20D6D002" w:rsidR="00432B75" w:rsidRPr="000D06A9" w:rsidRDefault="00432B75" w:rsidP="00432B75">
      <w:pPr>
        <w:pStyle w:val="NormalWeb"/>
        <w:rPr>
          <w:rStyle w:val="apple-converted-space"/>
          <w:rFonts w:ascii="Calibri" w:hAnsi="Calibri" w:cs="Calibri"/>
          <w:color w:val="000000" w:themeColor="text1"/>
          <w:sz w:val="22"/>
          <w:szCs w:val="22"/>
        </w:rPr>
      </w:pPr>
      <w:r w:rsidRPr="000D06A9">
        <w:rPr>
          <w:rFonts w:ascii="Calibri" w:hAnsi="Calibri" w:cs="Calibri"/>
          <w:color w:val="000000" w:themeColor="text1"/>
          <w:sz w:val="22"/>
          <w:szCs w:val="22"/>
        </w:rPr>
        <w:t>Brow, S., Race, P., Rust, C. (1995) Using and experiencing assessment. In: Assessment for learning in higher education. Knight, P. (Ed). Kogan Page Ltd, London,</w:t>
      </w:r>
      <w:r w:rsidR="00697417" w:rsidRPr="000D06A9">
        <w:rPr>
          <w:rFonts w:ascii="Calibri" w:hAnsi="Calibri" w:cs="Calibri"/>
          <w:color w:val="000000" w:themeColor="text1"/>
          <w:sz w:val="22"/>
          <w:szCs w:val="22"/>
        </w:rPr>
        <w:t xml:space="preserve"> </w:t>
      </w:r>
      <w:r w:rsidR="00B616C8">
        <w:rPr>
          <w:rFonts w:ascii="Calibri" w:hAnsi="Calibri" w:cs="Calibri"/>
          <w:color w:val="000000" w:themeColor="text1"/>
          <w:sz w:val="22"/>
          <w:szCs w:val="22"/>
        </w:rPr>
        <w:t xml:space="preserve">UK, </w:t>
      </w:r>
      <w:r w:rsidRPr="000D06A9">
        <w:rPr>
          <w:rFonts w:ascii="Calibri" w:hAnsi="Calibri" w:cs="Calibri"/>
          <w:color w:val="000000" w:themeColor="text1"/>
          <w:sz w:val="22"/>
          <w:szCs w:val="22"/>
        </w:rPr>
        <w:t>pp 75-85.</w:t>
      </w:r>
      <w:r w:rsidRPr="000D06A9">
        <w:rPr>
          <w:rStyle w:val="apple-converted-space"/>
          <w:rFonts w:ascii="Calibri" w:hAnsi="Calibri" w:cs="Calibri"/>
          <w:color w:val="000000" w:themeColor="text1"/>
          <w:sz w:val="22"/>
          <w:szCs w:val="22"/>
        </w:rPr>
        <w:t> </w:t>
      </w:r>
    </w:p>
    <w:p w14:paraId="7B9AADB6" w14:textId="0ACF4B72" w:rsidR="00967D78" w:rsidRPr="000D06A9" w:rsidRDefault="00967D78" w:rsidP="00432B75">
      <w:pPr>
        <w:pStyle w:val="NormalWeb"/>
        <w:rPr>
          <w:rFonts w:ascii="Calibri" w:hAnsi="Calibri" w:cs="Calibri"/>
          <w:sz w:val="22"/>
          <w:szCs w:val="22"/>
        </w:rPr>
      </w:pPr>
      <w:r w:rsidRPr="000D06A9">
        <w:rPr>
          <w:rFonts w:ascii="Calibri" w:hAnsi="Calibri" w:cs="Calibri"/>
          <w:sz w:val="22"/>
          <w:szCs w:val="22"/>
        </w:rPr>
        <w:t xml:space="preserve">Brown, J. D. (1998) </w:t>
      </w:r>
      <w:r w:rsidRPr="000D06A9">
        <w:rPr>
          <w:rFonts w:ascii="Calibri" w:hAnsi="Calibri" w:cs="Calibri"/>
          <w:i/>
          <w:iCs/>
          <w:sz w:val="22"/>
          <w:szCs w:val="22"/>
        </w:rPr>
        <w:t>New Ways of Classroom Assessment</w:t>
      </w:r>
      <w:r w:rsidRPr="000D06A9">
        <w:rPr>
          <w:rFonts w:ascii="Calibri" w:hAnsi="Calibri" w:cs="Calibri"/>
          <w:sz w:val="22"/>
          <w:szCs w:val="22"/>
        </w:rPr>
        <w:t>. Alexandria, USA: Teachers of English to Speakers of Other Languages,</w:t>
      </w:r>
    </w:p>
    <w:p w14:paraId="1AEB86F7" w14:textId="68C33A62" w:rsidR="000D64AC" w:rsidRPr="000D06A9" w:rsidRDefault="000D64AC" w:rsidP="00BE069E">
      <w:pPr>
        <w:pStyle w:val="NormalWeb"/>
        <w:rPr>
          <w:rFonts w:ascii="Calibri" w:eastAsiaTheme="minorHAnsi" w:hAnsi="Calibri" w:cs="Calibri"/>
          <w:color w:val="000000" w:themeColor="text1"/>
          <w:sz w:val="22"/>
          <w:szCs w:val="22"/>
          <w:lang w:eastAsia="en-US"/>
        </w:rPr>
      </w:pPr>
      <w:r w:rsidRPr="000D06A9">
        <w:rPr>
          <w:rFonts w:ascii="Calibri" w:eastAsiaTheme="minorHAnsi" w:hAnsi="Calibri" w:cs="Calibri"/>
          <w:color w:val="000000" w:themeColor="text1"/>
          <w:sz w:val="22"/>
          <w:szCs w:val="22"/>
          <w:lang w:eastAsia="en-US"/>
        </w:rPr>
        <w:t>Brown, G., Andrade, H., &amp; Chen, F. (2015) ‘Accuracy in student self-assessment: directions and cautions for research’, </w:t>
      </w:r>
      <w:r w:rsidRPr="000D06A9">
        <w:rPr>
          <w:rFonts w:ascii="Calibri" w:eastAsiaTheme="minorHAnsi" w:hAnsi="Calibri" w:cs="Calibri"/>
          <w:i/>
          <w:iCs/>
          <w:color w:val="000000" w:themeColor="text1"/>
          <w:sz w:val="22"/>
          <w:szCs w:val="22"/>
          <w:lang w:eastAsia="en-US"/>
        </w:rPr>
        <w:t>Assessment in Education: Principles, Policy &amp; Practice, </w:t>
      </w:r>
      <w:r w:rsidRPr="000D06A9">
        <w:rPr>
          <w:rFonts w:ascii="Calibri" w:eastAsiaTheme="minorHAnsi" w:hAnsi="Calibri" w:cs="Calibri"/>
          <w:color w:val="000000" w:themeColor="text1"/>
          <w:sz w:val="22"/>
          <w:szCs w:val="22"/>
          <w:lang w:eastAsia="en-US"/>
        </w:rPr>
        <w:t>22</w:t>
      </w:r>
      <w:r w:rsidR="00697417" w:rsidRPr="000D06A9">
        <w:rPr>
          <w:rFonts w:ascii="Calibri" w:eastAsiaTheme="minorHAnsi" w:hAnsi="Calibri" w:cs="Calibri"/>
          <w:color w:val="000000" w:themeColor="text1"/>
          <w:sz w:val="22"/>
          <w:szCs w:val="22"/>
          <w:lang w:eastAsia="en-US"/>
        </w:rPr>
        <w:t>(</w:t>
      </w:r>
      <w:r w:rsidRPr="000D06A9">
        <w:rPr>
          <w:rFonts w:ascii="Calibri" w:eastAsiaTheme="minorHAnsi" w:hAnsi="Calibri" w:cs="Calibri"/>
          <w:color w:val="000000" w:themeColor="text1"/>
          <w:sz w:val="22"/>
          <w:szCs w:val="22"/>
          <w:lang w:eastAsia="en-US"/>
        </w:rPr>
        <w:t>4</w:t>
      </w:r>
      <w:r w:rsidR="00697417" w:rsidRPr="000D06A9">
        <w:rPr>
          <w:rFonts w:ascii="Calibri" w:eastAsiaTheme="minorHAnsi" w:hAnsi="Calibri" w:cs="Calibri"/>
          <w:color w:val="000000" w:themeColor="text1"/>
          <w:sz w:val="22"/>
          <w:szCs w:val="22"/>
          <w:lang w:eastAsia="en-US"/>
        </w:rPr>
        <w:t>)</w:t>
      </w:r>
      <w:r w:rsidRPr="000D06A9">
        <w:rPr>
          <w:rFonts w:ascii="Calibri" w:eastAsiaTheme="minorHAnsi" w:hAnsi="Calibri" w:cs="Calibri"/>
          <w:color w:val="000000" w:themeColor="text1"/>
          <w:sz w:val="22"/>
          <w:szCs w:val="22"/>
          <w:lang w:eastAsia="en-US"/>
        </w:rPr>
        <w:t>, pp. 444-457.</w:t>
      </w:r>
    </w:p>
    <w:p w14:paraId="0FAA5C11" w14:textId="77777777" w:rsidR="000D06A9" w:rsidRPr="000D06A9" w:rsidRDefault="000D06A9" w:rsidP="000D06A9">
      <w:pPr>
        <w:rPr>
          <w:rFonts w:ascii="Calibri" w:hAnsi="Calibri" w:cs="Calibri"/>
          <w:color w:val="222222"/>
          <w:sz w:val="22"/>
          <w:szCs w:val="22"/>
        </w:rPr>
      </w:pPr>
      <w:r w:rsidRPr="000D06A9">
        <w:rPr>
          <w:rFonts w:ascii="Calibri" w:hAnsi="Calibri" w:cs="Calibri"/>
          <w:color w:val="222222"/>
          <w:sz w:val="22"/>
          <w:szCs w:val="22"/>
        </w:rPr>
        <w:t>Dignen, B. (2014)</w:t>
      </w:r>
      <w:r w:rsidRPr="000D06A9">
        <w:rPr>
          <w:rStyle w:val="apple-converted-space"/>
          <w:rFonts w:ascii="Calibri" w:hAnsi="Calibri" w:cs="Calibri"/>
          <w:color w:val="222222"/>
          <w:sz w:val="22"/>
          <w:szCs w:val="22"/>
        </w:rPr>
        <w:t> </w:t>
      </w:r>
      <w:r w:rsidRPr="000D06A9">
        <w:rPr>
          <w:rFonts w:ascii="Calibri" w:hAnsi="Calibri" w:cs="Calibri"/>
          <w:i/>
          <w:iCs/>
          <w:color w:val="222222"/>
          <w:sz w:val="22"/>
          <w:szCs w:val="22"/>
        </w:rPr>
        <w:t>Five Reasons Why Feedback May be the Most Important Skill.</w:t>
      </w:r>
      <w:r w:rsidRPr="000D06A9">
        <w:rPr>
          <w:rStyle w:val="apple-converted-space"/>
          <w:rFonts w:ascii="Calibri" w:hAnsi="Calibri" w:cs="Calibri"/>
          <w:color w:val="222222"/>
          <w:sz w:val="22"/>
          <w:szCs w:val="22"/>
        </w:rPr>
        <w:t> </w:t>
      </w:r>
      <w:r w:rsidRPr="000D06A9">
        <w:rPr>
          <w:rFonts w:ascii="Calibri" w:hAnsi="Calibri" w:cs="Calibri"/>
          <w:color w:val="222222"/>
          <w:sz w:val="22"/>
          <w:szCs w:val="22"/>
        </w:rPr>
        <w:t>Available at:</w:t>
      </w:r>
      <w:r w:rsidRPr="000D06A9">
        <w:rPr>
          <w:rStyle w:val="apple-converted-space"/>
          <w:rFonts w:ascii="Calibri" w:hAnsi="Calibri" w:cs="Calibri"/>
          <w:color w:val="222222"/>
          <w:sz w:val="22"/>
          <w:szCs w:val="22"/>
        </w:rPr>
        <w:t> </w:t>
      </w:r>
      <w:hyperlink r:id="rId8" w:tgtFrame="_blank" w:history="1">
        <w:r w:rsidRPr="000D06A9">
          <w:rPr>
            <w:rStyle w:val="Hyperlink"/>
            <w:rFonts w:ascii="Calibri" w:hAnsi="Calibri" w:cs="Calibri"/>
            <w:color w:val="1155CC"/>
            <w:sz w:val="22"/>
            <w:szCs w:val="22"/>
          </w:rPr>
          <w:t>https://www.cambridge.org/elt/blog/2014/03/17/five-reasons-feedback-may-important-skill/</w:t>
        </w:r>
      </w:hyperlink>
    </w:p>
    <w:p w14:paraId="529099BD" w14:textId="77777777" w:rsidR="004F2DB9" w:rsidRDefault="000D06A9" w:rsidP="004F2DB9">
      <w:pPr>
        <w:rPr>
          <w:rFonts w:ascii="Calibri" w:hAnsi="Calibri" w:cs="Calibri"/>
          <w:color w:val="222222"/>
          <w:sz w:val="22"/>
          <w:szCs w:val="22"/>
        </w:rPr>
      </w:pPr>
      <w:r w:rsidRPr="000D06A9">
        <w:rPr>
          <w:rFonts w:ascii="Calibri" w:hAnsi="Calibri" w:cs="Calibri"/>
          <w:color w:val="222222"/>
          <w:sz w:val="22"/>
          <w:szCs w:val="22"/>
        </w:rPr>
        <w:t>[Accessed:20.02.20]</w:t>
      </w:r>
    </w:p>
    <w:p w14:paraId="54EE5112" w14:textId="77777777" w:rsidR="004F2DB9" w:rsidRDefault="004F2DB9" w:rsidP="004F2DB9">
      <w:pPr>
        <w:rPr>
          <w:rFonts w:ascii="Calibri" w:hAnsi="Calibri" w:cs="Calibri"/>
          <w:color w:val="222222"/>
          <w:sz w:val="22"/>
          <w:szCs w:val="22"/>
        </w:rPr>
      </w:pPr>
    </w:p>
    <w:p w14:paraId="49134FC8" w14:textId="1066DB0E" w:rsidR="000D06A9" w:rsidRPr="004F2DB9" w:rsidRDefault="000F7283" w:rsidP="004F2DB9">
      <w:pPr>
        <w:rPr>
          <w:rFonts w:ascii="Calibri" w:hAnsi="Calibri" w:cs="Calibri"/>
          <w:color w:val="222222"/>
          <w:sz w:val="22"/>
          <w:szCs w:val="22"/>
        </w:rPr>
      </w:pPr>
      <w:r w:rsidRPr="000D06A9">
        <w:rPr>
          <w:rFonts w:ascii="Calibri" w:hAnsi="Calibri" w:cs="Calibri"/>
          <w:color w:val="000000" w:themeColor="text1"/>
          <w:sz w:val="22"/>
          <w:szCs w:val="22"/>
        </w:rPr>
        <w:t xml:space="preserve">Dochy, F., Segers, M., &amp; Sluijsmans, D. (1999) ‘The Use of Self-, Peer and Co-assessment in Higher Education: A review’, </w:t>
      </w:r>
      <w:r w:rsidRPr="000D06A9">
        <w:rPr>
          <w:rFonts w:ascii="Calibri" w:hAnsi="Calibri" w:cs="Calibri"/>
          <w:i/>
          <w:iCs/>
          <w:color w:val="000000" w:themeColor="text1"/>
          <w:sz w:val="22"/>
          <w:szCs w:val="22"/>
        </w:rPr>
        <w:t xml:space="preserve">Studies in Higher Education, </w:t>
      </w:r>
      <w:r w:rsidRPr="000D06A9">
        <w:rPr>
          <w:rFonts w:ascii="Calibri" w:hAnsi="Calibri" w:cs="Calibri"/>
          <w:color w:val="000000" w:themeColor="text1"/>
          <w:sz w:val="22"/>
          <w:szCs w:val="22"/>
        </w:rPr>
        <w:t>24(3)</w:t>
      </w:r>
    </w:p>
    <w:p w14:paraId="4FA7F06A" w14:textId="11EB5D22" w:rsidR="008E6B1D" w:rsidRPr="000D06A9" w:rsidRDefault="008E6B1D" w:rsidP="008E6B1D">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EPPI. (2002). </w:t>
      </w:r>
      <w:r w:rsidRPr="000D06A9">
        <w:rPr>
          <w:rFonts w:ascii="Calibri" w:hAnsi="Calibri" w:cs="Calibri"/>
          <w:i/>
          <w:iCs/>
          <w:color w:val="000000" w:themeColor="text1"/>
          <w:sz w:val="22"/>
          <w:szCs w:val="22"/>
        </w:rPr>
        <w:t>A Systematic Review of the Impact of Summative Assessment and Tests on Students' Motivation for Learning</w:t>
      </w:r>
      <w:r w:rsidRPr="000D06A9">
        <w:rPr>
          <w:rFonts w:ascii="Calibri" w:hAnsi="Calibri" w:cs="Calibri"/>
          <w:color w:val="000000" w:themeColor="text1"/>
          <w:sz w:val="22"/>
          <w:szCs w:val="22"/>
        </w:rPr>
        <w:t>, Review conducted by the Assessment and Learning Synthesis Group, EPPI: London.</w:t>
      </w:r>
    </w:p>
    <w:p w14:paraId="09E8B28B" w14:textId="732BAC52" w:rsidR="000D06A9" w:rsidRPr="000D06A9" w:rsidRDefault="000D06A9" w:rsidP="000D06A9">
      <w:pPr>
        <w:rPr>
          <w:rFonts w:ascii="Calibri" w:hAnsi="Calibri" w:cs="Calibri"/>
          <w:color w:val="000000" w:themeColor="text1"/>
          <w:sz w:val="22"/>
          <w:szCs w:val="22"/>
          <w:shd w:val="clear" w:color="auto" w:fill="FFFFFF"/>
        </w:rPr>
      </w:pPr>
      <w:r w:rsidRPr="000D06A9">
        <w:rPr>
          <w:rFonts w:ascii="Calibri" w:hAnsi="Calibri" w:cs="Calibri"/>
          <w:color w:val="000000" w:themeColor="text1"/>
          <w:sz w:val="22"/>
          <w:szCs w:val="22"/>
          <w:shd w:val="clear" w:color="auto" w:fill="FFFFFF"/>
        </w:rPr>
        <w:t xml:space="preserve">Eraut, M. (2006) ‘Learning in Health and Social Care’, </w:t>
      </w:r>
      <w:r w:rsidRPr="000D06A9">
        <w:rPr>
          <w:rFonts w:ascii="Calibri" w:hAnsi="Calibri" w:cs="Calibri"/>
          <w:i/>
          <w:iCs/>
          <w:color w:val="000000" w:themeColor="text1"/>
          <w:sz w:val="22"/>
          <w:szCs w:val="22"/>
          <w:shd w:val="clear" w:color="auto" w:fill="FFFFFF"/>
        </w:rPr>
        <w:t>Feedback,</w:t>
      </w:r>
      <w:r w:rsidRPr="000D06A9">
        <w:rPr>
          <w:rFonts w:ascii="Calibri" w:hAnsi="Calibri" w:cs="Calibri"/>
          <w:color w:val="000000" w:themeColor="text1"/>
          <w:sz w:val="22"/>
          <w:szCs w:val="22"/>
          <w:shd w:val="clear" w:color="auto" w:fill="FFFFFF"/>
        </w:rPr>
        <w:t xml:space="preserve"> 5, pp. 111–118</w:t>
      </w:r>
    </w:p>
    <w:p w14:paraId="5DA656C1" w14:textId="2C54DCF9" w:rsidR="000D06A9" w:rsidRPr="000D06A9" w:rsidRDefault="000D06A9" w:rsidP="000D06A9">
      <w:pPr>
        <w:pStyle w:val="NormalWeb"/>
        <w:rPr>
          <w:rFonts w:ascii="Calibri" w:hAnsi="Calibri" w:cs="Calibri"/>
          <w:color w:val="222222"/>
          <w:sz w:val="22"/>
          <w:szCs w:val="22"/>
        </w:rPr>
      </w:pPr>
      <w:r w:rsidRPr="000D06A9">
        <w:rPr>
          <w:rFonts w:ascii="Calibri" w:hAnsi="Calibri" w:cs="Calibri"/>
          <w:color w:val="222222"/>
          <w:sz w:val="22"/>
          <w:szCs w:val="22"/>
        </w:rPr>
        <w:t xml:space="preserve">Ferguson, P. (2011). ‘Student perceptions of quality feedback in teacher education’, </w:t>
      </w:r>
      <w:r w:rsidRPr="000D06A9">
        <w:rPr>
          <w:rFonts w:ascii="Calibri" w:hAnsi="Calibri" w:cs="Calibri"/>
          <w:i/>
          <w:iCs/>
          <w:color w:val="222222"/>
          <w:sz w:val="22"/>
          <w:szCs w:val="22"/>
        </w:rPr>
        <w:t>Assessment &amp; Evaluation in</w:t>
      </w:r>
      <w:r w:rsidRPr="000D06A9">
        <w:rPr>
          <w:rStyle w:val="apple-converted-space"/>
          <w:rFonts w:ascii="Calibri" w:hAnsi="Calibri" w:cs="Calibri"/>
          <w:i/>
          <w:iCs/>
          <w:color w:val="222222"/>
          <w:sz w:val="22"/>
          <w:szCs w:val="22"/>
        </w:rPr>
        <w:t> </w:t>
      </w:r>
      <w:r w:rsidRPr="000D06A9">
        <w:rPr>
          <w:rFonts w:ascii="Calibri" w:hAnsi="Calibri" w:cs="Calibri"/>
          <w:i/>
          <w:iCs/>
          <w:color w:val="222222"/>
          <w:sz w:val="22"/>
          <w:szCs w:val="22"/>
        </w:rPr>
        <w:t>Higher Education,</w:t>
      </w:r>
      <w:r w:rsidRPr="000D06A9">
        <w:rPr>
          <w:rFonts w:ascii="Calibri" w:hAnsi="Calibri" w:cs="Calibri"/>
          <w:color w:val="222222"/>
          <w:sz w:val="22"/>
          <w:szCs w:val="22"/>
        </w:rPr>
        <w:t xml:space="preserve"> 36(1), pp. 51-62.</w:t>
      </w:r>
    </w:p>
    <w:p w14:paraId="79FE4685" w14:textId="67A689B0" w:rsidR="00BE069E" w:rsidRDefault="00BE069E" w:rsidP="00BE069E">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Gulley, A. (2014) ‘Developing your learning as an Operating Department Practioner’, </w:t>
      </w:r>
      <w:r w:rsidR="00D164DF" w:rsidRPr="000D06A9">
        <w:rPr>
          <w:rFonts w:ascii="Calibri" w:hAnsi="Calibri" w:cs="Calibri"/>
          <w:color w:val="000000" w:themeColor="text1"/>
          <w:sz w:val="22"/>
          <w:szCs w:val="22"/>
        </w:rPr>
        <w:t>in</w:t>
      </w:r>
      <w:r w:rsidRPr="000D06A9">
        <w:rPr>
          <w:rFonts w:ascii="Calibri" w:hAnsi="Calibri" w:cs="Calibri"/>
          <w:color w:val="000000" w:themeColor="text1"/>
          <w:sz w:val="22"/>
          <w:szCs w:val="22"/>
        </w:rPr>
        <w:t xml:space="preserve"> Abbott, H., a</w:t>
      </w:r>
      <w:r w:rsidR="00D164DF" w:rsidRPr="000D06A9">
        <w:rPr>
          <w:rFonts w:ascii="Calibri" w:hAnsi="Calibri" w:cs="Calibri"/>
          <w:color w:val="000000" w:themeColor="text1"/>
          <w:sz w:val="22"/>
          <w:szCs w:val="22"/>
        </w:rPr>
        <w:t>nd</w:t>
      </w:r>
      <w:r w:rsidRPr="000D06A9">
        <w:rPr>
          <w:rFonts w:ascii="Calibri" w:hAnsi="Calibri" w:cs="Calibri"/>
          <w:color w:val="000000" w:themeColor="text1"/>
          <w:sz w:val="22"/>
          <w:szCs w:val="22"/>
        </w:rPr>
        <w:t xml:space="preserve"> Booth, H. (</w:t>
      </w:r>
      <w:r w:rsidR="00D164DF" w:rsidRPr="000D06A9">
        <w:rPr>
          <w:rFonts w:ascii="Calibri" w:hAnsi="Calibri" w:cs="Calibri"/>
          <w:color w:val="000000" w:themeColor="text1"/>
          <w:sz w:val="22"/>
          <w:szCs w:val="22"/>
        </w:rPr>
        <w:t>eds</w:t>
      </w:r>
      <w:r w:rsidRPr="000D06A9">
        <w:rPr>
          <w:rFonts w:ascii="Calibri" w:hAnsi="Calibri" w:cs="Calibri"/>
          <w:color w:val="000000" w:themeColor="text1"/>
          <w:sz w:val="22"/>
          <w:szCs w:val="22"/>
        </w:rPr>
        <w:t xml:space="preserve">.), </w:t>
      </w:r>
      <w:r w:rsidRPr="000D06A9">
        <w:rPr>
          <w:rFonts w:ascii="Calibri" w:hAnsi="Calibri" w:cs="Calibri"/>
          <w:i/>
          <w:iCs/>
          <w:color w:val="000000" w:themeColor="text1"/>
          <w:sz w:val="22"/>
          <w:szCs w:val="22"/>
        </w:rPr>
        <w:t xml:space="preserve">Foundations for Operating Department Practice: Essential Theory for Practice. </w:t>
      </w:r>
      <w:r w:rsidRPr="000D06A9">
        <w:rPr>
          <w:rFonts w:ascii="Calibri" w:hAnsi="Calibri" w:cs="Calibri"/>
          <w:color w:val="000000" w:themeColor="text1"/>
          <w:sz w:val="22"/>
          <w:szCs w:val="22"/>
        </w:rPr>
        <w:t xml:space="preserve">Berkshire, UK: Open University Press, </w:t>
      </w:r>
      <w:r w:rsidR="00D164DF" w:rsidRPr="000D06A9">
        <w:rPr>
          <w:rFonts w:ascii="Calibri" w:hAnsi="Calibri" w:cs="Calibri"/>
          <w:color w:val="000000" w:themeColor="text1"/>
          <w:sz w:val="22"/>
          <w:szCs w:val="22"/>
        </w:rPr>
        <w:t>pp</w:t>
      </w:r>
      <w:r w:rsidRPr="000D06A9">
        <w:rPr>
          <w:rFonts w:ascii="Calibri" w:hAnsi="Calibri" w:cs="Calibri"/>
          <w:color w:val="000000" w:themeColor="text1"/>
          <w:sz w:val="22"/>
          <w:szCs w:val="22"/>
        </w:rPr>
        <w:t>. 13-</w:t>
      </w:r>
      <w:r w:rsidRPr="000D06A9">
        <w:rPr>
          <w:rFonts w:ascii="Calibri" w:hAnsi="Calibri" w:cs="Calibri"/>
          <w:color w:val="000000" w:themeColor="text1"/>
          <w:sz w:val="22"/>
          <w:szCs w:val="22"/>
        </w:rPr>
        <w:softHyphen/>
        <w:t xml:space="preserve">29. </w:t>
      </w:r>
    </w:p>
    <w:p w14:paraId="4CDA2BA0" w14:textId="77777777" w:rsidR="000C296F" w:rsidRDefault="000C296F" w:rsidP="00BE069E">
      <w:pPr>
        <w:pStyle w:val="NormalWeb"/>
        <w:rPr>
          <w:rFonts w:ascii="Calibri" w:hAnsi="Calibri" w:cs="Calibri"/>
          <w:color w:val="000000" w:themeColor="text1"/>
          <w:sz w:val="22"/>
          <w:szCs w:val="22"/>
        </w:rPr>
      </w:pPr>
    </w:p>
    <w:p w14:paraId="4985F818" w14:textId="039C39A9" w:rsidR="000C296F" w:rsidRDefault="000C296F" w:rsidP="00BE069E">
      <w:pPr>
        <w:pStyle w:val="NormalWeb"/>
        <w:contextualSpacing/>
        <w:rPr>
          <w:rFonts w:ascii="Calibri" w:hAnsi="Calibri" w:cs="Calibri"/>
          <w:color w:val="000000" w:themeColor="text1"/>
          <w:sz w:val="22"/>
          <w:szCs w:val="22"/>
        </w:rPr>
      </w:pPr>
      <w:r>
        <w:rPr>
          <w:rFonts w:ascii="Calibri" w:hAnsi="Calibri" w:cs="Calibri"/>
          <w:color w:val="000000" w:themeColor="text1"/>
          <w:sz w:val="22"/>
          <w:szCs w:val="22"/>
        </w:rPr>
        <w:t xml:space="preserve">HESA. (2019) </w:t>
      </w:r>
      <w:r>
        <w:rPr>
          <w:rFonts w:ascii="Calibri" w:hAnsi="Calibri" w:cs="Calibri"/>
          <w:i/>
          <w:color w:val="000000" w:themeColor="text1"/>
          <w:sz w:val="22"/>
          <w:szCs w:val="22"/>
        </w:rPr>
        <w:t xml:space="preserve">What are HE Students’ Progression Rates and Qualifications. </w:t>
      </w:r>
      <w:r>
        <w:rPr>
          <w:rFonts w:ascii="Calibri" w:hAnsi="Calibri" w:cs="Calibri"/>
          <w:color w:val="000000" w:themeColor="text1"/>
          <w:sz w:val="22"/>
          <w:szCs w:val="22"/>
        </w:rPr>
        <w:t xml:space="preserve">Available at: </w:t>
      </w:r>
      <w:hyperlink r:id="rId9" w:history="1">
        <w:r w:rsidRPr="005618AE">
          <w:rPr>
            <w:rStyle w:val="Hyperlink"/>
            <w:rFonts w:ascii="Calibri" w:hAnsi="Calibri" w:cs="Calibri"/>
            <w:sz w:val="22"/>
            <w:szCs w:val="22"/>
          </w:rPr>
          <w:t>https://www.hesa.ac.uk/data-and-analysis/students/outcomes</w:t>
        </w:r>
      </w:hyperlink>
      <w:r>
        <w:rPr>
          <w:rFonts w:ascii="Calibri" w:hAnsi="Calibri" w:cs="Calibri"/>
          <w:color w:val="000000" w:themeColor="text1"/>
          <w:sz w:val="22"/>
          <w:szCs w:val="22"/>
        </w:rPr>
        <w:t xml:space="preserve"> </w:t>
      </w:r>
    </w:p>
    <w:p w14:paraId="1B5CA95E" w14:textId="21B52F23" w:rsidR="000C296F" w:rsidRDefault="000C296F" w:rsidP="00BE069E">
      <w:pPr>
        <w:pStyle w:val="NormalWeb"/>
        <w:contextualSpacing/>
        <w:rPr>
          <w:rFonts w:ascii="Calibri" w:hAnsi="Calibri" w:cs="Calibri"/>
          <w:color w:val="000000" w:themeColor="text1"/>
          <w:sz w:val="22"/>
          <w:szCs w:val="22"/>
        </w:rPr>
      </w:pPr>
      <w:r>
        <w:rPr>
          <w:rFonts w:ascii="Calibri" w:hAnsi="Calibri" w:cs="Calibri"/>
          <w:color w:val="000000" w:themeColor="text1"/>
          <w:sz w:val="22"/>
          <w:szCs w:val="22"/>
        </w:rPr>
        <w:t>[Accessed:21.02.20]</w:t>
      </w:r>
    </w:p>
    <w:p w14:paraId="3EDE25C9" w14:textId="77777777" w:rsidR="000C296F" w:rsidRPr="000C296F" w:rsidRDefault="000C296F" w:rsidP="00BE069E">
      <w:pPr>
        <w:pStyle w:val="NormalWeb"/>
        <w:contextualSpacing/>
        <w:rPr>
          <w:rFonts w:ascii="Calibri" w:hAnsi="Calibri" w:cs="Calibri"/>
          <w:color w:val="000000" w:themeColor="text1"/>
          <w:sz w:val="22"/>
          <w:szCs w:val="22"/>
        </w:rPr>
      </w:pPr>
    </w:p>
    <w:p w14:paraId="5A2B02E8" w14:textId="5ED29E3D" w:rsidR="00432B75" w:rsidRPr="000D06A9" w:rsidRDefault="00432B75" w:rsidP="00432B75">
      <w:pPr>
        <w:pStyle w:val="NormalWeb"/>
        <w:rPr>
          <w:rStyle w:val="apple-converted-space"/>
          <w:rFonts w:ascii="Calibri" w:hAnsi="Calibri" w:cs="Calibri"/>
          <w:color w:val="000000" w:themeColor="text1"/>
          <w:sz w:val="22"/>
          <w:szCs w:val="22"/>
        </w:rPr>
      </w:pPr>
      <w:r w:rsidRPr="000D06A9">
        <w:rPr>
          <w:rFonts w:ascii="Calibri" w:hAnsi="Calibri" w:cs="Calibri"/>
          <w:color w:val="000000" w:themeColor="text1"/>
          <w:sz w:val="22"/>
          <w:szCs w:val="22"/>
        </w:rPr>
        <w:t>Jackson, D. (2014) Self-assessment of employability skill outcomes among undergraduates and alignment with academic ratings,</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Assessment &amp; Evaluation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39</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1</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w:t>
      </w:r>
      <w:r w:rsidR="00697417" w:rsidRPr="000D06A9">
        <w:rPr>
          <w:rFonts w:ascii="Calibri" w:hAnsi="Calibri" w:cs="Calibri"/>
          <w:color w:val="000000" w:themeColor="text1"/>
          <w:sz w:val="22"/>
          <w:szCs w:val="22"/>
        </w:rPr>
        <w:t xml:space="preserve"> pp.</w:t>
      </w:r>
      <w:r w:rsidRPr="000D06A9">
        <w:rPr>
          <w:rFonts w:ascii="Calibri" w:hAnsi="Calibri" w:cs="Calibri"/>
          <w:color w:val="000000" w:themeColor="text1"/>
          <w:sz w:val="22"/>
          <w:szCs w:val="22"/>
        </w:rPr>
        <w:t xml:space="preserve"> 53-72.</w:t>
      </w:r>
      <w:r w:rsidRPr="000D06A9">
        <w:rPr>
          <w:rStyle w:val="apple-converted-space"/>
          <w:rFonts w:ascii="Calibri" w:hAnsi="Calibri" w:cs="Calibri"/>
          <w:color w:val="000000" w:themeColor="text1"/>
          <w:sz w:val="22"/>
          <w:szCs w:val="22"/>
        </w:rPr>
        <w:t> </w:t>
      </w:r>
    </w:p>
    <w:p w14:paraId="6827C661" w14:textId="649EBE53" w:rsidR="00432B75" w:rsidRPr="000D06A9"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lastRenderedPageBreak/>
        <w:t>Leach, L. (2012) Optional self-assessment: some tensions and dilemmas,</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Assessment &amp; Evaluation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37</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2</w:t>
      </w:r>
      <w:r w:rsidR="00697417" w:rsidRPr="000D06A9">
        <w:rPr>
          <w:rFonts w:ascii="Calibri" w:hAnsi="Calibri" w:cs="Calibri"/>
          <w:color w:val="000000" w:themeColor="text1"/>
          <w:sz w:val="22"/>
          <w:szCs w:val="22"/>
        </w:rPr>
        <w:t>)</w:t>
      </w:r>
      <w:r w:rsidRPr="000D06A9">
        <w:rPr>
          <w:rFonts w:ascii="Calibri" w:hAnsi="Calibri" w:cs="Calibri"/>
          <w:color w:val="000000" w:themeColor="text1"/>
          <w:sz w:val="22"/>
          <w:szCs w:val="22"/>
        </w:rPr>
        <w:t xml:space="preserve">, </w:t>
      </w:r>
      <w:r w:rsidR="00697417" w:rsidRPr="000D06A9">
        <w:rPr>
          <w:rFonts w:ascii="Calibri" w:hAnsi="Calibri" w:cs="Calibri"/>
          <w:color w:val="000000" w:themeColor="text1"/>
          <w:sz w:val="22"/>
          <w:szCs w:val="22"/>
        </w:rPr>
        <w:t xml:space="preserve">pp. </w:t>
      </w:r>
      <w:r w:rsidRPr="000D06A9">
        <w:rPr>
          <w:rFonts w:ascii="Calibri" w:hAnsi="Calibri" w:cs="Calibri"/>
          <w:color w:val="000000" w:themeColor="text1"/>
          <w:sz w:val="22"/>
          <w:szCs w:val="22"/>
        </w:rPr>
        <w:t>137-147.</w:t>
      </w:r>
      <w:r w:rsidRPr="000D06A9">
        <w:rPr>
          <w:rStyle w:val="apple-converted-space"/>
          <w:rFonts w:ascii="Calibri" w:hAnsi="Calibri" w:cs="Calibri"/>
          <w:color w:val="000000" w:themeColor="text1"/>
          <w:sz w:val="22"/>
          <w:szCs w:val="22"/>
        </w:rPr>
        <w:t> </w:t>
      </w:r>
    </w:p>
    <w:p w14:paraId="7D138736" w14:textId="6B5C6237" w:rsidR="00173E15" w:rsidRPr="000D06A9" w:rsidRDefault="00173E15" w:rsidP="00173E15">
      <w:pPr>
        <w:spacing w:line="360" w:lineRule="auto"/>
        <w:rPr>
          <w:rFonts w:ascii="Calibri" w:hAnsi="Calibri" w:cs="Calibri"/>
          <w:color w:val="000000" w:themeColor="text1"/>
          <w:sz w:val="22"/>
          <w:szCs w:val="22"/>
        </w:rPr>
      </w:pPr>
      <w:r w:rsidRPr="000D06A9">
        <w:rPr>
          <w:rFonts w:ascii="Calibri" w:hAnsi="Calibri" w:cs="Calibri"/>
          <w:color w:val="000000" w:themeColor="text1"/>
          <w:sz w:val="22"/>
          <w:szCs w:val="22"/>
        </w:rPr>
        <w:t xml:space="preserve">MacBeath, J., &amp; McGlynn, A. (2002) </w:t>
      </w:r>
      <w:r w:rsidRPr="000D06A9">
        <w:rPr>
          <w:rFonts w:ascii="Calibri" w:hAnsi="Calibri" w:cs="Calibri"/>
          <w:i/>
          <w:iCs/>
          <w:color w:val="000000" w:themeColor="text1"/>
          <w:sz w:val="22"/>
          <w:szCs w:val="22"/>
        </w:rPr>
        <w:t xml:space="preserve">Self-evaluation: What’s in it for Schools? </w:t>
      </w:r>
      <w:r w:rsidRPr="000D06A9">
        <w:rPr>
          <w:rFonts w:ascii="Calibri" w:hAnsi="Calibri" w:cs="Calibri"/>
          <w:color w:val="000000" w:themeColor="text1"/>
          <w:sz w:val="22"/>
          <w:szCs w:val="22"/>
        </w:rPr>
        <w:t>London, UK:</w:t>
      </w:r>
      <w:r w:rsidRPr="000D06A9">
        <w:rPr>
          <w:rFonts w:ascii="Calibri" w:hAnsi="Calibri" w:cs="Calibri"/>
          <w:i/>
          <w:iCs/>
          <w:color w:val="000000" w:themeColor="text1"/>
          <w:sz w:val="22"/>
          <w:szCs w:val="22"/>
        </w:rPr>
        <w:t xml:space="preserve"> </w:t>
      </w:r>
      <w:r w:rsidRPr="000D06A9">
        <w:rPr>
          <w:rFonts w:ascii="Calibri" w:hAnsi="Calibri" w:cs="Calibri"/>
          <w:color w:val="000000" w:themeColor="text1"/>
          <w:sz w:val="22"/>
          <w:szCs w:val="22"/>
        </w:rPr>
        <w:t xml:space="preserve">Routledge </w:t>
      </w:r>
    </w:p>
    <w:p w14:paraId="4F04BE89" w14:textId="67970E4A" w:rsidR="00BF2BC1" w:rsidRPr="000D06A9" w:rsidRDefault="00BF2BC1" w:rsidP="002E775F">
      <w:pPr>
        <w:pStyle w:val="Heading1"/>
        <w:spacing w:before="0" w:beforeAutospacing="0" w:after="263" w:afterAutospacing="0" w:line="300" w:lineRule="atLeast"/>
        <w:rPr>
          <w:rFonts w:ascii="Calibri" w:hAnsi="Calibri" w:cs="Calibri"/>
          <w:b w:val="0"/>
          <w:bCs w:val="0"/>
          <w:color w:val="000000" w:themeColor="text1"/>
          <w:sz w:val="22"/>
          <w:szCs w:val="22"/>
        </w:rPr>
      </w:pPr>
      <w:r w:rsidRPr="000D06A9">
        <w:rPr>
          <w:rFonts w:ascii="Calibri" w:hAnsi="Calibri" w:cs="Calibri"/>
          <w:b w:val="0"/>
          <w:bCs w:val="0"/>
          <w:color w:val="000000" w:themeColor="text1"/>
          <w:sz w:val="22"/>
          <w:szCs w:val="22"/>
        </w:rPr>
        <w:t>McMillan, J., and Hearn, J. (2008)</w:t>
      </w:r>
      <w:r w:rsidR="002E775F" w:rsidRPr="000D06A9">
        <w:rPr>
          <w:rFonts w:ascii="Calibri" w:hAnsi="Calibri" w:cs="Calibri"/>
          <w:b w:val="0"/>
          <w:bCs w:val="0"/>
          <w:color w:val="000000" w:themeColor="text1"/>
          <w:sz w:val="22"/>
          <w:szCs w:val="22"/>
        </w:rPr>
        <w:t xml:space="preserve"> ‘Student Self-Assessment: The Key to Stronger Student Motivation and Higher Achievement’</w:t>
      </w:r>
      <w:r w:rsidR="002E775F" w:rsidRPr="000D06A9">
        <w:rPr>
          <w:rFonts w:ascii="Calibri" w:hAnsi="Calibri" w:cs="Calibri"/>
          <w:b w:val="0"/>
          <w:bCs w:val="0"/>
          <w:i/>
          <w:iCs/>
          <w:color w:val="000000" w:themeColor="text1"/>
          <w:sz w:val="22"/>
          <w:szCs w:val="22"/>
        </w:rPr>
        <w:t xml:space="preserve">, </w:t>
      </w:r>
      <w:r w:rsidRPr="000D06A9">
        <w:rPr>
          <w:rStyle w:val="HTMLCite"/>
          <w:rFonts w:ascii="Calibri" w:hAnsi="Calibri" w:cs="Calibri"/>
          <w:b w:val="0"/>
          <w:bCs w:val="0"/>
          <w:i w:val="0"/>
          <w:iCs w:val="0"/>
          <w:color w:val="000000" w:themeColor="text1"/>
          <w:sz w:val="22"/>
          <w:szCs w:val="22"/>
        </w:rPr>
        <w:t>Educational Horizons</w:t>
      </w:r>
      <w:r w:rsidRPr="000D06A9">
        <w:rPr>
          <w:rFonts w:ascii="Calibri" w:hAnsi="Calibri" w:cs="Calibri"/>
          <w:b w:val="0"/>
          <w:bCs w:val="0"/>
          <w:i/>
          <w:iCs/>
          <w:color w:val="000000" w:themeColor="text1"/>
          <w:sz w:val="22"/>
          <w:szCs w:val="22"/>
        </w:rPr>
        <w:t>, Democratic Classrooms: A Dialogu</w:t>
      </w:r>
      <w:r w:rsidR="00AD2E1B" w:rsidRPr="000D06A9">
        <w:rPr>
          <w:rFonts w:ascii="Calibri" w:hAnsi="Calibri" w:cs="Calibri"/>
          <w:b w:val="0"/>
          <w:bCs w:val="0"/>
          <w:i/>
          <w:iCs/>
          <w:color w:val="000000" w:themeColor="text1"/>
          <w:sz w:val="22"/>
          <w:szCs w:val="22"/>
        </w:rPr>
        <w:t>e,</w:t>
      </w:r>
      <w:r w:rsidRPr="000D06A9">
        <w:rPr>
          <w:rFonts w:ascii="Calibri" w:hAnsi="Calibri" w:cs="Calibri"/>
          <w:b w:val="0"/>
          <w:bCs w:val="0"/>
          <w:i/>
          <w:iCs/>
          <w:color w:val="000000" w:themeColor="text1"/>
          <w:sz w:val="22"/>
          <w:szCs w:val="22"/>
        </w:rPr>
        <w:t xml:space="preserve"> </w:t>
      </w:r>
      <w:r w:rsidR="00697417" w:rsidRPr="000D06A9">
        <w:rPr>
          <w:rFonts w:ascii="Calibri" w:hAnsi="Calibri" w:cs="Calibri"/>
          <w:b w:val="0"/>
          <w:bCs w:val="0"/>
          <w:color w:val="000000" w:themeColor="text1"/>
          <w:sz w:val="22"/>
          <w:szCs w:val="22"/>
        </w:rPr>
        <w:t>87(1)</w:t>
      </w:r>
      <w:r w:rsidRPr="000D06A9">
        <w:rPr>
          <w:rFonts w:ascii="Calibri" w:hAnsi="Calibri" w:cs="Calibri"/>
          <w:b w:val="0"/>
          <w:bCs w:val="0"/>
          <w:color w:val="000000" w:themeColor="text1"/>
          <w:sz w:val="22"/>
          <w:szCs w:val="22"/>
        </w:rPr>
        <w:t>, pp. 40-49</w:t>
      </w:r>
    </w:p>
    <w:p w14:paraId="458495C8" w14:textId="32D0247E" w:rsidR="00144FF1" w:rsidRPr="000D06A9" w:rsidRDefault="00144FF1" w:rsidP="00144FF1">
      <w:pPr>
        <w:pStyle w:val="NormalWeb"/>
        <w:rPr>
          <w:rFonts w:ascii="Calibri" w:hAnsi="Calibri" w:cs="Calibri"/>
          <w:sz w:val="22"/>
          <w:szCs w:val="22"/>
        </w:rPr>
      </w:pPr>
      <w:r w:rsidRPr="000D06A9">
        <w:rPr>
          <w:rFonts w:ascii="Calibri" w:hAnsi="Calibri" w:cs="Calibri"/>
          <w:sz w:val="22"/>
          <w:szCs w:val="22"/>
        </w:rPr>
        <w:t xml:space="preserve">Murphy, R. (2004) </w:t>
      </w:r>
      <w:r w:rsidRPr="000D06A9">
        <w:rPr>
          <w:rFonts w:ascii="Calibri" w:hAnsi="Calibri" w:cs="Calibri"/>
          <w:i/>
          <w:iCs/>
          <w:sz w:val="22"/>
          <w:szCs w:val="22"/>
        </w:rPr>
        <w:t xml:space="preserve">Grades of Uncertainty: Reviewing the uses and misuses of examination results. </w:t>
      </w:r>
      <w:r w:rsidRPr="000D06A9">
        <w:rPr>
          <w:rFonts w:ascii="Calibri" w:hAnsi="Calibri" w:cs="Calibri"/>
          <w:sz w:val="22"/>
          <w:szCs w:val="22"/>
        </w:rPr>
        <w:t xml:space="preserve">Association of Teachers and Lecturers in London. Available at: </w:t>
      </w:r>
      <w:r w:rsidRPr="000D06A9">
        <w:rPr>
          <w:rFonts w:ascii="Calibri" w:hAnsi="Calibri" w:cs="Calibri"/>
          <w:color w:val="0260BF"/>
          <w:sz w:val="22"/>
          <w:szCs w:val="22"/>
        </w:rPr>
        <w:t>https://www.atl.org.uk/Images/Grades%20of%20uncertainy.pdf</w:t>
      </w:r>
      <w:r w:rsidRPr="000D06A9">
        <w:rPr>
          <w:rFonts w:ascii="Calibri" w:hAnsi="Calibri" w:cs="Calibri"/>
          <w:color w:val="0260BF"/>
          <w:sz w:val="22"/>
          <w:szCs w:val="22"/>
        </w:rPr>
        <w:br/>
      </w:r>
      <w:r w:rsidRPr="000D06A9">
        <w:rPr>
          <w:rFonts w:ascii="Calibri" w:hAnsi="Calibri" w:cs="Calibri"/>
          <w:sz w:val="22"/>
          <w:szCs w:val="22"/>
        </w:rPr>
        <w:t xml:space="preserve">[Accessed: 20.2.20] </w:t>
      </w:r>
    </w:p>
    <w:p w14:paraId="207D9C07" w14:textId="1F220FED" w:rsidR="00A34D31" w:rsidRPr="000D06A9" w:rsidRDefault="00A34D31" w:rsidP="008E6B1D">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Murphy, R. (2006) ‘Evaluating new priorities for assessment in higher education’, in Bryan, C., &amp; Clegg, K. (eds.)</w:t>
      </w:r>
      <w:r w:rsidRPr="000D06A9">
        <w:rPr>
          <w:rFonts w:ascii="Calibri" w:hAnsi="Calibri" w:cs="Calibri"/>
          <w:i/>
          <w:iCs/>
          <w:color w:val="000000" w:themeColor="text1"/>
          <w:sz w:val="22"/>
          <w:szCs w:val="22"/>
        </w:rPr>
        <w:t xml:space="preserve">, Innovative Assessment in Higher Education, </w:t>
      </w:r>
      <w:r w:rsidRPr="000D06A9">
        <w:rPr>
          <w:rFonts w:ascii="Calibri" w:hAnsi="Calibri" w:cs="Calibri"/>
          <w:color w:val="000000" w:themeColor="text1"/>
          <w:sz w:val="22"/>
          <w:szCs w:val="22"/>
        </w:rPr>
        <w:t>London, UK: Routledge,</w:t>
      </w:r>
      <w:r w:rsidR="009668E0" w:rsidRPr="000D06A9">
        <w:rPr>
          <w:rFonts w:ascii="Calibri" w:hAnsi="Calibri" w:cs="Calibri"/>
          <w:color w:val="000000" w:themeColor="text1"/>
          <w:sz w:val="22"/>
          <w:szCs w:val="22"/>
        </w:rPr>
        <w:t xml:space="preserve"> </w:t>
      </w:r>
      <w:r w:rsidRPr="000D06A9">
        <w:rPr>
          <w:rFonts w:ascii="Calibri" w:hAnsi="Calibri" w:cs="Calibri"/>
          <w:color w:val="000000" w:themeColor="text1"/>
          <w:sz w:val="22"/>
          <w:szCs w:val="22"/>
        </w:rPr>
        <w:t>pp. 37-</w:t>
      </w:r>
      <w:r w:rsidRPr="000D06A9">
        <w:rPr>
          <w:rFonts w:ascii="Calibri" w:hAnsi="Calibri" w:cs="Calibri"/>
          <w:color w:val="000000" w:themeColor="text1"/>
          <w:sz w:val="22"/>
          <w:szCs w:val="22"/>
        </w:rPr>
        <w:softHyphen/>
        <w:t xml:space="preserve">47. </w:t>
      </w:r>
    </w:p>
    <w:p w14:paraId="28E53DF5" w14:textId="5591D3E6" w:rsidR="000D06A9" w:rsidRPr="000D06A9" w:rsidRDefault="000D06A9" w:rsidP="000D06A9">
      <w:pPr>
        <w:rPr>
          <w:rFonts w:ascii="Calibri" w:hAnsi="Calibri" w:cs="Calibri"/>
          <w:sz w:val="22"/>
          <w:szCs w:val="22"/>
        </w:rPr>
      </w:pPr>
      <w:r w:rsidRPr="000D06A9">
        <w:rPr>
          <w:rFonts w:ascii="Calibri" w:hAnsi="Calibri" w:cs="Calibri"/>
          <w:color w:val="222222"/>
          <w:sz w:val="22"/>
          <w:szCs w:val="22"/>
          <w:shd w:val="clear" w:color="auto" w:fill="FFFFFF"/>
        </w:rPr>
        <w:t xml:space="preserve">Nicol, D. (2010). ‘From monologue to dialogue: improving written feedback processes in mass higher education’, </w:t>
      </w:r>
      <w:r w:rsidRPr="000D06A9">
        <w:rPr>
          <w:rFonts w:ascii="Calibri" w:hAnsi="Calibri" w:cs="Calibri"/>
          <w:i/>
          <w:iCs/>
          <w:color w:val="222222"/>
          <w:sz w:val="22"/>
          <w:szCs w:val="22"/>
          <w:shd w:val="clear" w:color="auto" w:fill="FFFFFF"/>
        </w:rPr>
        <w:t>Assessment &amp; Evaluation in Higher Education</w:t>
      </w:r>
      <w:r w:rsidRPr="000D06A9">
        <w:rPr>
          <w:rFonts w:ascii="Calibri" w:hAnsi="Calibri" w:cs="Calibri"/>
          <w:color w:val="222222"/>
          <w:sz w:val="22"/>
          <w:szCs w:val="22"/>
          <w:shd w:val="clear" w:color="auto" w:fill="FFFFFF"/>
        </w:rPr>
        <w:t>, 35(5), pp. 501-517.</w:t>
      </w:r>
    </w:p>
    <w:p w14:paraId="47E4F14C" w14:textId="7D869D84" w:rsidR="000D06A9" w:rsidRPr="000D06A9" w:rsidRDefault="000D06A9" w:rsidP="00B17151">
      <w:pPr>
        <w:rPr>
          <w:rFonts w:ascii="Calibri" w:hAnsi="Calibri" w:cs="Calibri"/>
          <w:sz w:val="22"/>
          <w:szCs w:val="22"/>
        </w:rPr>
      </w:pPr>
    </w:p>
    <w:p w14:paraId="7997B0BF" w14:textId="3509BDB6" w:rsidR="00B17151" w:rsidRPr="000D06A9" w:rsidRDefault="00B17151" w:rsidP="00B17151">
      <w:pPr>
        <w:rPr>
          <w:rFonts w:ascii="Calibri" w:hAnsi="Calibri" w:cs="Calibri"/>
          <w:sz w:val="22"/>
          <w:szCs w:val="22"/>
        </w:rPr>
      </w:pPr>
      <w:r w:rsidRPr="000D06A9">
        <w:rPr>
          <w:rFonts w:ascii="Calibri" w:hAnsi="Calibri" w:cs="Calibri"/>
          <w:color w:val="222222"/>
          <w:sz w:val="22"/>
          <w:szCs w:val="22"/>
        </w:rPr>
        <w:t>OECD (2013)</w:t>
      </w:r>
      <w:r w:rsidRPr="000D06A9">
        <w:rPr>
          <w:rStyle w:val="apple-converted-space"/>
          <w:rFonts w:ascii="Calibri" w:hAnsi="Calibri" w:cs="Calibri"/>
          <w:color w:val="222222"/>
          <w:sz w:val="22"/>
          <w:szCs w:val="22"/>
        </w:rPr>
        <w:t> </w:t>
      </w:r>
      <w:r w:rsidRPr="000D06A9">
        <w:rPr>
          <w:rFonts w:ascii="Calibri" w:hAnsi="Calibri" w:cs="Calibri"/>
          <w:i/>
          <w:iCs/>
          <w:color w:val="222222"/>
          <w:sz w:val="22"/>
          <w:szCs w:val="22"/>
        </w:rPr>
        <w:t>Synergies for Better Learning: An International Perspective on Evaluation and Assessment,</w:t>
      </w:r>
      <w:r w:rsidRPr="000D06A9">
        <w:rPr>
          <w:rStyle w:val="apple-converted-space"/>
          <w:rFonts w:ascii="Calibri" w:hAnsi="Calibri" w:cs="Calibri"/>
          <w:i/>
          <w:iCs/>
          <w:color w:val="222222"/>
          <w:sz w:val="22"/>
          <w:szCs w:val="22"/>
        </w:rPr>
        <w:t> </w:t>
      </w:r>
      <w:r w:rsidRPr="000D06A9">
        <w:rPr>
          <w:rFonts w:ascii="Calibri" w:hAnsi="Calibri" w:cs="Calibri"/>
          <w:color w:val="222222"/>
          <w:sz w:val="22"/>
          <w:szCs w:val="22"/>
        </w:rPr>
        <w:t>OECD Reviews of Evaluation and Assessment in Education, OECD Published,Paris</w:t>
      </w:r>
    </w:p>
    <w:p w14:paraId="71CEF376" w14:textId="0B062E61" w:rsidR="00A70687" w:rsidRPr="000D06A9" w:rsidRDefault="00A70687" w:rsidP="00A70687">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 xml:space="preserve">Orsmond, P., Merry, S., &amp; Reiling, K. (1997) ‘A study in self-assessment: tutor and students’ perceptions of performance criteria’, </w:t>
      </w:r>
      <w:r w:rsidRPr="000D06A9">
        <w:rPr>
          <w:rFonts w:ascii="Calibri" w:hAnsi="Calibri" w:cs="Calibri"/>
          <w:i/>
          <w:iCs/>
          <w:color w:val="000000" w:themeColor="text1"/>
          <w:sz w:val="22"/>
          <w:szCs w:val="22"/>
        </w:rPr>
        <w:t>Assessment &amp; Evaluation in Higher Education, 22</w:t>
      </w:r>
      <w:r w:rsidRPr="000D06A9">
        <w:rPr>
          <w:rFonts w:ascii="Calibri" w:hAnsi="Calibri" w:cs="Calibri"/>
          <w:color w:val="000000" w:themeColor="text1"/>
          <w:sz w:val="22"/>
          <w:szCs w:val="22"/>
        </w:rPr>
        <w:t xml:space="preserve">(4), </w:t>
      </w:r>
      <w:r w:rsidR="00B616C8">
        <w:rPr>
          <w:rFonts w:ascii="Calibri" w:hAnsi="Calibri" w:cs="Calibri"/>
          <w:color w:val="000000" w:themeColor="text1"/>
          <w:sz w:val="22"/>
          <w:szCs w:val="22"/>
        </w:rPr>
        <w:t xml:space="preserve">pp. </w:t>
      </w:r>
      <w:r w:rsidRPr="000D06A9">
        <w:rPr>
          <w:rFonts w:ascii="Calibri" w:hAnsi="Calibri" w:cs="Calibri"/>
          <w:color w:val="000000" w:themeColor="text1"/>
          <w:sz w:val="22"/>
          <w:szCs w:val="22"/>
        </w:rPr>
        <w:t xml:space="preserve">357-368. </w:t>
      </w:r>
    </w:p>
    <w:p w14:paraId="2AF0095F" w14:textId="5AEBB23F" w:rsidR="000D06A9" w:rsidRPr="000D06A9" w:rsidRDefault="000D06A9" w:rsidP="000D06A9">
      <w:pPr>
        <w:pStyle w:val="NormalWeb"/>
        <w:rPr>
          <w:rFonts w:ascii="Calibri" w:hAnsi="Calibri" w:cs="Calibri"/>
          <w:color w:val="222222"/>
          <w:sz w:val="22"/>
          <w:szCs w:val="22"/>
        </w:rPr>
      </w:pPr>
      <w:r w:rsidRPr="000D06A9">
        <w:rPr>
          <w:rFonts w:ascii="Calibri" w:hAnsi="Calibri" w:cs="Calibri"/>
          <w:color w:val="222222"/>
          <w:sz w:val="22"/>
          <w:szCs w:val="22"/>
        </w:rPr>
        <w:t xml:space="preserve">Orrell, J. (2006) ‘Feedback on learning achievement: rhetoric and reality’, </w:t>
      </w:r>
      <w:r w:rsidRPr="000D06A9">
        <w:rPr>
          <w:rFonts w:ascii="Calibri" w:hAnsi="Calibri" w:cs="Calibri"/>
          <w:i/>
          <w:iCs/>
          <w:color w:val="222222"/>
          <w:sz w:val="22"/>
          <w:szCs w:val="22"/>
        </w:rPr>
        <w:t>Teaching in Higher Education,</w:t>
      </w:r>
      <w:r w:rsidRPr="000D06A9">
        <w:rPr>
          <w:rFonts w:ascii="Calibri" w:hAnsi="Calibri" w:cs="Calibri"/>
          <w:color w:val="222222"/>
          <w:sz w:val="22"/>
          <w:szCs w:val="22"/>
        </w:rPr>
        <w:t xml:space="preserve"> 11(4),</w:t>
      </w:r>
      <w:r w:rsidRPr="000D06A9">
        <w:rPr>
          <w:rStyle w:val="apple-converted-space"/>
          <w:rFonts w:ascii="Calibri" w:hAnsi="Calibri" w:cs="Calibri"/>
          <w:color w:val="222222"/>
          <w:sz w:val="22"/>
          <w:szCs w:val="22"/>
        </w:rPr>
        <w:t> </w:t>
      </w:r>
      <w:r w:rsidRPr="000D06A9">
        <w:rPr>
          <w:rFonts w:ascii="Calibri" w:hAnsi="Calibri" w:cs="Calibri"/>
          <w:color w:val="222222"/>
          <w:sz w:val="22"/>
          <w:szCs w:val="22"/>
        </w:rPr>
        <w:t>pp. 441-456</w:t>
      </w:r>
    </w:p>
    <w:p w14:paraId="3EEFFCE8" w14:textId="1D85F9F2" w:rsidR="00144FF1" w:rsidRPr="006067F6" w:rsidRDefault="0001769C" w:rsidP="00144FF1">
      <w:pPr>
        <w:pStyle w:val="NormalWeb"/>
        <w:rPr>
          <w:rFonts w:ascii="Calibri" w:eastAsiaTheme="minorHAnsi" w:hAnsi="Calibri" w:cs="Calibri"/>
          <w:color w:val="000000" w:themeColor="text1"/>
          <w:sz w:val="22"/>
          <w:szCs w:val="22"/>
          <w:lang w:eastAsia="en-US"/>
        </w:rPr>
      </w:pPr>
      <w:r w:rsidRPr="000D06A9">
        <w:rPr>
          <w:rFonts w:ascii="Calibri" w:eastAsiaTheme="minorHAnsi" w:hAnsi="Calibri" w:cs="Calibri"/>
          <w:color w:val="000000" w:themeColor="text1"/>
          <w:sz w:val="22"/>
          <w:szCs w:val="22"/>
          <w:lang w:eastAsia="en-US"/>
        </w:rPr>
        <w:t xml:space="preserve">Papanthymou, A. (2018) ‘Student Self-Assessment in Higher Education: The International Experience and the Greek Example’, </w:t>
      </w:r>
      <w:r w:rsidRPr="000D06A9">
        <w:rPr>
          <w:rFonts w:ascii="Calibri" w:eastAsiaTheme="minorHAnsi" w:hAnsi="Calibri" w:cs="Calibri"/>
          <w:i/>
          <w:iCs/>
          <w:color w:val="000000" w:themeColor="text1"/>
          <w:sz w:val="22"/>
          <w:szCs w:val="22"/>
          <w:lang w:eastAsia="en-US"/>
        </w:rPr>
        <w:t>World Journal of Education,</w:t>
      </w:r>
      <w:r w:rsidRPr="000D06A9">
        <w:rPr>
          <w:rFonts w:ascii="Calibri" w:eastAsiaTheme="minorHAnsi" w:hAnsi="Calibri" w:cs="Calibri"/>
          <w:color w:val="000000" w:themeColor="text1"/>
          <w:sz w:val="22"/>
          <w:szCs w:val="22"/>
          <w:lang w:eastAsia="en-US"/>
        </w:rPr>
        <w:t xml:space="preserve"> 8</w:t>
      </w:r>
      <w:r w:rsidR="00697417" w:rsidRPr="000D06A9">
        <w:rPr>
          <w:rFonts w:ascii="Calibri" w:eastAsiaTheme="minorHAnsi" w:hAnsi="Calibri" w:cs="Calibri"/>
          <w:color w:val="000000" w:themeColor="text1"/>
          <w:sz w:val="22"/>
          <w:szCs w:val="22"/>
          <w:lang w:eastAsia="en-US"/>
        </w:rPr>
        <w:t>(6)</w:t>
      </w:r>
      <w:r w:rsidR="00B616C8">
        <w:rPr>
          <w:rFonts w:ascii="Calibri" w:eastAsiaTheme="minorHAnsi" w:hAnsi="Calibri" w:cs="Calibri"/>
          <w:color w:val="000000" w:themeColor="text1"/>
          <w:sz w:val="22"/>
          <w:szCs w:val="22"/>
          <w:lang w:eastAsia="en-US"/>
        </w:rPr>
        <w:t>, p</w:t>
      </w:r>
      <w:r w:rsidRPr="000D06A9">
        <w:rPr>
          <w:rFonts w:ascii="Calibri" w:eastAsiaTheme="minorHAnsi" w:hAnsi="Calibri" w:cs="Calibri"/>
          <w:color w:val="000000" w:themeColor="text1"/>
          <w:sz w:val="22"/>
          <w:szCs w:val="22"/>
          <w:lang w:eastAsia="en-US"/>
        </w:rPr>
        <w:t>p. 130-146.</w:t>
      </w:r>
    </w:p>
    <w:p w14:paraId="3B15E639" w14:textId="64AF3AB3" w:rsidR="00432B75" w:rsidRDefault="00432B75" w:rsidP="00432B75">
      <w:pPr>
        <w:pStyle w:val="NormalWeb"/>
        <w:rPr>
          <w:rFonts w:ascii="Calibri" w:hAnsi="Calibri" w:cs="Calibri"/>
          <w:color w:val="000000" w:themeColor="text1"/>
          <w:sz w:val="22"/>
          <w:szCs w:val="22"/>
        </w:rPr>
      </w:pPr>
      <w:r w:rsidRPr="000D06A9">
        <w:rPr>
          <w:rFonts w:ascii="Calibri" w:hAnsi="Calibri" w:cs="Calibri"/>
          <w:color w:val="000000" w:themeColor="text1"/>
          <w:sz w:val="22"/>
          <w:szCs w:val="22"/>
        </w:rPr>
        <w:t>Taras, M. (2010). Student self-assessment: processes and consequences.</w:t>
      </w:r>
      <w:r w:rsidRPr="000D06A9">
        <w:rPr>
          <w:rStyle w:val="apple-converted-space"/>
          <w:rFonts w:ascii="Calibri" w:hAnsi="Calibri" w:cs="Calibri"/>
          <w:color w:val="000000" w:themeColor="text1"/>
          <w:sz w:val="22"/>
          <w:szCs w:val="22"/>
        </w:rPr>
        <w:t> </w:t>
      </w:r>
      <w:r w:rsidRPr="000D06A9">
        <w:rPr>
          <w:rFonts w:ascii="Calibri" w:hAnsi="Calibri" w:cs="Calibri"/>
          <w:i/>
          <w:iCs/>
          <w:color w:val="000000" w:themeColor="text1"/>
          <w:sz w:val="22"/>
          <w:szCs w:val="22"/>
        </w:rPr>
        <w:t>Teaching in Higher Education,</w:t>
      </w:r>
      <w:r w:rsidRPr="000D06A9">
        <w:rPr>
          <w:rStyle w:val="apple-converted-space"/>
          <w:rFonts w:ascii="Calibri" w:hAnsi="Calibri" w:cs="Calibri"/>
          <w:i/>
          <w:iCs/>
          <w:color w:val="000000" w:themeColor="text1"/>
          <w:sz w:val="22"/>
          <w:szCs w:val="22"/>
        </w:rPr>
        <w:t> </w:t>
      </w:r>
      <w:r w:rsidRPr="000D06A9">
        <w:rPr>
          <w:rFonts w:ascii="Calibri" w:hAnsi="Calibri" w:cs="Calibri"/>
          <w:color w:val="000000" w:themeColor="text1"/>
          <w:sz w:val="22"/>
          <w:szCs w:val="22"/>
        </w:rPr>
        <w:t xml:space="preserve">15(2), </w:t>
      </w:r>
      <w:r w:rsidR="0001769C" w:rsidRPr="000D06A9">
        <w:rPr>
          <w:rFonts w:ascii="Calibri" w:hAnsi="Calibri" w:cs="Calibri"/>
          <w:color w:val="000000" w:themeColor="text1"/>
          <w:sz w:val="22"/>
          <w:szCs w:val="22"/>
        </w:rPr>
        <w:t xml:space="preserve">pp. </w:t>
      </w:r>
      <w:r w:rsidRPr="000D06A9">
        <w:rPr>
          <w:rFonts w:ascii="Calibri" w:hAnsi="Calibri" w:cs="Calibri"/>
          <w:color w:val="000000" w:themeColor="text1"/>
          <w:sz w:val="22"/>
          <w:szCs w:val="22"/>
        </w:rPr>
        <w:t>199-209. </w:t>
      </w:r>
    </w:p>
    <w:p w14:paraId="326A663C" w14:textId="73D654CD" w:rsidR="00A34D31" w:rsidRPr="00ED3FB3" w:rsidRDefault="00B616C8" w:rsidP="00ED3FB3">
      <w:pPr>
        <w:pStyle w:val="NormalWeb"/>
        <w:rPr>
          <w:rFonts w:ascii="Calibri" w:hAnsi="Calibri" w:cs="Calibri"/>
          <w:color w:val="000000" w:themeColor="text1"/>
          <w:sz w:val="22"/>
          <w:szCs w:val="22"/>
        </w:rPr>
      </w:pPr>
      <w:r>
        <w:rPr>
          <w:rFonts w:ascii="Calibri" w:hAnsi="Calibri" w:cs="Calibri"/>
          <w:color w:val="000000" w:themeColor="text1"/>
          <w:sz w:val="22"/>
          <w:szCs w:val="22"/>
        </w:rPr>
        <w:t xml:space="preserve">Wang, T. (2008) Web-based Quiz-Game-Like Formative Assessment: Development and Evaluation’, </w:t>
      </w:r>
      <w:r>
        <w:rPr>
          <w:rFonts w:ascii="Calibri" w:hAnsi="Calibri" w:cs="Calibri"/>
          <w:i/>
          <w:color w:val="000000" w:themeColor="text1"/>
          <w:sz w:val="22"/>
          <w:szCs w:val="22"/>
        </w:rPr>
        <w:t>Computers &amp; Education,</w:t>
      </w:r>
      <w:r>
        <w:rPr>
          <w:rFonts w:ascii="Calibri" w:hAnsi="Calibri" w:cs="Calibri"/>
          <w:color w:val="000000" w:themeColor="text1"/>
          <w:sz w:val="22"/>
          <w:szCs w:val="22"/>
        </w:rPr>
        <w:t xml:space="preserve"> 51(3), pp. 1247-1263.</w:t>
      </w:r>
    </w:p>
    <w:sectPr w:rsidR="00A34D31" w:rsidRPr="00ED3FB3" w:rsidSect="003C584A">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57A3A8" w14:textId="77777777" w:rsidR="00B30FB0" w:rsidRDefault="00B30FB0" w:rsidP="00B42AE8">
      <w:r>
        <w:separator/>
      </w:r>
    </w:p>
  </w:endnote>
  <w:endnote w:type="continuationSeparator" w:id="0">
    <w:p w14:paraId="7492B67E" w14:textId="77777777" w:rsidR="00B30FB0" w:rsidRDefault="00B30FB0" w:rsidP="00B42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5215511"/>
      <w:docPartObj>
        <w:docPartGallery w:val="Page Numbers (Bottom of Page)"/>
        <w:docPartUnique/>
      </w:docPartObj>
    </w:sdtPr>
    <w:sdtEndPr>
      <w:rPr>
        <w:rStyle w:val="PageNumber"/>
      </w:rPr>
    </w:sdtEndPr>
    <w:sdtContent>
      <w:p w14:paraId="19833C3E" w14:textId="68DFC7F5" w:rsidR="00155F41" w:rsidRDefault="00155F41" w:rsidP="00155F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E1FEAE6" w14:textId="77777777" w:rsidR="00155F41" w:rsidRDefault="00155F41" w:rsidP="00B42AE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767877433"/>
      <w:docPartObj>
        <w:docPartGallery w:val="Page Numbers (Bottom of Page)"/>
        <w:docPartUnique/>
      </w:docPartObj>
    </w:sdtPr>
    <w:sdtEndPr>
      <w:rPr>
        <w:rStyle w:val="PageNumber"/>
      </w:rPr>
    </w:sdtEndPr>
    <w:sdtContent>
      <w:p w14:paraId="6E867E03" w14:textId="6C83082E" w:rsidR="00155F41" w:rsidRDefault="00155F41" w:rsidP="00155F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3087F">
          <w:rPr>
            <w:rStyle w:val="PageNumber"/>
            <w:noProof/>
          </w:rPr>
          <w:t>8</w:t>
        </w:r>
        <w:r>
          <w:rPr>
            <w:rStyle w:val="PageNumber"/>
          </w:rPr>
          <w:fldChar w:fldCharType="end"/>
        </w:r>
      </w:p>
    </w:sdtContent>
  </w:sdt>
  <w:p w14:paraId="6514EAF4" w14:textId="77777777" w:rsidR="00155F41" w:rsidRDefault="00155F41" w:rsidP="00B42AE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FFA31E" w14:textId="77777777" w:rsidR="00B30FB0" w:rsidRDefault="00B30FB0" w:rsidP="00B42AE8">
      <w:r>
        <w:separator/>
      </w:r>
    </w:p>
  </w:footnote>
  <w:footnote w:type="continuationSeparator" w:id="0">
    <w:p w14:paraId="1EFEF514" w14:textId="77777777" w:rsidR="00B30FB0" w:rsidRDefault="00B30FB0" w:rsidP="00B42AE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315D46"/>
    <w:multiLevelType w:val="hybridMultilevel"/>
    <w:tmpl w:val="FED2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AF4B3E"/>
    <w:multiLevelType w:val="multilevel"/>
    <w:tmpl w:val="66BA824E"/>
    <w:lvl w:ilvl="0">
      <w:start w:val="1"/>
      <w:numFmt w:val="decimal"/>
      <w:lvlText w:val="%1.0)"/>
      <w:lvlJc w:val="left"/>
      <w:pPr>
        <w:ind w:left="720" w:hanging="72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B930B38"/>
    <w:multiLevelType w:val="hybridMultilevel"/>
    <w:tmpl w:val="3A10E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40B1A91"/>
    <w:multiLevelType w:val="multilevel"/>
    <w:tmpl w:val="AD54E060"/>
    <w:lvl w:ilvl="0">
      <w:start w:val="1"/>
      <w:numFmt w:val="decimal"/>
      <w:lvlText w:val="%1.0)"/>
      <w:lvlJc w:val="left"/>
      <w:pPr>
        <w:ind w:left="720" w:hanging="72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5D205C03"/>
    <w:multiLevelType w:val="multilevel"/>
    <w:tmpl w:val="2C144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F4E5153"/>
    <w:multiLevelType w:val="multilevel"/>
    <w:tmpl w:val="6C965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112"/>
    <w:rsid w:val="00010011"/>
    <w:rsid w:val="00015BFD"/>
    <w:rsid w:val="0001769C"/>
    <w:rsid w:val="000A0A35"/>
    <w:rsid w:val="000A5A87"/>
    <w:rsid w:val="000C296F"/>
    <w:rsid w:val="000D06A9"/>
    <w:rsid w:val="000D573B"/>
    <w:rsid w:val="000D64AC"/>
    <w:rsid w:val="000E58B6"/>
    <w:rsid w:val="000F7283"/>
    <w:rsid w:val="00144FF1"/>
    <w:rsid w:val="00155F41"/>
    <w:rsid w:val="0016489B"/>
    <w:rsid w:val="00173E15"/>
    <w:rsid w:val="001870B1"/>
    <w:rsid w:val="00196CAE"/>
    <w:rsid w:val="001B163D"/>
    <w:rsid w:val="001D7944"/>
    <w:rsid w:val="001E2467"/>
    <w:rsid w:val="001E6523"/>
    <w:rsid w:val="00235226"/>
    <w:rsid w:val="00255A31"/>
    <w:rsid w:val="002767D0"/>
    <w:rsid w:val="002A6EC1"/>
    <w:rsid w:val="002E298D"/>
    <w:rsid w:val="002E775F"/>
    <w:rsid w:val="002F7CE8"/>
    <w:rsid w:val="00302829"/>
    <w:rsid w:val="00317677"/>
    <w:rsid w:val="003308EE"/>
    <w:rsid w:val="00345376"/>
    <w:rsid w:val="003612C4"/>
    <w:rsid w:val="00364752"/>
    <w:rsid w:val="003723FA"/>
    <w:rsid w:val="00383E01"/>
    <w:rsid w:val="00387A47"/>
    <w:rsid w:val="003A73A8"/>
    <w:rsid w:val="003B6864"/>
    <w:rsid w:val="003C584A"/>
    <w:rsid w:val="00432B75"/>
    <w:rsid w:val="0044635E"/>
    <w:rsid w:val="00453F96"/>
    <w:rsid w:val="0045775E"/>
    <w:rsid w:val="00467996"/>
    <w:rsid w:val="004904A5"/>
    <w:rsid w:val="004A0F5C"/>
    <w:rsid w:val="004F2DB9"/>
    <w:rsid w:val="00537FDC"/>
    <w:rsid w:val="005476C0"/>
    <w:rsid w:val="005B6DEE"/>
    <w:rsid w:val="005D492C"/>
    <w:rsid w:val="005E26E3"/>
    <w:rsid w:val="00603B86"/>
    <w:rsid w:val="006055C7"/>
    <w:rsid w:val="006067F6"/>
    <w:rsid w:val="006406D6"/>
    <w:rsid w:val="00640FF0"/>
    <w:rsid w:val="00697417"/>
    <w:rsid w:val="006F7D16"/>
    <w:rsid w:val="007014F6"/>
    <w:rsid w:val="0070545E"/>
    <w:rsid w:val="00742FFA"/>
    <w:rsid w:val="00744876"/>
    <w:rsid w:val="007637A0"/>
    <w:rsid w:val="00785C0F"/>
    <w:rsid w:val="00786107"/>
    <w:rsid w:val="00787988"/>
    <w:rsid w:val="007E678E"/>
    <w:rsid w:val="0080473A"/>
    <w:rsid w:val="00810257"/>
    <w:rsid w:val="00834078"/>
    <w:rsid w:val="00853206"/>
    <w:rsid w:val="008645F3"/>
    <w:rsid w:val="008C2879"/>
    <w:rsid w:val="008E6B1D"/>
    <w:rsid w:val="0091294A"/>
    <w:rsid w:val="0091338E"/>
    <w:rsid w:val="009668E0"/>
    <w:rsid w:val="00967D78"/>
    <w:rsid w:val="00971A9E"/>
    <w:rsid w:val="009747A8"/>
    <w:rsid w:val="009B0A77"/>
    <w:rsid w:val="009E08A1"/>
    <w:rsid w:val="00A07739"/>
    <w:rsid w:val="00A20837"/>
    <w:rsid w:val="00A34D31"/>
    <w:rsid w:val="00A43AC3"/>
    <w:rsid w:val="00A70687"/>
    <w:rsid w:val="00A70C89"/>
    <w:rsid w:val="00AB3BB2"/>
    <w:rsid w:val="00AC728A"/>
    <w:rsid w:val="00AD0785"/>
    <w:rsid w:val="00AD2E1B"/>
    <w:rsid w:val="00AF7867"/>
    <w:rsid w:val="00B17151"/>
    <w:rsid w:val="00B22843"/>
    <w:rsid w:val="00B24A7F"/>
    <w:rsid w:val="00B30FB0"/>
    <w:rsid w:val="00B41B86"/>
    <w:rsid w:val="00B42AE8"/>
    <w:rsid w:val="00B46F29"/>
    <w:rsid w:val="00B5363E"/>
    <w:rsid w:val="00B616C8"/>
    <w:rsid w:val="00B7526B"/>
    <w:rsid w:val="00B823B9"/>
    <w:rsid w:val="00B87346"/>
    <w:rsid w:val="00BA3620"/>
    <w:rsid w:val="00BA455E"/>
    <w:rsid w:val="00BD6268"/>
    <w:rsid w:val="00BE069E"/>
    <w:rsid w:val="00BF2BC1"/>
    <w:rsid w:val="00C3087F"/>
    <w:rsid w:val="00C338F2"/>
    <w:rsid w:val="00C467DE"/>
    <w:rsid w:val="00C50A15"/>
    <w:rsid w:val="00C65112"/>
    <w:rsid w:val="00C8058D"/>
    <w:rsid w:val="00C91936"/>
    <w:rsid w:val="00CC6678"/>
    <w:rsid w:val="00D01F24"/>
    <w:rsid w:val="00D164DF"/>
    <w:rsid w:val="00DA66A1"/>
    <w:rsid w:val="00DE0D23"/>
    <w:rsid w:val="00DE7310"/>
    <w:rsid w:val="00E5409F"/>
    <w:rsid w:val="00E75AD5"/>
    <w:rsid w:val="00E856C6"/>
    <w:rsid w:val="00EA44CA"/>
    <w:rsid w:val="00EB077F"/>
    <w:rsid w:val="00EC7719"/>
    <w:rsid w:val="00ED2CA8"/>
    <w:rsid w:val="00ED3FB3"/>
    <w:rsid w:val="00EE54F7"/>
    <w:rsid w:val="00EF190D"/>
    <w:rsid w:val="00F12502"/>
    <w:rsid w:val="00F336F8"/>
    <w:rsid w:val="00F8438B"/>
    <w:rsid w:val="00F957C0"/>
    <w:rsid w:val="00F95A22"/>
    <w:rsid w:val="00FB1963"/>
    <w:rsid w:val="00FE4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9262D6"/>
  <w15:chartTrackingRefBased/>
  <w15:docId w15:val="{B26619C7-0535-6B40-945F-8EDFAF3CD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BFD"/>
    <w:rPr>
      <w:rFonts w:ascii="Times New Roman" w:eastAsia="Times New Roman" w:hAnsi="Times New Roman" w:cs="Times New Roman"/>
      <w:lang w:eastAsia="en-GB"/>
    </w:rPr>
  </w:style>
  <w:style w:type="paragraph" w:styleId="Heading1">
    <w:name w:val="heading 1"/>
    <w:basedOn w:val="Normal"/>
    <w:link w:val="Heading1Char"/>
    <w:uiPriority w:val="9"/>
    <w:qFormat/>
    <w:rsid w:val="00603B86"/>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semiHidden/>
    <w:unhideWhenUsed/>
    <w:qFormat/>
    <w:rsid w:val="001D794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7867"/>
    <w:pPr>
      <w:ind w:left="720"/>
      <w:contextualSpacing/>
    </w:pPr>
  </w:style>
  <w:style w:type="paragraph" w:styleId="NormalWeb">
    <w:name w:val="Normal (Web)"/>
    <w:basedOn w:val="Normal"/>
    <w:uiPriority w:val="99"/>
    <w:unhideWhenUsed/>
    <w:rsid w:val="00A34D31"/>
    <w:pPr>
      <w:spacing w:before="100" w:beforeAutospacing="1" w:after="100" w:afterAutospacing="1"/>
    </w:pPr>
  </w:style>
  <w:style w:type="character" w:customStyle="1" w:styleId="Heading1Char">
    <w:name w:val="Heading 1 Char"/>
    <w:basedOn w:val="DefaultParagraphFont"/>
    <w:link w:val="Heading1"/>
    <w:uiPriority w:val="9"/>
    <w:rsid w:val="00603B86"/>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F336F8"/>
  </w:style>
  <w:style w:type="paragraph" w:customStyle="1" w:styleId="c-author-listitem">
    <w:name w:val="c-author-list__item"/>
    <w:basedOn w:val="Normal"/>
    <w:rsid w:val="002E298D"/>
    <w:pPr>
      <w:spacing w:before="100" w:beforeAutospacing="1" w:after="100" w:afterAutospacing="1"/>
    </w:pPr>
  </w:style>
  <w:style w:type="character" w:styleId="Hyperlink">
    <w:name w:val="Hyperlink"/>
    <w:basedOn w:val="DefaultParagraphFont"/>
    <w:uiPriority w:val="99"/>
    <w:unhideWhenUsed/>
    <w:rsid w:val="002E298D"/>
    <w:rPr>
      <w:color w:val="0000FF"/>
      <w:u w:val="single"/>
    </w:rPr>
  </w:style>
  <w:style w:type="paragraph" w:styleId="Footer">
    <w:name w:val="footer"/>
    <w:basedOn w:val="Normal"/>
    <w:link w:val="FooterChar"/>
    <w:uiPriority w:val="99"/>
    <w:unhideWhenUsed/>
    <w:rsid w:val="00B42AE8"/>
    <w:pPr>
      <w:tabs>
        <w:tab w:val="center" w:pos="4513"/>
        <w:tab w:val="right" w:pos="9026"/>
      </w:tabs>
    </w:pPr>
  </w:style>
  <w:style w:type="character" w:customStyle="1" w:styleId="FooterChar">
    <w:name w:val="Footer Char"/>
    <w:basedOn w:val="DefaultParagraphFont"/>
    <w:link w:val="Footer"/>
    <w:uiPriority w:val="99"/>
    <w:rsid w:val="00B42AE8"/>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42AE8"/>
  </w:style>
  <w:style w:type="character" w:customStyle="1" w:styleId="authors">
    <w:name w:val="authors"/>
    <w:basedOn w:val="DefaultParagraphFont"/>
    <w:rsid w:val="00302829"/>
  </w:style>
  <w:style w:type="character" w:customStyle="1" w:styleId="Date1">
    <w:name w:val="Date1"/>
    <w:basedOn w:val="DefaultParagraphFont"/>
    <w:rsid w:val="00302829"/>
  </w:style>
  <w:style w:type="character" w:customStyle="1" w:styleId="arttitle">
    <w:name w:val="art_title"/>
    <w:basedOn w:val="DefaultParagraphFont"/>
    <w:rsid w:val="00302829"/>
  </w:style>
  <w:style w:type="character" w:customStyle="1" w:styleId="serialtitle">
    <w:name w:val="serial_title"/>
    <w:basedOn w:val="DefaultParagraphFont"/>
    <w:rsid w:val="00302829"/>
  </w:style>
  <w:style w:type="character" w:customStyle="1" w:styleId="volumeissue">
    <w:name w:val="volume_issue"/>
    <w:basedOn w:val="DefaultParagraphFont"/>
    <w:rsid w:val="00302829"/>
  </w:style>
  <w:style w:type="character" w:customStyle="1" w:styleId="pagerange">
    <w:name w:val="page_range"/>
    <w:basedOn w:val="DefaultParagraphFont"/>
    <w:rsid w:val="00302829"/>
  </w:style>
  <w:style w:type="character" w:styleId="HTMLCite">
    <w:name w:val="HTML Cite"/>
    <w:basedOn w:val="DefaultParagraphFont"/>
    <w:uiPriority w:val="99"/>
    <w:semiHidden/>
    <w:unhideWhenUsed/>
    <w:rsid w:val="00BF2BC1"/>
    <w:rPr>
      <w:i/>
      <w:iCs/>
    </w:rPr>
  </w:style>
  <w:style w:type="character" w:customStyle="1" w:styleId="Heading3Char">
    <w:name w:val="Heading 3 Char"/>
    <w:basedOn w:val="DefaultParagraphFont"/>
    <w:link w:val="Heading3"/>
    <w:uiPriority w:val="9"/>
    <w:semiHidden/>
    <w:rsid w:val="001D7944"/>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38794">
      <w:bodyDiv w:val="1"/>
      <w:marLeft w:val="0"/>
      <w:marRight w:val="0"/>
      <w:marTop w:val="0"/>
      <w:marBottom w:val="0"/>
      <w:divBdr>
        <w:top w:val="none" w:sz="0" w:space="0" w:color="auto"/>
        <w:left w:val="none" w:sz="0" w:space="0" w:color="auto"/>
        <w:bottom w:val="none" w:sz="0" w:space="0" w:color="auto"/>
        <w:right w:val="none" w:sz="0" w:space="0" w:color="auto"/>
      </w:divBdr>
    </w:div>
    <w:div w:id="14885178">
      <w:bodyDiv w:val="1"/>
      <w:marLeft w:val="0"/>
      <w:marRight w:val="0"/>
      <w:marTop w:val="0"/>
      <w:marBottom w:val="0"/>
      <w:divBdr>
        <w:top w:val="none" w:sz="0" w:space="0" w:color="auto"/>
        <w:left w:val="none" w:sz="0" w:space="0" w:color="auto"/>
        <w:bottom w:val="none" w:sz="0" w:space="0" w:color="auto"/>
        <w:right w:val="none" w:sz="0" w:space="0" w:color="auto"/>
      </w:divBdr>
    </w:div>
    <w:div w:id="24909794">
      <w:bodyDiv w:val="1"/>
      <w:marLeft w:val="0"/>
      <w:marRight w:val="0"/>
      <w:marTop w:val="0"/>
      <w:marBottom w:val="0"/>
      <w:divBdr>
        <w:top w:val="none" w:sz="0" w:space="0" w:color="auto"/>
        <w:left w:val="none" w:sz="0" w:space="0" w:color="auto"/>
        <w:bottom w:val="none" w:sz="0" w:space="0" w:color="auto"/>
        <w:right w:val="none" w:sz="0" w:space="0" w:color="auto"/>
      </w:divBdr>
    </w:div>
    <w:div w:id="33892518">
      <w:bodyDiv w:val="1"/>
      <w:marLeft w:val="0"/>
      <w:marRight w:val="0"/>
      <w:marTop w:val="0"/>
      <w:marBottom w:val="0"/>
      <w:divBdr>
        <w:top w:val="none" w:sz="0" w:space="0" w:color="auto"/>
        <w:left w:val="none" w:sz="0" w:space="0" w:color="auto"/>
        <w:bottom w:val="none" w:sz="0" w:space="0" w:color="auto"/>
        <w:right w:val="none" w:sz="0" w:space="0" w:color="auto"/>
      </w:divBdr>
    </w:div>
    <w:div w:id="83109841">
      <w:bodyDiv w:val="1"/>
      <w:marLeft w:val="0"/>
      <w:marRight w:val="0"/>
      <w:marTop w:val="0"/>
      <w:marBottom w:val="0"/>
      <w:divBdr>
        <w:top w:val="none" w:sz="0" w:space="0" w:color="auto"/>
        <w:left w:val="none" w:sz="0" w:space="0" w:color="auto"/>
        <w:bottom w:val="none" w:sz="0" w:space="0" w:color="auto"/>
        <w:right w:val="none" w:sz="0" w:space="0" w:color="auto"/>
      </w:divBdr>
    </w:div>
    <w:div w:id="84301539">
      <w:bodyDiv w:val="1"/>
      <w:marLeft w:val="0"/>
      <w:marRight w:val="0"/>
      <w:marTop w:val="0"/>
      <w:marBottom w:val="0"/>
      <w:divBdr>
        <w:top w:val="none" w:sz="0" w:space="0" w:color="auto"/>
        <w:left w:val="none" w:sz="0" w:space="0" w:color="auto"/>
        <w:bottom w:val="none" w:sz="0" w:space="0" w:color="auto"/>
        <w:right w:val="none" w:sz="0" w:space="0" w:color="auto"/>
      </w:divBdr>
      <w:divsChild>
        <w:div w:id="73362668">
          <w:marLeft w:val="0"/>
          <w:marRight w:val="0"/>
          <w:marTop w:val="0"/>
          <w:marBottom w:val="0"/>
          <w:divBdr>
            <w:top w:val="none" w:sz="0" w:space="0" w:color="auto"/>
            <w:left w:val="none" w:sz="0" w:space="0" w:color="auto"/>
            <w:bottom w:val="none" w:sz="0" w:space="0" w:color="auto"/>
            <w:right w:val="none" w:sz="0" w:space="0" w:color="auto"/>
          </w:divBdr>
          <w:divsChild>
            <w:div w:id="1852603240">
              <w:marLeft w:val="0"/>
              <w:marRight w:val="0"/>
              <w:marTop w:val="0"/>
              <w:marBottom w:val="0"/>
              <w:divBdr>
                <w:top w:val="none" w:sz="0" w:space="0" w:color="auto"/>
                <w:left w:val="none" w:sz="0" w:space="0" w:color="auto"/>
                <w:bottom w:val="none" w:sz="0" w:space="0" w:color="auto"/>
                <w:right w:val="none" w:sz="0" w:space="0" w:color="auto"/>
              </w:divBdr>
              <w:divsChild>
                <w:div w:id="119334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139477">
          <w:marLeft w:val="0"/>
          <w:marRight w:val="0"/>
          <w:marTop w:val="0"/>
          <w:marBottom w:val="0"/>
          <w:divBdr>
            <w:top w:val="none" w:sz="0" w:space="0" w:color="auto"/>
            <w:left w:val="none" w:sz="0" w:space="0" w:color="auto"/>
            <w:bottom w:val="none" w:sz="0" w:space="0" w:color="auto"/>
            <w:right w:val="none" w:sz="0" w:space="0" w:color="auto"/>
          </w:divBdr>
          <w:divsChild>
            <w:div w:id="174342463">
              <w:marLeft w:val="0"/>
              <w:marRight w:val="0"/>
              <w:marTop w:val="0"/>
              <w:marBottom w:val="0"/>
              <w:divBdr>
                <w:top w:val="none" w:sz="0" w:space="0" w:color="auto"/>
                <w:left w:val="none" w:sz="0" w:space="0" w:color="auto"/>
                <w:bottom w:val="none" w:sz="0" w:space="0" w:color="auto"/>
                <w:right w:val="none" w:sz="0" w:space="0" w:color="auto"/>
              </w:divBdr>
              <w:divsChild>
                <w:div w:id="98346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199218">
      <w:bodyDiv w:val="1"/>
      <w:marLeft w:val="0"/>
      <w:marRight w:val="0"/>
      <w:marTop w:val="0"/>
      <w:marBottom w:val="0"/>
      <w:divBdr>
        <w:top w:val="none" w:sz="0" w:space="0" w:color="auto"/>
        <w:left w:val="none" w:sz="0" w:space="0" w:color="auto"/>
        <w:bottom w:val="none" w:sz="0" w:space="0" w:color="auto"/>
        <w:right w:val="none" w:sz="0" w:space="0" w:color="auto"/>
      </w:divBdr>
      <w:divsChild>
        <w:div w:id="2028175229">
          <w:marLeft w:val="0"/>
          <w:marRight w:val="0"/>
          <w:marTop w:val="0"/>
          <w:marBottom w:val="0"/>
          <w:divBdr>
            <w:top w:val="none" w:sz="0" w:space="0" w:color="auto"/>
            <w:left w:val="none" w:sz="0" w:space="0" w:color="auto"/>
            <w:bottom w:val="none" w:sz="0" w:space="0" w:color="auto"/>
            <w:right w:val="none" w:sz="0" w:space="0" w:color="auto"/>
          </w:divBdr>
          <w:divsChild>
            <w:div w:id="191653511">
              <w:marLeft w:val="0"/>
              <w:marRight w:val="0"/>
              <w:marTop w:val="0"/>
              <w:marBottom w:val="0"/>
              <w:divBdr>
                <w:top w:val="none" w:sz="0" w:space="0" w:color="auto"/>
                <w:left w:val="none" w:sz="0" w:space="0" w:color="auto"/>
                <w:bottom w:val="none" w:sz="0" w:space="0" w:color="auto"/>
                <w:right w:val="none" w:sz="0" w:space="0" w:color="auto"/>
              </w:divBdr>
              <w:divsChild>
                <w:div w:id="134902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10086">
      <w:bodyDiv w:val="1"/>
      <w:marLeft w:val="0"/>
      <w:marRight w:val="0"/>
      <w:marTop w:val="0"/>
      <w:marBottom w:val="0"/>
      <w:divBdr>
        <w:top w:val="none" w:sz="0" w:space="0" w:color="auto"/>
        <w:left w:val="none" w:sz="0" w:space="0" w:color="auto"/>
        <w:bottom w:val="none" w:sz="0" w:space="0" w:color="auto"/>
        <w:right w:val="none" w:sz="0" w:space="0" w:color="auto"/>
      </w:divBdr>
    </w:div>
    <w:div w:id="287443631">
      <w:bodyDiv w:val="1"/>
      <w:marLeft w:val="0"/>
      <w:marRight w:val="0"/>
      <w:marTop w:val="0"/>
      <w:marBottom w:val="0"/>
      <w:divBdr>
        <w:top w:val="none" w:sz="0" w:space="0" w:color="auto"/>
        <w:left w:val="none" w:sz="0" w:space="0" w:color="auto"/>
        <w:bottom w:val="none" w:sz="0" w:space="0" w:color="auto"/>
        <w:right w:val="none" w:sz="0" w:space="0" w:color="auto"/>
      </w:divBdr>
    </w:div>
    <w:div w:id="302463158">
      <w:bodyDiv w:val="1"/>
      <w:marLeft w:val="0"/>
      <w:marRight w:val="0"/>
      <w:marTop w:val="0"/>
      <w:marBottom w:val="0"/>
      <w:divBdr>
        <w:top w:val="none" w:sz="0" w:space="0" w:color="auto"/>
        <w:left w:val="none" w:sz="0" w:space="0" w:color="auto"/>
        <w:bottom w:val="none" w:sz="0" w:space="0" w:color="auto"/>
        <w:right w:val="none" w:sz="0" w:space="0" w:color="auto"/>
      </w:divBdr>
      <w:divsChild>
        <w:div w:id="1881478566">
          <w:marLeft w:val="0"/>
          <w:marRight w:val="0"/>
          <w:marTop w:val="0"/>
          <w:marBottom w:val="0"/>
          <w:divBdr>
            <w:top w:val="none" w:sz="0" w:space="0" w:color="auto"/>
            <w:left w:val="none" w:sz="0" w:space="0" w:color="auto"/>
            <w:bottom w:val="none" w:sz="0" w:space="0" w:color="auto"/>
            <w:right w:val="none" w:sz="0" w:space="0" w:color="auto"/>
          </w:divBdr>
          <w:divsChild>
            <w:div w:id="531382856">
              <w:marLeft w:val="0"/>
              <w:marRight w:val="0"/>
              <w:marTop w:val="0"/>
              <w:marBottom w:val="0"/>
              <w:divBdr>
                <w:top w:val="none" w:sz="0" w:space="0" w:color="auto"/>
                <w:left w:val="none" w:sz="0" w:space="0" w:color="auto"/>
                <w:bottom w:val="none" w:sz="0" w:space="0" w:color="auto"/>
                <w:right w:val="none" w:sz="0" w:space="0" w:color="auto"/>
              </w:divBdr>
              <w:divsChild>
                <w:div w:id="120502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12693">
      <w:bodyDiv w:val="1"/>
      <w:marLeft w:val="0"/>
      <w:marRight w:val="0"/>
      <w:marTop w:val="0"/>
      <w:marBottom w:val="0"/>
      <w:divBdr>
        <w:top w:val="none" w:sz="0" w:space="0" w:color="auto"/>
        <w:left w:val="none" w:sz="0" w:space="0" w:color="auto"/>
        <w:bottom w:val="none" w:sz="0" w:space="0" w:color="auto"/>
        <w:right w:val="none" w:sz="0" w:space="0" w:color="auto"/>
      </w:divBdr>
      <w:divsChild>
        <w:div w:id="257640250">
          <w:marLeft w:val="0"/>
          <w:marRight w:val="0"/>
          <w:marTop w:val="0"/>
          <w:marBottom w:val="0"/>
          <w:divBdr>
            <w:top w:val="none" w:sz="0" w:space="0" w:color="auto"/>
            <w:left w:val="none" w:sz="0" w:space="0" w:color="auto"/>
            <w:bottom w:val="none" w:sz="0" w:space="0" w:color="auto"/>
            <w:right w:val="none" w:sz="0" w:space="0" w:color="auto"/>
          </w:divBdr>
          <w:divsChild>
            <w:div w:id="1591623758">
              <w:marLeft w:val="0"/>
              <w:marRight w:val="0"/>
              <w:marTop w:val="0"/>
              <w:marBottom w:val="0"/>
              <w:divBdr>
                <w:top w:val="none" w:sz="0" w:space="0" w:color="auto"/>
                <w:left w:val="none" w:sz="0" w:space="0" w:color="auto"/>
                <w:bottom w:val="none" w:sz="0" w:space="0" w:color="auto"/>
                <w:right w:val="none" w:sz="0" w:space="0" w:color="auto"/>
              </w:divBdr>
              <w:divsChild>
                <w:div w:id="68321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641803">
      <w:bodyDiv w:val="1"/>
      <w:marLeft w:val="0"/>
      <w:marRight w:val="0"/>
      <w:marTop w:val="0"/>
      <w:marBottom w:val="0"/>
      <w:divBdr>
        <w:top w:val="none" w:sz="0" w:space="0" w:color="auto"/>
        <w:left w:val="none" w:sz="0" w:space="0" w:color="auto"/>
        <w:bottom w:val="none" w:sz="0" w:space="0" w:color="auto"/>
        <w:right w:val="none" w:sz="0" w:space="0" w:color="auto"/>
      </w:divBdr>
      <w:divsChild>
        <w:div w:id="849758409">
          <w:marLeft w:val="0"/>
          <w:marRight w:val="0"/>
          <w:marTop w:val="0"/>
          <w:marBottom w:val="0"/>
          <w:divBdr>
            <w:top w:val="none" w:sz="0" w:space="0" w:color="auto"/>
            <w:left w:val="none" w:sz="0" w:space="0" w:color="auto"/>
            <w:bottom w:val="none" w:sz="0" w:space="0" w:color="auto"/>
            <w:right w:val="none" w:sz="0" w:space="0" w:color="auto"/>
          </w:divBdr>
          <w:divsChild>
            <w:div w:id="784882023">
              <w:marLeft w:val="0"/>
              <w:marRight w:val="0"/>
              <w:marTop w:val="0"/>
              <w:marBottom w:val="0"/>
              <w:divBdr>
                <w:top w:val="none" w:sz="0" w:space="0" w:color="auto"/>
                <w:left w:val="none" w:sz="0" w:space="0" w:color="auto"/>
                <w:bottom w:val="none" w:sz="0" w:space="0" w:color="auto"/>
                <w:right w:val="none" w:sz="0" w:space="0" w:color="auto"/>
              </w:divBdr>
            </w:div>
            <w:div w:id="1799109706">
              <w:marLeft w:val="300"/>
              <w:marRight w:val="0"/>
              <w:marTop w:val="0"/>
              <w:marBottom w:val="0"/>
              <w:divBdr>
                <w:top w:val="none" w:sz="0" w:space="0" w:color="auto"/>
                <w:left w:val="none" w:sz="0" w:space="0" w:color="auto"/>
                <w:bottom w:val="none" w:sz="0" w:space="0" w:color="auto"/>
                <w:right w:val="none" w:sz="0" w:space="0" w:color="auto"/>
              </w:divBdr>
            </w:div>
            <w:div w:id="100956407">
              <w:marLeft w:val="300"/>
              <w:marRight w:val="0"/>
              <w:marTop w:val="0"/>
              <w:marBottom w:val="0"/>
              <w:divBdr>
                <w:top w:val="none" w:sz="0" w:space="0" w:color="auto"/>
                <w:left w:val="none" w:sz="0" w:space="0" w:color="auto"/>
                <w:bottom w:val="none" w:sz="0" w:space="0" w:color="auto"/>
                <w:right w:val="none" w:sz="0" w:space="0" w:color="auto"/>
              </w:divBdr>
            </w:div>
            <w:div w:id="1252425411">
              <w:marLeft w:val="0"/>
              <w:marRight w:val="0"/>
              <w:marTop w:val="0"/>
              <w:marBottom w:val="0"/>
              <w:divBdr>
                <w:top w:val="none" w:sz="0" w:space="0" w:color="auto"/>
                <w:left w:val="none" w:sz="0" w:space="0" w:color="auto"/>
                <w:bottom w:val="none" w:sz="0" w:space="0" w:color="auto"/>
                <w:right w:val="none" w:sz="0" w:space="0" w:color="auto"/>
              </w:divBdr>
            </w:div>
            <w:div w:id="722674034">
              <w:marLeft w:val="60"/>
              <w:marRight w:val="0"/>
              <w:marTop w:val="0"/>
              <w:marBottom w:val="0"/>
              <w:divBdr>
                <w:top w:val="none" w:sz="0" w:space="0" w:color="auto"/>
                <w:left w:val="none" w:sz="0" w:space="0" w:color="auto"/>
                <w:bottom w:val="none" w:sz="0" w:space="0" w:color="auto"/>
                <w:right w:val="none" w:sz="0" w:space="0" w:color="auto"/>
              </w:divBdr>
            </w:div>
          </w:divsChild>
        </w:div>
        <w:div w:id="1312248384">
          <w:marLeft w:val="0"/>
          <w:marRight w:val="0"/>
          <w:marTop w:val="0"/>
          <w:marBottom w:val="0"/>
          <w:divBdr>
            <w:top w:val="none" w:sz="0" w:space="0" w:color="auto"/>
            <w:left w:val="none" w:sz="0" w:space="0" w:color="auto"/>
            <w:bottom w:val="none" w:sz="0" w:space="0" w:color="auto"/>
            <w:right w:val="none" w:sz="0" w:space="0" w:color="auto"/>
          </w:divBdr>
          <w:divsChild>
            <w:div w:id="195505357">
              <w:marLeft w:val="0"/>
              <w:marRight w:val="0"/>
              <w:marTop w:val="120"/>
              <w:marBottom w:val="0"/>
              <w:divBdr>
                <w:top w:val="none" w:sz="0" w:space="0" w:color="auto"/>
                <w:left w:val="none" w:sz="0" w:space="0" w:color="auto"/>
                <w:bottom w:val="none" w:sz="0" w:space="0" w:color="auto"/>
                <w:right w:val="none" w:sz="0" w:space="0" w:color="auto"/>
              </w:divBdr>
              <w:divsChild>
                <w:div w:id="516584446">
                  <w:marLeft w:val="0"/>
                  <w:marRight w:val="0"/>
                  <w:marTop w:val="0"/>
                  <w:marBottom w:val="0"/>
                  <w:divBdr>
                    <w:top w:val="none" w:sz="0" w:space="0" w:color="auto"/>
                    <w:left w:val="none" w:sz="0" w:space="0" w:color="auto"/>
                    <w:bottom w:val="none" w:sz="0" w:space="0" w:color="auto"/>
                    <w:right w:val="none" w:sz="0" w:space="0" w:color="auto"/>
                  </w:divBdr>
                  <w:divsChild>
                    <w:div w:id="194584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6299562">
      <w:bodyDiv w:val="1"/>
      <w:marLeft w:val="0"/>
      <w:marRight w:val="0"/>
      <w:marTop w:val="0"/>
      <w:marBottom w:val="0"/>
      <w:divBdr>
        <w:top w:val="none" w:sz="0" w:space="0" w:color="auto"/>
        <w:left w:val="none" w:sz="0" w:space="0" w:color="auto"/>
        <w:bottom w:val="none" w:sz="0" w:space="0" w:color="auto"/>
        <w:right w:val="none" w:sz="0" w:space="0" w:color="auto"/>
      </w:divBdr>
    </w:div>
    <w:div w:id="370231808">
      <w:bodyDiv w:val="1"/>
      <w:marLeft w:val="0"/>
      <w:marRight w:val="0"/>
      <w:marTop w:val="0"/>
      <w:marBottom w:val="0"/>
      <w:divBdr>
        <w:top w:val="none" w:sz="0" w:space="0" w:color="auto"/>
        <w:left w:val="none" w:sz="0" w:space="0" w:color="auto"/>
        <w:bottom w:val="none" w:sz="0" w:space="0" w:color="auto"/>
        <w:right w:val="none" w:sz="0" w:space="0" w:color="auto"/>
      </w:divBdr>
      <w:divsChild>
        <w:div w:id="2030522935">
          <w:marLeft w:val="0"/>
          <w:marRight w:val="0"/>
          <w:marTop w:val="0"/>
          <w:marBottom w:val="0"/>
          <w:divBdr>
            <w:top w:val="none" w:sz="0" w:space="0" w:color="auto"/>
            <w:left w:val="none" w:sz="0" w:space="0" w:color="auto"/>
            <w:bottom w:val="none" w:sz="0" w:space="0" w:color="auto"/>
            <w:right w:val="none" w:sz="0" w:space="0" w:color="auto"/>
          </w:divBdr>
          <w:divsChild>
            <w:div w:id="947547333">
              <w:marLeft w:val="0"/>
              <w:marRight w:val="0"/>
              <w:marTop w:val="0"/>
              <w:marBottom w:val="0"/>
              <w:divBdr>
                <w:top w:val="none" w:sz="0" w:space="0" w:color="auto"/>
                <w:left w:val="none" w:sz="0" w:space="0" w:color="auto"/>
                <w:bottom w:val="none" w:sz="0" w:space="0" w:color="auto"/>
                <w:right w:val="none" w:sz="0" w:space="0" w:color="auto"/>
              </w:divBdr>
              <w:divsChild>
                <w:div w:id="1356689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121688">
      <w:bodyDiv w:val="1"/>
      <w:marLeft w:val="0"/>
      <w:marRight w:val="0"/>
      <w:marTop w:val="0"/>
      <w:marBottom w:val="0"/>
      <w:divBdr>
        <w:top w:val="none" w:sz="0" w:space="0" w:color="auto"/>
        <w:left w:val="none" w:sz="0" w:space="0" w:color="auto"/>
        <w:bottom w:val="none" w:sz="0" w:space="0" w:color="auto"/>
        <w:right w:val="none" w:sz="0" w:space="0" w:color="auto"/>
      </w:divBdr>
    </w:div>
    <w:div w:id="469398696">
      <w:bodyDiv w:val="1"/>
      <w:marLeft w:val="0"/>
      <w:marRight w:val="0"/>
      <w:marTop w:val="0"/>
      <w:marBottom w:val="0"/>
      <w:divBdr>
        <w:top w:val="none" w:sz="0" w:space="0" w:color="auto"/>
        <w:left w:val="none" w:sz="0" w:space="0" w:color="auto"/>
        <w:bottom w:val="none" w:sz="0" w:space="0" w:color="auto"/>
        <w:right w:val="none" w:sz="0" w:space="0" w:color="auto"/>
      </w:divBdr>
      <w:divsChild>
        <w:div w:id="1445542320">
          <w:marLeft w:val="0"/>
          <w:marRight w:val="0"/>
          <w:marTop w:val="0"/>
          <w:marBottom w:val="0"/>
          <w:divBdr>
            <w:top w:val="none" w:sz="0" w:space="0" w:color="auto"/>
            <w:left w:val="none" w:sz="0" w:space="0" w:color="auto"/>
            <w:bottom w:val="none" w:sz="0" w:space="0" w:color="auto"/>
            <w:right w:val="none" w:sz="0" w:space="0" w:color="auto"/>
          </w:divBdr>
          <w:divsChild>
            <w:div w:id="2134397920">
              <w:marLeft w:val="0"/>
              <w:marRight w:val="0"/>
              <w:marTop w:val="0"/>
              <w:marBottom w:val="0"/>
              <w:divBdr>
                <w:top w:val="none" w:sz="0" w:space="0" w:color="auto"/>
                <w:left w:val="none" w:sz="0" w:space="0" w:color="auto"/>
                <w:bottom w:val="none" w:sz="0" w:space="0" w:color="auto"/>
                <w:right w:val="none" w:sz="0" w:space="0" w:color="auto"/>
              </w:divBdr>
              <w:divsChild>
                <w:div w:id="7657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412586">
      <w:bodyDiv w:val="1"/>
      <w:marLeft w:val="0"/>
      <w:marRight w:val="0"/>
      <w:marTop w:val="0"/>
      <w:marBottom w:val="0"/>
      <w:divBdr>
        <w:top w:val="none" w:sz="0" w:space="0" w:color="auto"/>
        <w:left w:val="none" w:sz="0" w:space="0" w:color="auto"/>
        <w:bottom w:val="none" w:sz="0" w:space="0" w:color="auto"/>
        <w:right w:val="none" w:sz="0" w:space="0" w:color="auto"/>
      </w:divBdr>
    </w:div>
    <w:div w:id="681472043">
      <w:bodyDiv w:val="1"/>
      <w:marLeft w:val="0"/>
      <w:marRight w:val="0"/>
      <w:marTop w:val="0"/>
      <w:marBottom w:val="0"/>
      <w:divBdr>
        <w:top w:val="none" w:sz="0" w:space="0" w:color="auto"/>
        <w:left w:val="none" w:sz="0" w:space="0" w:color="auto"/>
        <w:bottom w:val="none" w:sz="0" w:space="0" w:color="auto"/>
        <w:right w:val="none" w:sz="0" w:space="0" w:color="auto"/>
      </w:divBdr>
    </w:div>
    <w:div w:id="748381987">
      <w:bodyDiv w:val="1"/>
      <w:marLeft w:val="0"/>
      <w:marRight w:val="0"/>
      <w:marTop w:val="0"/>
      <w:marBottom w:val="0"/>
      <w:divBdr>
        <w:top w:val="none" w:sz="0" w:space="0" w:color="auto"/>
        <w:left w:val="none" w:sz="0" w:space="0" w:color="auto"/>
        <w:bottom w:val="none" w:sz="0" w:space="0" w:color="auto"/>
        <w:right w:val="none" w:sz="0" w:space="0" w:color="auto"/>
      </w:divBdr>
      <w:divsChild>
        <w:div w:id="424888079">
          <w:marLeft w:val="0"/>
          <w:marRight w:val="0"/>
          <w:marTop w:val="0"/>
          <w:marBottom w:val="0"/>
          <w:divBdr>
            <w:top w:val="none" w:sz="0" w:space="0" w:color="auto"/>
            <w:left w:val="none" w:sz="0" w:space="0" w:color="auto"/>
            <w:bottom w:val="none" w:sz="0" w:space="0" w:color="auto"/>
            <w:right w:val="none" w:sz="0" w:space="0" w:color="auto"/>
          </w:divBdr>
          <w:divsChild>
            <w:div w:id="395199910">
              <w:marLeft w:val="0"/>
              <w:marRight w:val="0"/>
              <w:marTop w:val="0"/>
              <w:marBottom w:val="0"/>
              <w:divBdr>
                <w:top w:val="none" w:sz="0" w:space="0" w:color="auto"/>
                <w:left w:val="none" w:sz="0" w:space="0" w:color="auto"/>
                <w:bottom w:val="none" w:sz="0" w:space="0" w:color="auto"/>
                <w:right w:val="none" w:sz="0" w:space="0" w:color="auto"/>
              </w:divBdr>
              <w:divsChild>
                <w:div w:id="19134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918625">
      <w:bodyDiv w:val="1"/>
      <w:marLeft w:val="0"/>
      <w:marRight w:val="0"/>
      <w:marTop w:val="0"/>
      <w:marBottom w:val="0"/>
      <w:divBdr>
        <w:top w:val="none" w:sz="0" w:space="0" w:color="auto"/>
        <w:left w:val="none" w:sz="0" w:space="0" w:color="auto"/>
        <w:bottom w:val="none" w:sz="0" w:space="0" w:color="auto"/>
        <w:right w:val="none" w:sz="0" w:space="0" w:color="auto"/>
      </w:divBdr>
      <w:divsChild>
        <w:div w:id="1443571913">
          <w:marLeft w:val="0"/>
          <w:marRight w:val="0"/>
          <w:marTop w:val="0"/>
          <w:marBottom w:val="0"/>
          <w:divBdr>
            <w:top w:val="none" w:sz="0" w:space="0" w:color="auto"/>
            <w:left w:val="none" w:sz="0" w:space="0" w:color="auto"/>
            <w:bottom w:val="none" w:sz="0" w:space="0" w:color="auto"/>
            <w:right w:val="none" w:sz="0" w:space="0" w:color="auto"/>
          </w:divBdr>
          <w:divsChild>
            <w:div w:id="1961448032">
              <w:marLeft w:val="0"/>
              <w:marRight w:val="0"/>
              <w:marTop w:val="0"/>
              <w:marBottom w:val="0"/>
              <w:divBdr>
                <w:top w:val="none" w:sz="0" w:space="0" w:color="auto"/>
                <w:left w:val="none" w:sz="0" w:space="0" w:color="auto"/>
                <w:bottom w:val="none" w:sz="0" w:space="0" w:color="auto"/>
                <w:right w:val="none" w:sz="0" w:space="0" w:color="auto"/>
              </w:divBdr>
              <w:divsChild>
                <w:div w:id="185271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246611">
      <w:bodyDiv w:val="1"/>
      <w:marLeft w:val="0"/>
      <w:marRight w:val="0"/>
      <w:marTop w:val="0"/>
      <w:marBottom w:val="0"/>
      <w:divBdr>
        <w:top w:val="none" w:sz="0" w:space="0" w:color="auto"/>
        <w:left w:val="none" w:sz="0" w:space="0" w:color="auto"/>
        <w:bottom w:val="none" w:sz="0" w:space="0" w:color="auto"/>
        <w:right w:val="none" w:sz="0" w:space="0" w:color="auto"/>
      </w:divBdr>
    </w:div>
    <w:div w:id="851338083">
      <w:bodyDiv w:val="1"/>
      <w:marLeft w:val="0"/>
      <w:marRight w:val="0"/>
      <w:marTop w:val="0"/>
      <w:marBottom w:val="0"/>
      <w:divBdr>
        <w:top w:val="none" w:sz="0" w:space="0" w:color="auto"/>
        <w:left w:val="none" w:sz="0" w:space="0" w:color="auto"/>
        <w:bottom w:val="none" w:sz="0" w:space="0" w:color="auto"/>
        <w:right w:val="none" w:sz="0" w:space="0" w:color="auto"/>
      </w:divBdr>
      <w:divsChild>
        <w:div w:id="1181236897">
          <w:marLeft w:val="0"/>
          <w:marRight w:val="0"/>
          <w:marTop w:val="0"/>
          <w:marBottom w:val="0"/>
          <w:divBdr>
            <w:top w:val="none" w:sz="0" w:space="0" w:color="auto"/>
            <w:left w:val="none" w:sz="0" w:space="0" w:color="auto"/>
            <w:bottom w:val="none" w:sz="0" w:space="0" w:color="auto"/>
            <w:right w:val="none" w:sz="0" w:space="0" w:color="auto"/>
          </w:divBdr>
        </w:div>
        <w:div w:id="1067072542">
          <w:marLeft w:val="0"/>
          <w:marRight w:val="0"/>
          <w:marTop w:val="0"/>
          <w:marBottom w:val="0"/>
          <w:divBdr>
            <w:top w:val="none" w:sz="0" w:space="0" w:color="auto"/>
            <w:left w:val="none" w:sz="0" w:space="0" w:color="auto"/>
            <w:bottom w:val="none" w:sz="0" w:space="0" w:color="auto"/>
            <w:right w:val="none" w:sz="0" w:space="0" w:color="auto"/>
          </w:divBdr>
        </w:div>
        <w:div w:id="1991247643">
          <w:marLeft w:val="0"/>
          <w:marRight w:val="0"/>
          <w:marTop w:val="0"/>
          <w:marBottom w:val="0"/>
          <w:divBdr>
            <w:top w:val="none" w:sz="0" w:space="0" w:color="auto"/>
            <w:left w:val="none" w:sz="0" w:space="0" w:color="auto"/>
            <w:bottom w:val="none" w:sz="0" w:space="0" w:color="auto"/>
            <w:right w:val="none" w:sz="0" w:space="0" w:color="auto"/>
          </w:divBdr>
        </w:div>
      </w:divsChild>
    </w:div>
    <w:div w:id="871187423">
      <w:bodyDiv w:val="1"/>
      <w:marLeft w:val="0"/>
      <w:marRight w:val="0"/>
      <w:marTop w:val="0"/>
      <w:marBottom w:val="0"/>
      <w:divBdr>
        <w:top w:val="none" w:sz="0" w:space="0" w:color="auto"/>
        <w:left w:val="none" w:sz="0" w:space="0" w:color="auto"/>
        <w:bottom w:val="none" w:sz="0" w:space="0" w:color="auto"/>
        <w:right w:val="none" w:sz="0" w:space="0" w:color="auto"/>
      </w:divBdr>
    </w:div>
    <w:div w:id="873620560">
      <w:bodyDiv w:val="1"/>
      <w:marLeft w:val="0"/>
      <w:marRight w:val="0"/>
      <w:marTop w:val="0"/>
      <w:marBottom w:val="0"/>
      <w:divBdr>
        <w:top w:val="none" w:sz="0" w:space="0" w:color="auto"/>
        <w:left w:val="none" w:sz="0" w:space="0" w:color="auto"/>
        <w:bottom w:val="none" w:sz="0" w:space="0" w:color="auto"/>
        <w:right w:val="none" w:sz="0" w:space="0" w:color="auto"/>
      </w:divBdr>
    </w:div>
    <w:div w:id="897204325">
      <w:bodyDiv w:val="1"/>
      <w:marLeft w:val="0"/>
      <w:marRight w:val="0"/>
      <w:marTop w:val="0"/>
      <w:marBottom w:val="0"/>
      <w:divBdr>
        <w:top w:val="none" w:sz="0" w:space="0" w:color="auto"/>
        <w:left w:val="none" w:sz="0" w:space="0" w:color="auto"/>
        <w:bottom w:val="none" w:sz="0" w:space="0" w:color="auto"/>
        <w:right w:val="none" w:sz="0" w:space="0" w:color="auto"/>
      </w:divBdr>
    </w:div>
    <w:div w:id="902987426">
      <w:bodyDiv w:val="1"/>
      <w:marLeft w:val="0"/>
      <w:marRight w:val="0"/>
      <w:marTop w:val="0"/>
      <w:marBottom w:val="0"/>
      <w:divBdr>
        <w:top w:val="none" w:sz="0" w:space="0" w:color="auto"/>
        <w:left w:val="none" w:sz="0" w:space="0" w:color="auto"/>
        <w:bottom w:val="none" w:sz="0" w:space="0" w:color="auto"/>
        <w:right w:val="none" w:sz="0" w:space="0" w:color="auto"/>
      </w:divBdr>
    </w:div>
    <w:div w:id="961886498">
      <w:bodyDiv w:val="1"/>
      <w:marLeft w:val="0"/>
      <w:marRight w:val="0"/>
      <w:marTop w:val="0"/>
      <w:marBottom w:val="0"/>
      <w:divBdr>
        <w:top w:val="none" w:sz="0" w:space="0" w:color="auto"/>
        <w:left w:val="none" w:sz="0" w:space="0" w:color="auto"/>
        <w:bottom w:val="none" w:sz="0" w:space="0" w:color="auto"/>
        <w:right w:val="none" w:sz="0" w:space="0" w:color="auto"/>
      </w:divBdr>
    </w:div>
    <w:div w:id="1015234291">
      <w:bodyDiv w:val="1"/>
      <w:marLeft w:val="0"/>
      <w:marRight w:val="0"/>
      <w:marTop w:val="0"/>
      <w:marBottom w:val="0"/>
      <w:divBdr>
        <w:top w:val="none" w:sz="0" w:space="0" w:color="auto"/>
        <w:left w:val="none" w:sz="0" w:space="0" w:color="auto"/>
        <w:bottom w:val="none" w:sz="0" w:space="0" w:color="auto"/>
        <w:right w:val="none" w:sz="0" w:space="0" w:color="auto"/>
      </w:divBdr>
    </w:div>
    <w:div w:id="1037464000">
      <w:bodyDiv w:val="1"/>
      <w:marLeft w:val="0"/>
      <w:marRight w:val="0"/>
      <w:marTop w:val="0"/>
      <w:marBottom w:val="0"/>
      <w:divBdr>
        <w:top w:val="none" w:sz="0" w:space="0" w:color="auto"/>
        <w:left w:val="none" w:sz="0" w:space="0" w:color="auto"/>
        <w:bottom w:val="none" w:sz="0" w:space="0" w:color="auto"/>
        <w:right w:val="none" w:sz="0" w:space="0" w:color="auto"/>
      </w:divBdr>
    </w:div>
    <w:div w:id="1118377580">
      <w:bodyDiv w:val="1"/>
      <w:marLeft w:val="0"/>
      <w:marRight w:val="0"/>
      <w:marTop w:val="0"/>
      <w:marBottom w:val="0"/>
      <w:divBdr>
        <w:top w:val="none" w:sz="0" w:space="0" w:color="auto"/>
        <w:left w:val="none" w:sz="0" w:space="0" w:color="auto"/>
        <w:bottom w:val="none" w:sz="0" w:space="0" w:color="auto"/>
        <w:right w:val="none" w:sz="0" w:space="0" w:color="auto"/>
      </w:divBdr>
    </w:div>
    <w:div w:id="1162892812">
      <w:bodyDiv w:val="1"/>
      <w:marLeft w:val="0"/>
      <w:marRight w:val="0"/>
      <w:marTop w:val="0"/>
      <w:marBottom w:val="0"/>
      <w:divBdr>
        <w:top w:val="none" w:sz="0" w:space="0" w:color="auto"/>
        <w:left w:val="none" w:sz="0" w:space="0" w:color="auto"/>
        <w:bottom w:val="none" w:sz="0" w:space="0" w:color="auto"/>
        <w:right w:val="none" w:sz="0" w:space="0" w:color="auto"/>
      </w:divBdr>
    </w:div>
    <w:div w:id="1202089694">
      <w:bodyDiv w:val="1"/>
      <w:marLeft w:val="0"/>
      <w:marRight w:val="0"/>
      <w:marTop w:val="0"/>
      <w:marBottom w:val="0"/>
      <w:divBdr>
        <w:top w:val="none" w:sz="0" w:space="0" w:color="auto"/>
        <w:left w:val="none" w:sz="0" w:space="0" w:color="auto"/>
        <w:bottom w:val="none" w:sz="0" w:space="0" w:color="auto"/>
        <w:right w:val="none" w:sz="0" w:space="0" w:color="auto"/>
      </w:divBdr>
      <w:divsChild>
        <w:div w:id="1720008090">
          <w:marLeft w:val="0"/>
          <w:marRight w:val="0"/>
          <w:marTop w:val="0"/>
          <w:marBottom w:val="0"/>
          <w:divBdr>
            <w:top w:val="none" w:sz="0" w:space="0" w:color="auto"/>
            <w:left w:val="none" w:sz="0" w:space="0" w:color="auto"/>
            <w:bottom w:val="none" w:sz="0" w:space="0" w:color="auto"/>
            <w:right w:val="none" w:sz="0" w:space="0" w:color="auto"/>
          </w:divBdr>
          <w:divsChild>
            <w:div w:id="1250116095">
              <w:marLeft w:val="0"/>
              <w:marRight w:val="0"/>
              <w:marTop w:val="0"/>
              <w:marBottom w:val="0"/>
              <w:divBdr>
                <w:top w:val="none" w:sz="0" w:space="0" w:color="auto"/>
                <w:left w:val="none" w:sz="0" w:space="0" w:color="auto"/>
                <w:bottom w:val="none" w:sz="0" w:space="0" w:color="auto"/>
                <w:right w:val="none" w:sz="0" w:space="0" w:color="auto"/>
              </w:divBdr>
              <w:divsChild>
                <w:div w:id="151730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116005">
      <w:bodyDiv w:val="1"/>
      <w:marLeft w:val="0"/>
      <w:marRight w:val="0"/>
      <w:marTop w:val="0"/>
      <w:marBottom w:val="0"/>
      <w:divBdr>
        <w:top w:val="none" w:sz="0" w:space="0" w:color="auto"/>
        <w:left w:val="none" w:sz="0" w:space="0" w:color="auto"/>
        <w:bottom w:val="none" w:sz="0" w:space="0" w:color="auto"/>
        <w:right w:val="none" w:sz="0" w:space="0" w:color="auto"/>
      </w:divBdr>
    </w:div>
    <w:div w:id="1273171475">
      <w:bodyDiv w:val="1"/>
      <w:marLeft w:val="0"/>
      <w:marRight w:val="0"/>
      <w:marTop w:val="0"/>
      <w:marBottom w:val="0"/>
      <w:divBdr>
        <w:top w:val="none" w:sz="0" w:space="0" w:color="auto"/>
        <w:left w:val="none" w:sz="0" w:space="0" w:color="auto"/>
        <w:bottom w:val="none" w:sz="0" w:space="0" w:color="auto"/>
        <w:right w:val="none" w:sz="0" w:space="0" w:color="auto"/>
      </w:divBdr>
    </w:div>
    <w:div w:id="1289775639">
      <w:bodyDiv w:val="1"/>
      <w:marLeft w:val="0"/>
      <w:marRight w:val="0"/>
      <w:marTop w:val="0"/>
      <w:marBottom w:val="0"/>
      <w:divBdr>
        <w:top w:val="none" w:sz="0" w:space="0" w:color="auto"/>
        <w:left w:val="none" w:sz="0" w:space="0" w:color="auto"/>
        <w:bottom w:val="none" w:sz="0" w:space="0" w:color="auto"/>
        <w:right w:val="none" w:sz="0" w:space="0" w:color="auto"/>
      </w:divBdr>
    </w:div>
    <w:div w:id="1409034995">
      <w:bodyDiv w:val="1"/>
      <w:marLeft w:val="0"/>
      <w:marRight w:val="0"/>
      <w:marTop w:val="0"/>
      <w:marBottom w:val="0"/>
      <w:divBdr>
        <w:top w:val="none" w:sz="0" w:space="0" w:color="auto"/>
        <w:left w:val="none" w:sz="0" w:space="0" w:color="auto"/>
        <w:bottom w:val="none" w:sz="0" w:space="0" w:color="auto"/>
        <w:right w:val="none" w:sz="0" w:space="0" w:color="auto"/>
      </w:divBdr>
      <w:divsChild>
        <w:div w:id="960771258">
          <w:marLeft w:val="0"/>
          <w:marRight w:val="0"/>
          <w:marTop w:val="0"/>
          <w:marBottom w:val="0"/>
          <w:divBdr>
            <w:top w:val="none" w:sz="0" w:space="0" w:color="auto"/>
            <w:left w:val="none" w:sz="0" w:space="0" w:color="auto"/>
            <w:bottom w:val="none" w:sz="0" w:space="0" w:color="auto"/>
            <w:right w:val="none" w:sz="0" w:space="0" w:color="auto"/>
          </w:divBdr>
          <w:divsChild>
            <w:div w:id="1432242106">
              <w:marLeft w:val="0"/>
              <w:marRight w:val="0"/>
              <w:marTop w:val="0"/>
              <w:marBottom w:val="0"/>
              <w:divBdr>
                <w:top w:val="none" w:sz="0" w:space="0" w:color="auto"/>
                <w:left w:val="none" w:sz="0" w:space="0" w:color="auto"/>
                <w:bottom w:val="none" w:sz="0" w:space="0" w:color="auto"/>
                <w:right w:val="none" w:sz="0" w:space="0" w:color="auto"/>
              </w:divBdr>
              <w:divsChild>
                <w:div w:id="13791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024759">
      <w:bodyDiv w:val="1"/>
      <w:marLeft w:val="0"/>
      <w:marRight w:val="0"/>
      <w:marTop w:val="0"/>
      <w:marBottom w:val="0"/>
      <w:divBdr>
        <w:top w:val="none" w:sz="0" w:space="0" w:color="auto"/>
        <w:left w:val="none" w:sz="0" w:space="0" w:color="auto"/>
        <w:bottom w:val="none" w:sz="0" w:space="0" w:color="auto"/>
        <w:right w:val="none" w:sz="0" w:space="0" w:color="auto"/>
      </w:divBdr>
      <w:divsChild>
        <w:div w:id="1673222810">
          <w:marLeft w:val="0"/>
          <w:marRight w:val="0"/>
          <w:marTop w:val="0"/>
          <w:marBottom w:val="0"/>
          <w:divBdr>
            <w:top w:val="none" w:sz="0" w:space="0" w:color="auto"/>
            <w:left w:val="none" w:sz="0" w:space="0" w:color="auto"/>
            <w:bottom w:val="none" w:sz="0" w:space="0" w:color="auto"/>
            <w:right w:val="none" w:sz="0" w:space="0" w:color="auto"/>
          </w:divBdr>
          <w:divsChild>
            <w:div w:id="345012765">
              <w:marLeft w:val="0"/>
              <w:marRight w:val="0"/>
              <w:marTop w:val="0"/>
              <w:marBottom w:val="0"/>
              <w:divBdr>
                <w:top w:val="none" w:sz="0" w:space="0" w:color="auto"/>
                <w:left w:val="none" w:sz="0" w:space="0" w:color="auto"/>
                <w:bottom w:val="none" w:sz="0" w:space="0" w:color="auto"/>
                <w:right w:val="none" w:sz="0" w:space="0" w:color="auto"/>
              </w:divBdr>
              <w:divsChild>
                <w:div w:id="8639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570209">
      <w:bodyDiv w:val="1"/>
      <w:marLeft w:val="0"/>
      <w:marRight w:val="0"/>
      <w:marTop w:val="0"/>
      <w:marBottom w:val="0"/>
      <w:divBdr>
        <w:top w:val="none" w:sz="0" w:space="0" w:color="auto"/>
        <w:left w:val="none" w:sz="0" w:space="0" w:color="auto"/>
        <w:bottom w:val="none" w:sz="0" w:space="0" w:color="auto"/>
        <w:right w:val="none" w:sz="0" w:space="0" w:color="auto"/>
      </w:divBdr>
    </w:div>
    <w:div w:id="1589802289">
      <w:bodyDiv w:val="1"/>
      <w:marLeft w:val="0"/>
      <w:marRight w:val="0"/>
      <w:marTop w:val="0"/>
      <w:marBottom w:val="0"/>
      <w:divBdr>
        <w:top w:val="none" w:sz="0" w:space="0" w:color="auto"/>
        <w:left w:val="none" w:sz="0" w:space="0" w:color="auto"/>
        <w:bottom w:val="none" w:sz="0" w:space="0" w:color="auto"/>
        <w:right w:val="none" w:sz="0" w:space="0" w:color="auto"/>
      </w:divBdr>
    </w:div>
    <w:div w:id="1620137393">
      <w:bodyDiv w:val="1"/>
      <w:marLeft w:val="0"/>
      <w:marRight w:val="0"/>
      <w:marTop w:val="0"/>
      <w:marBottom w:val="0"/>
      <w:divBdr>
        <w:top w:val="none" w:sz="0" w:space="0" w:color="auto"/>
        <w:left w:val="none" w:sz="0" w:space="0" w:color="auto"/>
        <w:bottom w:val="none" w:sz="0" w:space="0" w:color="auto"/>
        <w:right w:val="none" w:sz="0" w:space="0" w:color="auto"/>
      </w:divBdr>
    </w:div>
    <w:div w:id="1636133424">
      <w:bodyDiv w:val="1"/>
      <w:marLeft w:val="0"/>
      <w:marRight w:val="0"/>
      <w:marTop w:val="0"/>
      <w:marBottom w:val="0"/>
      <w:divBdr>
        <w:top w:val="none" w:sz="0" w:space="0" w:color="auto"/>
        <w:left w:val="none" w:sz="0" w:space="0" w:color="auto"/>
        <w:bottom w:val="none" w:sz="0" w:space="0" w:color="auto"/>
        <w:right w:val="none" w:sz="0" w:space="0" w:color="auto"/>
      </w:divBdr>
      <w:divsChild>
        <w:div w:id="939798831">
          <w:marLeft w:val="0"/>
          <w:marRight w:val="0"/>
          <w:marTop w:val="0"/>
          <w:marBottom w:val="0"/>
          <w:divBdr>
            <w:top w:val="none" w:sz="0" w:space="0" w:color="auto"/>
            <w:left w:val="none" w:sz="0" w:space="0" w:color="auto"/>
            <w:bottom w:val="none" w:sz="0" w:space="0" w:color="auto"/>
            <w:right w:val="none" w:sz="0" w:space="0" w:color="auto"/>
          </w:divBdr>
          <w:divsChild>
            <w:div w:id="1805199224">
              <w:marLeft w:val="0"/>
              <w:marRight w:val="0"/>
              <w:marTop w:val="0"/>
              <w:marBottom w:val="0"/>
              <w:divBdr>
                <w:top w:val="none" w:sz="0" w:space="0" w:color="auto"/>
                <w:left w:val="none" w:sz="0" w:space="0" w:color="auto"/>
                <w:bottom w:val="none" w:sz="0" w:space="0" w:color="auto"/>
                <w:right w:val="none" w:sz="0" w:space="0" w:color="auto"/>
              </w:divBdr>
              <w:divsChild>
                <w:div w:id="95429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230666">
      <w:bodyDiv w:val="1"/>
      <w:marLeft w:val="0"/>
      <w:marRight w:val="0"/>
      <w:marTop w:val="0"/>
      <w:marBottom w:val="0"/>
      <w:divBdr>
        <w:top w:val="none" w:sz="0" w:space="0" w:color="auto"/>
        <w:left w:val="none" w:sz="0" w:space="0" w:color="auto"/>
        <w:bottom w:val="none" w:sz="0" w:space="0" w:color="auto"/>
        <w:right w:val="none" w:sz="0" w:space="0" w:color="auto"/>
      </w:divBdr>
    </w:div>
    <w:div w:id="1700546089">
      <w:bodyDiv w:val="1"/>
      <w:marLeft w:val="0"/>
      <w:marRight w:val="0"/>
      <w:marTop w:val="0"/>
      <w:marBottom w:val="0"/>
      <w:divBdr>
        <w:top w:val="none" w:sz="0" w:space="0" w:color="auto"/>
        <w:left w:val="none" w:sz="0" w:space="0" w:color="auto"/>
        <w:bottom w:val="none" w:sz="0" w:space="0" w:color="auto"/>
        <w:right w:val="none" w:sz="0" w:space="0" w:color="auto"/>
      </w:divBdr>
      <w:divsChild>
        <w:div w:id="1071540634">
          <w:marLeft w:val="0"/>
          <w:marRight w:val="0"/>
          <w:marTop w:val="0"/>
          <w:marBottom w:val="0"/>
          <w:divBdr>
            <w:top w:val="none" w:sz="0" w:space="0" w:color="auto"/>
            <w:left w:val="none" w:sz="0" w:space="0" w:color="auto"/>
            <w:bottom w:val="none" w:sz="0" w:space="0" w:color="auto"/>
            <w:right w:val="none" w:sz="0" w:space="0" w:color="auto"/>
          </w:divBdr>
          <w:divsChild>
            <w:div w:id="1984120165">
              <w:marLeft w:val="0"/>
              <w:marRight w:val="0"/>
              <w:marTop w:val="0"/>
              <w:marBottom w:val="0"/>
              <w:divBdr>
                <w:top w:val="none" w:sz="0" w:space="0" w:color="auto"/>
                <w:left w:val="none" w:sz="0" w:space="0" w:color="auto"/>
                <w:bottom w:val="none" w:sz="0" w:space="0" w:color="auto"/>
                <w:right w:val="none" w:sz="0" w:space="0" w:color="auto"/>
              </w:divBdr>
              <w:divsChild>
                <w:div w:id="174129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218801">
      <w:bodyDiv w:val="1"/>
      <w:marLeft w:val="0"/>
      <w:marRight w:val="0"/>
      <w:marTop w:val="0"/>
      <w:marBottom w:val="0"/>
      <w:divBdr>
        <w:top w:val="none" w:sz="0" w:space="0" w:color="auto"/>
        <w:left w:val="none" w:sz="0" w:space="0" w:color="auto"/>
        <w:bottom w:val="none" w:sz="0" w:space="0" w:color="auto"/>
        <w:right w:val="none" w:sz="0" w:space="0" w:color="auto"/>
      </w:divBdr>
    </w:div>
    <w:div w:id="1768770263">
      <w:bodyDiv w:val="1"/>
      <w:marLeft w:val="0"/>
      <w:marRight w:val="0"/>
      <w:marTop w:val="0"/>
      <w:marBottom w:val="0"/>
      <w:divBdr>
        <w:top w:val="none" w:sz="0" w:space="0" w:color="auto"/>
        <w:left w:val="none" w:sz="0" w:space="0" w:color="auto"/>
        <w:bottom w:val="none" w:sz="0" w:space="0" w:color="auto"/>
        <w:right w:val="none" w:sz="0" w:space="0" w:color="auto"/>
      </w:divBdr>
      <w:divsChild>
        <w:div w:id="1206406752">
          <w:marLeft w:val="0"/>
          <w:marRight w:val="0"/>
          <w:marTop w:val="0"/>
          <w:marBottom w:val="0"/>
          <w:divBdr>
            <w:top w:val="none" w:sz="0" w:space="0" w:color="auto"/>
            <w:left w:val="none" w:sz="0" w:space="0" w:color="auto"/>
            <w:bottom w:val="none" w:sz="0" w:space="0" w:color="auto"/>
            <w:right w:val="none" w:sz="0" w:space="0" w:color="auto"/>
          </w:divBdr>
          <w:divsChild>
            <w:div w:id="1326397169">
              <w:marLeft w:val="0"/>
              <w:marRight w:val="0"/>
              <w:marTop w:val="0"/>
              <w:marBottom w:val="0"/>
              <w:divBdr>
                <w:top w:val="none" w:sz="0" w:space="0" w:color="auto"/>
                <w:left w:val="none" w:sz="0" w:space="0" w:color="auto"/>
                <w:bottom w:val="none" w:sz="0" w:space="0" w:color="auto"/>
                <w:right w:val="none" w:sz="0" w:space="0" w:color="auto"/>
              </w:divBdr>
              <w:divsChild>
                <w:div w:id="162688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352420">
      <w:bodyDiv w:val="1"/>
      <w:marLeft w:val="0"/>
      <w:marRight w:val="0"/>
      <w:marTop w:val="0"/>
      <w:marBottom w:val="0"/>
      <w:divBdr>
        <w:top w:val="none" w:sz="0" w:space="0" w:color="auto"/>
        <w:left w:val="none" w:sz="0" w:space="0" w:color="auto"/>
        <w:bottom w:val="none" w:sz="0" w:space="0" w:color="auto"/>
        <w:right w:val="none" w:sz="0" w:space="0" w:color="auto"/>
      </w:divBdr>
    </w:div>
    <w:div w:id="1810784648">
      <w:bodyDiv w:val="1"/>
      <w:marLeft w:val="0"/>
      <w:marRight w:val="0"/>
      <w:marTop w:val="0"/>
      <w:marBottom w:val="0"/>
      <w:divBdr>
        <w:top w:val="none" w:sz="0" w:space="0" w:color="auto"/>
        <w:left w:val="none" w:sz="0" w:space="0" w:color="auto"/>
        <w:bottom w:val="none" w:sz="0" w:space="0" w:color="auto"/>
        <w:right w:val="none" w:sz="0" w:space="0" w:color="auto"/>
      </w:divBdr>
      <w:divsChild>
        <w:div w:id="1136026016">
          <w:marLeft w:val="0"/>
          <w:marRight w:val="0"/>
          <w:marTop w:val="0"/>
          <w:marBottom w:val="0"/>
          <w:divBdr>
            <w:top w:val="none" w:sz="0" w:space="0" w:color="auto"/>
            <w:left w:val="none" w:sz="0" w:space="0" w:color="auto"/>
            <w:bottom w:val="none" w:sz="0" w:space="0" w:color="auto"/>
            <w:right w:val="none" w:sz="0" w:space="0" w:color="auto"/>
          </w:divBdr>
          <w:divsChild>
            <w:div w:id="728575591">
              <w:marLeft w:val="0"/>
              <w:marRight w:val="0"/>
              <w:marTop w:val="0"/>
              <w:marBottom w:val="0"/>
              <w:divBdr>
                <w:top w:val="none" w:sz="0" w:space="0" w:color="auto"/>
                <w:left w:val="none" w:sz="0" w:space="0" w:color="auto"/>
                <w:bottom w:val="none" w:sz="0" w:space="0" w:color="auto"/>
                <w:right w:val="none" w:sz="0" w:space="0" w:color="auto"/>
              </w:divBdr>
              <w:divsChild>
                <w:div w:id="34120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90117">
      <w:bodyDiv w:val="1"/>
      <w:marLeft w:val="0"/>
      <w:marRight w:val="0"/>
      <w:marTop w:val="0"/>
      <w:marBottom w:val="0"/>
      <w:divBdr>
        <w:top w:val="none" w:sz="0" w:space="0" w:color="auto"/>
        <w:left w:val="none" w:sz="0" w:space="0" w:color="auto"/>
        <w:bottom w:val="none" w:sz="0" w:space="0" w:color="auto"/>
        <w:right w:val="none" w:sz="0" w:space="0" w:color="auto"/>
      </w:divBdr>
    </w:div>
    <w:div w:id="1971664525">
      <w:bodyDiv w:val="1"/>
      <w:marLeft w:val="0"/>
      <w:marRight w:val="0"/>
      <w:marTop w:val="0"/>
      <w:marBottom w:val="0"/>
      <w:divBdr>
        <w:top w:val="none" w:sz="0" w:space="0" w:color="auto"/>
        <w:left w:val="none" w:sz="0" w:space="0" w:color="auto"/>
        <w:bottom w:val="none" w:sz="0" w:space="0" w:color="auto"/>
        <w:right w:val="none" w:sz="0" w:space="0" w:color="auto"/>
      </w:divBdr>
    </w:div>
    <w:div w:id="2107917655">
      <w:bodyDiv w:val="1"/>
      <w:marLeft w:val="0"/>
      <w:marRight w:val="0"/>
      <w:marTop w:val="0"/>
      <w:marBottom w:val="0"/>
      <w:divBdr>
        <w:top w:val="none" w:sz="0" w:space="0" w:color="auto"/>
        <w:left w:val="none" w:sz="0" w:space="0" w:color="auto"/>
        <w:bottom w:val="none" w:sz="0" w:space="0" w:color="auto"/>
        <w:right w:val="none" w:sz="0" w:space="0" w:color="auto"/>
      </w:divBdr>
      <w:divsChild>
        <w:div w:id="839733470">
          <w:marLeft w:val="0"/>
          <w:marRight w:val="0"/>
          <w:marTop w:val="0"/>
          <w:marBottom w:val="0"/>
          <w:divBdr>
            <w:top w:val="none" w:sz="0" w:space="0" w:color="auto"/>
            <w:left w:val="none" w:sz="0" w:space="0" w:color="auto"/>
            <w:bottom w:val="none" w:sz="0" w:space="0" w:color="auto"/>
            <w:right w:val="none" w:sz="0" w:space="0" w:color="auto"/>
          </w:divBdr>
          <w:divsChild>
            <w:div w:id="1672103505">
              <w:marLeft w:val="0"/>
              <w:marRight w:val="0"/>
              <w:marTop w:val="0"/>
              <w:marBottom w:val="0"/>
              <w:divBdr>
                <w:top w:val="none" w:sz="0" w:space="0" w:color="auto"/>
                <w:left w:val="none" w:sz="0" w:space="0" w:color="auto"/>
                <w:bottom w:val="none" w:sz="0" w:space="0" w:color="auto"/>
                <w:right w:val="none" w:sz="0" w:space="0" w:color="auto"/>
              </w:divBdr>
              <w:divsChild>
                <w:div w:id="885873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845620">
      <w:bodyDiv w:val="1"/>
      <w:marLeft w:val="0"/>
      <w:marRight w:val="0"/>
      <w:marTop w:val="0"/>
      <w:marBottom w:val="0"/>
      <w:divBdr>
        <w:top w:val="none" w:sz="0" w:space="0" w:color="auto"/>
        <w:left w:val="none" w:sz="0" w:space="0" w:color="auto"/>
        <w:bottom w:val="none" w:sz="0" w:space="0" w:color="auto"/>
        <w:right w:val="none" w:sz="0" w:space="0" w:color="auto"/>
      </w:divBdr>
    </w:div>
    <w:div w:id="2133284190">
      <w:bodyDiv w:val="1"/>
      <w:marLeft w:val="0"/>
      <w:marRight w:val="0"/>
      <w:marTop w:val="0"/>
      <w:marBottom w:val="0"/>
      <w:divBdr>
        <w:top w:val="none" w:sz="0" w:space="0" w:color="auto"/>
        <w:left w:val="none" w:sz="0" w:space="0" w:color="auto"/>
        <w:bottom w:val="none" w:sz="0" w:space="0" w:color="auto"/>
        <w:right w:val="none" w:sz="0" w:space="0" w:color="auto"/>
      </w:divBdr>
      <w:divsChild>
        <w:div w:id="1981760003">
          <w:marLeft w:val="0"/>
          <w:marRight w:val="0"/>
          <w:marTop w:val="0"/>
          <w:marBottom w:val="0"/>
          <w:divBdr>
            <w:top w:val="none" w:sz="0" w:space="0" w:color="auto"/>
            <w:left w:val="none" w:sz="0" w:space="0" w:color="auto"/>
            <w:bottom w:val="none" w:sz="0" w:space="0" w:color="auto"/>
            <w:right w:val="none" w:sz="0" w:space="0" w:color="auto"/>
          </w:divBdr>
          <w:divsChild>
            <w:div w:id="1788965512">
              <w:marLeft w:val="0"/>
              <w:marRight w:val="0"/>
              <w:marTop w:val="0"/>
              <w:marBottom w:val="0"/>
              <w:divBdr>
                <w:top w:val="none" w:sz="0" w:space="0" w:color="auto"/>
                <w:left w:val="none" w:sz="0" w:space="0" w:color="auto"/>
                <w:bottom w:val="none" w:sz="0" w:space="0" w:color="auto"/>
                <w:right w:val="none" w:sz="0" w:space="0" w:color="auto"/>
              </w:divBdr>
              <w:divsChild>
                <w:div w:id="33202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63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cambridge.org/elt/blog/2014/03/17/five-reasons-feedback-may-important-skill/" TargetMode="External"/><Relationship Id="rId9" Type="http://schemas.openxmlformats.org/officeDocument/2006/relationships/hyperlink" Target="https://www.hesa.ac.uk/data-and-analysis/students/outcomes"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83C52-D13A-3B4D-83C0-6E801D557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11</Pages>
  <Words>3231</Words>
  <Characters>18421</Characters>
  <Application>Microsoft Macintosh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Kempson (1701225)</dc:creator>
  <cp:keywords/>
  <dc:description/>
  <cp:lastModifiedBy>James Kempson (1701225)</cp:lastModifiedBy>
  <cp:revision>12</cp:revision>
  <dcterms:created xsi:type="dcterms:W3CDTF">2020-02-23T21:18:00Z</dcterms:created>
  <dcterms:modified xsi:type="dcterms:W3CDTF">2020-02-24T16:16:00Z</dcterms:modified>
</cp:coreProperties>
</file>