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D8703" w14:textId="77777777" w:rsidR="00B76492" w:rsidRPr="001D0F7B" w:rsidRDefault="00B76492" w:rsidP="00B76492">
      <w:pPr>
        <w:jc w:val="center"/>
        <w:rPr>
          <w:sz w:val="22"/>
          <w:szCs w:val="22"/>
          <w:u w:val="single"/>
        </w:rPr>
      </w:pPr>
      <w:r w:rsidRPr="001D0F7B">
        <w:rPr>
          <w:sz w:val="22"/>
          <w:szCs w:val="22"/>
          <w:u w:val="single"/>
        </w:rPr>
        <w:t xml:space="preserve">Based on evidence from current research and policy as well as on data gathered from a group questionnaire, critically discuss an inclusive approach to supporting the needs of a particular group of pupils.  Focus on </w:t>
      </w:r>
      <w:r w:rsidRPr="001D0F7B">
        <w:rPr>
          <w:b/>
          <w:sz w:val="22"/>
          <w:szCs w:val="22"/>
          <w:u w:val="single"/>
        </w:rPr>
        <w:t>one</w:t>
      </w:r>
      <w:r w:rsidRPr="001D0F7B">
        <w:rPr>
          <w:sz w:val="22"/>
          <w:szCs w:val="22"/>
          <w:u w:val="single"/>
        </w:rPr>
        <w:t xml:space="preserve"> specific learning difficulty, disability or additional need for your discussion.</w:t>
      </w:r>
    </w:p>
    <w:p w14:paraId="551338CF" w14:textId="24803D87" w:rsidR="00FC2E6A" w:rsidRPr="001D0F7B" w:rsidRDefault="00FC2E6A">
      <w:pPr>
        <w:rPr>
          <w:sz w:val="22"/>
          <w:szCs w:val="22"/>
          <w:u w:val="single"/>
        </w:rPr>
      </w:pPr>
    </w:p>
    <w:p w14:paraId="66C53317" w14:textId="3645EB66" w:rsidR="00B76492" w:rsidRPr="001D0F7B" w:rsidRDefault="00B76492">
      <w:pPr>
        <w:rPr>
          <w:sz w:val="22"/>
          <w:szCs w:val="22"/>
        </w:rPr>
      </w:pPr>
    </w:p>
    <w:p w14:paraId="33646D11" w14:textId="2EB8E3D1" w:rsidR="00B76492" w:rsidRPr="001D0F7B" w:rsidRDefault="00B76492">
      <w:pPr>
        <w:rPr>
          <w:sz w:val="22"/>
          <w:szCs w:val="22"/>
        </w:rPr>
      </w:pPr>
    </w:p>
    <w:p w14:paraId="152B2106" w14:textId="20D7987E" w:rsidR="00D64B42" w:rsidRPr="001D0F7B" w:rsidRDefault="00B76492">
      <w:pPr>
        <w:rPr>
          <w:sz w:val="22"/>
          <w:szCs w:val="22"/>
        </w:rPr>
      </w:pPr>
      <w:r w:rsidRPr="001D0F7B">
        <w:rPr>
          <w:sz w:val="22"/>
          <w:szCs w:val="22"/>
        </w:rPr>
        <w:t xml:space="preserve">Michael Dauncey </w:t>
      </w:r>
      <w:r w:rsidR="00766236" w:rsidRPr="001D0F7B">
        <w:rPr>
          <w:sz w:val="22"/>
          <w:szCs w:val="22"/>
        </w:rPr>
        <w:t>(2016) refers to t</w:t>
      </w:r>
      <w:r w:rsidRPr="001D0F7B">
        <w:rPr>
          <w:sz w:val="22"/>
          <w:szCs w:val="22"/>
        </w:rPr>
        <w:t>he</w:t>
      </w:r>
      <w:r w:rsidR="00766236" w:rsidRPr="001D0F7B">
        <w:rPr>
          <w:sz w:val="22"/>
          <w:szCs w:val="22"/>
        </w:rPr>
        <w:t xml:space="preserve"> 1996</w:t>
      </w:r>
      <w:r w:rsidRPr="001D0F7B">
        <w:rPr>
          <w:sz w:val="22"/>
          <w:szCs w:val="22"/>
        </w:rPr>
        <w:t xml:space="preserve"> Education Act</w:t>
      </w:r>
      <w:r w:rsidR="00766236" w:rsidRPr="001D0F7B">
        <w:rPr>
          <w:sz w:val="22"/>
          <w:szCs w:val="22"/>
        </w:rPr>
        <w:t xml:space="preserve"> that</w:t>
      </w:r>
      <w:r w:rsidRPr="001D0F7B">
        <w:rPr>
          <w:sz w:val="22"/>
          <w:szCs w:val="22"/>
        </w:rPr>
        <w:t xml:space="preserve"> states that children with </w:t>
      </w:r>
      <w:r w:rsidR="003E4F7F" w:rsidRPr="001D0F7B">
        <w:rPr>
          <w:sz w:val="22"/>
          <w:szCs w:val="22"/>
        </w:rPr>
        <w:t>Special Educational</w:t>
      </w:r>
      <w:r w:rsidRPr="001D0F7B">
        <w:rPr>
          <w:sz w:val="22"/>
          <w:szCs w:val="22"/>
        </w:rPr>
        <w:t xml:space="preserve"> Needs (</w:t>
      </w:r>
      <w:r w:rsidR="003E4F7F" w:rsidRPr="001D0F7B">
        <w:rPr>
          <w:sz w:val="22"/>
          <w:szCs w:val="22"/>
        </w:rPr>
        <w:t>SEN</w:t>
      </w:r>
      <w:r w:rsidRPr="001D0F7B">
        <w:rPr>
          <w:sz w:val="22"/>
          <w:szCs w:val="22"/>
        </w:rPr>
        <w:t xml:space="preserve">) are children that have a learning difficulty which requires a special educational provision to be implemented to </w:t>
      </w:r>
      <w:r w:rsidR="00CF4C17" w:rsidRPr="001D0F7B">
        <w:rPr>
          <w:sz w:val="22"/>
          <w:szCs w:val="22"/>
        </w:rPr>
        <w:t>support</w:t>
      </w:r>
      <w:r w:rsidRPr="001D0F7B">
        <w:rPr>
          <w:sz w:val="22"/>
          <w:szCs w:val="22"/>
        </w:rPr>
        <w:t xml:space="preserve"> them on a daily basis. </w:t>
      </w:r>
      <w:r w:rsidR="00766236" w:rsidRPr="001D0F7B">
        <w:rPr>
          <w:sz w:val="22"/>
          <w:szCs w:val="22"/>
        </w:rPr>
        <w:t xml:space="preserve">He also states that </w:t>
      </w:r>
      <w:r w:rsidR="008658F2" w:rsidRPr="001D0F7B">
        <w:rPr>
          <w:sz w:val="22"/>
          <w:szCs w:val="22"/>
        </w:rPr>
        <w:t xml:space="preserve">one in five children in Welsh schools have </w:t>
      </w:r>
      <w:r w:rsidR="003E4F7F" w:rsidRPr="001D0F7B">
        <w:rPr>
          <w:sz w:val="22"/>
          <w:szCs w:val="22"/>
        </w:rPr>
        <w:t>SEN</w:t>
      </w:r>
      <w:r w:rsidR="006753E0" w:rsidRPr="001D0F7B">
        <w:rPr>
          <w:sz w:val="22"/>
          <w:szCs w:val="22"/>
        </w:rPr>
        <w:t xml:space="preserve">, with provisions implemented either by the school or outside agencies. </w:t>
      </w:r>
      <w:r w:rsidR="00CF4C17" w:rsidRPr="001D0F7B">
        <w:rPr>
          <w:sz w:val="22"/>
          <w:szCs w:val="22"/>
        </w:rPr>
        <w:t xml:space="preserve">This shows how common </w:t>
      </w:r>
      <w:r w:rsidR="003E4F7F" w:rsidRPr="001D0F7B">
        <w:rPr>
          <w:sz w:val="22"/>
          <w:szCs w:val="22"/>
        </w:rPr>
        <w:t xml:space="preserve">children with SEN are and how important it is to have provisions in place, as it may be a situation that every teacher will have to face in their career. However, in 2018 the Welsh Government published the Additional Learning Needs (ALN) and Education Tribunal Act that intends to provide local authorities to move children from the SEN system to the ALN system. The ALN system aims to be implemented </w:t>
      </w:r>
      <w:r w:rsidR="00CE6A23" w:rsidRPr="001D0F7B">
        <w:rPr>
          <w:sz w:val="22"/>
          <w:szCs w:val="22"/>
        </w:rPr>
        <w:t xml:space="preserve">in the next few years </w:t>
      </w:r>
      <w:r w:rsidR="003E4F7F" w:rsidRPr="001D0F7B">
        <w:rPr>
          <w:sz w:val="22"/>
          <w:szCs w:val="22"/>
        </w:rPr>
        <w:t>and sets out to change the way children are identified with ALN,</w:t>
      </w:r>
      <w:r w:rsidR="00D64B42" w:rsidRPr="001D0F7B">
        <w:rPr>
          <w:sz w:val="22"/>
          <w:szCs w:val="22"/>
        </w:rPr>
        <w:t xml:space="preserve"> converting them from the SEN system to the ALN system. This will be carried out by creating Individual Development Plans (IDP) for each child with ALN rather than a general statement to follow. It is also stated that “Person-centred planning (PCP) will be integral to the ALN system” (Welsh Government, 2018). This means that each child with ALN and </w:t>
      </w:r>
      <w:r w:rsidR="001D0F7B" w:rsidRPr="001D0F7B">
        <w:rPr>
          <w:sz w:val="22"/>
          <w:szCs w:val="22"/>
        </w:rPr>
        <w:t>an</w:t>
      </w:r>
      <w:r w:rsidR="00D64B42" w:rsidRPr="001D0F7B">
        <w:rPr>
          <w:sz w:val="22"/>
          <w:szCs w:val="22"/>
        </w:rPr>
        <w:t xml:space="preserve"> IDP in place should be kept in mind for every lesson, and the activities and provisions should be accessible to each child and in line with any IDPs. It also asserts that preparing and maintaining the IDP are crucial. The implementation of this act allows children with ALN to become an inclusive member of a class and means that, when appropriate, they can experience school like every other child, while the IDPs and PCP ensure that they are comfortable and catered for educationally. </w:t>
      </w:r>
      <w:r w:rsidR="006759F9" w:rsidRPr="001D0F7B">
        <w:rPr>
          <w:sz w:val="22"/>
          <w:szCs w:val="22"/>
        </w:rPr>
        <w:t>Linda Pound (</w:t>
      </w:r>
      <w:r w:rsidR="000768C7" w:rsidRPr="001D0F7B">
        <w:rPr>
          <w:sz w:val="22"/>
          <w:szCs w:val="22"/>
        </w:rPr>
        <w:t>2014) mentions that Robert Owen believed that everyone should have equal rights, regardless of gender or condition and that all children have the ability to be nurtured into who they will be in adult life, no matter who they are. This is therefore enforced by the ALN system that strives to provide all children with ALN, as well as without, with the input and nurture that they require to develop through school and become “healthy, confident individuals who are ready to lead fulfilling lives as valued members of society” (Donaldson, 2015). This is also supported by several of The UN Convention on the Rights of the Child</w:t>
      </w:r>
      <w:r w:rsidR="00C169F0" w:rsidRPr="001D0F7B">
        <w:rPr>
          <w:sz w:val="22"/>
          <w:szCs w:val="22"/>
        </w:rPr>
        <w:t xml:space="preserve"> (UNCRC)</w:t>
      </w:r>
      <w:r w:rsidR="000768C7" w:rsidRPr="001D0F7B">
        <w:rPr>
          <w:sz w:val="22"/>
          <w:szCs w:val="22"/>
        </w:rPr>
        <w:t xml:space="preserve">, particularly </w:t>
      </w:r>
      <w:r w:rsidR="00C169F0" w:rsidRPr="001D0F7B">
        <w:rPr>
          <w:sz w:val="22"/>
          <w:szCs w:val="22"/>
        </w:rPr>
        <w:t>A</w:t>
      </w:r>
      <w:r w:rsidR="000768C7" w:rsidRPr="001D0F7B">
        <w:rPr>
          <w:sz w:val="22"/>
          <w:szCs w:val="22"/>
        </w:rPr>
        <w:t>rticle 2 which states that all children regardless of ability have these rights</w:t>
      </w:r>
      <w:r w:rsidR="00C169F0" w:rsidRPr="001D0F7B">
        <w:rPr>
          <w:sz w:val="22"/>
          <w:szCs w:val="22"/>
        </w:rPr>
        <w:t xml:space="preserve">, Article 23 which asserts that all children with disabilities have the right to live a full life and Articles 28 and 29 that ensure that all children have a right to a good education that provides them with the opportunities to learn, grow and develop new skills. </w:t>
      </w:r>
    </w:p>
    <w:p w14:paraId="2EECA1A4" w14:textId="0996C7DB" w:rsidR="00AE5FA1" w:rsidRPr="001D0F7B" w:rsidRDefault="00CE6A23">
      <w:pPr>
        <w:rPr>
          <w:sz w:val="22"/>
          <w:szCs w:val="22"/>
        </w:rPr>
      </w:pPr>
      <w:r w:rsidRPr="001D0F7B">
        <w:rPr>
          <w:sz w:val="22"/>
          <w:szCs w:val="22"/>
        </w:rPr>
        <w:t>The assignment will focus more specifically on the ALN of Dyslexia in children of primary school age. According to the National Health Service (NHS) website</w:t>
      </w:r>
      <w:r w:rsidR="00AB4ABE" w:rsidRPr="001D0F7B">
        <w:rPr>
          <w:sz w:val="22"/>
          <w:szCs w:val="22"/>
        </w:rPr>
        <w:t xml:space="preserve"> (2018)</w:t>
      </w:r>
      <w:r w:rsidRPr="001D0F7B">
        <w:rPr>
          <w:sz w:val="22"/>
          <w:szCs w:val="22"/>
        </w:rPr>
        <w:t>, Dyslexia is a common learning difficulty that can affect a person’s reading, writing and spelling. However, it states that it does not affect intelligence, therefore does not class as a disability. They claim that the lifelong difficulty affects an estimated 1 in 10 people in the UK</w:t>
      </w:r>
      <w:r w:rsidR="005A3B4D" w:rsidRPr="001D0F7B">
        <w:rPr>
          <w:sz w:val="22"/>
          <w:szCs w:val="22"/>
        </w:rPr>
        <w:t xml:space="preserve">. Signs of Dyslexia frequently include: slow reading and writing, confusing the order of letters, struggles with directional sequences and struggles with planning and organisation. </w:t>
      </w:r>
      <w:r w:rsidR="00AB4ABE" w:rsidRPr="001D0F7B">
        <w:rPr>
          <w:sz w:val="22"/>
          <w:szCs w:val="22"/>
        </w:rPr>
        <w:t>The Department for Education and Skills</w:t>
      </w:r>
      <w:r w:rsidR="00034709" w:rsidRPr="001D0F7B">
        <w:rPr>
          <w:sz w:val="22"/>
          <w:szCs w:val="22"/>
        </w:rPr>
        <w:t xml:space="preserve"> (2012)</w:t>
      </w:r>
      <w:r w:rsidR="00AB4ABE" w:rsidRPr="001D0F7B">
        <w:rPr>
          <w:sz w:val="22"/>
          <w:szCs w:val="22"/>
        </w:rPr>
        <w:t xml:space="preserve"> use Dyslexia as an ‘umbrella term’ due to its differing definitions and symptoms and make a point of mentioning that it can run in the family, </w:t>
      </w:r>
      <w:r w:rsidR="00034709" w:rsidRPr="001D0F7B">
        <w:rPr>
          <w:sz w:val="22"/>
          <w:szCs w:val="22"/>
        </w:rPr>
        <w:t xml:space="preserve">developed by illness or injury and can be linked to other difficulties such as dyspraxia and dysphasia. </w:t>
      </w:r>
      <w:r w:rsidR="00AE5FA1" w:rsidRPr="001D0F7B">
        <w:rPr>
          <w:sz w:val="22"/>
          <w:szCs w:val="22"/>
        </w:rPr>
        <w:t xml:space="preserve">In 2015, Welsh Government published a framework based upon Specific Learning Difficulties aimed at mainstream schools and local authorities (LAs). It was intended to provide schools and LAs with an insight into the struggles of the difficulties in order for necessary and beneficial adjustments to be enforced into </w:t>
      </w:r>
      <w:r w:rsidR="00FA053A" w:rsidRPr="001D0F7B">
        <w:rPr>
          <w:sz w:val="22"/>
          <w:szCs w:val="22"/>
        </w:rPr>
        <w:t>classroom environments to improve the effected children’s learning experience. This framework classes Dyslexia as a Specific Learning Difficulty (SpLD) rather than just a part of the SEN/ALN system to support</w:t>
      </w:r>
      <w:r w:rsidR="0014240E" w:rsidRPr="001D0F7B">
        <w:rPr>
          <w:sz w:val="22"/>
          <w:szCs w:val="22"/>
        </w:rPr>
        <w:t xml:space="preserve"> more pupils and early identification of the </w:t>
      </w:r>
      <w:r w:rsidR="001D0F7B" w:rsidRPr="001D0F7B">
        <w:rPr>
          <w:sz w:val="22"/>
          <w:szCs w:val="22"/>
        </w:rPr>
        <w:t>difficulties and</w:t>
      </w:r>
      <w:r w:rsidR="00FA053A" w:rsidRPr="001D0F7B">
        <w:rPr>
          <w:sz w:val="22"/>
          <w:szCs w:val="22"/>
        </w:rPr>
        <w:t xml:space="preserve"> was created due to the lack of consistency in identifying and making provisions for children with SpLDs.</w:t>
      </w:r>
      <w:r w:rsidR="0014240E" w:rsidRPr="001D0F7B">
        <w:rPr>
          <w:sz w:val="22"/>
          <w:szCs w:val="22"/>
        </w:rPr>
        <w:t xml:space="preserve"> It offers advice such as allowing children to take an active part in planning their work, encouraging practitioners to set certain targets for pupils with Dyslexia and aiming to meet those, as well as providing more training for staff. Children playing an active part links with Piaget</w:t>
      </w:r>
      <w:r w:rsidR="001A5446" w:rsidRPr="001D0F7B">
        <w:rPr>
          <w:sz w:val="22"/>
          <w:szCs w:val="22"/>
        </w:rPr>
        <w:t xml:space="preserve">’s theory that children are active learners and that their ideas should be listened to, as it should result in stronger engagement (Pound, 2014). The framework also claims that 1 to 2 learners in each classroom </w:t>
      </w:r>
      <w:r w:rsidR="001A5446" w:rsidRPr="001D0F7B">
        <w:rPr>
          <w:sz w:val="22"/>
          <w:szCs w:val="22"/>
        </w:rPr>
        <w:lastRenderedPageBreak/>
        <w:t xml:space="preserve">may have Dyslexia, highlighting the importance of early identification in order to implement necessary provisions to support them as much as possible. </w:t>
      </w:r>
    </w:p>
    <w:p w14:paraId="563A4AE7" w14:textId="72BFF00F" w:rsidR="00162117" w:rsidRPr="001D0F7B" w:rsidRDefault="00C23635">
      <w:pPr>
        <w:rPr>
          <w:sz w:val="22"/>
          <w:szCs w:val="22"/>
        </w:rPr>
      </w:pPr>
      <w:r w:rsidRPr="001D0F7B">
        <w:rPr>
          <w:sz w:val="22"/>
          <w:szCs w:val="22"/>
        </w:rPr>
        <w:t xml:space="preserve">In the early stages of this assignment, </w:t>
      </w:r>
      <w:r w:rsidR="00CD6B31" w:rsidRPr="001D0F7B">
        <w:rPr>
          <w:sz w:val="22"/>
          <w:szCs w:val="22"/>
        </w:rPr>
        <w:t>several topics were researched including Dyslexia, Asperger’s Syndrome, Poverty, Attention Deficit Hyperactivity Disorder and More Able and Talented Children</w:t>
      </w:r>
      <w:r w:rsidR="00987E2A" w:rsidRPr="001D0F7B">
        <w:rPr>
          <w:sz w:val="22"/>
          <w:szCs w:val="22"/>
        </w:rPr>
        <w:t>. It was apparent that there were many strategies online to overcome the problems faced by children with Dyslexia in reading, writing and spelling; along with solutions to some obstacles and provisions that have been tested around the country. Consequently, following a group meeting where the findings were shared, it was agreed that due to Dyslexia’s complex definition, prevalence and the amount of research available that it was a fitting choice to conduct further research into.</w:t>
      </w:r>
      <w:r w:rsidR="00162117" w:rsidRPr="001D0F7B">
        <w:rPr>
          <w:sz w:val="22"/>
          <w:szCs w:val="22"/>
        </w:rPr>
        <w:t xml:space="preserve"> This decision then led to each member of the group having specific areas of dyslexia, these areas were the reading/writing/spelling areas, the emotional and behavioural aspects and the problems with memory and processing information. </w:t>
      </w:r>
      <w:r w:rsidR="00D63F91" w:rsidRPr="001D0F7B">
        <w:rPr>
          <w:sz w:val="22"/>
          <w:szCs w:val="22"/>
        </w:rPr>
        <w:t>Pooling each member’s research</w:t>
      </w:r>
      <w:r w:rsidR="00162117" w:rsidRPr="001D0F7B">
        <w:rPr>
          <w:sz w:val="22"/>
          <w:szCs w:val="22"/>
        </w:rPr>
        <w:t xml:space="preserve"> provided the group with a greater insight into Dyslexia and provided a strong enough understanding to create some relevant questions, on the various aspects, to construct a questionnaire that was to be sent out to schools across the country to, once again, provide us with more information and develop our knowledge of the condition. </w:t>
      </w:r>
      <w:r w:rsidR="00D63F91" w:rsidRPr="001D0F7B">
        <w:rPr>
          <w:sz w:val="22"/>
          <w:szCs w:val="22"/>
        </w:rPr>
        <w:t xml:space="preserve">Professor K. Brad Wray (2002) claims that collaborative research appears to be more beneficial as it encourages a range of resources, viewpoints and research that can be used to reach a joint conclusion. </w:t>
      </w:r>
    </w:p>
    <w:p w14:paraId="2B98353F" w14:textId="00681667" w:rsidR="008A4849" w:rsidRPr="001D0F7B" w:rsidRDefault="006773E5" w:rsidP="008A4849">
      <w:pPr>
        <w:rPr>
          <w:sz w:val="22"/>
          <w:szCs w:val="22"/>
          <w:lang w:eastAsia="en-US"/>
        </w:rPr>
      </w:pPr>
      <w:r w:rsidRPr="001D0F7B">
        <w:rPr>
          <w:sz w:val="22"/>
          <w:szCs w:val="22"/>
        </w:rPr>
        <w:t xml:space="preserve">“In order to have confidence in the results of a study, one must be assured that the questionnaire consistently measures what it purports to measure when properly administered.” (Del Greco, 1987). This asserts that to ensure that the results of a questionnaire and further research, it is imperative that </w:t>
      </w:r>
      <w:r w:rsidR="00371103" w:rsidRPr="001D0F7B">
        <w:rPr>
          <w:sz w:val="22"/>
          <w:szCs w:val="22"/>
        </w:rPr>
        <w:t xml:space="preserve">the questionnaire must be reliable and valid. Del Greco elaborates by stating that in order for a </w:t>
      </w:r>
      <w:r w:rsidR="00E42662" w:rsidRPr="001D0F7B">
        <w:rPr>
          <w:sz w:val="22"/>
          <w:szCs w:val="22"/>
        </w:rPr>
        <w:t xml:space="preserve">questionnaire to be valid the questions need to be unbiased to encourage honest answers and have a professional layout which should exhort all respondents to answer seriously. </w:t>
      </w:r>
      <w:r w:rsidR="00860E0C" w:rsidRPr="001D0F7B">
        <w:rPr>
          <w:sz w:val="22"/>
          <w:szCs w:val="22"/>
        </w:rPr>
        <w:t>These recommendations influenced the layout and wording of the questions during the construction process</w:t>
      </w:r>
      <w:r w:rsidR="005F1127" w:rsidRPr="001D0F7B">
        <w:rPr>
          <w:sz w:val="22"/>
          <w:szCs w:val="22"/>
        </w:rPr>
        <w:t xml:space="preserve"> of the questionnaire. </w:t>
      </w:r>
      <w:r w:rsidR="00D170DB" w:rsidRPr="001D0F7B">
        <w:rPr>
          <w:sz w:val="22"/>
          <w:szCs w:val="22"/>
        </w:rPr>
        <w:t xml:space="preserve">The reliability of the responses was ensured by </w:t>
      </w:r>
      <w:r w:rsidR="00BF5A0D" w:rsidRPr="001D0F7B">
        <w:rPr>
          <w:sz w:val="22"/>
          <w:szCs w:val="22"/>
        </w:rPr>
        <w:t xml:space="preserve">guaranteeing that the questionnaire was sent specifically to school staff members, rather than being made public – providing answers based off experience and knowledge. However, a psychologist </w:t>
      </w:r>
      <w:r w:rsidR="001D0F7B" w:rsidRPr="001D0F7B">
        <w:rPr>
          <w:sz w:val="22"/>
          <w:szCs w:val="22"/>
        </w:rPr>
        <w:t>suggests</w:t>
      </w:r>
      <w:r w:rsidR="00BF5A0D" w:rsidRPr="001D0F7B">
        <w:rPr>
          <w:sz w:val="22"/>
          <w:szCs w:val="22"/>
        </w:rPr>
        <w:t xml:space="preserve"> that “a problem with questionnaire</w:t>
      </w:r>
      <w:r w:rsidR="004442B8" w:rsidRPr="001D0F7B">
        <w:rPr>
          <w:sz w:val="22"/>
          <w:szCs w:val="22"/>
        </w:rPr>
        <w:t xml:space="preserve"> is that respondents may lie due to social desirability. Most people want to create a present a positive image” (McLeod, 2018). This point creates questions on whether any answer is truly reliable </w:t>
      </w:r>
      <w:r w:rsidR="00F61282" w:rsidRPr="001D0F7B">
        <w:rPr>
          <w:sz w:val="22"/>
          <w:szCs w:val="22"/>
        </w:rPr>
        <w:t xml:space="preserve">and valid due to the desire to portray a positive representation of a situation, replacing the reality. However, in this instance it is necessary to believe the respondents and trust them as professional practitioners sharing the experience accumulated throughout their career. </w:t>
      </w:r>
      <w:r w:rsidR="009F650E" w:rsidRPr="001D0F7B">
        <w:rPr>
          <w:sz w:val="22"/>
          <w:szCs w:val="22"/>
        </w:rPr>
        <w:t>“</w:t>
      </w:r>
      <w:r w:rsidR="009F650E" w:rsidRPr="001D0F7B">
        <w:rPr>
          <w:color w:val="000000" w:themeColor="text1"/>
          <w:sz w:val="22"/>
          <w:szCs w:val="22"/>
          <w:shd w:val="clear" w:color="auto" w:fill="FFFFFF"/>
          <w:lang w:eastAsia="en-US"/>
        </w:rPr>
        <w:t>The integrity, reliability and validity of the research findings rely heavily on adherence to ethical principles</w:t>
      </w:r>
      <w:r w:rsidR="009F650E" w:rsidRPr="001D0F7B">
        <w:rPr>
          <w:sz w:val="22"/>
          <w:szCs w:val="22"/>
          <w:lang w:eastAsia="en-US"/>
        </w:rPr>
        <w:t>”</w:t>
      </w:r>
      <w:r w:rsidR="00762FEC" w:rsidRPr="001D0F7B">
        <w:rPr>
          <w:sz w:val="22"/>
          <w:szCs w:val="22"/>
          <w:lang w:eastAsia="en-US"/>
        </w:rPr>
        <w:t xml:space="preserve"> (CIRT, n/a). This claims that constructing the questionnaire and distributed ethically, which Eryn Travis (2017) explains, stating that participants should be informed of the purpose and nature of the research and informed that they may withdraw from responding at any point.</w:t>
      </w:r>
      <w:r w:rsidR="00BA77E1" w:rsidRPr="001D0F7B">
        <w:rPr>
          <w:sz w:val="22"/>
          <w:szCs w:val="22"/>
          <w:lang w:eastAsia="en-US"/>
        </w:rPr>
        <w:t xml:space="preserve"> This is to hopefully guarantee that no respondent has been misled or is uncomfortable completing the questionnaire.</w:t>
      </w:r>
      <w:r w:rsidR="00762FEC" w:rsidRPr="001D0F7B">
        <w:rPr>
          <w:sz w:val="22"/>
          <w:szCs w:val="22"/>
          <w:lang w:eastAsia="en-US"/>
        </w:rPr>
        <w:t xml:space="preserve"> “If confidentiality is promised to survey respondents, it must be protected.” (Travis, 2017). Confidentiality may encourage </w:t>
      </w:r>
      <w:r w:rsidR="00BA77E1" w:rsidRPr="001D0F7B">
        <w:rPr>
          <w:sz w:val="22"/>
          <w:szCs w:val="22"/>
          <w:lang w:eastAsia="en-US"/>
        </w:rPr>
        <w:t xml:space="preserve">more honest answers, however in this Dyslexia based questionnaire, participants were asked to reveal their LA to show the difference throughout different counties in Wales. Although, the accumulated data will only be used in this assignment and will be destroyed after use. In the same article, providing an explanation and providing the opportunities for any concerns or questions to be asked to support the participants is also mentioned to ensure an ethical piece of research. This again provides each of the participants with the context of the research and </w:t>
      </w:r>
      <w:r w:rsidR="00BB7EB8" w:rsidRPr="001D0F7B">
        <w:rPr>
          <w:sz w:val="22"/>
          <w:szCs w:val="22"/>
          <w:lang w:eastAsia="en-US"/>
        </w:rPr>
        <w:t xml:space="preserve">offers to the platform to provide feedback from respondents. </w:t>
      </w:r>
      <w:r w:rsidR="00BA77E1" w:rsidRPr="001D0F7B">
        <w:rPr>
          <w:sz w:val="22"/>
          <w:szCs w:val="22"/>
          <w:lang w:eastAsia="en-US"/>
        </w:rPr>
        <w:t xml:space="preserve">These standards were all </w:t>
      </w:r>
      <w:r w:rsidR="001D0F7B" w:rsidRPr="001D0F7B">
        <w:rPr>
          <w:sz w:val="22"/>
          <w:szCs w:val="22"/>
          <w:lang w:eastAsia="en-US"/>
        </w:rPr>
        <w:t>met,</w:t>
      </w:r>
      <w:r w:rsidR="00BA77E1" w:rsidRPr="001D0F7B">
        <w:rPr>
          <w:sz w:val="22"/>
          <w:szCs w:val="22"/>
          <w:lang w:eastAsia="en-US"/>
        </w:rPr>
        <w:t xml:space="preserve"> and an ethics form was completed by the group to ensure that the questionnaire covered all of these points</w:t>
      </w:r>
      <w:r w:rsidR="00BB7EB8" w:rsidRPr="001D0F7B">
        <w:rPr>
          <w:sz w:val="22"/>
          <w:szCs w:val="22"/>
          <w:lang w:eastAsia="en-US"/>
        </w:rPr>
        <w:t xml:space="preserve">, </w:t>
      </w:r>
      <w:r w:rsidR="008A4849" w:rsidRPr="001D0F7B">
        <w:rPr>
          <w:sz w:val="22"/>
          <w:szCs w:val="22"/>
          <w:lang w:eastAsia="en-US"/>
        </w:rPr>
        <w:t>insisting that they can withdraw at any time, that it is confidential and clearly outlining the purpose of the questionnaire</w:t>
      </w:r>
      <w:r w:rsidR="005F4E18" w:rsidRPr="001D0F7B">
        <w:rPr>
          <w:sz w:val="22"/>
          <w:szCs w:val="22"/>
          <w:lang w:eastAsia="en-US"/>
        </w:rPr>
        <w:t xml:space="preserve">, all research met the General Data Protection Act </w:t>
      </w:r>
      <w:r w:rsidR="001D0F7B" w:rsidRPr="001D0F7B">
        <w:rPr>
          <w:sz w:val="22"/>
          <w:szCs w:val="22"/>
          <w:lang w:eastAsia="en-US"/>
        </w:rPr>
        <w:t>2018.</w:t>
      </w:r>
      <w:r w:rsidR="008A4849" w:rsidRPr="001D0F7B">
        <w:rPr>
          <w:sz w:val="22"/>
          <w:szCs w:val="22"/>
          <w:lang w:eastAsia="en-US"/>
        </w:rPr>
        <w:t xml:space="preserve"> Lastly, it is claimed that to ensure total validity in the questionnaire, the questions should encourage qualitative and quantitative data. </w:t>
      </w:r>
      <w:r w:rsidR="008A4849" w:rsidRPr="001D0F7B">
        <w:rPr>
          <w:color w:val="000000" w:themeColor="text1"/>
          <w:sz w:val="22"/>
          <w:szCs w:val="22"/>
          <w:lang w:eastAsia="en-US"/>
        </w:rPr>
        <w:t>“The combination of quantitative and qualitative methods proved useful for questionnaire validation.” (</w:t>
      </w:r>
      <w:r w:rsidR="005D1ECF" w:rsidRPr="001D0F7B">
        <w:rPr>
          <w:color w:val="000000" w:themeColor="text1"/>
          <w:sz w:val="22"/>
          <w:szCs w:val="22"/>
          <w:lang w:eastAsia="en-US"/>
        </w:rPr>
        <w:t xml:space="preserve">Groenvold, M et al, 1997). This means that the questions provide data that can be measured (quantitative), as well as answers that are based off opinion, knowledge and facts (qualitative). It is suggested that the variety of data increases the validity, thus qualitative and quantitative research were at the forefront of the creation of the questionnaire. </w:t>
      </w:r>
    </w:p>
    <w:p w14:paraId="0ED0329A" w14:textId="45FDF74C" w:rsidR="00D63F91" w:rsidRPr="001D0F7B" w:rsidRDefault="00D63F91">
      <w:pPr>
        <w:rPr>
          <w:sz w:val="22"/>
          <w:szCs w:val="22"/>
          <w:lang w:eastAsia="en-US"/>
        </w:rPr>
      </w:pPr>
      <w:r w:rsidRPr="001D0F7B">
        <w:rPr>
          <w:sz w:val="22"/>
          <w:szCs w:val="22"/>
        </w:rPr>
        <w:lastRenderedPageBreak/>
        <w:t xml:space="preserve">Unfortunately, despite </w:t>
      </w:r>
      <w:r w:rsidR="00A5096C" w:rsidRPr="001D0F7B">
        <w:rPr>
          <w:sz w:val="22"/>
          <w:szCs w:val="22"/>
        </w:rPr>
        <w:t>each group members completing PTE in different school</w:t>
      </w:r>
      <w:r w:rsidR="00F95DFB" w:rsidRPr="001D0F7B">
        <w:rPr>
          <w:sz w:val="22"/>
          <w:szCs w:val="22"/>
        </w:rPr>
        <w:t>s</w:t>
      </w:r>
      <w:r w:rsidR="00A5096C" w:rsidRPr="001D0F7B">
        <w:rPr>
          <w:sz w:val="22"/>
          <w:szCs w:val="22"/>
        </w:rPr>
        <w:t xml:space="preserve"> in different areas, no member had actually taught a child with </w:t>
      </w:r>
      <w:r w:rsidR="008407C2" w:rsidRPr="001D0F7B">
        <w:rPr>
          <w:sz w:val="22"/>
          <w:szCs w:val="22"/>
        </w:rPr>
        <w:t xml:space="preserve">diagnosed </w:t>
      </w:r>
      <w:r w:rsidR="00A5096C" w:rsidRPr="001D0F7B">
        <w:rPr>
          <w:sz w:val="22"/>
          <w:szCs w:val="22"/>
        </w:rPr>
        <w:t xml:space="preserve">Dyslexia. However, there was experience of seeing how and when children were screened for Dyslexia as some pupils were undergoing screening whilst on PTE. One instance was a </w:t>
      </w:r>
      <w:r w:rsidR="001D0F7B" w:rsidRPr="001D0F7B">
        <w:rPr>
          <w:sz w:val="22"/>
          <w:szCs w:val="22"/>
        </w:rPr>
        <w:t>10-year-old</w:t>
      </w:r>
      <w:r w:rsidR="00A5096C" w:rsidRPr="001D0F7B">
        <w:rPr>
          <w:sz w:val="22"/>
          <w:szCs w:val="22"/>
        </w:rPr>
        <w:t xml:space="preserve"> girl in a Year 5 </w:t>
      </w:r>
      <w:r w:rsidR="008407C2" w:rsidRPr="001D0F7B">
        <w:rPr>
          <w:sz w:val="22"/>
          <w:szCs w:val="22"/>
        </w:rPr>
        <w:t xml:space="preserve">class </w:t>
      </w:r>
      <w:r w:rsidR="00A5096C" w:rsidRPr="001D0F7B">
        <w:rPr>
          <w:sz w:val="22"/>
          <w:szCs w:val="22"/>
        </w:rPr>
        <w:t>who struggled with most areas of Literacy, in particular writing, that was undiagnosed officially but met the criteria. The school was unable to access the facilities needed to screen her internally, therefore were waiting for the LA to organise a screening opportunity. Due to this unofficial diagnosis no official provisions were put into place, however this child was taken out daily by a teaching assistant</w:t>
      </w:r>
      <w:r w:rsidR="008407C2" w:rsidRPr="001D0F7B">
        <w:rPr>
          <w:sz w:val="22"/>
          <w:szCs w:val="22"/>
        </w:rPr>
        <w:t xml:space="preserve"> who specialised in offering additional support. Additionally, in a separate school a </w:t>
      </w:r>
      <w:r w:rsidR="001D0F7B" w:rsidRPr="001D0F7B">
        <w:rPr>
          <w:sz w:val="22"/>
          <w:szCs w:val="22"/>
        </w:rPr>
        <w:t>7-year-old</w:t>
      </w:r>
      <w:r w:rsidR="008407C2" w:rsidRPr="001D0F7B">
        <w:rPr>
          <w:sz w:val="22"/>
          <w:szCs w:val="22"/>
        </w:rPr>
        <w:t xml:space="preserve"> boy in a Year 3 class who often showed signs of frustration, mentioned dancing letters and frequently added words in when reading was taken out by a member of staff from the internal Learning Resource Centre to be screened using a programme on the computer, however a conclusion was not reached while on PTE. </w:t>
      </w:r>
      <w:r w:rsidR="00963427" w:rsidRPr="001D0F7B">
        <w:rPr>
          <w:sz w:val="22"/>
          <w:szCs w:val="22"/>
        </w:rPr>
        <w:t xml:space="preserve">This shows the inconsistency of screening mentioned by Welsh Government, referenced earlier, and highlights the importance of consistency to diagnose the children so effective provisions can be implemented. Welsh Government set out a document with suggestions for screening, assessment and intervention but </w:t>
      </w:r>
      <w:r w:rsidR="00FB14BC" w:rsidRPr="001D0F7B">
        <w:rPr>
          <w:sz w:val="22"/>
          <w:szCs w:val="22"/>
        </w:rPr>
        <w:t xml:space="preserve">it is not mandatory and therefore it blatantly differs around Wales. </w:t>
      </w:r>
      <w:r w:rsidR="00A4203E" w:rsidRPr="001D0F7B">
        <w:rPr>
          <w:sz w:val="22"/>
          <w:szCs w:val="22"/>
        </w:rPr>
        <w:t xml:space="preserve">However, some research suggests that there is belief out there that all children that face difficulties with school work should be considered for screening: </w:t>
      </w:r>
      <w:r w:rsidR="00CB3D05" w:rsidRPr="001D0F7B">
        <w:rPr>
          <w:sz w:val="22"/>
          <w:szCs w:val="22"/>
        </w:rPr>
        <w:t>“</w:t>
      </w:r>
      <w:r w:rsidR="00CB3D05" w:rsidRPr="001D0F7B">
        <w:rPr>
          <w:color w:val="000000"/>
          <w:sz w:val="22"/>
          <w:szCs w:val="22"/>
          <w:shd w:val="clear" w:color="auto" w:fill="FFFFFF"/>
          <w:lang w:eastAsia="en-US"/>
        </w:rPr>
        <w:t>a considerable amount of data is routinely collected on individual children by teachers, schools and local authorities. An important question concerns whether these data be used to identify children ‘at risk’ of underachievement.</w:t>
      </w:r>
      <w:r w:rsidR="00CB3D05" w:rsidRPr="001D0F7B">
        <w:rPr>
          <w:sz w:val="22"/>
          <w:szCs w:val="22"/>
          <w:lang w:eastAsia="en-US"/>
        </w:rPr>
        <w:t xml:space="preserve">” </w:t>
      </w:r>
      <w:r w:rsidR="00A4203E" w:rsidRPr="001D0F7B">
        <w:rPr>
          <w:sz w:val="22"/>
          <w:szCs w:val="22"/>
          <w:lang w:eastAsia="en-US"/>
        </w:rPr>
        <w:t>(Snowling, 2013). This suggests that everyday school work and behaviours should be noted and used to determine whether a child should be screened, rather than showing specific Dyslexic tendencies. However, according to the British Dyslexia Association</w:t>
      </w:r>
      <w:r w:rsidR="002920F1" w:rsidRPr="001D0F7B">
        <w:rPr>
          <w:sz w:val="22"/>
          <w:szCs w:val="22"/>
          <w:lang w:eastAsia="en-US"/>
        </w:rPr>
        <w:t>, an assessment for Dyslexia can range between £450-£600, therefore although the LA may pay less per assessment, screening all underachieving children may prove an expensive and ineffective process.</w:t>
      </w:r>
      <w:r w:rsidR="00370650" w:rsidRPr="001D0F7B">
        <w:rPr>
          <w:sz w:val="22"/>
          <w:szCs w:val="22"/>
          <w:lang w:eastAsia="en-US"/>
        </w:rPr>
        <w:t xml:space="preserve"> The lack of experience with Dyslexia within the group increases the significance </w:t>
      </w:r>
      <w:r w:rsidR="00AF4ED2" w:rsidRPr="001D0F7B">
        <w:rPr>
          <w:sz w:val="22"/>
          <w:szCs w:val="22"/>
          <w:lang w:eastAsia="en-US"/>
        </w:rPr>
        <w:t xml:space="preserve">of completing the questionnaire as a form of research, as it provides clarification on any misconceptions that any member has and offers an insight of the reality of teaching children with Dyslexia. </w:t>
      </w:r>
    </w:p>
    <w:p w14:paraId="6FA62B3E" w14:textId="778CCCDA" w:rsidR="00E81FF4" w:rsidRDefault="00E81FF4">
      <w:pPr>
        <w:rPr>
          <w:sz w:val="22"/>
          <w:szCs w:val="22"/>
          <w:lang w:eastAsia="en-US"/>
        </w:rPr>
      </w:pPr>
      <w:r w:rsidRPr="001D0F7B">
        <w:rPr>
          <w:sz w:val="22"/>
          <w:szCs w:val="22"/>
          <w:lang w:eastAsia="en-US"/>
        </w:rPr>
        <w:t>Studying the results of the questionnaire, responses from various parts of Wales were gathered, including Pembrokeshire, Monmouthshire and Caerphilly, including others. As previously mentioned, it was important to get an understanding of various LA’s approaches to dealing with dyslexia, hence why Question (Q) 1 asked this. Similarly, a range of staff members answered the questionnaire, as shown below:</w:t>
      </w:r>
    </w:p>
    <w:p w14:paraId="3E9706D6" w14:textId="628A93AB" w:rsidR="00E81FF4" w:rsidRPr="00006D12" w:rsidRDefault="00006D12" w:rsidP="00006D12">
      <w:pPr>
        <w:jc w:val="center"/>
        <w:rPr>
          <w:sz w:val="22"/>
          <w:szCs w:val="22"/>
          <w:lang w:eastAsia="en-US"/>
        </w:rPr>
      </w:pPr>
      <w:r>
        <w:rPr>
          <w:noProof/>
        </w:rPr>
        <w:drawing>
          <wp:inline distT="0" distB="0" distL="0" distR="0" wp14:anchorId="7E5E057C" wp14:editId="794FE1DB">
            <wp:extent cx="4572000" cy="2743200"/>
            <wp:effectExtent l="0" t="0" r="12700" b="12700"/>
            <wp:docPr id="10" name="Chart 10">
              <a:extLst xmlns:a="http://schemas.openxmlformats.org/drawingml/2006/main">
                <a:ext uri="{FF2B5EF4-FFF2-40B4-BE49-F238E27FC236}">
                  <a16:creationId xmlns:a16="http://schemas.microsoft.com/office/drawing/2014/main" id="{F7518639-65F5-3D49-9FC4-FDA45C2F2F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500157E" w14:textId="4BD9AD6E" w:rsidR="00E81FF4" w:rsidRDefault="005F4E18">
      <w:pPr>
        <w:rPr>
          <w:sz w:val="22"/>
          <w:szCs w:val="24"/>
          <w:lang w:eastAsia="en-US"/>
        </w:rPr>
      </w:pPr>
      <w:r>
        <w:rPr>
          <w:sz w:val="22"/>
          <w:szCs w:val="24"/>
          <w:lang w:eastAsia="en-US"/>
        </w:rPr>
        <w:t>It is shown in the chart that 50% of the respondents were teaching staff with only 17% being Special Educational Needs Co-ordinator (SENCO)/ Additional Learning Needs Co-ordinator (ALNCO)</w:t>
      </w:r>
      <w:r w:rsidR="00664190">
        <w:rPr>
          <w:sz w:val="22"/>
          <w:szCs w:val="24"/>
          <w:lang w:eastAsia="en-US"/>
        </w:rPr>
        <w:t xml:space="preserve">. This provides a range of opinions and experiences with Dyslexia due to the dynamic range of roles and responsibilities. Q3 showed that 75% of the people that answered the questionnaire has experience with Dyslexia, however the </w:t>
      </w:r>
      <w:r w:rsidR="001D0F7B">
        <w:rPr>
          <w:sz w:val="22"/>
          <w:szCs w:val="24"/>
          <w:lang w:eastAsia="en-US"/>
        </w:rPr>
        <w:t>number</w:t>
      </w:r>
      <w:r w:rsidR="00664190">
        <w:rPr>
          <w:sz w:val="22"/>
          <w:szCs w:val="24"/>
          <w:lang w:eastAsia="en-US"/>
        </w:rPr>
        <w:t xml:space="preserve"> of children they had experience of differed. 67% of respondents had taught less than 10 pupils with dyslexia at the time of completion, which for such a common </w:t>
      </w:r>
      <w:r w:rsidR="00664190">
        <w:rPr>
          <w:sz w:val="22"/>
          <w:szCs w:val="24"/>
          <w:lang w:eastAsia="en-US"/>
        </w:rPr>
        <w:lastRenderedPageBreak/>
        <w:t>difficulty appears low. An online article by Cathryn Knight (2018) claims that an average class would have an estimated 1 to 5 pupils with Dyslexia in a class, however the result of the questionnaire challenges that claim and suggests that the number of pupils with Dyslexia may not be as high as previously estimated. As well as the number of pupils taught differing, the time of the experience differs considerably also, as shown below:</w:t>
      </w:r>
    </w:p>
    <w:p w14:paraId="4F582945" w14:textId="204B14B2" w:rsidR="00664190" w:rsidRDefault="00006D12" w:rsidP="00006D12">
      <w:pPr>
        <w:jc w:val="center"/>
        <w:rPr>
          <w:sz w:val="22"/>
          <w:szCs w:val="24"/>
          <w:lang w:eastAsia="en-US"/>
        </w:rPr>
      </w:pPr>
      <w:r>
        <w:rPr>
          <w:noProof/>
        </w:rPr>
        <w:drawing>
          <wp:inline distT="0" distB="0" distL="0" distR="0" wp14:anchorId="3E4BBFFD" wp14:editId="203C5E97">
            <wp:extent cx="4572000" cy="2743200"/>
            <wp:effectExtent l="0" t="0" r="12700" b="12700"/>
            <wp:docPr id="9" name="Chart 9">
              <a:extLst xmlns:a="http://schemas.openxmlformats.org/drawingml/2006/main">
                <a:ext uri="{FF2B5EF4-FFF2-40B4-BE49-F238E27FC236}">
                  <a16:creationId xmlns:a16="http://schemas.microsoft.com/office/drawing/2014/main" id="{3BD1B165-2A35-7F4F-B390-B294FD7069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54D8D56" w14:textId="3DD6A1A6" w:rsidR="00266F7D" w:rsidRDefault="00664190" w:rsidP="00D63FD7">
      <w:pPr>
        <w:rPr>
          <w:color w:val="000000" w:themeColor="text1"/>
          <w:sz w:val="22"/>
          <w:szCs w:val="24"/>
          <w:shd w:val="clear" w:color="auto" w:fill="FFFFFF"/>
          <w:lang w:eastAsia="en-US"/>
        </w:rPr>
      </w:pPr>
      <w:r>
        <w:rPr>
          <w:sz w:val="22"/>
          <w:szCs w:val="24"/>
          <w:lang w:eastAsia="en-US"/>
        </w:rPr>
        <w:t xml:space="preserve">This shows that </w:t>
      </w:r>
      <w:r w:rsidR="00D46438">
        <w:rPr>
          <w:sz w:val="22"/>
          <w:szCs w:val="24"/>
          <w:lang w:eastAsia="en-US"/>
        </w:rPr>
        <w:t xml:space="preserve">the most recent experience is in the current academic year, although 2 people haven’t experienced a child with Dyslexia in over 10 years, this raises questions as to whether Dyslexia is as common as claimed, or whether people suffering are diagnosed early enough to be supported by staff. Additionally, Q6 questioned participants on whether training focusing on Dyslexia had been received, the results show that 58% of participants declared they had received no training at all. Only 8% of participants had received substantial training of over 10 hours, whilst the rest received no more than 5 hours. </w:t>
      </w:r>
      <w:r w:rsidR="00F517C9">
        <w:rPr>
          <w:sz w:val="22"/>
          <w:szCs w:val="24"/>
          <w:lang w:eastAsia="en-US"/>
        </w:rPr>
        <w:t>Estyn (2016) state that continuous in-school training based on ALN ensures smooth transitions for the children through school and allows teacher to provide suitable provisions for the children to support them further. Therefore, it suggested that additional and substantial training is required to support the children affected appropriately. When asked to elaborate on what training only one respondent provided a detailed description of the training, stating that they had received ‘Hands on Literacy training’ that helped with interventions to support the development of a child’s early reading skills. As well as DEST2 training, focusing on detecting dyslexia as early as possible</w:t>
      </w:r>
      <w:r w:rsidR="00130AF4">
        <w:rPr>
          <w:sz w:val="22"/>
          <w:szCs w:val="24"/>
          <w:lang w:eastAsia="en-US"/>
        </w:rPr>
        <w:t>- starting from reception throughout the foundation phase</w:t>
      </w:r>
      <w:r w:rsidR="00F517C9">
        <w:rPr>
          <w:sz w:val="22"/>
          <w:szCs w:val="24"/>
          <w:lang w:eastAsia="en-US"/>
        </w:rPr>
        <w:t xml:space="preserve">, alongside general inset. This respondent then continued through into the next question, which at what age </w:t>
      </w:r>
      <w:r w:rsidR="00D63FD7">
        <w:rPr>
          <w:sz w:val="22"/>
          <w:szCs w:val="24"/>
          <w:lang w:eastAsia="en-US"/>
        </w:rPr>
        <w:t xml:space="preserve">children would be screened, they state that each pupil is screened in some way when they start reception, and children suspected of Dyslexia will have interventions through the form of ‘Hands on Literacy’ as previously stated. They are then reassessed throughout the foundation phase, and if the Dyslexic tendencies continue they receive a more </w:t>
      </w:r>
      <w:r w:rsidR="001D0F7B">
        <w:rPr>
          <w:sz w:val="22"/>
          <w:szCs w:val="24"/>
          <w:lang w:eastAsia="en-US"/>
        </w:rPr>
        <w:t>in-depth</w:t>
      </w:r>
      <w:r w:rsidR="00D63FD7">
        <w:rPr>
          <w:sz w:val="22"/>
          <w:szCs w:val="24"/>
          <w:lang w:eastAsia="en-US"/>
        </w:rPr>
        <w:t xml:space="preserve"> formal screening. Most other answers claim that Dyslexia is identified around 6/7 years old. There is an anomalous result however, as one respondent says that they would be identified above 11 years old. “</w:t>
      </w:r>
      <w:r w:rsidR="00D63FD7" w:rsidRPr="00D63FD7">
        <w:rPr>
          <w:color w:val="000000" w:themeColor="text1"/>
          <w:sz w:val="22"/>
          <w:szCs w:val="24"/>
          <w:shd w:val="clear" w:color="auto" w:fill="FFFFFF"/>
          <w:lang w:eastAsia="en-US"/>
        </w:rPr>
        <w:t>early recognition and treatment of deficient phonologic awareness are an extremely important step in the prevention of a reading problem in the child who is at risk of dyslexia</w:t>
      </w:r>
      <w:r w:rsidR="00D63FD7">
        <w:rPr>
          <w:color w:val="000000" w:themeColor="text1"/>
          <w:sz w:val="22"/>
          <w:szCs w:val="24"/>
          <w:shd w:val="clear" w:color="auto" w:fill="FFFFFF"/>
          <w:lang w:eastAsia="en-US"/>
        </w:rPr>
        <w:t xml:space="preserve">” (Schatschneider, 2004). The supports the opinion that early identification and intervention is beneficial for children at </w:t>
      </w:r>
      <w:r w:rsidR="001D0F7B">
        <w:rPr>
          <w:color w:val="000000" w:themeColor="text1"/>
          <w:sz w:val="22"/>
          <w:szCs w:val="24"/>
          <w:shd w:val="clear" w:color="auto" w:fill="FFFFFF"/>
          <w:lang w:eastAsia="en-US"/>
        </w:rPr>
        <w:t>risk or</w:t>
      </w:r>
      <w:r w:rsidR="00D63FD7">
        <w:rPr>
          <w:color w:val="000000" w:themeColor="text1"/>
          <w:sz w:val="22"/>
          <w:szCs w:val="24"/>
          <w:shd w:val="clear" w:color="auto" w:fill="FFFFFF"/>
          <w:lang w:eastAsia="en-US"/>
        </w:rPr>
        <w:t xml:space="preserve"> diagnosed with Dyslexia as it may provide the opportunities for them to improve early, avoiding falling behind. Therefore, being screened at 11 or above may be unpractical as the basis of reading, writing and spelling would have all been covered and a certain standard may be expected of all pupils, resulting in a child underachieving. </w:t>
      </w:r>
      <w:r w:rsidR="00FC2E6A">
        <w:rPr>
          <w:color w:val="000000" w:themeColor="text1"/>
          <w:sz w:val="22"/>
          <w:szCs w:val="24"/>
          <w:shd w:val="clear" w:color="auto" w:fill="FFFFFF"/>
          <w:lang w:eastAsia="en-US"/>
        </w:rPr>
        <w:t xml:space="preserve">Moreover, Appendix 1 shows the range of answers received when asked what would initiate screening for a child, unsurprisingly the signs are the typical tendencies expected from a child with Dyslexia. They mention reading, writing and spelling often, also referencing the difficulty with recall, phonics and concentration. Frustration when working and dancing letters. These are all common signs of Dyslexia and therefore are expected to initiate assessment. </w:t>
      </w:r>
      <w:r w:rsidR="00266F7D">
        <w:rPr>
          <w:color w:val="000000" w:themeColor="text1"/>
          <w:sz w:val="22"/>
          <w:szCs w:val="24"/>
          <w:shd w:val="clear" w:color="auto" w:fill="FFFFFF"/>
          <w:lang w:eastAsia="en-US"/>
        </w:rPr>
        <w:t xml:space="preserve">Furthermore, the British Dyslexia Association (2016) published a list of strategies to help pupils with Dyslexia, like providing coloured overlays, pictures instead of words etc. </w:t>
      </w:r>
    </w:p>
    <w:p w14:paraId="50FDD2D5" w14:textId="406A5F60" w:rsidR="00D63FD7" w:rsidRPr="00006D12" w:rsidRDefault="00006D12" w:rsidP="00006D12">
      <w:pPr>
        <w:jc w:val="center"/>
        <w:rPr>
          <w:color w:val="000000" w:themeColor="text1"/>
          <w:sz w:val="22"/>
          <w:szCs w:val="24"/>
          <w:shd w:val="clear" w:color="auto" w:fill="FFFFFF"/>
          <w:lang w:eastAsia="en-US"/>
        </w:rPr>
      </w:pPr>
      <w:r>
        <w:rPr>
          <w:noProof/>
        </w:rPr>
        <w:lastRenderedPageBreak/>
        <w:drawing>
          <wp:inline distT="0" distB="0" distL="0" distR="0" wp14:anchorId="44019380" wp14:editId="480A1CF1">
            <wp:extent cx="4572000" cy="2743200"/>
            <wp:effectExtent l="0" t="0" r="12700" b="12700"/>
            <wp:docPr id="7" name="Chart 7">
              <a:extLst xmlns:a="http://schemas.openxmlformats.org/drawingml/2006/main">
                <a:ext uri="{FF2B5EF4-FFF2-40B4-BE49-F238E27FC236}">
                  <a16:creationId xmlns:a16="http://schemas.microsoft.com/office/drawing/2014/main" id="{BC689240-3D98-D442-BD85-A0E0A00DEA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F334403" w14:textId="77777777" w:rsidR="00006D12" w:rsidRDefault="00266F7D" w:rsidP="00266F7D">
      <w:pPr>
        <w:rPr>
          <w:sz w:val="22"/>
          <w:szCs w:val="24"/>
          <w:lang w:eastAsia="en-US"/>
        </w:rPr>
      </w:pPr>
      <w:r>
        <w:rPr>
          <w:sz w:val="22"/>
          <w:szCs w:val="24"/>
          <w:lang w:eastAsia="en-US"/>
        </w:rPr>
        <w:t xml:space="preserve">These results show that, although all individuals are different, visual methods are effective when supporting children with Dyslexia. </w:t>
      </w:r>
      <w:r w:rsidR="007A5868">
        <w:rPr>
          <w:sz w:val="22"/>
          <w:szCs w:val="24"/>
          <w:lang w:eastAsia="en-US"/>
        </w:rPr>
        <w:t xml:space="preserve">However, some added comments that a combination of all is important and that one method does not necessarily fit a child with Dyslexia. In addition, only 33% of the respondents claim to have adopted a whole school approach for supporting pupils with Dyslexia, these include Hands </w:t>
      </w:r>
      <w:r w:rsidR="001D0F7B">
        <w:rPr>
          <w:sz w:val="22"/>
          <w:szCs w:val="24"/>
          <w:lang w:eastAsia="en-US"/>
        </w:rPr>
        <w:t>on</w:t>
      </w:r>
      <w:r w:rsidR="007A5868">
        <w:rPr>
          <w:sz w:val="22"/>
          <w:szCs w:val="24"/>
          <w:lang w:eastAsia="en-US"/>
        </w:rPr>
        <w:t xml:space="preserve"> Literacy, word banks and planners for written work</w:t>
      </w:r>
      <w:r w:rsidR="0036343E">
        <w:rPr>
          <w:sz w:val="22"/>
          <w:szCs w:val="24"/>
          <w:lang w:eastAsia="en-US"/>
        </w:rPr>
        <w:t xml:space="preserve">. The National Council for Special Education state that whole schools should have policies on Dyslexia that guarantee that the children affected can access the curriculum, have an inclusive experience in the classroom and be a part of the school community. Unfortunately, based off this questionnaire it seems that this may not be the case in all schools. Q13 asks for specific </w:t>
      </w:r>
      <w:r w:rsidR="00D2026A">
        <w:rPr>
          <w:sz w:val="22"/>
          <w:szCs w:val="24"/>
          <w:lang w:eastAsia="en-US"/>
        </w:rPr>
        <w:t xml:space="preserve">resources that the participants of the questionnaire find useful when supporting pupils. The most popular resource appeared to be coloured overlays/coloured paper. Pat Wyman (2013) writes that different colours help different pupils and that it stops the letters moving on their </w:t>
      </w:r>
      <w:r w:rsidR="001D0F7B">
        <w:rPr>
          <w:sz w:val="22"/>
          <w:szCs w:val="24"/>
          <w:lang w:eastAsia="en-US"/>
        </w:rPr>
        <w:t>page and</w:t>
      </w:r>
      <w:r w:rsidR="00D2026A">
        <w:rPr>
          <w:sz w:val="22"/>
          <w:szCs w:val="24"/>
          <w:lang w:eastAsia="en-US"/>
        </w:rPr>
        <w:t xml:space="preserve"> helps them to see them in the correct order. On the other hand, Claire Wilson</w:t>
      </w:r>
      <w:r w:rsidR="00CB6F3D">
        <w:rPr>
          <w:sz w:val="22"/>
          <w:szCs w:val="24"/>
          <w:lang w:eastAsia="en-US"/>
        </w:rPr>
        <w:t xml:space="preserve"> (2015)</w:t>
      </w:r>
      <w:r w:rsidR="00D2026A">
        <w:rPr>
          <w:sz w:val="22"/>
          <w:szCs w:val="24"/>
          <w:lang w:eastAsia="en-US"/>
        </w:rPr>
        <w:t xml:space="preserve"> writes an article entitled “Forget colour overlays – dyslexia </w:t>
      </w:r>
      <w:r w:rsidR="001D0F7B">
        <w:rPr>
          <w:sz w:val="22"/>
          <w:szCs w:val="24"/>
          <w:lang w:eastAsia="en-US"/>
        </w:rPr>
        <w:t>are</w:t>
      </w:r>
      <w:r w:rsidR="00D2026A">
        <w:rPr>
          <w:sz w:val="22"/>
          <w:szCs w:val="24"/>
          <w:lang w:eastAsia="en-US"/>
        </w:rPr>
        <w:t xml:space="preserve"> not a visual problem” where she claims that in a test on 6000 pupils between ages 7 and 9, </w:t>
      </w:r>
      <w:r w:rsidR="00CB6F3D">
        <w:rPr>
          <w:sz w:val="22"/>
          <w:szCs w:val="24"/>
          <w:lang w:eastAsia="en-US"/>
        </w:rPr>
        <w:t xml:space="preserve">the differences between children with and without dyslexia were minimal. She says that in 2 of the tests, 16% of dyslexic pupils performed badly, compared to 10% of non-dyslexic pupils that performed badly. </w:t>
      </w:r>
      <w:r w:rsidR="001D0F7B">
        <w:rPr>
          <w:sz w:val="22"/>
          <w:szCs w:val="24"/>
          <w:lang w:eastAsia="en-US"/>
        </w:rPr>
        <w:t>Therefore,</w:t>
      </w:r>
      <w:r w:rsidR="00CB6F3D">
        <w:rPr>
          <w:sz w:val="22"/>
          <w:szCs w:val="24"/>
          <w:lang w:eastAsia="en-US"/>
        </w:rPr>
        <w:t xml:space="preserve"> she suggests that it may actually be down to the amount of reading rather than the ability that the children do, and that because only 16% of the pupils with dyslexia scored low that it cannot be a main explanation for dyslexia. Regardless, the staff that responded in the questionnaire claim that they have helped pupils with dyslexia and therefore appear to be useful resource. Other resources appear to be individualised word banks and spelling sheets. Interestingly, Q14 asks whether in their experience a child with dyslexia struggles with a certain aspect of literacy than others, the results are shown below: </w:t>
      </w:r>
    </w:p>
    <w:p w14:paraId="666CFEE8" w14:textId="1D1836EF" w:rsidR="00CB6F3D" w:rsidRDefault="00006D12" w:rsidP="00006D12">
      <w:pPr>
        <w:jc w:val="center"/>
        <w:rPr>
          <w:sz w:val="22"/>
          <w:szCs w:val="24"/>
          <w:lang w:eastAsia="en-US"/>
        </w:rPr>
      </w:pPr>
      <w:r>
        <w:rPr>
          <w:noProof/>
        </w:rPr>
        <w:drawing>
          <wp:inline distT="0" distB="0" distL="0" distR="0" wp14:anchorId="07B07937" wp14:editId="470516A7">
            <wp:extent cx="3979334" cy="2353733"/>
            <wp:effectExtent l="0" t="0" r="8890" b="8890"/>
            <wp:docPr id="6" name="Chart 6">
              <a:extLst xmlns:a="http://schemas.openxmlformats.org/drawingml/2006/main">
                <a:ext uri="{FF2B5EF4-FFF2-40B4-BE49-F238E27FC236}">
                  <a16:creationId xmlns:a16="http://schemas.microsoft.com/office/drawing/2014/main" id="{055A511D-B907-B647-BB24-849EE3A1C5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4C0A74C" w14:textId="0C428CF1" w:rsidR="00C97036" w:rsidRPr="001D0F7B" w:rsidRDefault="00E87CE8" w:rsidP="00C97036">
      <w:pPr>
        <w:rPr>
          <w:color w:val="000000" w:themeColor="text1"/>
          <w:sz w:val="22"/>
          <w:szCs w:val="22"/>
          <w:shd w:val="clear" w:color="auto" w:fill="FFFFFF"/>
          <w:lang w:eastAsia="en-US"/>
        </w:rPr>
      </w:pPr>
      <w:r w:rsidRPr="001D0F7B">
        <w:rPr>
          <w:sz w:val="22"/>
          <w:szCs w:val="22"/>
          <w:lang w:eastAsia="en-US"/>
        </w:rPr>
        <w:lastRenderedPageBreak/>
        <w:t>This shows that there is no majority of what children with dyslexia struggle with, supporting the belief that all children with dyslexia are different and no one size fits all. Although, interestingly none of the participants see believe that children struggle with Oracy specifically, over written work and reading. “</w:t>
      </w:r>
      <w:r w:rsidRPr="001D0F7B">
        <w:rPr>
          <w:color w:val="000000"/>
          <w:sz w:val="22"/>
          <w:szCs w:val="22"/>
          <w:shd w:val="clear" w:color="auto" w:fill="FFFFFF"/>
          <w:lang w:eastAsia="en-US"/>
        </w:rPr>
        <w:t>While the effects of dyslexia are more visible where the processing of written language is concerned, it’s not uncommon for kids with dyslexia to be late-talkers. This is because a child with dyslexia may have poor phonological awareness – or an inability to break words down into their component sounds” (Cicerchia, 2018). This implies that although not all children suffer with oracy problems relating to their dyslexia, it can occur due to the links with phonics. This suggests that if a child has no intervention with phonics, then this may result in late or poor language development – again restricting the child from reaching their potential in other areas of the curriculum, not just literacy. Following on from dyslexia’s ability to perhaps restrict some pupils from accessing the whole curriculum</w:t>
      </w:r>
      <w:r w:rsidR="00F067EB" w:rsidRPr="001D0F7B">
        <w:rPr>
          <w:color w:val="000000"/>
          <w:sz w:val="22"/>
          <w:szCs w:val="22"/>
          <w:shd w:val="clear" w:color="auto" w:fill="FFFFFF"/>
          <w:lang w:eastAsia="en-US"/>
        </w:rPr>
        <w:t xml:space="preserve">, Q22 asks whether the respondents have </w:t>
      </w:r>
      <w:r w:rsidR="001D0F7B" w:rsidRPr="001D0F7B">
        <w:rPr>
          <w:color w:val="000000"/>
          <w:sz w:val="22"/>
          <w:szCs w:val="22"/>
          <w:shd w:val="clear" w:color="auto" w:fill="FFFFFF"/>
          <w:lang w:eastAsia="en-US"/>
        </w:rPr>
        <w:t>experienced</w:t>
      </w:r>
      <w:r w:rsidR="00F067EB" w:rsidRPr="001D0F7B">
        <w:rPr>
          <w:color w:val="000000"/>
          <w:sz w:val="22"/>
          <w:szCs w:val="22"/>
          <w:shd w:val="clear" w:color="auto" w:fill="FFFFFF"/>
          <w:lang w:eastAsia="en-US"/>
        </w:rPr>
        <w:t xml:space="preserve"> any associated difficulties between Dyslexia and Dyscalculia. 67% of those who answered believed that there are associated difficulties, particularly with the reversals of numbers, similar to letters. An additional problem is transferring the skills on to paper, this can be limited through their oral ability or their processing problems, remembering the strategy of completing questions also proves difficult in their experience. </w:t>
      </w:r>
      <w:r w:rsidR="00C97036" w:rsidRPr="001D0F7B">
        <w:rPr>
          <w:color w:val="000000"/>
          <w:sz w:val="22"/>
          <w:szCs w:val="22"/>
          <w:shd w:val="clear" w:color="auto" w:fill="FFFFFF"/>
          <w:lang w:eastAsia="en-US"/>
        </w:rPr>
        <w:t>“</w:t>
      </w:r>
      <w:r w:rsidR="00C97036" w:rsidRPr="001D0F7B">
        <w:rPr>
          <w:color w:val="000000" w:themeColor="text1"/>
          <w:sz w:val="22"/>
          <w:szCs w:val="22"/>
          <w:shd w:val="clear" w:color="auto" w:fill="FFFFFF"/>
          <w:lang w:eastAsia="en-US"/>
        </w:rPr>
        <w:t>Evidence suggests they have certain brain-based weaknesses in common. A central one is poor </w:t>
      </w:r>
      <w:hyperlink r:id="rId10" w:history="1">
        <w:r w:rsidR="00C97036" w:rsidRPr="001D0F7B">
          <w:rPr>
            <w:color w:val="000000" w:themeColor="text1"/>
            <w:sz w:val="22"/>
            <w:szCs w:val="22"/>
            <w:lang w:eastAsia="en-US"/>
          </w:rPr>
          <w:t>working memory</w:t>
        </w:r>
      </w:hyperlink>
      <w:r w:rsidR="00C97036" w:rsidRPr="001D0F7B">
        <w:rPr>
          <w:color w:val="000000" w:themeColor="text1"/>
          <w:sz w:val="22"/>
          <w:szCs w:val="22"/>
          <w:shd w:val="clear" w:color="auto" w:fill="FFFFFF"/>
          <w:lang w:eastAsia="en-US"/>
        </w:rPr>
        <w:t xml:space="preserve">” (Rosen, n/a). This shows that although nothing has been proven displaying a connection between dyslexia and dyscalculia, it is believed that they share difficulties like memory, or processing and reading which means that they can affect each other and therefore affect a child’s work in other areas. Similar strategies may be useful if a child with dyslexia shows difficulties with Mathematics, like colour overlays for reading numbers or pictures representing words and actions. </w:t>
      </w:r>
      <w:r w:rsidR="00FE4055" w:rsidRPr="001D0F7B">
        <w:rPr>
          <w:color w:val="000000" w:themeColor="text1"/>
          <w:sz w:val="22"/>
          <w:szCs w:val="22"/>
          <w:shd w:val="clear" w:color="auto" w:fill="FFFFFF"/>
          <w:lang w:eastAsia="en-US"/>
        </w:rPr>
        <w:t xml:space="preserve">Appendix 2 shows how beneficial the respondents find ICT in order to support pupils with dyslexia, the overall consensus was that ICT is beneficial. “the use of ICT in responding to special educational needs opens new opportunities for participation and inclusion in the culture, curricula and communities of schools” (Florian, 2004). This </w:t>
      </w:r>
      <w:r w:rsidR="009A5A78" w:rsidRPr="001D0F7B">
        <w:rPr>
          <w:color w:val="000000" w:themeColor="text1"/>
          <w:sz w:val="22"/>
          <w:szCs w:val="22"/>
          <w:shd w:val="clear" w:color="auto" w:fill="FFFFFF"/>
          <w:lang w:eastAsia="en-US"/>
        </w:rPr>
        <w:t xml:space="preserve">states that by allowing children with ALN, in this case dyslexia, to complete work and develop new skills, you are creating new opportunities for them and ensuring that they continue to learn and achieve throughout school. </w:t>
      </w:r>
    </w:p>
    <w:p w14:paraId="5F75EC13" w14:textId="1A6F4ED9" w:rsidR="009A5A78" w:rsidRPr="001D0F7B" w:rsidRDefault="009A5A78" w:rsidP="00C97036">
      <w:pPr>
        <w:rPr>
          <w:sz w:val="22"/>
          <w:szCs w:val="22"/>
          <w:lang w:eastAsia="en-US"/>
        </w:rPr>
      </w:pPr>
      <w:r w:rsidRPr="001D0F7B">
        <w:rPr>
          <w:sz w:val="22"/>
          <w:szCs w:val="22"/>
          <w:lang w:eastAsia="en-US"/>
        </w:rPr>
        <w:t xml:space="preserve">Lastly, the questionnaire also questioned the respondents on how they deal with the behavioural and emotional aspect of children with dyslexia, as children may not only suffer academically. One of the schools has set guidelines for dealing with the behaviour of a child with ALN, while the others just followed general school procedure. Also, some schools created ‘Social clubs’ or ‘memory clubs’ that children with ALN can attend, along with other pupils. </w:t>
      </w:r>
      <w:r w:rsidR="00395139" w:rsidRPr="001D0F7B">
        <w:rPr>
          <w:sz w:val="22"/>
          <w:szCs w:val="22"/>
          <w:lang w:eastAsia="en-US"/>
        </w:rPr>
        <w:t xml:space="preserve">A study by Mai Eissa (2010) found that have the learning difficulty negatively impacted children’s self-esteem and lower feeling off well-being. She explained that this may lead to depression, anxiety, aggressive behaviour and social problems, caused by the feeling of being less than or not good enough. This highlights how important it is to ensure that children are supported as much as possible, and are included in every day school life, being given equal opportunities. 83% agreed and 8% of the participants in the questionnaire strongly agreed with the statement “Dyslexia has a negative impact on a child’s self-image”. Whereas, only 16% agreed that dyslexia </w:t>
      </w:r>
      <w:r w:rsidR="001D0F7B" w:rsidRPr="001D0F7B">
        <w:rPr>
          <w:sz w:val="22"/>
          <w:szCs w:val="22"/>
          <w:lang w:eastAsia="en-US"/>
        </w:rPr>
        <w:t>have</w:t>
      </w:r>
      <w:r w:rsidR="00395139" w:rsidRPr="001D0F7B">
        <w:rPr>
          <w:sz w:val="22"/>
          <w:szCs w:val="22"/>
          <w:lang w:eastAsia="en-US"/>
        </w:rPr>
        <w:t xml:space="preserve"> no impact on a child’s behaviour in school. This appears to be the reason why the clubs and additional support is implemented. However, problems with reading, writing and spelling are not the only signals that a child may be dyslexic.</w:t>
      </w:r>
      <w:r w:rsidR="00807C51" w:rsidRPr="001D0F7B">
        <w:rPr>
          <w:sz w:val="22"/>
          <w:szCs w:val="22"/>
          <w:lang w:eastAsia="en-US"/>
        </w:rPr>
        <w:t xml:space="preserve"> Q21 asks for the participants to indicate whether certain behavioural tendencies are common in children with dyslexia. </w:t>
      </w:r>
    </w:p>
    <w:p w14:paraId="427AF103" w14:textId="073677F3" w:rsidR="00807C51" w:rsidRDefault="00807C51" w:rsidP="00807C51">
      <w:pPr>
        <w:jc w:val="center"/>
        <w:rPr>
          <w:sz w:val="24"/>
          <w:szCs w:val="24"/>
          <w:lang w:eastAsia="en-US"/>
        </w:rPr>
      </w:pPr>
      <w:r>
        <w:rPr>
          <w:noProof/>
        </w:rPr>
        <w:lastRenderedPageBreak/>
        <mc:AlternateContent>
          <mc:Choice Requires="cx2">
            <w:drawing>
              <wp:inline distT="0" distB="0" distL="0" distR="0" wp14:anchorId="0629BDE0" wp14:editId="3BC171C5">
                <wp:extent cx="4453467" cy="2582333"/>
                <wp:effectExtent l="0" t="0" r="4445" b="8890"/>
                <wp:docPr id="5" name="Chart 5">
                  <a:extLst xmlns:a="http://schemas.openxmlformats.org/drawingml/2006/main">
                    <a:ext uri="{FF2B5EF4-FFF2-40B4-BE49-F238E27FC236}">
                      <a16:creationId xmlns:a16="http://schemas.microsoft.com/office/drawing/2014/main" id="{A4CE1EAD-40A1-D247-A256-AF92B4ED942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0629BDE0" wp14:editId="3BC171C5">
                <wp:extent cx="4453467" cy="2582333"/>
                <wp:effectExtent l="0" t="0" r="4445" b="8890"/>
                <wp:docPr id="5" name="Chart 5">
                  <a:extLst xmlns:a="http://schemas.openxmlformats.org/drawingml/2006/main">
                    <a:ext uri="{FF2B5EF4-FFF2-40B4-BE49-F238E27FC236}">
                      <a16:creationId xmlns:a16="http://schemas.microsoft.com/office/drawing/2014/main" id="{A4CE1EAD-40A1-D247-A256-AF92B4ED942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5">
                          <a:extLst>
                            <a:ext uri="{FF2B5EF4-FFF2-40B4-BE49-F238E27FC236}">
                              <a16:creationId xmlns:a16="http://schemas.microsoft.com/office/drawing/2014/main" id="{A4CE1EAD-40A1-D247-A256-AF92B4ED942C}"/>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4453255" cy="2581910"/>
                        </a:xfrm>
                        <a:prstGeom prst="rect">
                          <a:avLst/>
                        </a:prstGeom>
                      </pic:spPr>
                    </pic:pic>
                  </a:graphicData>
                </a:graphic>
              </wp:inline>
            </w:drawing>
          </mc:Fallback>
        </mc:AlternateContent>
      </w:r>
    </w:p>
    <w:p w14:paraId="28929C74" w14:textId="540FCF17" w:rsidR="00982395" w:rsidRPr="001D0F7B" w:rsidRDefault="00807C51" w:rsidP="00807C51">
      <w:pPr>
        <w:rPr>
          <w:sz w:val="22"/>
          <w:szCs w:val="24"/>
          <w:lang w:eastAsia="en-US"/>
        </w:rPr>
      </w:pPr>
      <w:r w:rsidRPr="001D0F7B">
        <w:rPr>
          <w:sz w:val="22"/>
          <w:szCs w:val="24"/>
          <w:lang w:eastAsia="en-US"/>
        </w:rPr>
        <w:t xml:space="preserve">The chart shows that avoiding the task is the most common type of behaviour from pupils with dyslexia, with the majority of respondents recognising others also. However, again this does not apply to every pupil with </w:t>
      </w:r>
      <w:r w:rsidR="001D0F7B" w:rsidRPr="001D0F7B">
        <w:rPr>
          <w:sz w:val="22"/>
          <w:szCs w:val="24"/>
          <w:lang w:eastAsia="en-US"/>
        </w:rPr>
        <w:t>dyslexia,</w:t>
      </w:r>
      <w:r w:rsidRPr="001D0F7B">
        <w:rPr>
          <w:sz w:val="22"/>
          <w:szCs w:val="24"/>
          <w:lang w:eastAsia="en-US"/>
        </w:rPr>
        <w:t xml:space="preserve"> but this can be an indication sometimes.</w:t>
      </w:r>
    </w:p>
    <w:p w14:paraId="4FA44F89" w14:textId="57ADE623" w:rsidR="00807C51" w:rsidRPr="001D0F7B" w:rsidRDefault="00982395" w:rsidP="00807C51">
      <w:pPr>
        <w:rPr>
          <w:sz w:val="22"/>
          <w:szCs w:val="24"/>
          <w:lang w:eastAsia="en-US"/>
        </w:rPr>
      </w:pPr>
      <w:r w:rsidRPr="001D0F7B">
        <w:rPr>
          <w:sz w:val="22"/>
          <w:szCs w:val="24"/>
          <w:lang w:eastAsia="en-US"/>
        </w:rPr>
        <w:t xml:space="preserve">Overall, the questionnaire provided the group with an experienced insight into dealing with pupils with dyslexia, as well as suggesting various techniques to use in order to support them and signals to look out for. </w:t>
      </w:r>
    </w:p>
    <w:p w14:paraId="5A76B959" w14:textId="706AE585" w:rsidR="00982395" w:rsidRDefault="00982395" w:rsidP="00807C51">
      <w:pPr>
        <w:rPr>
          <w:sz w:val="22"/>
          <w:szCs w:val="24"/>
          <w:lang w:eastAsia="en-US"/>
        </w:rPr>
      </w:pPr>
      <w:r w:rsidRPr="001D0F7B">
        <w:rPr>
          <w:sz w:val="22"/>
          <w:szCs w:val="24"/>
          <w:lang w:eastAsia="en-US"/>
        </w:rPr>
        <w:t xml:space="preserve">To conclude, </w:t>
      </w:r>
      <w:r w:rsidR="00EB2B0A" w:rsidRPr="001D0F7B">
        <w:rPr>
          <w:sz w:val="22"/>
          <w:szCs w:val="24"/>
          <w:lang w:eastAsia="en-US"/>
        </w:rPr>
        <w:t xml:space="preserve">the questionnaire provided both quantitative and qualitative answers that have been studied and used to conduct research into how to support pupils with dyslexia inclusively. </w:t>
      </w:r>
      <w:r w:rsidR="00130AF4" w:rsidRPr="001D0F7B">
        <w:rPr>
          <w:sz w:val="22"/>
          <w:szCs w:val="24"/>
          <w:lang w:eastAsia="en-US"/>
        </w:rPr>
        <w:t xml:space="preserve">Although no two dyslexic children are the same and no strategy will work for every individual, the questionnaire has provided several approaches and recommendations to consider when assisting pupils that have difficulties with reading, spelling, writing, memory and/or processing. </w:t>
      </w:r>
      <w:r w:rsidR="00EB2B0A" w:rsidRPr="001D0F7B">
        <w:rPr>
          <w:sz w:val="22"/>
          <w:szCs w:val="24"/>
          <w:lang w:eastAsia="en-US"/>
        </w:rPr>
        <w:t xml:space="preserve">The use of colour overlays for pupils affected by reading struggles seem to be a useful way of ensuring that child can participate in class </w:t>
      </w:r>
      <w:r w:rsidR="001D0F7B" w:rsidRPr="001D0F7B">
        <w:rPr>
          <w:sz w:val="22"/>
          <w:szCs w:val="24"/>
          <w:lang w:eastAsia="en-US"/>
        </w:rPr>
        <w:t>activities and</w:t>
      </w:r>
      <w:r w:rsidR="00EB2B0A" w:rsidRPr="001D0F7B">
        <w:rPr>
          <w:sz w:val="22"/>
          <w:szCs w:val="24"/>
          <w:lang w:eastAsia="en-US"/>
        </w:rPr>
        <w:t xml:space="preserve"> read regularly despite their difficulty. Additionally, providing children with dyslexia the opportunity to use ICT effectively during lessons to guarantee access to the curriculum and to complete activities with more ease, making lessons less of a struggle and more enjoyable for them, meaning they can engage. </w:t>
      </w:r>
      <w:r w:rsidR="001D0F7B" w:rsidRPr="001D0F7B">
        <w:rPr>
          <w:sz w:val="22"/>
          <w:szCs w:val="24"/>
          <w:lang w:eastAsia="en-US"/>
        </w:rPr>
        <w:t>Additionally, in order to support pupils as much as possible, dyslexia focused training may prove beneficial as all schools would then be similarly equip</w:t>
      </w:r>
      <w:r w:rsidR="001D0F7B">
        <w:rPr>
          <w:sz w:val="22"/>
          <w:szCs w:val="24"/>
          <w:lang w:eastAsia="en-US"/>
        </w:rPr>
        <w:t>ped</w:t>
      </w:r>
      <w:r w:rsidR="001D0F7B" w:rsidRPr="001D0F7B">
        <w:rPr>
          <w:sz w:val="22"/>
          <w:szCs w:val="24"/>
          <w:lang w:eastAsia="en-US"/>
        </w:rPr>
        <w:t xml:space="preserve"> to support pupils affected. </w:t>
      </w:r>
      <w:r w:rsidR="00130AF4" w:rsidRPr="001D0F7B">
        <w:rPr>
          <w:sz w:val="22"/>
          <w:szCs w:val="24"/>
          <w:lang w:eastAsia="en-US"/>
        </w:rPr>
        <w:t xml:space="preserve">The results of the questionnaire clearly demonstrate the lack of consistency of training between different LA and therefore some areas have more input into how to support learners with dyslexia. The new implementation of the ALN system may result in all schools having similar resources and strategies to make supporting pupils consistent and cohesive. All of these suggestions from the questionnaire would be useful to ensure inclusive practice and support for these children, however, it seems that the most important point is that early identification and screening allows early intervention which may prevent any significant gap in a child with dyslexia’s learning, compared to other pupils. The use of the DEST2 </w:t>
      </w:r>
      <w:r w:rsidR="001D0F7B" w:rsidRPr="001D0F7B">
        <w:rPr>
          <w:sz w:val="22"/>
          <w:szCs w:val="24"/>
          <w:lang w:eastAsia="en-US"/>
        </w:rPr>
        <w:t xml:space="preserve">early intervention strategy may prove effective to identify dyslexia and therefore initiate the interventions necessary. All things considered, dyslexia is a complex learning difficulty that can affect children in more than just literacy- affecting their access to the rest of the curriculum and emotionally- which requires a lot of support and resources to ensure a child suffering is able to achieve as much as possible and fulfil their goals. </w:t>
      </w:r>
    </w:p>
    <w:p w14:paraId="4FF424D7" w14:textId="643619F4" w:rsidR="00331E63" w:rsidRDefault="00331E63" w:rsidP="00807C51">
      <w:pPr>
        <w:rPr>
          <w:sz w:val="22"/>
          <w:szCs w:val="24"/>
          <w:lang w:eastAsia="en-US"/>
        </w:rPr>
      </w:pPr>
    </w:p>
    <w:p w14:paraId="0A8E9B48" w14:textId="1BE7D361" w:rsidR="00331E63" w:rsidRDefault="00331E63" w:rsidP="00807C51">
      <w:pPr>
        <w:rPr>
          <w:sz w:val="22"/>
          <w:szCs w:val="24"/>
          <w:lang w:eastAsia="en-US"/>
        </w:rPr>
      </w:pPr>
    </w:p>
    <w:p w14:paraId="27A4E8E3" w14:textId="7C870C3A" w:rsidR="00331E63" w:rsidRDefault="00331E63" w:rsidP="00807C51">
      <w:pPr>
        <w:rPr>
          <w:sz w:val="22"/>
          <w:szCs w:val="24"/>
          <w:lang w:eastAsia="en-US"/>
        </w:rPr>
      </w:pPr>
    </w:p>
    <w:p w14:paraId="63ECFD03" w14:textId="23BDCD4C" w:rsidR="00331E63" w:rsidRPr="001D0F7B" w:rsidRDefault="00331E63" w:rsidP="00807C51">
      <w:pPr>
        <w:rPr>
          <w:sz w:val="22"/>
          <w:szCs w:val="24"/>
          <w:lang w:eastAsia="en-US"/>
        </w:rPr>
      </w:pPr>
      <w:r>
        <w:rPr>
          <w:sz w:val="22"/>
          <w:szCs w:val="24"/>
          <w:lang w:eastAsia="en-US"/>
        </w:rPr>
        <w:t>WORD COUNT - 4179</w:t>
      </w:r>
      <w:bookmarkStart w:id="0" w:name="_GoBack"/>
      <w:bookmarkEnd w:id="0"/>
    </w:p>
    <w:p w14:paraId="6C5C0356" w14:textId="39109DFB" w:rsidR="00E87CE8" w:rsidRPr="00E87CE8" w:rsidRDefault="00E87CE8" w:rsidP="00E87CE8">
      <w:pPr>
        <w:rPr>
          <w:sz w:val="24"/>
          <w:szCs w:val="24"/>
          <w:lang w:eastAsia="en-US"/>
        </w:rPr>
      </w:pPr>
    </w:p>
    <w:p w14:paraId="49416995" w14:textId="210712EC" w:rsidR="00CB6F3D" w:rsidRDefault="00CB6F3D" w:rsidP="00E87CE8">
      <w:pPr>
        <w:rPr>
          <w:sz w:val="22"/>
          <w:szCs w:val="24"/>
          <w:lang w:eastAsia="en-US"/>
        </w:rPr>
      </w:pPr>
    </w:p>
    <w:p w14:paraId="0E5064F5" w14:textId="77777777" w:rsidR="00CB6F3D" w:rsidRPr="00D63FD7" w:rsidRDefault="00CB6F3D" w:rsidP="00266F7D">
      <w:pPr>
        <w:rPr>
          <w:sz w:val="22"/>
          <w:szCs w:val="24"/>
          <w:lang w:eastAsia="en-US"/>
        </w:rPr>
      </w:pPr>
    </w:p>
    <w:p w14:paraId="0E81F549" w14:textId="164E9E48" w:rsidR="00664190" w:rsidRDefault="00664190" w:rsidP="00664190">
      <w:pPr>
        <w:rPr>
          <w:sz w:val="22"/>
          <w:szCs w:val="24"/>
          <w:lang w:eastAsia="en-US"/>
        </w:rPr>
      </w:pPr>
    </w:p>
    <w:p w14:paraId="611AE3EE" w14:textId="5FA70F01" w:rsidR="001D0F7B" w:rsidRDefault="001D0F7B" w:rsidP="00664190">
      <w:pPr>
        <w:rPr>
          <w:sz w:val="22"/>
          <w:szCs w:val="24"/>
          <w:lang w:eastAsia="en-US"/>
        </w:rPr>
      </w:pPr>
    </w:p>
    <w:p w14:paraId="26F788A2" w14:textId="01417E94" w:rsidR="001D0F7B" w:rsidRDefault="001D0F7B" w:rsidP="00664190">
      <w:pPr>
        <w:rPr>
          <w:sz w:val="22"/>
          <w:szCs w:val="24"/>
          <w:lang w:eastAsia="en-US"/>
        </w:rPr>
      </w:pPr>
    </w:p>
    <w:p w14:paraId="48A1B16E" w14:textId="7E20B59B" w:rsidR="001D0F7B" w:rsidRDefault="001D0F7B" w:rsidP="00664190">
      <w:pPr>
        <w:rPr>
          <w:sz w:val="22"/>
          <w:szCs w:val="24"/>
          <w:lang w:eastAsia="en-US"/>
        </w:rPr>
      </w:pPr>
    </w:p>
    <w:p w14:paraId="47E3EF26" w14:textId="0E5A57C1" w:rsidR="001D0F7B" w:rsidRDefault="001D0F7B" w:rsidP="00664190">
      <w:pPr>
        <w:rPr>
          <w:sz w:val="22"/>
          <w:szCs w:val="24"/>
          <w:lang w:eastAsia="en-US"/>
        </w:rPr>
      </w:pPr>
    </w:p>
    <w:p w14:paraId="307276C2" w14:textId="3242C0BA" w:rsidR="001D0F7B" w:rsidRDefault="001D0F7B" w:rsidP="00664190">
      <w:pPr>
        <w:rPr>
          <w:sz w:val="22"/>
          <w:szCs w:val="24"/>
          <w:lang w:eastAsia="en-US"/>
        </w:rPr>
      </w:pPr>
    </w:p>
    <w:p w14:paraId="45E867A7" w14:textId="72AD151E" w:rsidR="001D0F7B" w:rsidRDefault="001D0F7B" w:rsidP="00664190">
      <w:pPr>
        <w:rPr>
          <w:sz w:val="22"/>
          <w:szCs w:val="24"/>
          <w:u w:val="single"/>
          <w:lang w:eastAsia="en-US"/>
        </w:rPr>
      </w:pPr>
      <w:r w:rsidRPr="001D0F7B">
        <w:rPr>
          <w:sz w:val="22"/>
          <w:szCs w:val="24"/>
          <w:u w:val="single"/>
          <w:lang w:eastAsia="en-US"/>
        </w:rPr>
        <w:t>Reference List</w:t>
      </w:r>
    </w:p>
    <w:p w14:paraId="751021D2" w14:textId="06EE744C" w:rsidR="0090436D" w:rsidRDefault="0090436D" w:rsidP="00664190">
      <w:pPr>
        <w:rPr>
          <w:sz w:val="22"/>
          <w:szCs w:val="24"/>
          <w:u w:val="single"/>
          <w:lang w:eastAsia="en-US"/>
        </w:rPr>
      </w:pPr>
    </w:p>
    <w:p w14:paraId="1EB2F5A3" w14:textId="77777777" w:rsidR="0090436D" w:rsidRPr="00E95D61" w:rsidRDefault="0090436D" w:rsidP="0090436D">
      <w:pPr>
        <w:rPr>
          <w:rFonts w:asciiTheme="minorHAnsi" w:hAnsiTheme="minorHAnsi" w:cstheme="minorBidi"/>
          <w:sz w:val="24"/>
          <w:szCs w:val="24"/>
        </w:rPr>
      </w:pPr>
      <w:r w:rsidRPr="00E95D61">
        <w:rPr>
          <w:sz w:val="22"/>
          <w:szCs w:val="22"/>
        </w:rPr>
        <w:t xml:space="preserve">Brad Wray, K. (2002) </w:t>
      </w:r>
      <w:r w:rsidRPr="00E95D61">
        <w:rPr>
          <w:i/>
          <w:sz w:val="22"/>
          <w:szCs w:val="22"/>
        </w:rPr>
        <w:t xml:space="preserve">The Epistemic Significance of Collaborative Research. </w:t>
      </w:r>
      <w:r w:rsidRPr="00E95D61">
        <w:rPr>
          <w:sz w:val="22"/>
          <w:szCs w:val="22"/>
        </w:rPr>
        <w:t xml:space="preserve">Alberta. University of Chicago. </w:t>
      </w:r>
    </w:p>
    <w:p w14:paraId="52863E50" w14:textId="77777777" w:rsidR="0090436D" w:rsidRPr="00E95D61" w:rsidRDefault="0090436D" w:rsidP="0090436D">
      <w:pPr>
        <w:pStyle w:val="NormalWeb"/>
        <w:rPr>
          <w:sz w:val="22"/>
          <w:szCs w:val="22"/>
        </w:rPr>
      </w:pPr>
      <w:r w:rsidRPr="00E95D61">
        <w:rPr>
          <w:sz w:val="22"/>
          <w:szCs w:val="22"/>
        </w:rPr>
        <w:t xml:space="preserve">British Dyslexia Association. (2019) </w:t>
      </w:r>
      <w:r w:rsidRPr="00E95D61">
        <w:rPr>
          <w:i/>
          <w:sz w:val="22"/>
          <w:szCs w:val="22"/>
        </w:rPr>
        <w:t xml:space="preserve">Screening and Assessment. </w:t>
      </w:r>
      <w:r w:rsidRPr="00E95D61">
        <w:rPr>
          <w:sz w:val="22"/>
          <w:szCs w:val="22"/>
        </w:rPr>
        <w:t xml:space="preserve">UK. British Dyslexia Association. Available at: </w:t>
      </w:r>
      <w:hyperlink r:id="rId13" w:history="1">
        <w:r w:rsidRPr="00E95D61">
          <w:rPr>
            <w:rStyle w:val="Hyperlink"/>
            <w:sz w:val="22"/>
            <w:szCs w:val="22"/>
          </w:rPr>
          <w:t>https://www.bdadyslexia.org.uk/educator/screening-and-assessment</w:t>
        </w:r>
      </w:hyperlink>
      <w:r w:rsidRPr="00E95D61">
        <w:rPr>
          <w:sz w:val="22"/>
          <w:szCs w:val="22"/>
        </w:rPr>
        <w:t xml:space="preserve"> [Accessed on 20th April 2019]</w:t>
      </w:r>
    </w:p>
    <w:p w14:paraId="03116393" w14:textId="77777777" w:rsidR="0090436D" w:rsidRPr="00E95D61" w:rsidRDefault="0090436D" w:rsidP="0090436D">
      <w:pPr>
        <w:pStyle w:val="NormalWeb"/>
        <w:rPr>
          <w:sz w:val="22"/>
          <w:szCs w:val="22"/>
        </w:rPr>
      </w:pPr>
      <w:r w:rsidRPr="00E95D61">
        <w:rPr>
          <w:sz w:val="22"/>
          <w:szCs w:val="22"/>
        </w:rPr>
        <w:t xml:space="preserve">Centre for Innovation in Research and Teaching. (n/a) </w:t>
      </w:r>
      <w:r w:rsidRPr="00E95D61">
        <w:rPr>
          <w:i/>
          <w:sz w:val="22"/>
          <w:szCs w:val="22"/>
        </w:rPr>
        <w:t xml:space="preserve">Ethical Concerns in Research. </w:t>
      </w:r>
      <w:r w:rsidRPr="00E95D61">
        <w:rPr>
          <w:sz w:val="22"/>
          <w:szCs w:val="22"/>
        </w:rPr>
        <w:t xml:space="preserve">CIRT. Available at: </w:t>
      </w:r>
      <w:hyperlink r:id="rId14" w:history="1">
        <w:r w:rsidRPr="00E95D61">
          <w:rPr>
            <w:rStyle w:val="Hyperlink"/>
            <w:sz w:val="22"/>
            <w:szCs w:val="22"/>
          </w:rPr>
          <w:t>https://cirt.gcu.edu/research/developmentresources/research_ready/designing_surveys/survey_ethics</w:t>
        </w:r>
      </w:hyperlink>
      <w:r w:rsidRPr="00E95D61">
        <w:rPr>
          <w:sz w:val="22"/>
          <w:szCs w:val="22"/>
        </w:rPr>
        <w:t xml:space="preserve"> [Accessed on 23rd April 2019]</w:t>
      </w:r>
    </w:p>
    <w:p w14:paraId="4D25B014" w14:textId="77777777" w:rsidR="0090436D" w:rsidRPr="00E95D61" w:rsidRDefault="0090436D" w:rsidP="0090436D">
      <w:pPr>
        <w:pStyle w:val="NormalWeb"/>
        <w:rPr>
          <w:sz w:val="22"/>
          <w:szCs w:val="22"/>
        </w:rPr>
      </w:pPr>
      <w:r w:rsidRPr="00E95D61">
        <w:rPr>
          <w:sz w:val="22"/>
          <w:szCs w:val="22"/>
        </w:rPr>
        <w:t xml:space="preserve">Cicierchia, M. (2018) </w:t>
      </w:r>
      <w:r w:rsidRPr="00E95D61">
        <w:rPr>
          <w:i/>
          <w:sz w:val="22"/>
          <w:szCs w:val="22"/>
        </w:rPr>
        <w:t xml:space="preserve">Does Dyslexia Affect Speech? </w:t>
      </w:r>
      <w:r w:rsidRPr="00E95D61">
        <w:rPr>
          <w:sz w:val="22"/>
          <w:szCs w:val="22"/>
        </w:rPr>
        <w:t xml:space="preserve">N/A. ReadAndSpell.com. Available at: </w:t>
      </w:r>
      <w:hyperlink r:id="rId15" w:history="1">
        <w:r w:rsidRPr="00E95D61">
          <w:rPr>
            <w:rStyle w:val="Hyperlink"/>
            <w:sz w:val="22"/>
            <w:szCs w:val="22"/>
          </w:rPr>
          <w:t>https://www.readandspell.com/does-dyslexia-affect-speech</w:t>
        </w:r>
      </w:hyperlink>
      <w:r w:rsidRPr="00E95D61">
        <w:rPr>
          <w:sz w:val="22"/>
          <w:szCs w:val="22"/>
        </w:rPr>
        <w:t xml:space="preserve"> [Accessed on 25th April 2019]</w:t>
      </w:r>
    </w:p>
    <w:p w14:paraId="39E0D984" w14:textId="77777777" w:rsidR="0090436D" w:rsidRPr="00E95D61" w:rsidRDefault="0090436D" w:rsidP="0090436D">
      <w:pPr>
        <w:rPr>
          <w:sz w:val="22"/>
          <w:szCs w:val="22"/>
        </w:rPr>
      </w:pPr>
      <w:r w:rsidRPr="00E95D61">
        <w:rPr>
          <w:sz w:val="22"/>
          <w:szCs w:val="22"/>
        </w:rPr>
        <w:t xml:space="preserve">Dauncey, M. (2016) </w:t>
      </w:r>
      <w:r w:rsidRPr="00E95D61">
        <w:rPr>
          <w:i/>
          <w:sz w:val="22"/>
          <w:szCs w:val="22"/>
        </w:rPr>
        <w:t xml:space="preserve">Research Briefing: Additional Learning Needs (ALN) in Wales. </w:t>
      </w:r>
      <w:r w:rsidRPr="00E95D61">
        <w:rPr>
          <w:sz w:val="22"/>
          <w:szCs w:val="22"/>
        </w:rPr>
        <w:t xml:space="preserve">Cardiff. National Assembly for Wales. </w:t>
      </w:r>
    </w:p>
    <w:p w14:paraId="02057D2A" w14:textId="77777777" w:rsidR="0090436D" w:rsidRPr="00E95D61" w:rsidRDefault="0090436D" w:rsidP="0090436D">
      <w:pPr>
        <w:pStyle w:val="NormalWeb"/>
        <w:rPr>
          <w:sz w:val="22"/>
          <w:szCs w:val="22"/>
        </w:rPr>
      </w:pPr>
      <w:r w:rsidRPr="00E95D61">
        <w:rPr>
          <w:sz w:val="22"/>
          <w:szCs w:val="22"/>
        </w:rPr>
        <w:t xml:space="preserve">Del Greco, L. (1987) </w:t>
      </w:r>
      <w:r w:rsidRPr="00E95D61">
        <w:rPr>
          <w:i/>
          <w:sz w:val="22"/>
          <w:szCs w:val="22"/>
        </w:rPr>
        <w:t xml:space="preserve">Questionnaire Development: 2. Validity and Reliability. </w:t>
      </w:r>
      <w:r w:rsidRPr="00E95D61">
        <w:rPr>
          <w:sz w:val="22"/>
          <w:szCs w:val="22"/>
        </w:rPr>
        <w:t xml:space="preserve">Canada. Canadian Medical Association Journal. </w:t>
      </w:r>
    </w:p>
    <w:p w14:paraId="279F706D" w14:textId="77777777" w:rsidR="0090436D" w:rsidRDefault="0090436D" w:rsidP="0090436D">
      <w:pPr>
        <w:rPr>
          <w:sz w:val="22"/>
          <w:szCs w:val="22"/>
        </w:rPr>
      </w:pPr>
      <w:r w:rsidRPr="00E95D61">
        <w:rPr>
          <w:sz w:val="22"/>
          <w:szCs w:val="22"/>
        </w:rPr>
        <w:t xml:space="preserve">Department for Education and Skills. (2012) </w:t>
      </w:r>
      <w:r w:rsidRPr="00E95D61">
        <w:rPr>
          <w:i/>
          <w:sz w:val="22"/>
          <w:szCs w:val="22"/>
        </w:rPr>
        <w:t xml:space="preserve">Research into Dyslexia Provision in Wales. </w:t>
      </w:r>
      <w:r w:rsidRPr="00E95D61">
        <w:rPr>
          <w:sz w:val="22"/>
          <w:szCs w:val="22"/>
        </w:rPr>
        <w:t xml:space="preserve">Cardiff. Welsh Government. Available at: </w:t>
      </w:r>
      <w:hyperlink r:id="rId16" w:history="1">
        <w:r w:rsidRPr="00E95D61">
          <w:rPr>
            <w:rStyle w:val="Hyperlink"/>
            <w:sz w:val="22"/>
            <w:szCs w:val="22"/>
          </w:rPr>
          <w:t>https://gov.wales/sites/default/files/statistics-and-research/2018-12/120824-dyslexia-provision-literature-review-en.pdf</w:t>
        </w:r>
      </w:hyperlink>
      <w:r w:rsidRPr="00E95D61">
        <w:rPr>
          <w:sz w:val="22"/>
          <w:szCs w:val="22"/>
        </w:rPr>
        <w:t xml:space="preserve"> [Accessed on 14th April 2019] </w:t>
      </w:r>
    </w:p>
    <w:p w14:paraId="2AA8D9F9" w14:textId="77777777" w:rsidR="0090436D" w:rsidRPr="00E95D61" w:rsidRDefault="0090436D" w:rsidP="0090436D">
      <w:pPr>
        <w:rPr>
          <w:sz w:val="22"/>
          <w:szCs w:val="22"/>
        </w:rPr>
      </w:pPr>
    </w:p>
    <w:p w14:paraId="2ABEDDCE" w14:textId="77777777" w:rsidR="0090436D" w:rsidRDefault="0090436D" w:rsidP="0090436D">
      <w:pPr>
        <w:rPr>
          <w:sz w:val="22"/>
          <w:szCs w:val="22"/>
        </w:rPr>
      </w:pPr>
      <w:r w:rsidRPr="00E95D61">
        <w:rPr>
          <w:sz w:val="22"/>
          <w:szCs w:val="22"/>
        </w:rPr>
        <w:t xml:space="preserve">Department for Education and Skills. (2015) </w:t>
      </w:r>
      <w:r w:rsidRPr="00E95D61">
        <w:rPr>
          <w:i/>
          <w:sz w:val="22"/>
          <w:szCs w:val="22"/>
        </w:rPr>
        <w:t xml:space="preserve">Specific Learning Difficulties Framework. </w:t>
      </w:r>
      <w:r w:rsidRPr="00E95D61">
        <w:rPr>
          <w:sz w:val="22"/>
          <w:szCs w:val="22"/>
        </w:rPr>
        <w:t xml:space="preserve">Cardiff. Welsh Government. Available at: </w:t>
      </w:r>
      <w:hyperlink r:id="rId17" w:history="1">
        <w:r w:rsidRPr="00E95D61">
          <w:rPr>
            <w:rStyle w:val="Hyperlink"/>
            <w:sz w:val="22"/>
            <w:szCs w:val="22"/>
          </w:rPr>
          <w:t>https://gov.wales/sites/default/files/publications/2018-03/specific-learning-difficulties-framework.pdf</w:t>
        </w:r>
      </w:hyperlink>
      <w:r w:rsidRPr="00E95D61">
        <w:rPr>
          <w:sz w:val="22"/>
          <w:szCs w:val="22"/>
        </w:rPr>
        <w:t xml:space="preserve"> [Accessed on 14th April 2019] </w:t>
      </w:r>
    </w:p>
    <w:p w14:paraId="774FF216" w14:textId="77777777" w:rsidR="0090436D" w:rsidRPr="00E95D61" w:rsidRDefault="0090436D" w:rsidP="0090436D">
      <w:pPr>
        <w:rPr>
          <w:sz w:val="22"/>
          <w:szCs w:val="22"/>
        </w:rPr>
      </w:pPr>
    </w:p>
    <w:p w14:paraId="5107366B" w14:textId="77777777" w:rsidR="0090436D" w:rsidRDefault="0090436D" w:rsidP="0090436D">
      <w:pPr>
        <w:rPr>
          <w:sz w:val="22"/>
          <w:szCs w:val="22"/>
        </w:rPr>
      </w:pPr>
      <w:r w:rsidRPr="00E95D61">
        <w:rPr>
          <w:sz w:val="22"/>
          <w:szCs w:val="22"/>
        </w:rPr>
        <w:t xml:space="preserve">Donaldson, G. (2015) </w:t>
      </w:r>
      <w:r w:rsidRPr="00E95D61">
        <w:rPr>
          <w:i/>
          <w:sz w:val="22"/>
          <w:szCs w:val="22"/>
        </w:rPr>
        <w:t xml:space="preserve">Successful Futures. </w:t>
      </w:r>
      <w:r w:rsidRPr="00E95D61">
        <w:rPr>
          <w:sz w:val="22"/>
          <w:szCs w:val="22"/>
        </w:rPr>
        <w:t xml:space="preserve">Cardiff. Welsh Government. </w:t>
      </w:r>
    </w:p>
    <w:p w14:paraId="1CBF8D9A" w14:textId="77777777" w:rsidR="0090436D" w:rsidRPr="00E95D61" w:rsidRDefault="0090436D" w:rsidP="0090436D">
      <w:pPr>
        <w:rPr>
          <w:sz w:val="22"/>
          <w:szCs w:val="22"/>
        </w:rPr>
      </w:pPr>
    </w:p>
    <w:p w14:paraId="7BA8018B" w14:textId="77777777" w:rsidR="0090436D" w:rsidRPr="00E95D61" w:rsidRDefault="0090436D" w:rsidP="0090436D">
      <w:pPr>
        <w:rPr>
          <w:sz w:val="22"/>
          <w:szCs w:val="22"/>
        </w:rPr>
      </w:pPr>
      <w:r w:rsidRPr="00E95D61">
        <w:rPr>
          <w:sz w:val="22"/>
          <w:szCs w:val="22"/>
        </w:rPr>
        <w:t xml:space="preserve">Estyn. (2016) </w:t>
      </w:r>
      <w:r w:rsidRPr="00E95D61">
        <w:rPr>
          <w:i/>
          <w:sz w:val="22"/>
          <w:szCs w:val="22"/>
        </w:rPr>
        <w:t xml:space="preserve">Helping Children with Additional Learning Needs Reach their Potential. </w:t>
      </w:r>
      <w:r w:rsidRPr="00E95D61">
        <w:rPr>
          <w:sz w:val="22"/>
          <w:szCs w:val="22"/>
        </w:rPr>
        <w:t xml:space="preserve">Wales. Estyn. Available at: </w:t>
      </w:r>
      <w:hyperlink r:id="rId18" w:history="1">
        <w:r w:rsidRPr="00E95D61">
          <w:rPr>
            <w:rStyle w:val="Hyperlink"/>
            <w:sz w:val="22"/>
            <w:szCs w:val="22"/>
          </w:rPr>
          <w:t>https://www.estyn.gov.wales/effective-practice/helping-children-additional-learning-needs-reach-their-potential</w:t>
        </w:r>
      </w:hyperlink>
      <w:r w:rsidRPr="00E95D61">
        <w:rPr>
          <w:sz w:val="22"/>
          <w:szCs w:val="22"/>
        </w:rPr>
        <w:t xml:space="preserve"> [Accessed on 24th April 2019]</w:t>
      </w:r>
    </w:p>
    <w:p w14:paraId="77501EF7" w14:textId="77777777" w:rsidR="0090436D" w:rsidRPr="00E95D61" w:rsidRDefault="0090436D" w:rsidP="0090436D">
      <w:pPr>
        <w:pStyle w:val="NormalWeb"/>
        <w:rPr>
          <w:sz w:val="22"/>
          <w:szCs w:val="22"/>
        </w:rPr>
      </w:pPr>
      <w:r w:rsidRPr="00E95D61">
        <w:rPr>
          <w:sz w:val="22"/>
          <w:szCs w:val="22"/>
        </w:rPr>
        <w:t xml:space="preserve">Florian, L. (2004) </w:t>
      </w:r>
      <w:r w:rsidRPr="00E95D61">
        <w:rPr>
          <w:i/>
          <w:sz w:val="22"/>
          <w:szCs w:val="22"/>
        </w:rPr>
        <w:t xml:space="preserve">Uses of Technology that Support Pupils with Special Educational Needs. </w:t>
      </w:r>
      <w:r w:rsidRPr="00E95D61">
        <w:rPr>
          <w:sz w:val="22"/>
          <w:szCs w:val="22"/>
        </w:rPr>
        <w:t xml:space="preserve">UK. Open University Press. </w:t>
      </w:r>
    </w:p>
    <w:p w14:paraId="57C0D21B" w14:textId="77777777" w:rsidR="0090436D" w:rsidRPr="00E95D61" w:rsidRDefault="0090436D" w:rsidP="0090436D">
      <w:pPr>
        <w:rPr>
          <w:color w:val="000000"/>
          <w:sz w:val="22"/>
          <w:szCs w:val="22"/>
          <w:shd w:val="clear" w:color="auto" w:fill="FFFFFF"/>
        </w:rPr>
      </w:pPr>
      <w:r w:rsidRPr="00E95D61">
        <w:rPr>
          <w:sz w:val="22"/>
          <w:szCs w:val="22"/>
        </w:rPr>
        <w:t xml:space="preserve">Groenvold, M. et al. (1997) </w:t>
      </w:r>
      <w:r w:rsidRPr="00E95D61">
        <w:rPr>
          <w:i/>
          <w:color w:val="000000"/>
          <w:sz w:val="22"/>
          <w:szCs w:val="22"/>
          <w:shd w:val="clear" w:color="auto" w:fill="FFFFFF"/>
        </w:rPr>
        <w:t xml:space="preserve">Validation of the EORTC QLQ-C30 quality of life questionnaire through combined qualitative and quantitative assessment of patient-observer agreement. </w:t>
      </w:r>
      <w:r w:rsidRPr="00E95D61">
        <w:rPr>
          <w:color w:val="000000"/>
          <w:sz w:val="22"/>
          <w:szCs w:val="22"/>
          <w:shd w:val="clear" w:color="auto" w:fill="FFFFFF"/>
        </w:rPr>
        <w:t xml:space="preserve">n/a. Elsevier. </w:t>
      </w:r>
    </w:p>
    <w:p w14:paraId="1B4930B3" w14:textId="77777777" w:rsidR="0090436D" w:rsidRPr="00E95D61" w:rsidRDefault="0090436D" w:rsidP="0090436D">
      <w:pPr>
        <w:pStyle w:val="NormalWeb"/>
        <w:rPr>
          <w:sz w:val="22"/>
          <w:szCs w:val="22"/>
        </w:rPr>
      </w:pPr>
      <w:r w:rsidRPr="00E95D61">
        <w:rPr>
          <w:sz w:val="22"/>
          <w:szCs w:val="22"/>
        </w:rPr>
        <w:t xml:space="preserve">Infrastructure, Curriculum, Qualifications and Learner Support Directorate. (2015) </w:t>
      </w:r>
      <w:r w:rsidRPr="00E95D61">
        <w:rPr>
          <w:i/>
          <w:sz w:val="22"/>
          <w:szCs w:val="22"/>
        </w:rPr>
        <w:t xml:space="preserve">Screening, Assessment and Intervention. </w:t>
      </w:r>
      <w:r w:rsidRPr="00E95D61">
        <w:rPr>
          <w:sz w:val="22"/>
          <w:szCs w:val="22"/>
        </w:rPr>
        <w:t xml:space="preserve">Cardiff. Welsh Government. Available at: </w:t>
      </w:r>
      <w:hyperlink r:id="rId19" w:history="1">
        <w:r w:rsidRPr="00E95D61">
          <w:rPr>
            <w:rStyle w:val="Hyperlink"/>
            <w:sz w:val="22"/>
            <w:szCs w:val="22"/>
          </w:rPr>
          <w:t>https://gov.wales/sites/default/files/publications/2018-03/screening-assessment-and-intervention-identifying-screening-assessment-and-intervention-methods-for-learners-with-specific-learning-difficulties.pdf</w:t>
        </w:r>
      </w:hyperlink>
      <w:r w:rsidRPr="00E95D61">
        <w:rPr>
          <w:sz w:val="22"/>
          <w:szCs w:val="22"/>
        </w:rPr>
        <w:t xml:space="preserve"> [Accessed on 18th April 2019]</w:t>
      </w:r>
    </w:p>
    <w:p w14:paraId="61DE032A" w14:textId="77777777" w:rsidR="0090436D" w:rsidRPr="00E95D61" w:rsidRDefault="0090436D" w:rsidP="0090436D">
      <w:pPr>
        <w:rPr>
          <w:sz w:val="22"/>
          <w:szCs w:val="22"/>
        </w:rPr>
      </w:pPr>
      <w:r w:rsidRPr="00E95D61">
        <w:rPr>
          <w:sz w:val="22"/>
          <w:szCs w:val="22"/>
        </w:rPr>
        <w:lastRenderedPageBreak/>
        <w:t xml:space="preserve">Knight, C. (2018) </w:t>
      </w:r>
      <w:r w:rsidRPr="00E95D61">
        <w:rPr>
          <w:i/>
          <w:sz w:val="22"/>
          <w:szCs w:val="22"/>
        </w:rPr>
        <w:t xml:space="preserve">Teachers don’t understand the depth of Dyslexia. </w:t>
      </w:r>
      <w:r w:rsidRPr="00E95D61">
        <w:rPr>
          <w:sz w:val="22"/>
          <w:szCs w:val="22"/>
        </w:rPr>
        <w:t xml:space="preserve">Swansea. TheConversation.com Available at: </w:t>
      </w:r>
      <w:hyperlink r:id="rId20" w:history="1">
        <w:r w:rsidRPr="00E95D61">
          <w:rPr>
            <w:rStyle w:val="Hyperlink"/>
            <w:sz w:val="22"/>
            <w:szCs w:val="22"/>
          </w:rPr>
          <w:t>http://theconversation.com/teachers-dont-understand-the-depth-of-dyslexia-107384</w:t>
        </w:r>
      </w:hyperlink>
      <w:r w:rsidRPr="00E95D61">
        <w:rPr>
          <w:sz w:val="22"/>
          <w:szCs w:val="22"/>
        </w:rPr>
        <w:t xml:space="preserve"> [Accessed on 24</w:t>
      </w:r>
      <w:r w:rsidRPr="00E95D61">
        <w:rPr>
          <w:sz w:val="22"/>
          <w:szCs w:val="22"/>
          <w:vertAlign w:val="superscript"/>
        </w:rPr>
        <w:t>th</w:t>
      </w:r>
      <w:r w:rsidRPr="00E95D61">
        <w:rPr>
          <w:sz w:val="22"/>
          <w:szCs w:val="22"/>
        </w:rPr>
        <w:t xml:space="preserve"> April 2019] </w:t>
      </w:r>
    </w:p>
    <w:p w14:paraId="1D2C4EAE" w14:textId="77777777" w:rsidR="0090436D" w:rsidRPr="00E95D61" w:rsidRDefault="0090436D" w:rsidP="0090436D">
      <w:pPr>
        <w:pStyle w:val="NormalWeb"/>
        <w:rPr>
          <w:sz w:val="22"/>
          <w:szCs w:val="22"/>
        </w:rPr>
      </w:pPr>
      <w:r w:rsidRPr="00E95D61">
        <w:rPr>
          <w:sz w:val="22"/>
          <w:szCs w:val="22"/>
        </w:rPr>
        <w:t xml:space="preserve">McLeod, S. (2018) </w:t>
      </w:r>
      <w:r w:rsidRPr="00E95D61">
        <w:rPr>
          <w:i/>
          <w:sz w:val="22"/>
          <w:szCs w:val="22"/>
        </w:rPr>
        <w:t xml:space="preserve">Questionnaire. </w:t>
      </w:r>
      <w:r w:rsidRPr="00E95D61">
        <w:rPr>
          <w:sz w:val="22"/>
          <w:szCs w:val="22"/>
        </w:rPr>
        <w:t xml:space="preserve">Simply Psychology. Available at: </w:t>
      </w:r>
      <w:hyperlink r:id="rId21" w:history="1">
        <w:r w:rsidRPr="00E95D61">
          <w:rPr>
            <w:rStyle w:val="Hyperlink"/>
            <w:sz w:val="22"/>
            <w:szCs w:val="22"/>
          </w:rPr>
          <w:t>https://www.simplypsychology.org/questionnaires.html</w:t>
        </w:r>
      </w:hyperlink>
      <w:r w:rsidRPr="00E95D61">
        <w:rPr>
          <w:sz w:val="22"/>
          <w:szCs w:val="22"/>
        </w:rPr>
        <w:t xml:space="preserve"> [Accessed on 22nd April 2019]</w:t>
      </w:r>
    </w:p>
    <w:p w14:paraId="47D33CAE" w14:textId="77777777" w:rsidR="0090436D" w:rsidRPr="00E95D61" w:rsidRDefault="0090436D" w:rsidP="0090436D">
      <w:pPr>
        <w:pStyle w:val="NormalWeb"/>
        <w:rPr>
          <w:sz w:val="22"/>
          <w:szCs w:val="22"/>
        </w:rPr>
      </w:pPr>
      <w:r w:rsidRPr="00E95D61">
        <w:rPr>
          <w:sz w:val="22"/>
          <w:szCs w:val="22"/>
        </w:rPr>
        <w:t xml:space="preserve">National Council for Special Education. (n/a) </w:t>
      </w:r>
      <w:r w:rsidRPr="00E95D61">
        <w:rPr>
          <w:i/>
          <w:sz w:val="22"/>
          <w:szCs w:val="22"/>
        </w:rPr>
        <w:t xml:space="preserve">Developing a whole school policy on Dyslexia. </w:t>
      </w:r>
      <w:r w:rsidRPr="00E95D61">
        <w:rPr>
          <w:sz w:val="22"/>
          <w:szCs w:val="22"/>
        </w:rPr>
        <w:t xml:space="preserve">Cork. NCSE. Available at: </w:t>
      </w:r>
      <w:hyperlink r:id="rId22" w:history="1">
        <w:r w:rsidRPr="00E95D61">
          <w:rPr>
            <w:rStyle w:val="Hyperlink"/>
            <w:sz w:val="22"/>
            <w:szCs w:val="22"/>
          </w:rPr>
          <w:t>https://www.sess.ie/dyslexia-section/developing-whole-school-policy-dyslexia</w:t>
        </w:r>
      </w:hyperlink>
      <w:r w:rsidRPr="00E95D61">
        <w:rPr>
          <w:sz w:val="22"/>
          <w:szCs w:val="22"/>
        </w:rPr>
        <w:t xml:space="preserve"> [Accessed on 25th April 2019] </w:t>
      </w:r>
    </w:p>
    <w:p w14:paraId="0DCBC664" w14:textId="77777777" w:rsidR="0090436D" w:rsidRPr="00E95D61" w:rsidRDefault="0090436D" w:rsidP="0090436D">
      <w:pPr>
        <w:rPr>
          <w:sz w:val="22"/>
          <w:szCs w:val="22"/>
        </w:rPr>
      </w:pPr>
      <w:r w:rsidRPr="00E95D61">
        <w:rPr>
          <w:sz w:val="22"/>
          <w:szCs w:val="22"/>
        </w:rPr>
        <w:t xml:space="preserve">National Health Service. (2018) </w:t>
      </w:r>
      <w:r w:rsidRPr="00E95D61">
        <w:rPr>
          <w:i/>
          <w:sz w:val="22"/>
          <w:szCs w:val="22"/>
        </w:rPr>
        <w:t xml:space="preserve">Dyslexia. </w:t>
      </w:r>
      <w:r w:rsidRPr="00E95D61">
        <w:rPr>
          <w:sz w:val="22"/>
          <w:szCs w:val="22"/>
        </w:rPr>
        <w:t xml:space="preserve">NHS. Available at: </w:t>
      </w:r>
      <w:hyperlink r:id="rId23" w:history="1">
        <w:r w:rsidRPr="00E95D61">
          <w:rPr>
            <w:rStyle w:val="Hyperlink"/>
            <w:sz w:val="22"/>
            <w:szCs w:val="22"/>
          </w:rPr>
          <w:t>https://www.nhs.uk/conditions/dyslexia/</w:t>
        </w:r>
      </w:hyperlink>
      <w:r w:rsidRPr="00E95D61">
        <w:rPr>
          <w:sz w:val="22"/>
          <w:szCs w:val="22"/>
        </w:rPr>
        <w:t xml:space="preserve"> [Accessed on 14</w:t>
      </w:r>
      <w:r w:rsidRPr="00E95D61">
        <w:rPr>
          <w:sz w:val="22"/>
          <w:szCs w:val="22"/>
          <w:vertAlign w:val="superscript"/>
        </w:rPr>
        <w:t>th</w:t>
      </w:r>
      <w:r w:rsidRPr="00E95D61">
        <w:rPr>
          <w:sz w:val="22"/>
          <w:szCs w:val="22"/>
        </w:rPr>
        <w:t xml:space="preserve"> April 2019] </w:t>
      </w:r>
    </w:p>
    <w:p w14:paraId="5D86A25F" w14:textId="77777777" w:rsidR="0090436D" w:rsidRPr="00E95D61" w:rsidRDefault="0090436D" w:rsidP="0090436D">
      <w:pPr>
        <w:rPr>
          <w:sz w:val="22"/>
          <w:szCs w:val="22"/>
        </w:rPr>
      </w:pPr>
      <w:r w:rsidRPr="00E95D61">
        <w:rPr>
          <w:sz w:val="22"/>
          <w:szCs w:val="22"/>
        </w:rPr>
        <w:t xml:space="preserve">Pound, L. (2014) </w:t>
      </w:r>
      <w:r w:rsidRPr="00E95D61">
        <w:rPr>
          <w:i/>
          <w:sz w:val="22"/>
          <w:szCs w:val="22"/>
        </w:rPr>
        <w:t xml:space="preserve">How Children Learn. </w:t>
      </w:r>
      <w:r w:rsidRPr="00E95D61">
        <w:rPr>
          <w:sz w:val="22"/>
          <w:szCs w:val="22"/>
        </w:rPr>
        <w:t xml:space="preserve">London. Practical Pre-School Books. </w:t>
      </w:r>
    </w:p>
    <w:p w14:paraId="1110119F" w14:textId="77777777" w:rsidR="0090436D" w:rsidRPr="00E95D61" w:rsidRDefault="0090436D" w:rsidP="0090436D">
      <w:pPr>
        <w:pStyle w:val="NormalWeb"/>
        <w:rPr>
          <w:sz w:val="22"/>
          <w:szCs w:val="22"/>
        </w:rPr>
      </w:pPr>
      <w:r w:rsidRPr="00E95D61">
        <w:rPr>
          <w:sz w:val="22"/>
          <w:szCs w:val="22"/>
        </w:rPr>
        <w:t xml:space="preserve">Rosen, P. (n/a) </w:t>
      </w:r>
      <w:r w:rsidRPr="00E95D61">
        <w:rPr>
          <w:i/>
          <w:sz w:val="22"/>
          <w:szCs w:val="22"/>
        </w:rPr>
        <w:t xml:space="preserve">The Difference between Dyslexia and Dyscalculia. </w:t>
      </w:r>
      <w:r w:rsidRPr="00E95D61">
        <w:rPr>
          <w:sz w:val="22"/>
          <w:szCs w:val="22"/>
        </w:rPr>
        <w:t xml:space="preserve">USA. Understood.org. Available at: </w:t>
      </w:r>
      <w:hyperlink r:id="rId24" w:history="1">
        <w:r w:rsidRPr="00E95D61">
          <w:rPr>
            <w:rStyle w:val="Hyperlink"/>
            <w:sz w:val="22"/>
            <w:szCs w:val="22"/>
          </w:rPr>
          <w:t>https://www.understood.org/en/learning-attention-issues/child-learning-disabilities/dyslexia/the-difference-between-dyslexia-and-dyscalculia</w:t>
        </w:r>
      </w:hyperlink>
      <w:r w:rsidRPr="00E95D61">
        <w:rPr>
          <w:sz w:val="22"/>
          <w:szCs w:val="22"/>
        </w:rPr>
        <w:t xml:space="preserve"> [Accessed on 26th April 2019] </w:t>
      </w:r>
    </w:p>
    <w:p w14:paraId="3080C4F3" w14:textId="77777777" w:rsidR="0090436D" w:rsidRPr="00E95D61" w:rsidRDefault="0090436D" w:rsidP="0090436D">
      <w:pPr>
        <w:pStyle w:val="NormalWeb"/>
        <w:rPr>
          <w:sz w:val="22"/>
          <w:szCs w:val="22"/>
        </w:rPr>
      </w:pPr>
      <w:r w:rsidRPr="00E95D61">
        <w:rPr>
          <w:sz w:val="22"/>
          <w:szCs w:val="22"/>
        </w:rPr>
        <w:t xml:space="preserve">Schatschneider, C. (2004) </w:t>
      </w:r>
      <w:r w:rsidRPr="00E95D61">
        <w:rPr>
          <w:i/>
          <w:sz w:val="22"/>
          <w:szCs w:val="22"/>
        </w:rPr>
        <w:t xml:space="preserve">Using our Current Understanding of Dyslexia to support early identification and intervention. </w:t>
      </w:r>
      <w:r w:rsidRPr="00E95D61">
        <w:rPr>
          <w:sz w:val="22"/>
          <w:szCs w:val="22"/>
        </w:rPr>
        <w:t xml:space="preserve">USA. J Child Neurol. </w:t>
      </w:r>
    </w:p>
    <w:p w14:paraId="57105CFE" w14:textId="77777777" w:rsidR="0090436D" w:rsidRPr="00E95D61" w:rsidRDefault="0090436D" w:rsidP="0090436D">
      <w:pPr>
        <w:pStyle w:val="NormalWeb"/>
        <w:rPr>
          <w:sz w:val="22"/>
          <w:szCs w:val="22"/>
        </w:rPr>
      </w:pPr>
      <w:r w:rsidRPr="00E95D61">
        <w:rPr>
          <w:sz w:val="22"/>
          <w:szCs w:val="22"/>
        </w:rPr>
        <w:t xml:space="preserve">Snowling, M.J. (2013) </w:t>
      </w:r>
      <w:r w:rsidRPr="00E95D61">
        <w:rPr>
          <w:i/>
          <w:sz w:val="22"/>
          <w:szCs w:val="22"/>
        </w:rPr>
        <w:t xml:space="preserve">Early Identification and Interventions for Dyslexia. </w:t>
      </w:r>
      <w:r w:rsidRPr="00E95D61">
        <w:rPr>
          <w:sz w:val="22"/>
          <w:szCs w:val="22"/>
        </w:rPr>
        <w:t xml:space="preserve">J Res Spec Edu Needs. </w:t>
      </w:r>
    </w:p>
    <w:p w14:paraId="29CC5763" w14:textId="77777777" w:rsidR="0090436D" w:rsidRPr="00E95D61" w:rsidRDefault="0090436D" w:rsidP="0090436D">
      <w:pPr>
        <w:pStyle w:val="NormalWeb"/>
        <w:rPr>
          <w:sz w:val="22"/>
          <w:szCs w:val="22"/>
        </w:rPr>
      </w:pPr>
      <w:r w:rsidRPr="00E95D61">
        <w:rPr>
          <w:sz w:val="22"/>
          <w:szCs w:val="22"/>
        </w:rPr>
        <w:t xml:space="preserve">Travis, E. (2017) </w:t>
      </w:r>
      <w:r w:rsidRPr="00E95D61">
        <w:rPr>
          <w:i/>
          <w:sz w:val="22"/>
          <w:szCs w:val="22"/>
        </w:rPr>
        <w:t xml:space="preserve">Ethics in Questionnaires. </w:t>
      </w:r>
      <w:r w:rsidRPr="00E95D61">
        <w:rPr>
          <w:sz w:val="22"/>
          <w:szCs w:val="22"/>
        </w:rPr>
        <w:t xml:space="preserve">USA. Bizfluent. Available at: </w:t>
      </w:r>
      <w:hyperlink r:id="rId25" w:history="1">
        <w:r w:rsidRPr="00E95D61">
          <w:rPr>
            <w:rStyle w:val="Hyperlink"/>
            <w:sz w:val="22"/>
            <w:szCs w:val="22"/>
          </w:rPr>
          <w:t>https://bizfluent.com/info-8064289-ethics-questionnaires.html</w:t>
        </w:r>
      </w:hyperlink>
      <w:r w:rsidRPr="00E95D61">
        <w:rPr>
          <w:sz w:val="22"/>
          <w:szCs w:val="22"/>
        </w:rPr>
        <w:t xml:space="preserve"> [Accessed on 23rd April 2019]</w:t>
      </w:r>
    </w:p>
    <w:p w14:paraId="1F414603" w14:textId="77777777" w:rsidR="0090436D" w:rsidRDefault="0090436D" w:rsidP="0090436D">
      <w:pPr>
        <w:rPr>
          <w:sz w:val="22"/>
          <w:szCs w:val="22"/>
        </w:rPr>
      </w:pPr>
      <w:r w:rsidRPr="00E95D61">
        <w:rPr>
          <w:sz w:val="22"/>
          <w:szCs w:val="22"/>
        </w:rPr>
        <w:t xml:space="preserve">United Nations. (1989) </w:t>
      </w:r>
      <w:r w:rsidRPr="00E95D61">
        <w:rPr>
          <w:i/>
          <w:sz w:val="22"/>
          <w:szCs w:val="22"/>
        </w:rPr>
        <w:t>Convention on the Rights of the Child.</w:t>
      </w:r>
      <w:r w:rsidRPr="00E95D61">
        <w:rPr>
          <w:sz w:val="22"/>
          <w:szCs w:val="22"/>
        </w:rPr>
        <w:t xml:space="preserve"> London. UNICEF. Available at: </w:t>
      </w:r>
      <w:hyperlink r:id="rId26" w:history="1">
        <w:r w:rsidRPr="00E95D61">
          <w:rPr>
            <w:rStyle w:val="Hyperlink"/>
            <w:sz w:val="22"/>
            <w:szCs w:val="22"/>
          </w:rPr>
          <w:t>https://downloads.unicef.org.uk/wp-content/uploads/2010/05/UNCRC_united_nations_convention_on_the_rights_of_the_child.pdf?_ga=2.58134954.1898943845.1556106550-1901865738.1518789600</w:t>
        </w:r>
      </w:hyperlink>
      <w:r w:rsidRPr="00E95D61">
        <w:rPr>
          <w:sz w:val="22"/>
          <w:szCs w:val="22"/>
        </w:rPr>
        <w:t xml:space="preserve"> [Accessed on 13</w:t>
      </w:r>
      <w:r w:rsidRPr="00E95D61">
        <w:rPr>
          <w:sz w:val="22"/>
          <w:szCs w:val="22"/>
          <w:vertAlign w:val="superscript"/>
        </w:rPr>
        <w:t>th</w:t>
      </w:r>
      <w:r w:rsidRPr="00E95D61">
        <w:rPr>
          <w:sz w:val="22"/>
          <w:szCs w:val="22"/>
        </w:rPr>
        <w:t xml:space="preserve"> April 2019]</w:t>
      </w:r>
    </w:p>
    <w:p w14:paraId="26279AC9" w14:textId="77777777" w:rsidR="0090436D" w:rsidRPr="00E95D61" w:rsidRDefault="0090436D" w:rsidP="0090436D">
      <w:pPr>
        <w:rPr>
          <w:sz w:val="22"/>
          <w:szCs w:val="22"/>
        </w:rPr>
      </w:pPr>
    </w:p>
    <w:p w14:paraId="5869E59D" w14:textId="77777777" w:rsidR="0090436D" w:rsidRPr="00E95D61" w:rsidRDefault="0090436D" w:rsidP="0090436D">
      <w:pPr>
        <w:rPr>
          <w:sz w:val="22"/>
          <w:szCs w:val="22"/>
        </w:rPr>
      </w:pPr>
      <w:r w:rsidRPr="00E95D61">
        <w:rPr>
          <w:sz w:val="22"/>
          <w:szCs w:val="22"/>
        </w:rPr>
        <w:t xml:space="preserve">Welsh Government. (2018) </w:t>
      </w:r>
      <w:r w:rsidRPr="00E95D61">
        <w:rPr>
          <w:i/>
          <w:sz w:val="22"/>
          <w:szCs w:val="22"/>
        </w:rPr>
        <w:t xml:space="preserve">Implementing the Additional Learning Needs and Education Tribunal (Wales)l Act 2018. </w:t>
      </w:r>
      <w:r w:rsidRPr="00E95D61">
        <w:rPr>
          <w:sz w:val="22"/>
          <w:szCs w:val="22"/>
        </w:rPr>
        <w:t xml:space="preserve">Cardiff. Welsh Government. Available at: </w:t>
      </w:r>
      <w:hyperlink r:id="rId27" w:history="1">
        <w:r w:rsidRPr="00E95D61">
          <w:rPr>
            <w:rStyle w:val="Hyperlink"/>
            <w:sz w:val="22"/>
            <w:szCs w:val="22"/>
          </w:rPr>
          <w:t>https://gov.wales/sites/default/files/publications/2018-11/additional-learning-needs-and-education-tribunal-wales-act-2018-implementation-guide-for-individual-development-plans.pdf</w:t>
        </w:r>
      </w:hyperlink>
      <w:r w:rsidRPr="00E95D61">
        <w:rPr>
          <w:sz w:val="22"/>
          <w:szCs w:val="22"/>
        </w:rPr>
        <w:t xml:space="preserve"> [Accessed on 13th April 2019]</w:t>
      </w:r>
    </w:p>
    <w:p w14:paraId="719A94A5" w14:textId="77777777" w:rsidR="0090436D" w:rsidRPr="00E95D61" w:rsidRDefault="0090436D" w:rsidP="0090436D">
      <w:pPr>
        <w:pStyle w:val="NormalWeb"/>
        <w:rPr>
          <w:sz w:val="22"/>
          <w:szCs w:val="22"/>
        </w:rPr>
      </w:pPr>
      <w:r w:rsidRPr="00E95D61">
        <w:rPr>
          <w:sz w:val="22"/>
          <w:szCs w:val="22"/>
        </w:rPr>
        <w:t xml:space="preserve">Wilson, C. (2015) </w:t>
      </w:r>
      <w:r w:rsidRPr="00E95D61">
        <w:rPr>
          <w:i/>
          <w:sz w:val="22"/>
          <w:szCs w:val="22"/>
        </w:rPr>
        <w:t xml:space="preserve">Forget Colour Overlays – Dyslexia is not a vision problem. </w:t>
      </w:r>
      <w:r w:rsidRPr="00E95D61">
        <w:rPr>
          <w:sz w:val="22"/>
          <w:szCs w:val="22"/>
        </w:rPr>
        <w:t xml:space="preserve">UK. NewScientist. Available at: </w:t>
      </w:r>
      <w:hyperlink r:id="rId28" w:history="1">
        <w:r w:rsidRPr="00E95D61">
          <w:rPr>
            <w:rStyle w:val="Hyperlink"/>
            <w:sz w:val="22"/>
            <w:szCs w:val="22"/>
          </w:rPr>
          <w:t>https://www.newscientist.com/article/dn27588-forget-colour-overlays-dyslexia-is-not-a-vision-problem/</w:t>
        </w:r>
      </w:hyperlink>
      <w:r w:rsidRPr="00E95D61">
        <w:rPr>
          <w:sz w:val="22"/>
          <w:szCs w:val="22"/>
        </w:rPr>
        <w:t xml:space="preserve"> [Accessed on 25</w:t>
      </w:r>
      <w:r w:rsidRPr="00E95D61">
        <w:rPr>
          <w:sz w:val="22"/>
          <w:szCs w:val="22"/>
          <w:vertAlign w:val="superscript"/>
        </w:rPr>
        <w:t>th</w:t>
      </w:r>
      <w:r w:rsidRPr="00E95D61">
        <w:rPr>
          <w:sz w:val="22"/>
          <w:szCs w:val="22"/>
        </w:rPr>
        <w:t xml:space="preserve"> April 2019] </w:t>
      </w:r>
    </w:p>
    <w:p w14:paraId="52456B43" w14:textId="77777777" w:rsidR="0090436D" w:rsidRPr="00E95D61" w:rsidRDefault="0090436D" w:rsidP="0090436D">
      <w:pPr>
        <w:pStyle w:val="NormalWeb"/>
        <w:rPr>
          <w:sz w:val="22"/>
          <w:szCs w:val="22"/>
        </w:rPr>
      </w:pPr>
      <w:r w:rsidRPr="00E95D61">
        <w:rPr>
          <w:sz w:val="22"/>
          <w:szCs w:val="22"/>
        </w:rPr>
        <w:t xml:space="preserve">Wyman, P. (2013) </w:t>
      </w:r>
      <w:r w:rsidRPr="00E95D61">
        <w:rPr>
          <w:i/>
          <w:sz w:val="22"/>
          <w:szCs w:val="22"/>
        </w:rPr>
        <w:t xml:space="preserve">5 Best Reasons Coloured Overlays Help overcome Dyslexic Symptoms. </w:t>
      </w:r>
      <w:r w:rsidRPr="00E95D61">
        <w:rPr>
          <w:sz w:val="22"/>
          <w:szCs w:val="22"/>
        </w:rPr>
        <w:t xml:space="preserve">USA. ColoredOverlays.com. Available at: </w:t>
      </w:r>
      <w:hyperlink r:id="rId29" w:history="1">
        <w:r w:rsidRPr="00E95D61">
          <w:rPr>
            <w:rStyle w:val="Hyperlink"/>
            <w:sz w:val="22"/>
            <w:szCs w:val="22"/>
          </w:rPr>
          <w:t>http://www.coloredoverlays.com/140/5-best-reasons-colored-overlays-help-overcome-dyslexia-symptoms/</w:t>
        </w:r>
      </w:hyperlink>
      <w:r w:rsidRPr="00E95D61">
        <w:rPr>
          <w:sz w:val="22"/>
          <w:szCs w:val="22"/>
        </w:rPr>
        <w:t xml:space="preserve"> [Accessed on 25</w:t>
      </w:r>
      <w:r w:rsidRPr="00E95D61">
        <w:rPr>
          <w:sz w:val="22"/>
          <w:szCs w:val="22"/>
          <w:vertAlign w:val="superscript"/>
        </w:rPr>
        <w:t>th</w:t>
      </w:r>
      <w:r w:rsidRPr="00E95D61">
        <w:rPr>
          <w:sz w:val="22"/>
          <w:szCs w:val="22"/>
        </w:rPr>
        <w:t xml:space="preserve"> April 2019]</w:t>
      </w:r>
    </w:p>
    <w:p w14:paraId="04F03698" w14:textId="4C30C3C7" w:rsidR="0090436D" w:rsidRDefault="0090436D" w:rsidP="00664190">
      <w:pPr>
        <w:rPr>
          <w:sz w:val="22"/>
          <w:szCs w:val="24"/>
          <w:u w:val="single"/>
          <w:lang w:eastAsia="en-US"/>
        </w:rPr>
      </w:pPr>
    </w:p>
    <w:p w14:paraId="05D38C5A" w14:textId="1FBC111E" w:rsidR="0090436D" w:rsidRDefault="0090436D" w:rsidP="00664190">
      <w:pPr>
        <w:rPr>
          <w:sz w:val="22"/>
          <w:szCs w:val="24"/>
          <w:u w:val="single"/>
          <w:lang w:eastAsia="en-US"/>
        </w:rPr>
      </w:pPr>
    </w:p>
    <w:p w14:paraId="0CE97D20" w14:textId="7471E434" w:rsidR="0090436D" w:rsidRDefault="0090436D" w:rsidP="00664190">
      <w:pPr>
        <w:rPr>
          <w:sz w:val="22"/>
          <w:szCs w:val="24"/>
          <w:u w:val="single"/>
          <w:lang w:eastAsia="en-US"/>
        </w:rPr>
      </w:pPr>
    </w:p>
    <w:p w14:paraId="504C85D7" w14:textId="22B77920" w:rsidR="0090436D" w:rsidRDefault="0090436D" w:rsidP="00664190">
      <w:pPr>
        <w:rPr>
          <w:sz w:val="22"/>
          <w:szCs w:val="24"/>
          <w:u w:val="single"/>
          <w:lang w:eastAsia="en-US"/>
        </w:rPr>
      </w:pPr>
    </w:p>
    <w:p w14:paraId="73AE894D" w14:textId="09D65686" w:rsidR="0090436D" w:rsidRDefault="0090436D" w:rsidP="00664190">
      <w:pPr>
        <w:rPr>
          <w:sz w:val="22"/>
          <w:szCs w:val="24"/>
          <w:u w:val="single"/>
          <w:lang w:eastAsia="en-US"/>
        </w:rPr>
      </w:pPr>
    </w:p>
    <w:p w14:paraId="7EC1F66B" w14:textId="7217595C" w:rsidR="0090436D" w:rsidRDefault="0090436D" w:rsidP="00664190">
      <w:pPr>
        <w:rPr>
          <w:sz w:val="22"/>
          <w:szCs w:val="24"/>
          <w:u w:val="single"/>
          <w:lang w:eastAsia="en-US"/>
        </w:rPr>
      </w:pPr>
    </w:p>
    <w:p w14:paraId="04CC0D3F" w14:textId="2324CFE1" w:rsidR="0090436D" w:rsidRDefault="0090436D" w:rsidP="00664190">
      <w:pPr>
        <w:rPr>
          <w:sz w:val="22"/>
          <w:szCs w:val="24"/>
          <w:u w:val="single"/>
          <w:lang w:eastAsia="en-US"/>
        </w:rPr>
      </w:pPr>
    </w:p>
    <w:p w14:paraId="5647A1BC" w14:textId="15148F94" w:rsidR="0090436D" w:rsidRDefault="0090436D" w:rsidP="00664190">
      <w:pPr>
        <w:rPr>
          <w:sz w:val="22"/>
          <w:szCs w:val="24"/>
          <w:u w:val="single"/>
          <w:lang w:eastAsia="en-US"/>
        </w:rPr>
      </w:pPr>
    </w:p>
    <w:p w14:paraId="50D4D1EB" w14:textId="0F860435" w:rsidR="0090436D" w:rsidRDefault="0090436D" w:rsidP="00664190">
      <w:pPr>
        <w:rPr>
          <w:sz w:val="22"/>
          <w:szCs w:val="24"/>
          <w:u w:val="single"/>
          <w:lang w:eastAsia="en-US"/>
        </w:rPr>
      </w:pPr>
    </w:p>
    <w:p w14:paraId="235C24F2" w14:textId="21021A87" w:rsidR="0090436D" w:rsidRDefault="0090436D" w:rsidP="00664190">
      <w:pPr>
        <w:rPr>
          <w:sz w:val="22"/>
          <w:szCs w:val="24"/>
          <w:u w:val="single"/>
          <w:lang w:eastAsia="en-US"/>
        </w:rPr>
      </w:pPr>
    </w:p>
    <w:p w14:paraId="68C072E0" w14:textId="3A03E04E" w:rsidR="0090436D" w:rsidRDefault="0090436D" w:rsidP="00664190">
      <w:pPr>
        <w:rPr>
          <w:sz w:val="22"/>
          <w:szCs w:val="24"/>
          <w:u w:val="single"/>
          <w:lang w:eastAsia="en-US"/>
        </w:rPr>
      </w:pPr>
    </w:p>
    <w:p w14:paraId="0EE69DD9" w14:textId="40423E76" w:rsidR="0090436D" w:rsidRDefault="0090436D" w:rsidP="00664190">
      <w:pPr>
        <w:rPr>
          <w:sz w:val="22"/>
          <w:szCs w:val="24"/>
          <w:u w:val="single"/>
          <w:lang w:eastAsia="en-US"/>
        </w:rPr>
      </w:pPr>
    </w:p>
    <w:p w14:paraId="48630A49" w14:textId="7EBC69F5" w:rsidR="0090436D" w:rsidRDefault="0090436D" w:rsidP="00664190">
      <w:pPr>
        <w:rPr>
          <w:sz w:val="22"/>
          <w:szCs w:val="24"/>
          <w:u w:val="single"/>
          <w:lang w:eastAsia="en-US"/>
        </w:rPr>
      </w:pPr>
      <w:r>
        <w:rPr>
          <w:sz w:val="22"/>
          <w:szCs w:val="24"/>
          <w:u w:val="single"/>
          <w:lang w:eastAsia="en-US"/>
        </w:rPr>
        <w:t xml:space="preserve">Appendix 1 </w:t>
      </w:r>
    </w:p>
    <w:p w14:paraId="1D39D1CB" w14:textId="7F75D1D7" w:rsidR="0090436D" w:rsidRDefault="0090436D" w:rsidP="00664190">
      <w:pPr>
        <w:rPr>
          <w:sz w:val="22"/>
          <w:szCs w:val="24"/>
          <w:u w:val="single"/>
          <w:lang w:eastAsia="en-US"/>
        </w:rPr>
      </w:pPr>
    </w:p>
    <w:p w14:paraId="66002F6C" w14:textId="77777777" w:rsidR="0090436D" w:rsidRDefault="0090436D" w:rsidP="00664190">
      <w:pPr>
        <w:rPr>
          <w:sz w:val="22"/>
          <w:szCs w:val="24"/>
          <w:u w:val="single"/>
          <w:lang w:eastAsia="en-US"/>
        </w:rPr>
      </w:pPr>
    </w:p>
    <w:tbl>
      <w:tblPr>
        <w:tblStyle w:val="TableGrid"/>
        <w:tblW w:w="0" w:type="auto"/>
        <w:tblLook w:val="04A0" w:firstRow="1" w:lastRow="0" w:firstColumn="1" w:lastColumn="0" w:noHBand="0" w:noVBand="1"/>
      </w:tblPr>
      <w:tblGrid>
        <w:gridCol w:w="9010"/>
      </w:tblGrid>
      <w:tr w:rsidR="0090436D" w14:paraId="2F911B67" w14:textId="77777777" w:rsidTr="0090436D">
        <w:tc>
          <w:tcPr>
            <w:tcW w:w="9010" w:type="dxa"/>
          </w:tcPr>
          <w:p w14:paraId="21A0C422" w14:textId="77777777" w:rsidR="0090436D" w:rsidRPr="00A87D42" w:rsidRDefault="0090436D" w:rsidP="0090436D">
            <w:pPr>
              <w:jc w:val="center"/>
            </w:pPr>
            <w:r w:rsidRPr="00A87D42">
              <w:rPr>
                <w:sz w:val="22"/>
              </w:rPr>
              <w:t>What characteristics does a child display that would initiate screening?</w:t>
            </w:r>
          </w:p>
        </w:tc>
      </w:tr>
      <w:tr w:rsidR="0090436D" w14:paraId="154F2570" w14:textId="77777777" w:rsidTr="0090436D">
        <w:tc>
          <w:tcPr>
            <w:tcW w:w="9010" w:type="dxa"/>
          </w:tcPr>
          <w:p w14:paraId="6CD50A18" w14:textId="77777777" w:rsidR="0090436D" w:rsidRPr="00A87D42" w:rsidRDefault="0090436D" w:rsidP="0090436D">
            <w:pPr>
              <w:jc w:val="center"/>
              <w:rPr>
                <w:sz w:val="22"/>
              </w:rPr>
            </w:pPr>
            <w:r w:rsidRPr="00A87D42">
              <w:rPr>
                <w:color w:val="333333"/>
                <w:sz w:val="22"/>
                <w:szCs w:val="21"/>
                <w:shd w:val="clear" w:color="auto" w:fill="F6F6F6"/>
              </w:rPr>
              <w:t>We screen a number of factors at this age. These might include memory (visual, verbal and auditory), organisational skills, levels of independence, phonic awareness and discrimination, letter naming, digit naming as well as manual dexterity.</w:t>
            </w:r>
          </w:p>
          <w:p w14:paraId="43F12617" w14:textId="77777777" w:rsidR="0090436D" w:rsidRPr="00A87D42" w:rsidRDefault="0090436D" w:rsidP="0090436D">
            <w:pPr>
              <w:jc w:val="center"/>
              <w:rPr>
                <w:sz w:val="22"/>
              </w:rPr>
            </w:pPr>
          </w:p>
        </w:tc>
      </w:tr>
      <w:tr w:rsidR="0090436D" w14:paraId="6B1CCCFD" w14:textId="77777777" w:rsidTr="0090436D">
        <w:tc>
          <w:tcPr>
            <w:tcW w:w="9010" w:type="dxa"/>
          </w:tcPr>
          <w:p w14:paraId="185BEE71" w14:textId="77777777" w:rsidR="0090436D" w:rsidRPr="00A87D42" w:rsidRDefault="0090436D" w:rsidP="0090436D">
            <w:pPr>
              <w:jc w:val="center"/>
              <w:rPr>
                <w:sz w:val="22"/>
              </w:rPr>
            </w:pPr>
            <w:r w:rsidRPr="00A87D42">
              <w:rPr>
                <w:color w:val="333333"/>
                <w:sz w:val="22"/>
                <w:szCs w:val="21"/>
                <w:shd w:val="clear" w:color="auto" w:fill="F6F6F6"/>
              </w:rPr>
              <w:t>Jumbling up letters, letter reversals, missing sounds</w:t>
            </w:r>
          </w:p>
          <w:p w14:paraId="19D713BC" w14:textId="77777777" w:rsidR="0090436D" w:rsidRPr="00A87D42" w:rsidRDefault="0090436D" w:rsidP="0090436D">
            <w:pPr>
              <w:tabs>
                <w:tab w:val="left" w:pos="2747"/>
              </w:tabs>
              <w:jc w:val="center"/>
              <w:rPr>
                <w:sz w:val="22"/>
              </w:rPr>
            </w:pPr>
          </w:p>
        </w:tc>
      </w:tr>
      <w:tr w:rsidR="0090436D" w14:paraId="17FAAE2C" w14:textId="77777777" w:rsidTr="0090436D">
        <w:tc>
          <w:tcPr>
            <w:tcW w:w="9010" w:type="dxa"/>
          </w:tcPr>
          <w:p w14:paraId="4AF100DE" w14:textId="77777777" w:rsidR="0090436D" w:rsidRPr="00A87D42" w:rsidRDefault="0090436D" w:rsidP="0090436D">
            <w:pPr>
              <w:jc w:val="center"/>
              <w:rPr>
                <w:sz w:val="22"/>
              </w:rPr>
            </w:pPr>
            <w:r w:rsidRPr="00A87D42">
              <w:rPr>
                <w:color w:val="333333"/>
                <w:sz w:val="22"/>
                <w:szCs w:val="21"/>
                <w:shd w:val="clear" w:color="auto" w:fill="F6F6F6"/>
              </w:rPr>
              <w:t>Difficulties in reading text, complaints of letters moving on page, frequently recurring mis-spelt words or letter reversals</w:t>
            </w:r>
          </w:p>
          <w:p w14:paraId="1ABB2156" w14:textId="77777777" w:rsidR="0090436D" w:rsidRPr="00A87D42" w:rsidRDefault="0090436D" w:rsidP="0090436D">
            <w:pPr>
              <w:jc w:val="center"/>
              <w:rPr>
                <w:sz w:val="22"/>
              </w:rPr>
            </w:pPr>
          </w:p>
        </w:tc>
      </w:tr>
      <w:tr w:rsidR="0090436D" w14:paraId="7E5C75C4" w14:textId="77777777" w:rsidTr="0090436D">
        <w:tc>
          <w:tcPr>
            <w:tcW w:w="9010" w:type="dxa"/>
          </w:tcPr>
          <w:p w14:paraId="06F87DDE" w14:textId="77777777" w:rsidR="0090436D" w:rsidRPr="00A87D42" w:rsidRDefault="0090436D" w:rsidP="0090436D">
            <w:pPr>
              <w:jc w:val="center"/>
              <w:rPr>
                <w:sz w:val="22"/>
              </w:rPr>
            </w:pPr>
            <w:r w:rsidRPr="00A87D42">
              <w:rPr>
                <w:color w:val="333333"/>
                <w:sz w:val="22"/>
                <w:szCs w:val="21"/>
                <w:shd w:val="clear" w:color="auto" w:fill="FFFFFF"/>
              </w:rPr>
              <w:t>they may tell you letters are dancing short term memory frustration when reading writing are not same level</w:t>
            </w:r>
          </w:p>
          <w:p w14:paraId="060163C0" w14:textId="77777777" w:rsidR="0090436D" w:rsidRPr="00A87D42" w:rsidRDefault="0090436D" w:rsidP="0090436D">
            <w:pPr>
              <w:jc w:val="center"/>
              <w:rPr>
                <w:sz w:val="22"/>
              </w:rPr>
            </w:pPr>
          </w:p>
        </w:tc>
      </w:tr>
      <w:tr w:rsidR="0090436D" w14:paraId="3185EBBD" w14:textId="77777777" w:rsidTr="0090436D">
        <w:tc>
          <w:tcPr>
            <w:tcW w:w="9010" w:type="dxa"/>
          </w:tcPr>
          <w:p w14:paraId="3C1EE92C" w14:textId="77777777" w:rsidR="0090436D" w:rsidRPr="00A87D42" w:rsidRDefault="0090436D" w:rsidP="0090436D">
            <w:pPr>
              <w:jc w:val="center"/>
              <w:rPr>
                <w:sz w:val="22"/>
              </w:rPr>
            </w:pPr>
            <w:r w:rsidRPr="00A87D42">
              <w:rPr>
                <w:color w:val="333333"/>
                <w:sz w:val="22"/>
                <w:szCs w:val="21"/>
                <w:shd w:val="clear" w:color="auto" w:fill="F9F9F9"/>
              </w:rPr>
              <w:t>Problems processing and understanding</w:t>
            </w:r>
          </w:p>
          <w:p w14:paraId="08E41853" w14:textId="77777777" w:rsidR="0090436D" w:rsidRPr="00A87D42" w:rsidRDefault="0090436D" w:rsidP="0090436D">
            <w:pPr>
              <w:jc w:val="center"/>
              <w:rPr>
                <w:sz w:val="22"/>
              </w:rPr>
            </w:pPr>
          </w:p>
        </w:tc>
      </w:tr>
      <w:tr w:rsidR="0090436D" w14:paraId="382AA957" w14:textId="77777777" w:rsidTr="0090436D">
        <w:tc>
          <w:tcPr>
            <w:tcW w:w="9010" w:type="dxa"/>
          </w:tcPr>
          <w:p w14:paraId="79B1855A" w14:textId="77777777" w:rsidR="0090436D" w:rsidRPr="00A87D42" w:rsidRDefault="0090436D" w:rsidP="0090436D">
            <w:pPr>
              <w:jc w:val="center"/>
              <w:rPr>
                <w:sz w:val="22"/>
              </w:rPr>
            </w:pPr>
            <w:r w:rsidRPr="00A87D42">
              <w:rPr>
                <w:color w:val="333333"/>
                <w:sz w:val="22"/>
                <w:szCs w:val="21"/>
                <w:shd w:val="clear" w:color="auto" w:fill="F6F6F6"/>
              </w:rPr>
              <w:t>Mixing letters up, writing letters the wrong way around, saying the letters/words are bouncing around the page.</w:t>
            </w:r>
          </w:p>
          <w:p w14:paraId="2A55C9C7" w14:textId="77777777" w:rsidR="0090436D" w:rsidRPr="00A87D42" w:rsidRDefault="0090436D" w:rsidP="0090436D">
            <w:pPr>
              <w:jc w:val="center"/>
              <w:rPr>
                <w:sz w:val="22"/>
              </w:rPr>
            </w:pPr>
          </w:p>
        </w:tc>
      </w:tr>
      <w:tr w:rsidR="0090436D" w14:paraId="096AAC2E" w14:textId="77777777" w:rsidTr="0090436D">
        <w:trPr>
          <w:trHeight w:val="215"/>
        </w:trPr>
        <w:tc>
          <w:tcPr>
            <w:tcW w:w="9010" w:type="dxa"/>
          </w:tcPr>
          <w:p w14:paraId="57AF4479" w14:textId="77777777" w:rsidR="0090436D" w:rsidRPr="00A87D42" w:rsidRDefault="0090436D" w:rsidP="0090436D">
            <w:pPr>
              <w:jc w:val="center"/>
              <w:rPr>
                <w:sz w:val="22"/>
              </w:rPr>
            </w:pPr>
            <w:r w:rsidRPr="00A87D42">
              <w:rPr>
                <w:color w:val="333333"/>
                <w:sz w:val="22"/>
                <w:szCs w:val="21"/>
                <w:shd w:val="clear" w:color="auto" w:fill="F6F6F6"/>
              </w:rPr>
              <w:t>Difficulties recording information in writing and reading, without any other issues e.g. learning difficulties</w:t>
            </w:r>
          </w:p>
          <w:p w14:paraId="79E2B5F0" w14:textId="77777777" w:rsidR="0090436D" w:rsidRPr="00A87D42" w:rsidRDefault="0090436D" w:rsidP="0090436D">
            <w:pPr>
              <w:jc w:val="center"/>
              <w:rPr>
                <w:sz w:val="22"/>
              </w:rPr>
            </w:pPr>
          </w:p>
        </w:tc>
      </w:tr>
      <w:tr w:rsidR="0090436D" w14:paraId="7625E480" w14:textId="77777777" w:rsidTr="0090436D">
        <w:trPr>
          <w:trHeight w:val="215"/>
        </w:trPr>
        <w:tc>
          <w:tcPr>
            <w:tcW w:w="9010" w:type="dxa"/>
          </w:tcPr>
          <w:p w14:paraId="5C5C1B14" w14:textId="77777777" w:rsidR="0090436D" w:rsidRPr="00A87D42" w:rsidRDefault="0090436D" w:rsidP="0090436D">
            <w:pPr>
              <w:jc w:val="center"/>
              <w:rPr>
                <w:sz w:val="22"/>
              </w:rPr>
            </w:pPr>
            <w:r w:rsidRPr="00A87D42">
              <w:rPr>
                <w:color w:val="333333"/>
                <w:sz w:val="22"/>
                <w:szCs w:val="21"/>
                <w:shd w:val="clear" w:color="auto" w:fill="F6F6F6"/>
              </w:rPr>
              <w:t>Delay in reading and writing and language activities. Unable to decode language</w:t>
            </w:r>
          </w:p>
          <w:p w14:paraId="5487BB36" w14:textId="77777777" w:rsidR="0090436D" w:rsidRPr="00A87D42" w:rsidRDefault="0090436D" w:rsidP="0090436D">
            <w:pPr>
              <w:jc w:val="center"/>
              <w:rPr>
                <w:color w:val="333333"/>
                <w:sz w:val="22"/>
                <w:szCs w:val="21"/>
                <w:shd w:val="clear" w:color="auto" w:fill="F6F6F6"/>
              </w:rPr>
            </w:pPr>
          </w:p>
        </w:tc>
      </w:tr>
      <w:tr w:rsidR="0090436D" w14:paraId="6ACDF0D5" w14:textId="77777777" w:rsidTr="0090436D">
        <w:trPr>
          <w:trHeight w:val="215"/>
        </w:trPr>
        <w:tc>
          <w:tcPr>
            <w:tcW w:w="9010" w:type="dxa"/>
          </w:tcPr>
          <w:p w14:paraId="26BBF332" w14:textId="77777777" w:rsidR="0090436D" w:rsidRPr="00A87D42" w:rsidRDefault="0090436D" w:rsidP="0090436D">
            <w:pPr>
              <w:jc w:val="center"/>
              <w:rPr>
                <w:sz w:val="22"/>
              </w:rPr>
            </w:pPr>
            <w:r w:rsidRPr="00A87D42">
              <w:rPr>
                <w:color w:val="333333"/>
                <w:sz w:val="22"/>
                <w:szCs w:val="21"/>
                <w:shd w:val="clear" w:color="auto" w:fill="F6F6F6"/>
              </w:rPr>
              <w:t>Limited progress made with spelling and reading despite differentiated work and interventions. Possibly reporting letters moving or learning to recognise words by their shape rather than letters.</w:t>
            </w:r>
          </w:p>
          <w:p w14:paraId="136D7FD6" w14:textId="77777777" w:rsidR="0090436D" w:rsidRPr="00A87D42" w:rsidRDefault="0090436D" w:rsidP="0090436D">
            <w:pPr>
              <w:jc w:val="center"/>
              <w:rPr>
                <w:color w:val="333333"/>
                <w:sz w:val="22"/>
                <w:szCs w:val="21"/>
                <w:shd w:val="clear" w:color="auto" w:fill="F6F6F6"/>
              </w:rPr>
            </w:pPr>
          </w:p>
        </w:tc>
      </w:tr>
      <w:tr w:rsidR="0090436D" w14:paraId="4B116BF5" w14:textId="77777777" w:rsidTr="0090436D">
        <w:trPr>
          <w:trHeight w:val="215"/>
        </w:trPr>
        <w:tc>
          <w:tcPr>
            <w:tcW w:w="9010" w:type="dxa"/>
          </w:tcPr>
          <w:p w14:paraId="799D0F24" w14:textId="77777777" w:rsidR="0090436D" w:rsidRPr="00A87D42" w:rsidRDefault="0090436D" w:rsidP="0090436D">
            <w:pPr>
              <w:jc w:val="center"/>
              <w:rPr>
                <w:sz w:val="22"/>
              </w:rPr>
            </w:pPr>
            <w:r w:rsidRPr="00A87D42">
              <w:rPr>
                <w:color w:val="333333"/>
                <w:sz w:val="22"/>
                <w:szCs w:val="21"/>
                <w:shd w:val="clear" w:color="auto" w:fill="F6F6F6"/>
              </w:rPr>
              <w:t>Difficulty focussing to read, lack of recall of phonics, reversal of letter</w:t>
            </w:r>
          </w:p>
          <w:p w14:paraId="195ACA59" w14:textId="77777777" w:rsidR="0090436D" w:rsidRPr="00A87D42" w:rsidRDefault="0090436D" w:rsidP="0090436D">
            <w:pPr>
              <w:jc w:val="center"/>
              <w:rPr>
                <w:color w:val="333333"/>
                <w:sz w:val="22"/>
                <w:szCs w:val="21"/>
                <w:shd w:val="clear" w:color="auto" w:fill="F6F6F6"/>
              </w:rPr>
            </w:pPr>
          </w:p>
        </w:tc>
      </w:tr>
      <w:tr w:rsidR="0090436D" w14:paraId="7FF3AF1F" w14:textId="77777777" w:rsidTr="0090436D">
        <w:trPr>
          <w:trHeight w:val="215"/>
        </w:trPr>
        <w:tc>
          <w:tcPr>
            <w:tcW w:w="9010" w:type="dxa"/>
          </w:tcPr>
          <w:p w14:paraId="7667759C" w14:textId="77777777" w:rsidR="0090436D" w:rsidRPr="00A87D42" w:rsidRDefault="0090436D" w:rsidP="0090436D">
            <w:pPr>
              <w:jc w:val="center"/>
              <w:rPr>
                <w:sz w:val="22"/>
              </w:rPr>
            </w:pPr>
            <w:r w:rsidRPr="00A87D42">
              <w:rPr>
                <w:color w:val="333333"/>
                <w:sz w:val="22"/>
                <w:szCs w:val="21"/>
                <w:shd w:val="clear" w:color="auto" w:fill="F6F6F6"/>
              </w:rPr>
              <w:t>All children in our school have the early screening.</w:t>
            </w:r>
          </w:p>
          <w:p w14:paraId="7A17D92E" w14:textId="77777777" w:rsidR="0090436D" w:rsidRPr="00A87D42" w:rsidRDefault="0090436D" w:rsidP="0090436D">
            <w:pPr>
              <w:jc w:val="center"/>
              <w:rPr>
                <w:color w:val="333333"/>
                <w:sz w:val="22"/>
                <w:szCs w:val="21"/>
                <w:shd w:val="clear" w:color="auto" w:fill="F6F6F6"/>
              </w:rPr>
            </w:pPr>
          </w:p>
        </w:tc>
      </w:tr>
      <w:tr w:rsidR="0090436D" w14:paraId="0668D9BD" w14:textId="77777777" w:rsidTr="0090436D">
        <w:trPr>
          <w:trHeight w:val="215"/>
        </w:trPr>
        <w:tc>
          <w:tcPr>
            <w:tcW w:w="9010" w:type="dxa"/>
          </w:tcPr>
          <w:p w14:paraId="42922A61" w14:textId="77777777" w:rsidR="0090436D" w:rsidRPr="00A87D42" w:rsidRDefault="0090436D" w:rsidP="0090436D">
            <w:pPr>
              <w:jc w:val="center"/>
              <w:rPr>
                <w:sz w:val="22"/>
              </w:rPr>
            </w:pPr>
            <w:r w:rsidRPr="00A87D42">
              <w:rPr>
                <w:color w:val="333333"/>
                <w:sz w:val="22"/>
                <w:szCs w:val="21"/>
                <w:shd w:val="clear" w:color="auto" w:fill="F6F6F6"/>
              </w:rPr>
              <w:t>letter or number reversal, difficulty reading as text is jumping around, good reading but poor writing or vice versa</w:t>
            </w:r>
          </w:p>
          <w:p w14:paraId="7C70974A" w14:textId="77777777" w:rsidR="0090436D" w:rsidRPr="00A87D42" w:rsidRDefault="0090436D" w:rsidP="0090436D">
            <w:pPr>
              <w:jc w:val="center"/>
              <w:rPr>
                <w:color w:val="333333"/>
                <w:sz w:val="22"/>
                <w:szCs w:val="21"/>
                <w:shd w:val="clear" w:color="auto" w:fill="F6F6F6"/>
              </w:rPr>
            </w:pPr>
          </w:p>
        </w:tc>
      </w:tr>
    </w:tbl>
    <w:p w14:paraId="742514AF" w14:textId="30282810" w:rsidR="0090436D" w:rsidRDefault="0090436D" w:rsidP="00664190">
      <w:pPr>
        <w:rPr>
          <w:sz w:val="22"/>
          <w:szCs w:val="24"/>
          <w:u w:val="single"/>
          <w:lang w:eastAsia="en-US"/>
        </w:rPr>
      </w:pPr>
    </w:p>
    <w:p w14:paraId="0F95C1E3" w14:textId="7F3BCD4B" w:rsidR="0090436D" w:rsidRDefault="0090436D" w:rsidP="00664190">
      <w:pPr>
        <w:rPr>
          <w:sz w:val="22"/>
          <w:szCs w:val="24"/>
          <w:u w:val="single"/>
          <w:lang w:eastAsia="en-US"/>
        </w:rPr>
      </w:pPr>
    </w:p>
    <w:p w14:paraId="343FC06A" w14:textId="0CC57A41" w:rsidR="0090436D" w:rsidRDefault="0090436D" w:rsidP="00664190">
      <w:pPr>
        <w:rPr>
          <w:sz w:val="22"/>
          <w:szCs w:val="24"/>
          <w:u w:val="single"/>
          <w:lang w:eastAsia="en-US"/>
        </w:rPr>
      </w:pPr>
    </w:p>
    <w:p w14:paraId="0EEFB7A1" w14:textId="1D644ED1" w:rsidR="0090436D" w:rsidRDefault="0090436D" w:rsidP="00664190">
      <w:pPr>
        <w:rPr>
          <w:sz w:val="22"/>
          <w:szCs w:val="24"/>
          <w:u w:val="single"/>
          <w:lang w:eastAsia="en-US"/>
        </w:rPr>
      </w:pPr>
    </w:p>
    <w:p w14:paraId="2C306BAA" w14:textId="589F1406" w:rsidR="0090436D" w:rsidRDefault="0090436D" w:rsidP="00664190">
      <w:pPr>
        <w:rPr>
          <w:sz w:val="22"/>
          <w:szCs w:val="24"/>
          <w:u w:val="single"/>
          <w:lang w:eastAsia="en-US"/>
        </w:rPr>
      </w:pPr>
    </w:p>
    <w:p w14:paraId="69D01E04" w14:textId="701C789C" w:rsidR="0090436D" w:rsidRDefault="0090436D" w:rsidP="00664190">
      <w:pPr>
        <w:rPr>
          <w:sz w:val="22"/>
          <w:szCs w:val="24"/>
          <w:u w:val="single"/>
          <w:lang w:eastAsia="en-US"/>
        </w:rPr>
      </w:pPr>
    </w:p>
    <w:p w14:paraId="0F4BEDDD" w14:textId="6EF0EE0E" w:rsidR="0090436D" w:rsidRDefault="0090436D" w:rsidP="00664190">
      <w:pPr>
        <w:rPr>
          <w:sz w:val="22"/>
          <w:szCs w:val="24"/>
          <w:u w:val="single"/>
          <w:lang w:eastAsia="en-US"/>
        </w:rPr>
      </w:pPr>
    </w:p>
    <w:p w14:paraId="2BE986D3" w14:textId="38E60A52" w:rsidR="0090436D" w:rsidRDefault="0090436D" w:rsidP="00664190">
      <w:pPr>
        <w:rPr>
          <w:sz w:val="22"/>
          <w:szCs w:val="24"/>
          <w:u w:val="single"/>
          <w:lang w:eastAsia="en-US"/>
        </w:rPr>
      </w:pPr>
    </w:p>
    <w:p w14:paraId="6C26B212" w14:textId="238A44EB" w:rsidR="0090436D" w:rsidRDefault="0090436D" w:rsidP="00664190">
      <w:pPr>
        <w:rPr>
          <w:sz w:val="22"/>
          <w:szCs w:val="24"/>
          <w:u w:val="single"/>
          <w:lang w:eastAsia="en-US"/>
        </w:rPr>
      </w:pPr>
    </w:p>
    <w:p w14:paraId="0A829FE6" w14:textId="503CFAB1" w:rsidR="0090436D" w:rsidRDefault="0090436D" w:rsidP="00664190">
      <w:pPr>
        <w:rPr>
          <w:sz w:val="22"/>
          <w:szCs w:val="24"/>
          <w:u w:val="single"/>
          <w:lang w:eastAsia="en-US"/>
        </w:rPr>
      </w:pPr>
    </w:p>
    <w:p w14:paraId="4E6A44B9" w14:textId="5DDB40AD" w:rsidR="0090436D" w:rsidRDefault="0090436D" w:rsidP="00664190">
      <w:pPr>
        <w:rPr>
          <w:sz w:val="22"/>
          <w:szCs w:val="24"/>
          <w:u w:val="single"/>
          <w:lang w:eastAsia="en-US"/>
        </w:rPr>
      </w:pPr>
    </w:p>
    <w:p w14:paraId="3F4D1406" w14:textId="0B060898" w:rsidR="0090436D" w:rsidRDefault="0090436D" w:rsidP="00664190">
      <w:pPr>
        <w:rPr>
          <w:sz w:val="22"/>
          <w:szCs w:val="24"/>
          <w:u w:val="single"/>
          <w:lang w:eastAsia="en-US"/>
        </w:rPr>
      </w:pPr>
    </w:p>
    <w:p w14:paraId="01845D9A" w14:textId="4E07A121" w:rsidR="0090436D" w:rsidRDefault="0090436D" w:rsidP="00664190">
      <w:pPr>
        <w:rPr>
          <w:sz w:val="22"/>
          <w:szCs w:val="24"/>
          <w:u w:val="single"/>
          <w:lang w:eastAsia="en-US"/>
        </w:rPr>
      </w:pPr>
    </w:p>
    <w:p w14:paraId="15BD5412" w14:textId="1B4EF6C1" w:rsidR="0090436D" w:rsidRDefault="0090436D" w:rsidP="00664190">
      <w:pPr>
        <w:rPr>
          <w:sz w:val="22"/>
          <w:szCs w:val="24"/>
          <w:u w:val="single"/>
          <w:lang w:eastAsia="en-US"/>
        </w:rPr>
      </w:pPr>
    </w:p>
    <w:p w14:paraId="3F5D1724" w14:textId="714D8F6D" w:rsidR="0090436D" w:rsidRDefault="0090436D" w:rsidP="00664190">
      <w:pPr>
        <w:rPr>
          <w:sz w:val="22"/>
          <w:szCs w:val="24"/>
          <w:u w:val="single"/>
          <w:lang w:eastAsia="en-US"/>
        </w:rPr>
      </w:pPr>
    </w:p>
    <w:p w14:paraId="47843026" w14:textId="3537FCD8" w:rsidR="0090436D" w:rsidRDefault="0090436D" w:rsidP="00664190">
      <w:pPr>
        <w:rPr>
          <w:sz w:val="22"/>
          <w:szCs w:val="24"/>
          <w:u w:val="single"/>
          <w:lang w:eastAsia="en-US"/>
        </w:rPr>
      </w:pPr>
    </w:p>
    <w:p w14:paraId="3FEBB88B" w14:textId="511390AD" w:rsidR="0090436D" w:rsidRDefault="0090436D" w:rsidP="00664190">
      <w:pPr>
        <w:rPr>
          <w:sz w:val="22"/>
          <w:szCs w:val="24"/>
          <w:u w:val="single"/>
          <w:lang w:eastAsia="en-US"/>
        </w:rPr>
      </w:pPr>
    </w:p>
    <w:p w14:paraId="7512CB37" w14:textId="4FFC6DB2" w:rsidR="0090436D" w:rsidRDefault="0090436D" w:rsidP="00664190">
      <w:pPr>
        <w:rPr>
          <w:sz w:val="22"/>
          <w:szCs w:val="24"/>
          <w:u w:val="single"/>
          <w:lang w:eastAsia="en-US"/>
        </w:rPr>
      </w:pPr>
    </w:p>
    <w:p w14:paraId="22092F04" w14:textId="6DB34CEA" w:rsidR="0090436D" w:rsidRDefault="0090436D" w:rsidP="00664190">
      <w:pPr>
        <w:rPr>
          <w:sz w:val="22"/>
          <w:szCs w:val="24"/>
          <w:u w:val="single"/>
          <w:lang w:eastAsia="en-US"/>
        </w:rPr>
      </w:pPr>
      <w:r>
        <w:rPr>
          <w:sz w:val="22"/>
          <w:szCs w:val="24"/>
          <w:u w:val="single"/>
          <w:lang w:eastAsia="en-US"/>
        </w:rPr>
        <w:t>Appendix 2</w:t>
      </w:r>
    </w:p>
    <w:p w14:paraId="129A9CA7" w14:textId="50787F05" w:rsidR="0090436D" w:rsidRDefault="0090436D" w:rsidP="00664190">
      <w:pPr>
        <w:rPr>
          <w:sz w:val="22"/>
          <w:szCs w:val="24"/>
          <w:u w:val="single"/>
          <w:lang w:eastAsia="en-US"/>
        </w:rPr>
      </w:pPr>
    </w:p>
    <w:p w14:paraId="39ADC02E" w14:textId="49FE1276" w:rsidR="0090436D" w:rsidRPr="001D0F7B" w:rsidRDefault="004204D7" w:rsidP="00664190">
      <w:pPr>
        <w:rPr>
          <w:sz w:val="22"/>
          <w:szCs w:val="24"/>
          <w:u w:val="single"/>
          <w:lang w:eastAsia="en-US"/>
        </w:rPr>
      </w:pPr>
      <w:r>
        <w:rPr>
          <w:noProof/>
        </w:rPr>
        <w:drawing>
          <wp:inline distT="0" distB="0" distL="0" distR="0" wp14:anchorId="3317133B" wp14:editId="17499A86">
            <wp:extent cx="4572000" cy="2743200"/>
            <wp:effectExtent l="0" t="0" r="12700" b="12700"/>
            <wp:docPr id="1" name="Chart 1">
              <a:extLst xmlns:a="http://schemas.openxmlformats.org/drawingml/2006/main">
                <a:ext uri="{FF2B5EF4-FFF2-40B4-BE49-F238E27FC236}">
                  <a16:creationId xmlns:a16="http://schemas.microsoft.com/office/drawing/2014/main" id="{CC6E827F-E606-7D4C-B47F-501BADD023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sectPr w:rsidR="0090436D" w:rsidRPr="001D0F7B" w:rsidSect="00853A60">
      <w:headerReference w:type="default" r:id="rId31"/>
      <w:footerReference w:type="even" r:id="rId32"/>
      <w:footerReference w:type="default" r:id="rId3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FC6AF" w14:textId="77777777" w:rsidR="00ED282E" w:rsidRDefault="00ED282E" w:rsidP="00331E63">
      <w:r>
        <w:separator/>
      </w:r>
    </w:p>
  </w:endnote>
  <w:endnote w:type="continuationSeparator" w:id="0">
    <w:p w14:paraId="28D7B4E0" w14:textId="77777777" w:rsidR="00ED282E" w:rsidRDefault="00ED282E" w:rsidP="00331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89302771"/>
      <w:docPartObj>
        <w:docPartGallery w:val="Page Numbers (Bottom of Page)"/>
        <w:docPartUnique/>
      </w:docPartObj>
    </w:sdtPr>
    <w:sdtContent>
      <w:p w14:paraId="322AC2BC" w14:textId="439545C8" w:rsidR="00A401EB" w:rsidRDefault="00A401EB" w:rsidP="008769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136586" w14:textId="77777777" w:rsidR="00A401EB" w:rsidRDefault="00A401EB" w:rsidP="00A401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56277494"/>
      <w:docPartObj>
        <w:docPartGallery w:val="Page Numbers (Bottom of Page)"/>
        <w:docPartUnique/>
      </w:docPartObj>
    </w:sdtPr>
    <w:sdtContent>
      <w:p w14:paraId="78058853" w14:textId="0D81D23C" w:rsidR="00A401EB" w:rsidRDefault="00A401EB" w:rsidP="008769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30B7BC" w14:textId="77777777" w:rsidR="00A401EB" w:rsidRDefault="00A401EB" w:rsidP="00A401E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E9C4E" w14:textId="77777777" w:rsidR="00ED282E" w:rsidRDefault="00ED282E" w:rsidP="00331E63">
      <w:r>
        <w:separator/>
      </w:r>
    </w:p>
  </w:footnote>
  <w:footnote w:type="continuationSeparator" w:id="0">
    <w:p w14:paraId="278149F5" w14:textId="77777777" w:rsidR="00ED282E" w:rsidRDefault="00ED282E" w:rsidP="00331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E7525" w14:textId="6D551B54" w:rsidR="00331E63" w:rsidRDefault="00331E63">
    <w:pPr>
      <w:pStyle w:val="Header"/>
    </w:pPr>
    <w:r>
      <w:t>17012</w:t>
    </w:r>
    <w:r w:rsidR="00A401EB">
      <w:t>57</w:t>
    </w:r>
  </w:p>
  <w:p w14:paraId="3477EBE5" w14:textId="77777777" w:rsidR="00331E63" w:rsidRDefault="00331E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492"/>
    <w:rsid w:val="00006D12"/>
    <w:rsid w:val="00034709"/>
    <w:rsid w:val="000768C7"/>
    <w:rsid w:val="00112CCD"/>
    <w:rsid w:val="00112E79"/>
    <w:rsid w:val="00130AF4"/>
    <w:rsid w:val="0014240E"/>
    <w:rsid w:val="00162117"/>
    <w:rsid w:val="001A5446"/>
    <w:rsid w:val="001D0F7B"/>
    <w:rsid w:val="00266F7D"/>
    <w:rsid w:val="00276410"/>
    <w:rsid w:val="002920F1"/>
    <w:rsid w:val="00331E63"/>
    <w:rsid w:val="0036343E"/>
    <w:rsid w:val="00370650"/>
    <w:rsid w:val="00371103"/>
    <w:rsid w:val="00395139"/>
    <w:rsid w:val="003C3750"/>
    <w:rsid w:val="003E4F7F"/>
    <w:rsid w:val="004204D7"/>
    <w:rsid w:val="004442B8"/>
    <w:rsid w:val="005A3B4D"/>
    <w:rsid w:val="005D1ECF"/>
    <w:rsid w:val="005F1127"/>
    <w:rsid w:val="005F4E18"/>
    <w:rsid w:val="00664190"/>
    <w:rsid w:val="006753E0"/>
    <w:rsid w:val="006759F9"/>
    <w:rsid w:val="006773E5"/>
    <w:rsid w:val="00762FEC"/>
    <w:rsid w:val="00766236"/>
    <w:rsid w:val="007A5868"/>
    <w:rsid w:val="00807C51"/>
    <w:rsid w:val="008407C2"/>
    <w:rsid w:val="00853A60"/>
    <w:rsid w:val="00860E0C"/>
    <w:rsid w:val="008658F2"/>
    <w:rsid w:val="00894DC7"/>
    <w:rsid w:val="008A4849"/>
    <w:rsid w:val="0090436D"/>
    <w:rsid w:val="00963427"/>
    <w:rsid w:val="00982395"/>
    <w:rsid w:val="00987E2A"/>
    <w:rsid w:val="009A5A78"/>
    <w:rsid w:val="009B028F"/>
    <w:rsid w:val="009F650E"/>
    <w:rsid w:val="00A401EB"/>
    <w:rsid w:val="00A4203E"/>
    <w:rsid w:val="00A5096C"/>
    <w:rsid w:val="00AB4ABE"/>
    <w:rsid w:val="00AE5FA1"/>
    <w:rsid w:val="00AF4ED2"/>
    <w:rsid w:val="00B36F14"/>
    <w:rsid w:val="00B65EED"/>
    <w:rsid w:val="00B76492"/>
    <w:rsid w:val="00BA77E1"/>
    <w:rsid w:val="00BB7EB8"/>
    <w:rsid w:val="00BE5C97"/>
    <w:rsid w:val="00BF5A0D"/>
    <w:rsid w:val="00C169F0"/>
    <w:rsid w:val="00C23635"/>
    <w:rsid w:val="00C67284"/>
    <w:rsid w:val="00C97036"/>
    <w:rsid w:val="00CB3D05"/>
    <w:rsid w:val="00CB6F3D"/>
    <w:rsid w:val="00CD6B31"/>
    <w:rsid w:val="00CE6A23"/>
    <w:rsid w:val="00CF4C17"/>
    <w:rsid w:val="00D170DB"/>
    <w:rsid w:val="00D2026A"/>
    <w:rsid w:val="00D46438"/>
    <w:rsid w:val="00D63F91"/>
    <w:rsid w:val="00D63FD7"/>
    <w:rsid w:val="00D64B42"/>
    <w:rsid w:val="00E27178"/>
    <w:rsid w:val="00E42662"/>
    <w:rsid w:val="00E81FF4"/>
    <w:rsid w:val="00E87CE8"/>
    <w:rsid w:val="00EB2B0A"/>
    <w:rsid w:val="00ED282E"/>
    <w:rsid w:val="00F067EB"/>
    <w:rsid w:val="00F517C9"/>
    <w:rsid w:val="00F61282"/>
    <w:rsid w:val="00F95DFB"/>
    <w:rsid w:val="00FA053A"/>
    <w:rsid w:val="00FB14BC"/>
    <w:rsid w:val="00FC2E6A"/>
    <w:rsid w:val="00FE4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031241"/>
  <w14:defaultImageDpi w14:val="32767"/>
  <w15:chartTrackingRefBased/>
  <w15:docId w15:val="{4AFDBB8F-9A3D-644D-943B-28D201F9D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76492"/>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97036"/>
  </w:style>
  <w:style w:type="character" w:styleId="Hyperlink">
    <w:name w:val="Hyperlink"/>
    <w:basedOn w:val="DefaultParagraphFont"/>
    <w:uiPriority w:val="99"/>
    <w:semiHidden/>
    <w:unhideWhenUsed/>
    <w:rsid w:val="00C97036"/>
    <w:rPr>
      <w:color w:val="0000FF"/>
      <w:u w:val="single"/>
    </w:rPr>
  </w:style>
  <w:style w:type="paragraph" w:styleId="NormalWeb">
    <w:name w:val="Normal (Web)"/>
    <w:basedOn w:val="Normal"/>
    <w:uiPriority w:val="99"/>
    <w:semiHidden/>
    <w:unhideWhenUsed/>
    <w:rsid w:val="0090436D"/>
    <w:pPr>
      <w:spacing w:before="100" w:beforeAutospacing="1" w:after="100" w:afterAutospacing="1"/>
    </w:pPr>
    <w:rPr>
      <w:sz w:val="24"/>
      <w:szCs w:val="24"/>
      <w:lang w:eastAsia="en-US"/>
    </w:rPr>
  </w:style>
  <w:style w:type="table" w:styleId="TableGrid">
    <w:name w:val="Table Grid"/>
    <w:basedOn w:val="TableNormal"/>
    <w:uiPriority w:val="39"/>
    <w:rsid w:val="00904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1E63"/>
    <w:pPr>
      <w:tabs>
        <w:tab w:val="center" w:pos="4513"/>
        <w:tab w:val="right" w:pos="9026"/>
      </w:tabs>
    </w:pPr>
  </w:style>
  <w:style w:type="character" w:customStyle="1" w:styleId="HeaderChar">
    <w:name w:val="Header Char"/>
    <w:basedOn w:val="DefaultParagraphFont"/>
    <w:link w:val="Header"/>
    <w:uiPriority w:val="99"/>
    <w:rsid w:val="00331E63"/>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331E63"/>
    <w:pPr>
      <w:tabs>
        <w:tab w:val="center" w:pos="4513"/>
        <w:tab w:val="right" w:pos="9026"/>
      </w:tabs>
    </w:pPr>
  </w:style>
  <w:style w:type="character" w:customStyle="1" w:styleId="FooterChar">
    <w:name w:val="Footer Char"/>
    <w:basedOn w:val="DefaultParagraphFont"/>
    <w:link w:val="Footer"/>
    <w:uiPriority w:val="99"/>
    <w:rsid w:val="00331E63"/>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A401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027721">
      <w:bodyDiv w:val="1"/>
      <w:marLeft w:val="0"/>
      <w:marRight w:val="0"/>
      <w:marTop w:val="0"/>
      <w:marBottom w:val="0"/>
      <w:divBdr>
        <w:top w:val="none" w:sz="0" w:space="0" w:color="auto"/>
        <w:left w:val="none" w:sz="0" w:space="0" w:color="auto"/>
        <w:bottom w:val="none" w:sz="0" w:space="0" w:color="auto"/>
        <w:right w:val="none" w:sz="0" w:space="0" w:color="auto"/>
      </w:divBdr>
    </w:div>
    <w:div w:id="277950029">
      <w:bodyDiv w:val="1"/>
      <w:marLeft w:val="0"/>
      <w:marRight w:val="0"/>
      <w:marTop w:val="0"/>
      <w:marBottom w:val="0"/>
      <w:divBdr>
        <w:top w:val="none" w:sz="0" w:space="0" w:color="auto"/>
        <w:left w:val="none" w:sz="0" w:space="0" w:color="auto"/>
        <w:bottom w:val="none" w:sz="0" w:space="0" w:color="auto"/>
        <w:right w:val="none" w:sz="0" w:space="0" w:color="auto"/>
      </w:divBdr>
    </w:div>
    <w:div w:id="945966333">
      <w:bodyDiv w:val="1"/>
      <w:marLeft w:val="0"/>
      <w:marRight w:val="0"/>
      <w:marTop w:val="0"/>
      <w:marBottom w:val="0"/>
      <w:divBdr>
        <w:top w:val="none" w:sz="0" w:space="0" w:color="auto"/>
        <w:left w:val="none" w:sz="0" w:space="0" w:color="auto"/>
        <w:bottom w:val="none" w:sz="0" w:space="0" w:color="auto"/>
        <w:right w:val="none" w:sz="0" w:space="0" w:color="auto"/>
      </w:divBdr>
    </w:div>
    <w:div w:id="1245802280">
      <w:bodyDiv w:val="1"/>
      <w:marLeft w:val="0"/>
      <w:marRight w:val="0"/>
      <w:marTop w:val="0"/>
      <w:marBottom w:val="0"/>
      <w:divBdr>
        <w:top w:val="none" w:sz="0" w:space="0" w:color="auto"/>
        <w:left w:val="none" w:sz="0" w:space="0" w:color="auto"/>
        <w:bottom w:val="none" w:sz="0" w:space="0" w:color="auto"/>
        <w:right w:val="none" w:sz="0" w:space="0" w:color="auto"/>
      </w:divBdr>
    </w:div>
    <w:div w:id="1310281126">
      <w:bodyDiv w:val="1"/>
      <w:marLeft w:val="0"/>
      <w:marRight w:val="0"/>
      <w:marTop w:val="0"/>
      <w:marBottom w:val="0"/>
      <w:divBdr>
        <w:top w:val="none" w:sz="0" w:space="0" w:color="auto"/>
        <w:left w:val="none" w:sz="0" w:space="0" w:color="auto"/>
        <w:bottom w:val="none" w:sz="0" w:space="0" w:color="auto"/>
        <w:right w:val="none" w:sz="0" w:space="0" w:color="auto"/>
      </w:divBdr>
    </w:div>
    <w:div w:id="1578401369">
      <w:bodyDiv w:val="1"/>
      <w:marLeft w:val="0"/>
      <w:marRight w:val="0"/>
      <w:marTop w:val="0"/>
      <w:marBottom w:val="0"/>
      <w:divBdr>
        <w:top w:val="none" w:sz="0" w:space="0" w:color="auto"/>
        <w:left w:val="none" w:sz="0" w:space="0" w:color="auto"/>
        <w:bottom w:val="none" w:sz="0" w:space="0" w:color="auto"/>
        <w:right w:val="none" w:sz="0" w:space="0" w:color="auto"/>
      </w:divBdr>
    </w:div>
    <w:div w:id="1792166832">
      <w:bodyDiv w:val="1"/>
      <w:marLeft w:val="0"/>
      <w:marRight w:val="0"/>
      <w:marTop w:val="0"/>
      <w:marBottom w:val="0"/>
      <w:divBdr>
        <w:top w:val="none" w:sz="0" w:space="0" w:color="auto"/>
        <w:left w:val="none" w:sz="0" w:space="0" w:color="auto"/>
        <w:bottom w:val="none" w:sz="0" w:space="0" w:color="auto"/>
        <w:right w:val="none" w:sz="0" w:space="0" w:color="auto"/>
      </w:divBdr>
    </w:div>
    <w:div w:id="1825199485">
      <w:bodyDiv w:val="1"/>
      <w:marLeft w:val="0"/>
      <w:marRight w:val="0"/>
      <w:marTop w:val="0"/>
      <w:marBottom w:val="0"/>
      <w:divBdr>
        <w:top w:val="none" w:sz="0" w:space="0" w:color="auto"/>
        <w:left w:val="none" w:sz="0" w:space="0" w:color="auto"/>
        <w:bottom w:val="none" w:sz="0" w:space="0" w:color="auto"/>
        <w:right w:val="none" w:sz="0" w:space="0" w:color="auto"/>
      </w:divBdr>
      <w:divsChild>
        <w:div w:id="1794010396">
          <w:marLeft w:val="0"/>
          <w:marRight w:val="0"/>
          <w:marTop w:val="0"/>
          <w:marBottom w:val="0"/>
          <w:divBdr>
            <w:top w:val="none" w:sz="0" w:space="0" w:color="auto"/>
            <w:left w:val="none" w:sz="0" w:space="0" w:color="auto"/>
            <w:bottom w:val="none" w:sz="0" w:space="0" w:color="auto"/>
            <w:right w:val="none" w:sz="0" w:space="0" w:color="auto"/>
          </w:divBdr>
          <w:divsChild>
            <w:div w:id="901714818">
              <w:marLeft w:val="0"/>
              <w:marRight w:val="0"/>
              <w:marTop w:val="0"/>
              <w:marBottom w:val="0"/>
              <w:divBdr>
                <w:top w:val="none" w:sz="0" w:space="0" w:color="auto"/>
                <w:left w:val="none" w:sz="0" w:space="0" w:color="auto"/>
                <w:bottom w:val="none" w:sz="0" w:space="0" w:color="auto"/>
                <w:right w:val="none" w:sz="0" w:space="0" w:color="auto"/>
              </w:divBdr>
              <w:divsChild>
                <w:div w:id="102802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84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dadyslexia.org.uk/educator/screening-and-assessment" TargetMode="External"/><Relationship Id="rId18" Type="http://schemas.openxmlformats.org/officeDocument/2006/relationships/hyperlink" Target="https://www.estyn.gov.wales/effective-practice/helping-children-additional-learning-needs-reach-their-potential" TargetMode="External"/><Relationship Id="rId26" Type="http://schemas.openxmlformats.org/officeDocument/2006/relationships/hyperlink" Target="https://downloads.unicef.org.uk/wp-content/uploads/2010/05/UNCRC_united_nations_convention_on_the_rights_of_the_child.pdf?_ga=2.58134954.1898943845.1556106550-1901865738.1518789600" TargetMode="External"/><Relationship Id="rId3" Type="http://schemas.openxmlformats.org/officeDocument/2006/relationships/webSettings" Target="webSettings.xml"/><Relationship Id="rId21" Type="http://schemas.openxmlformats.org/officeDocument/2006/relationships/hyperlink" Target="https://www.simplypsychology.org/questionnaires.html" TargetMode="External"/><Relationship Id="rId34" Type="http://schemas.openxmlformats.org/officeDocument/2006/relationships/fontTable" Target="fontTable.xml"/><Relationship Id="rId7" Type="http://schemas.openxmlformats.org/officeDocument/2006/relationships/chart" Target="charts/chart2.xml"/><Relationship Id="rId12" Type="http://schemas.openxmlformats.org/officeDocument/2006/relationships/image" Target="media/image1.png"/><Relationship Id="rId17" Type="http://schemas.openxmlformats.org/officeDocument/2006/relationships/hyperlink" Target="https://gov.wales/sites/default/files/publications/2018-03/specific-learning-difficulties-framework.pdf" TargetMode="External"/><Relationship Id="rId25" Type="http://schemas.openxmlformats.org/officeDocument/2006/relationships/hyperlink" Target="https://bizfluent.com/info-8064289-ethics-questionnaires.html" TargetMode="External"/><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gov.wales/sites/default/files/statistics-and-research/2018-12/120824-dyslexia-provision-literature-review-en.pdf" TargetMode="External"/><Relationship Id="rId20" Type="http://schemas.openxmlformats.org/officeDocument/2006/relationships/hyperlink" Target="http://theconversation.com/teachers-dont-understand-the-depth-of-dyslexia-107384" TargetMode="External"/><Relationship Id="rId29" Type="http://schemas.openxmlformats.org/officeDocument/2006/relationships/hyperlink" Target="http://www.coloredoverlays.com/140/5-best-reasons-colored-overlays-help-overcome-dyslexia-symptoms/" TargetMode="External"/><Relationship Id="rId1" Type="http://schemas.openxmlformats.org/officeDocument/2006/relationships/styles" Target="styles.xml"/><Relationship Id="rId6" Type="http://schemas.openxmlformats.org/officeDocument/2006/relationships/chart" Target="charts/chart1.xml"/><Relationship Id="rId11" Type="http://schemas.microsoft.com/office/2014/relationships/chartEx" Target="charts/chartEx1.xml"/><Relationship Id="rId24" Type="http://schemas.openxmlformats.org/officeDocument/2006/relationships/hyperlink" Target="https://www.understood.org/en/learning-attention-issues/child-learning-disabilities/dyslexia/the-difference-between-dyslexia-and-dyscalculia"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readandspell.com/does-dyslexia-affect-speech" TargetMode="External"/><Relationship Id="rId23" Type="http://schemas.openxmlformats.org/officeDocument/2006/relationships/hyperlink" Target="https://www.nhs.uk/conditions/dyslexia/" TargetMode="External"/><Relationship Id="rId28" Type="http://schemas.openxmlformats.org/officeDocument/2006/relationships/hyperlink" Target="https://www.newscientist.com/article/dn27588-forget-colour-overlays-dyslexia-is-not-a-vision-problem/" TargetMode="External"/><Relationship Id="rId10" Type="http://schemas.openxmlformats.org/officeDocument/2006/relationships/hyperlink" Target="https://www.understood.org/en/learning-attention-issues/child-learning-disabilities/executive-functioning-issues/working-memory-what-it-is-and-how-it-works" TargetMode="External"/><Relationship Id="rId19" Type="http://schemas.openxmlformats.org/officeDocument/2006/relationships/hyperlink" Target="https://gov.wales/sites/default/files/publications/2018-03/screening-assessment-and-intervention-identifying-screening-assessment-and-intervention-methods-for-learners-with-specific-learning-difficulties.pdf"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hyperlink" Target="https://cirt.gcu.edu/research/developmentresources/research_ready/designing_surveys/survey_ethics" TargetMode="External"/><Relationship Id="rId22" Type="http://schemas.openxmlformats.org/officeDocument/2006/relationships/hyperlink" Target="https://www.sess.ie/dyslexia-section/developing-whole-school-policy-dyslexia" TargetMode="External"/><Relationship Id="rId27" Type="http://schemas.openxmlformats.org/officeDocument/2006/relationships/hyperlink" Target="https://gov.wales/sites/default/files/publications/2018-11/additional-learning-needs-and-education-tribunal-wales-act-2018-implementation-guide-for-individual-development-plans.pdf" TargetMode="External"/><Relationship Id="rId30" Type="http://schemas.openxmlformats.org/officeDocument/2006/relationships/chart" Target="charts/chart5.xml"/><Relationship Id="rId35" Type="http://schemas.openxmlformats.org/officeDocument/2006/relationships/theme" Target="theme/theme1.xml"/><Relationship Id="rId8"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dylanhowlett/Documents/ICT%20DYSLEXIA.xlsx" TargetMode="External"/><Relationship Id="rId2" Type="http://schemas.microsoft.com/office/2011/relationships/chartColorStyle" Target="colors6.xml"/><Relationship Id="rId1" Type="http://schemas.microsoft.com/office/2011/relationships/chartStyle" Target="style6.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is your job role in the school?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883-0247-B4A3-7145DA41D0F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883-0247-B4A3-7145DA41D0F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883-0247-B4A3-7145DA41D0F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883-0247-B4A3-7145DA41D0F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883-0247-B4A3-7145DA41D0F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883-0247-B4A3-7145DA41D0FA}"/>
              </c:ext>
            </c:extLst>
          </c:dPt>
          <c:cat>
            <c:strRef>
              <c:f>Sheet1!$A$1:$A$6</c:f>
              <c:strCache>
                <c:ptCount val="6"/>
                <c:pt idx="0">
                  <c:v>Teacher</c:v>
                </c:pt>
                <c:pt idx="1">
                  <c:v>Teaching Assistant</c:v>
                </c:pt>
                <c:pt idx="2">
                  <c:v>SENCO/ALNCO</c:v>
                </c:pt>
                <c:pt idx="3">
                  <c:v>Senior Management</c:v>
                </c:pt>
                <c:pt idx="4">
                  <c:v>HLTA</c:v>
                </c:pt>
                <c:pt idx="5">
                  <c:v>Head Teacher</c:v>
                </c:pt>
              </c:strCache>
            </c:strRef>
          </c:cat>
          <c:val>
            <c:numRef>
              <c:f>Sheet1!$B$1:$B$6</c:f>
              <c:numCache>
                <c:formatCode>General</c:formatCode>
                <c:ptCount val="6"/>
                <c:pt idx="0">
                  <c:v>6</c:v>
                </c:pt>
                <c:pt idx="1">
                  <c:v>1</c:v>
                </c:pt>
                <c:pt idx="2">
                  <c:v>2</c:v>
                </c:pt>
                <c:pt idx="3">
                  <c:v>1</c:v>
                </c:pt>
                <c:pt idx="4">
                  <c:v>1</c:v>
                </c:pt>
                <c:pt idx="5">
                  <c:v>1</c:v>
                </c:pt>
              </c:numCache>
            </c:numRef>
          </c:val>
          <c:extLst>
            <c:ext xmlns:c16="http://schemas.microsoft.com/office/drawing/2014/chart" uri="{C3380CC4-5D6E-409C-BE32-E72D297353CC}">
              <c16:uniqueId val="{0000000C-A883-0247-B4A3-7145DA41D0F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How</a:t>
            </a:r>
            <a:r>
              <a:rPr lang="en-US" baseline="0"/>
              <a:t> recent is your experience with dyslexia?</a:t>
            </a:r>
            <a:endParaRPr lang="en-US"/>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strRef>
              <c:f>Sheet1!$A$1:$A$7</c:f>
              <c:strCache>
                <c:ptCount val="7"/>
                <c:pt idx="0">
                  <c:v>Current Academic Year</c:v>
                </c:pt>
                <c:pt idx="1">
                  <c:v>Within the last 3 years</c:v>
                </c:pt>
                <c:pt idx="2">
                  <c:v>Within the last 3-5 years</c:v>
                </c:pt>
                <c:pt idx="3">
                  <c:v>Within the last 5-10 years</c:v>
                </c:pt>
                <c:pt idx="4">
                  <c:v>Older than 10 years</c:v>
                </c:pt>
                <c:pt idx="5">
                  <c:v>No experience</c:v>
                </c:pt>
                <c:pt idx="6">
                  <c:v>Other</c:v>
                </c:pt>
              </c:strCache>
            </c:strRef>
          </c:cat>
          <c:val>
            <c:numRef>
              <c:f>Sheet1!$B$1:$B$7</c:f>
              <c:numCache>
                <c:formatCode>General</c:formatCode>
                <c:ptCount val="7"/>
                <c:pt idx="0">
                  <c:v>5</c:v>
                </c:pt>
                <c:pt idx="1">
                  <c:v>1</c:v>
                </c:pt>
                <c:pt idx="2">
                  <c:v>1</c:v>
                </c:pt>
                <c:pt idx="3">
                  <c:v>0</c:v>
                </c:pt>
                <c:pt idx="4">
                  <c:v>2</c:v>
                </c:pt>
                <c:pt idx="5">
                  <c:v>1</c:v>
                </c:pt>
                <c:pt idx="6">
                  <c:v>1</c:v>
                </c:pt>
              </c:numCache>
            </c:numRef>
          </c:val>
          <c:extLst>
            <c:ext xmlns:c16="http://schemas.microsoft.com/office/drawing/2014/chart" uri="{C3380CC4-5D6E-409C-BE32-E72D297353CC}">
              <c16:uniqueId val="{00000000-943D-144F-970B-4E52B0F75A4A}"/>
            </c:ext>
          </c:extLst>
        </c:ser>
        <c:dLbls>
          <c:showLegendKey val="0"/>
          <c:showVal val="0"/>
          <c:showCatName val="0"/>
          <c:showSerName val="0"/>
          <c:showPercent val="0"/>
          <c:showBubbleSize val="0"/>
        </c:dLbls>
        <c:gapWidth val="164"/>
        <c:overlap val="-22"/>
        <c:axId val="1875905056"/>
        <c:axId val="1884570480"/>
      </c:barChart>
      <c:catAx>
        <c:axId val="187590505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a:t>Amount</a:t>
                </a:r>
                <a:r>
                  <a:rPr lang="en-US" baseline="0"/>
                  <a:t> of time</a:t>
                </a:r>
                <a:endParaRPr lang="en-US"/>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4570480"/>
        <c:crosses val="autoZero"/>
        <c:auto val="1"/>
        <c:lblAlgn val="ctr"/>
        <c:lblOffset val="100"/>
        <c:noMultiLvlLbl val="0"/>
      </c:catAx>
      <c:valAx>
        <c:axId val="1884570480"/>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en-US"/>
                  <a:t>Number</a:t>
                </a:r>
                <a:r>
                  <a:rPr lang="en-US" baseline="0"/>
                  <a:t> of people</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5905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a:t>
            </a:r>
            <a:r>
              <a:rPr lang="en-US" baseline="0"/>
              <a:t> method types do you find most effective when supporting children?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spPr>
            <a:solidFill>
              <a:srgbClr val="FF000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1ACE-D04C-94D9-8C547D42D8F2}"/>
              </c:ext>
            </c:extLst>
          </c:dPt>
          <c:dPt>
            <c:idx val="1"/>
            <c:bubble3D val="0"/>
            <c:spPr>
              <a:solidFill>
                <a:srgbClr val="00B050"/>
              </a:solidFill>
              <a:ln w="19050">
                <a:solidFill>
                  <a:schemeClr val="lt1"/>
                </a:solidFill>
              </a:ln>
              <a:effectLst/>
            </c:spPr>
            <c:extLst>
              <c:ext xmlns:c16="http://schemas.microsoft.com/office/drawing/2014/chart" uri="{C3380CC4-5D6E-409C-BE32-E72D297353CC}">
                <c16:uniqueId val="{00000003-1ACE-D04C-94D9-8C547D42D8F2}"/>
              </c:ext>
            </c:extLst>
          </c:dPt>
          <c:dPt>
            <c:idx val="2"/>
            <c:bubble3D val="0"/>
            <c:spPr>
              <a:solidFill>
                <a:schemeClr val="accent4">
                  <a:lumMod val="75000"/>
                </a:schemeClr>
              </a:solidFill>
              <a:ln w="19050">
                <a:solidFill>
                  <a:schemeClr val="lt1"/>
                </a:solidFill>
              </a:ln>
              <a:effectLst/>
            </c:spPr>
            <c:extLst>
              <c:ext xmlns:c16="http://schemas.microsoft.com/office/drawing/2014/chart" uri="{C3380CC4-5D6E-409C-BE32-E72D297353CC}">
                <c16:uniqueId val="{00000005-1ACE-D04C-94D9-8C547D42D8F2}"/>
              </c:ext>
            </c:extLst>
          </c:dPt>
          <c:dPt>
            <c:idx val="3"/>
            <c:bubble3D val="0"/>
            <c:spPr>
              <a:solidFill>
                <a:schemeClr val="bg2">
                  <a:lumMod val="25000"/>
                </a:schemeClr>
              </a:solidFill>
              <a:ln w="19050">
                <a:solidFill>
                  <a:schemeClr val="lt1"/>
                </a:solidFill>
              </a:ln>
              <a:effectLst/>
            </c:spPr>
            <c:extLst>
              <c:ext xmlns:c16="http://schemas.microsoft.com/office/drawing/2014/chart" uri="{C3380CC4-5D6E-409C-BE32-E72D297353CC}">
                <c16:uniqueId val="{00000007-1ACE-D04C-94D9-8C547D42D8F2}"/>
              </c:ext>
            </c:extLst>
          </c:dPt>
          <c:cat>
            <c:strRef>
              <c:f>Sheet1!$A$1:$A$4</c:f>
              <c:strCache>
                <c:ptCount val="4"/>
                <c:pt idx="0">
                  <c:v>Visual</c:v>
                </c:pt>
                <c:pt idx="1">
                  <c:v>Tactile</c:v>
                </c:pt>
                <c:pt idx="2">
                  <c:v>Auditory</c:v>
                </c:pt>
                <c:pt idx="3">
                  <c:v>Other</c:v>
                </c:pt>
              </c:strCache>
            </c:strRef>
          </c:cat>
          <c:val>
            <c:numRef>
              <c:f>Sheet1!$B$1:$B$4</c:f>
              <c:numCache>
                <c:formatCode>General</c:formatCode>
                <c:ptCount val="4"/>
                <c:pt idx="0">
                  <c:v>8</c:v>
                </c:pt>
                <c:pt idx="1">
                  <c:v>5</c:v>
                </c:pt>
                <c:pt idx="2">
                  <c:v>3</c:v>
                </c:pt>
                <c:pt idx="3">
                  <c:v>2</c:v>
                </c:pt>
              </c:numCache>
            </c:numRef>
          </c:val>
          <c:extLst>
            <c:ext xmlns:c16="http://schemas.microsoft.com/office/drawing/2014/chart" uri="{C3380CC4-5D6E-409C-BE32-E72D297353CC}">
              <c16:uniqueId val="{00000008-1ACE-D04C-94D9-8C547D42D8F2}"/>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From</a:t>
            </a:r>
            <a:r>
              <a:rPr lang="en-US" baseline="0"/>
              <a:t> your experience, is there a specific area of literacy that children struggle with more than any other?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bg2">
                  <a:lumMod val="50000"/>
                </a:schemeClr>
              </a:solidFill>
              <a:ln>
                <a:noFill/>
              </a:ln>
              <a:effectLst/>
            </c:spPr>
            <c:extLst>
              <c:ext xmlns:c16="http://schemas.microsoft.com/office/drawing/2014/chart" uri="{C3380CC4-5D6E-409C-BE32-E72D297353CC}">
                <c16:uniqueId val="{00000001-B825-304C-B9B4-5E80F10215B3}"/>
              </c:ext>
            </c:extLst>
          </c:dPt>
          <c:dPt>
            <c:idx val="1"/>
            <c:invertIfNegative val="0"/>
            <c:bubble3D val="0"/>
            <c:spPr>
              <a:solidFill>
                <a:srgbClr val="FF0000"/>
              </a:solidFill>
              <a:ln>
                <a:noFill/>
              </a:ln>
              <a:effectLst/>
            </c:spPr>
            <c:extLst>
              <c:ext xmlns:c16="http://schemas.microsoft.com/office/drawing/2014/chart" uri="{C3380CC4-5D6E-409C-BE32-E72D297353CC}">
                <c16:uniqueId val="{00000003-B825-304C-B9B4-5E80F10215B3}"/>
              </c:ext>
            </c:extLst>
          </c:dPt>
          <c:dPt>
            <c:idx val="4"/>
            <c:invertIfNegative val="0"/>
            <c:bubble3D val="0"/>
            <c:spPr>
              <a:solidFill>
                <a:srgbClr val="92D050"/>
              </a:solidFill>
              <a:ln>
                <a:noFill/>
              </a:ln>
              <a:effectLst/>
            </c:spPr>
            <c:extLst>
              <c:ext xmlns:c16="http://schemas.microsoft.com/office/drawing/2014/chart" uri="{C3380CC4-5D6E-409C-BE32-E72D297353CC}">
                <c16:uniqueId val="{00000005-B825-304C-B9B4-5E80F10215B3}"/>
              </c:ext>
            </c:extLst>
          </c:dPt>
          <c:cat>
            <c:strRef>
              <c:f>Sheet1!$A$1:$A$5</c:f>
              <c:strCache>
                <c:ptCount val="5"/>
                <c:pt idx="0">
                  <c:v>Writing</c:v>
                </c:pt>
                <c:pt idx="1">
                  <c:v>Reading</c:v>
                </c:pt>
                <c:pt idx="2">
                  <c:v>Oracy</c:v>
                </c:pt>
                <c:pt idx="3">
                  <c:v>Spelling</c:v>
                </c:pt>
                <c:pt idx="4">
                  <c:v>All of the above</c:v>
                </c:pt>
              </c:strCache>
            </c:strRef>
          </c:cat>
          <c:val>
            <c:numRef>
              <c:f>Sheet1!$B$1:$B$5</c:f>
              <c:numCache>
                <c:formatCode>General</c:formatCode>
                <c:ptCount val="5"/>
                <c:pt idx="0">
                  <c:v>1</c:v>
                </c:pt>
                <c:pt idx="1">
                  <c:v>3</c:v>
                </c:pt>
                <c:pt idx="2">
                  <c:v>0</c:v>
                </c:pt>
                <c:pt idx="3">
                  <c:v>3</c:v>
                </c:pt>
                <c:pt idx="4">
                  <c:v>3</c:v>
                </c:pt>
              </c:numCache>
            </c:numRef>
          </c:val>
          <c:extLst>
            <c:ext xmlns:c16="http://schemas.microsoft.com/office/drawing/2014/chart" uri="{C3380CC4-5D6E-409C-BE32-E72D297353CC}">
              <c16:uniqueId val="{00000006-B825-304C-B9B4-5E80F10215B3}"/>
            </c:ext>
          </c:extLst>
        </c:ser>
        <c:dLbls>
          <c:showLegendKey val="0"/>
          <c:showVal val="0"/>
          <c:showCatName val="0"/>
          <c:showSerName val="0"/>
          <c:showPercent val="0"/>
          <c:showBubbleSize val="0"/>
        </c:dLbls>
        <c:gapWidth val="182"/>
        <c:axId val="1811349584"/>
        <c:axId val="1869918288"/>
      </c:barChart>
      <c:catAx>
        <c:axId val="181134958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Area</a:t>
                </a:r>
                <a:r>
                  <a:rPr lang="en-US" baseline="0"/>
                  <a:t> of Literacy</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9918288"/>
        <c:crosses val="autoZero"/>
        <c:auto val="1"/>
        <c:lblAlgn val="ctr"/>
        <c:lblOffset val="100"/>
        <c:noMultiLvlLbl val="0"/>
      </c:catAx>
      <c:valAx>
        <c:axId val="18699182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people</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349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a:t>
            </a:r>
            <a:r>
              <a:rPr lang="en-US" baseline="0"/>
              <a:t> beneficial do you find ICT when supporting children with dyslexia?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306F-4342-8235-475659285F9C}"/>
              </c:ext>
            </c:extLst>
          </c:dPt>
          <c:dPt>
            <c:idx val="2"/>
            <c:invertIfNegative val="0"/>
            <c:bubble3D val="0"/>
            <c:spPr>
              <a:solidFill>
                <a:srgbClr val="7030A0"/>
              </a:solidFill>
              <a:ln>
                <a:noFill/>
              </a:ln>
              <a:effectLst/>
            </c:spPr>
            <c:extLst>
              <c:ext xmlns:c16="http://schemas.microsoft.com/office/drawing/2014/chart" uri="{C3380CC4-5D6E-409C-BE32-E72D297353CC}">
                <c16:uniqueId val="{00000003-306F-4342-8235-475659285F9C}"/>
              </c:ext>
            </c:extLst>
          </c:dPt>
          <c:dPt>
            <c:idx val="4"/>
            <c:invertIfNegative val="0"/>
            <c:bubble3D val="0"/>
            <c:spPr>
              <a:solidFill>
                <a:srgbClr val="FFC000"/>
              </a:solidFill>
              <a:ln>
                <a:noFill/>
              </a:ln>
              <a:effectLst/>
            </c:spPr>
            <c:extLst>
              <c:ext xmlns:c16="http://schemas.microsoft.com/office/drawing/2014/chart" uri="{C3380CC4-5D6E-409C-BE32-E72D297353CC}">
                <c16:uniqueId val="{00000005-306F-4342-8235-475659285F9C}"/>
              </c:ext>
            </c:extLst>
          </c:dPt>
          <c:cat>
            <c:strRef>
              <c:f>Sheet1!$A$1:$A$6</c:f>
              <c:strCache>
                <c:ptCount val="6"/>
                <c:pt idx="0">
                  <c:v>5 stars </c:v>
                </c:pt>
                <c:pt idx="1">
                  <c:v>4 stars</c:v>
                </c:pt>
                <c:pt idx="2">
                  <c:v>3 stars</c:v>
                </c:pt>
                <c:pt idx="3">
                  <c:v>2 stars</c:v>
                </c:pt>
                <c:pt idx="4">
                  <c:v>1 star</c:v>
                </c:pt>
                <c:pt idx="5">
                  <c:v>0 stars</c:v>
                </c:pt>
              </c:strCache>
            </c:strRef>
          </c:cat>
          <c:val>
            <c:numRef>
              <c:f>Sheet1!$B$1:$B$6</c:f>
              <c:numCache>
                <c:formatCode>General</c:formatCode>
                <c:ptCount val="6"/>
                <c:pt idx="0">
                  <c:v>4</c:v>
                </c:pt>
                <c:pt idx="1">
                  <c:v>4</c:v>
                </c:pt>
                <c:pt idx="2">
                  <c:v>2</c:v>
                </c:pt>
                <c:pt idx="3">
                  <c:v>0</c:v>
                </c:pt>
                <c:pt idx="4">
                  <c:v>1</c:v>
                </c:pt>
                <c:pt idx="5">
                  <c:v>0</c:v>
                </c:pt>
              </c:numCache>
            </c:numRef>
          </c:val>
          <c:extLst>
            <c:ext xmlns:c16="http://schemas.microsoft.com/office/drawing/2014/chart" uri="{C3380CC4-5D6E-409C-BE32-E72D297353CC}">
              <c16:uniqueId val="{00000006-306F-4342-8235-475659285F9C}"/>
            </c:ext>
          </c:extLst>
        </c:ser>
        <c:dLbls>
          <c:showLegendKey val="0"/>
          <c:showVal val="0"/>
          <c:showCatName val="0"/>
          <c:showSerName val="0"/>
          <c:showPercent val="0"/>
          <c:showBubbleSize val="0"/>
        </c:dLbls>
        <c:gapWidth val="182"/>
        <c:axId val="1902852080"/>
        <c:axId val="1898281664"/>
      </c:barChart>
      <c:catAx>
        <c:axId val="190285208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stars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8281664"/>
        <c:crosses val="autoZero"/>
        <c:auto val="1"/>
        <c:lblAlgn val="ctr"/>
        <c:lblOffset val="100"/>
        <c:noMultiLvlLbl val="0"/>
      </c:catAx>
      <c:valAx>
        <c:axId val="1898281664"/>
        <c:scaling>
          <c:orientation val="minMax"/>
          <c:max val="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people</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2852080"/>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Sheet1!$A$1:$A$4</cx:f>
        <cx:lvl ptCount="4">
          <cx:pt idx="0">Shows signs of anger</cx:pt>
          <cx:pt idx="1">Become quiet</cx:pt>
          <cx:pt idx="2">Tries to avoid task</cx:pt>
          <cx:pt idx="3">Avoids answering questions</cx:pt>
        </cx:lvl>
      </cx:strDim>
      <cx:numDim type="val">
        <cx:f>Sheet1!$B$1:$B$4</cx:f>
        <cx:lvl ptCount="4" formatCode="0.00%">
          <cx:pt idx="0">0.81799999999999995</cx:pt>
          <cx:pt idx="1">0.81799999999999995</cx:pt>
          <cx:pt idx="2">1</cx:pt>
          <cx:pt idx="3">0.81799999999999995</cx:pt>
        </cx:lvl>
      </cx:numDim>
    </cx:data>
  </cx:chartData>
  <cx:chart>
    <cx:title pos="t" align="ctr" overlay="0">
      <cx:tx>
        <cx:txData>
          <cx:v>Have you experienced these types of behaviour from pupils with dyslexia?</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Have you experienced these types of behaviour from pupils with dyslexia?</a:t>
          </a:r>
        </a:p>
      </cx:txPr>
    </cx:title>
    <cx:plotArea>
      <cx:plotAreaRegion>
        <cx:series layoutId="funnel" uniqueId="{765A8632-6F5B-1C49-B626-5B3E0CF4A07C}">
          <cx:spPr>
            <a:solidFill>
              <a:schemeClr val="accent1">
                <a:lumMod val="60000"/>
                <a:lumOff val="40000"/>
              </a:schemeClr>
            </a:solidFill>
          </cx:spPr>
          <cx:dataPt idx="0">
            <cx:spPr>
              <a:solidFill>
                <a:srgbClr val="FFFF00"/>
              </a:solidFill>
            </cx:spPr>
          </cx:dataPt>
          <cx:dataPt idx="1">
            <cx:spPr>
              <a:solidFill>
                <a:srgbClr val="92D050"/>
              </a:solidFill>
            </cx:spPr>
          </cx:dataPt>
          <cx:dataPt idx="2">
            <cx:spPr>
              <a:solidFill>
                <a:srgbClr val="00B0F0"/>
              </a:solidFill>
            </cx:spPr>
          </cx:dataPt>
          <cx:dataPt idx="3">
            <cx:spPr>
              <a:solidFill>
                <a:srgbClr val="ED7D31"/>
              </a:solidFill>
            </cx:spPr>
          </cx:dataPt>
          <cx:dataLabels>
            <cx:txPr>
              <a:bodyPr spcFirstLastPara="1" vertOverflow="ellipsis" horzOverflow="overflow" wrap="square" lIns="0" tIns="0" rIns="0" bIns="0" anchor="ctr" anchorCtr="1"/>
              <a:lstStyle/>
              <a:p>
                <a:pPr algn="ctr" rtl="0">
                  <a:defRPr>
                    <a:solidFill>
                      <a:schemeClr val="tx1"/>
                    </a:solidFill>
                  </a:defRPr>
                </a:pPr>
                <a:endParaRPr lang="en-US" sz="900" b="0" i="0" u="none" strike="noStrike" baseline="0">
                  <a:solidFill>
                    <a:schemeClr val="tx1"/>
                  </a:solidFill>
                  <a:latin typeface="Calibri" panose="020F0502020204030204"/>
                </a:endParaRPr>
              </a:p>
            </cx:txPr>
            <cx:visibility seriesName="0" categoryName="0" value="1"/>
          </cx:dataLabels>
          <cx:dataId val="0"/>
        </cx:series>
      </cx:plotAreaRegion>
      <cx:axis id="0">
        <cx:catScaling gapWidth="0.0599999987"/>
        <cx:title>
          <cx:tx>
            <cx:txData>
              <cx:v>Types of behaviour</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Types of behaviour</a:t>
              </a:r>
            </a:p>
          </cx:txPr>
        </cx:titl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524</TotalTime>
  <Pages>11</Pages>
  <Words>5375</Words>
  <Characters>30642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dylanhowlettt@gmail.com</dc:creator>
  <cp:keywords/>
  <dc:description/>
  <cp:lastModifiedBy>dylanhowlettt@gmail.com</cp:lastModifiedBy>
  <cp:revision>14</cp:revision>
  <cp:lastPrinted>2019-04-24T15:39:00Z</cp:lastPrinted>
  <dcterms:created xsi:type="dcterms:W3CDTF">2019-04-23T16:20:00Z</dcterms:created>
  <dcterms:modified xsi:type="dcterms:W3CDTF">2019-04-28T17:10:00Z</dcterms:modified>
</cp:coreProperties>
</file>