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AA5B06" w14:textId="25164AF9" w:rsidR="00561A77" w:rsidRDefault="00425FEE" w:rsidP="00561A77">
      <w:pPr>
        <w:jc w:val="center"/>
        <w:rPr>
          <w:b/>
          <w:sz w:val="32"/>
          <w:u w:val="single"/>
        </w:rPr>
      </w:pPr>
      <w:r>
        <w:rPr>
          <w:b/>
          <w:sz w:val="32"/>
          <w:u w:val="single"/>
        </w:rPr>
        <w:t>Assignment</w:t>
      </w:r>
      <w:r w:rsidR="001E144A">
        <w:rPr>
          <w:b/>
          <w:sz w:val="32"/>
          <w:u w:val="single"/>
        </w:rPr>
        <w:t xml:space="preserve"> No 1</w:t>
      </w:r>
      <w:r>
        <w:rPr>
          <w:b/>
          <w:sz w:val="32"/>
          <w:u w:val="single"/>
        </w:rPr>
        <w:t xml:space="preserve">: Reform </w:t>
      </w:r>
      <w:proofErr w:type="gramStart"/>
      <w:r>
        <w:rPr>
          <w:b/>
          <w:sz w:val="32"/>
          <w:u w:val="single"/>
        </w:rPr>
        <w:t>Of</w:t>
      </w:r>
      <w:proofErr w:type="gramEnd"/>
      <w:r>
        <w:rPr>
          <w:b/>
          <w:sz w:val="32"/>
          <w:u w:val="single"/>
        </w:rPr>
        <w:t xml:space="preserve"> Homicide</w:t>
      </w:r>
    </w:p>
    <w:p w14:paraId="34533D3E" w14:textId="63A73BC2" w:rsidR="00070CB0" w:rsidRPr="00F56763" w:rsidRDefault="00BF396A" w:rsidP="00F56763">
      <w:pPr>
        <w:jc w:val="center"/>
        <w:rPr>
          <w:b/>
          <w:sz w:val="32"/>
          <w:u w:val="single"/>
        </w:rPr>
      </w:pPr>
      <w:bookmarkStart w:id="0" w:name="_GoBack"/>
      <w:bookmarkEnd w:id="0"/>
      <w:r>
        <w:rPr>
          <w:b/>
          <w:sz w:val="32"/>
          <w:u w:val="single"/>
        </w:rPr>
        <w:t xml:space="preserve"> </w:t>
      </w:r>
      <w:r w:rsidR="00561A77">
        <w:rPr>
          <w:b/>
          <w:sz w:val="32"/>
          <w:u w:val="single"/>
        </w:rPr>
        <w:t>[</w:t>
      </w:r>
      <w:r w:rsidR="00070CB0" w:rsidRPr="00070CB0">
        <w:rPr>
          <w:b/>
          <w:sz w:val="32"/>
          <w:u w:val="single"/>
        </w:rPr>
        <w:t>The law governing homicide in England and Wales</w:t>
      </w:r>
      <w:r w:rsidR="00561A77">
        <w:rPr>
          <w:b/>
          <w:sz w:val="32"/>
          <w:u w:val="single"/>
        </w:rPr>
        <w:t>]</w:t>
      </w:r>
    </w:p>
    <w:p w14:paraId="786141AC" w14:textId="77777777" w:rsidR="00070CB0" w:rsidRDefault="00070CB0" w:rsidP="00070CB0">
      <w:pPr>
        <w:spacing w:line="259" w:lineRule="auto"/>
        <w:jc w:val="both"/>
        <w:rPr>
          <w:b/>
          <w:sz w:val="32"/>
          <w:szCs w:val="32"/>
        </w:rPr>
      </w:pPr>
      <w:bookmarkStart w:id="1" w:name="_Toc138353801"/>
    </w:p>
    <w:p w14:paraId="7014C5BF" w14:textId="0E96F8CC" w:rsidR="00070CB0" w:rsidRPr="0038111D" w:rsidRDefault="00070CB0" w:rsidP="0038111D">
      <w:pPr>
        <w:spacing w:after="200" w:line="276" w:lineRule="auto"/>
        <w:rPr>
          <w:b/>
          <w:sz w:val="32"/>
          <w:szCs w:val="32"/>
          <w:u w:val="single"/>
        </w:rPr>
      </w:pPr>
      <w:r w:rsidRPr="0038111D">
        <w:rPr>
          <w:b/>
          <w:sz w:val="32"/>
          <w:szCs w:val="32"/>
          <w:u w:val="single"/>
        </w:rPr>
        <w:t>Introduction</w:t>
      </w:r>
      <w:bookmarkEnd w:id="1"/>
      <w:r w:rsidR="0038111D">
        <w:rPr>
          <w:b/>
          <w:sz w:val="32"/>
          <w:szCs w:val="32"/>
          <w:u w:val="single"/>
        </w:rPr>
        <w:t>:</w:t>
      </w:r>
    </w:p>
    <w:p w14:paraId="025C5155" w14:textId="78422EA8" w:rsidR="00F56763" w:rsidRDefault="00070CB0" w:rsidP="0038111D">
      <w:pPr>
        <w:jc w:val="both"/>
        <w:rPr>
          <w:rFonts w:eastAsiaTheme="majorEastAsia" w:cstheme="majorBidi"/>
          <w:b/>
          <w:bCs/>
          <w:sz w:val="32"/>
          <w:szCs w:val="28"/>
        </w:rPr>
      </w:pPr>
      <w:r w:rsidRPr="00184C59">
        <w:t xml:space="preserve">This assignment is about homicide and homicide acts in England and Wales. </w:t>
      </w:r>
      <w:r w:rsidR="00EE6E4A" w:rsidRPr="00184C59">
        <w:t>HOMICIDE ACT 1957</w:t>
      </w:r>
      <w:r w:rsidR="00F56763" w:rsidRPr="00184C59">
        <w:t>is followed in England.</w:t>
      </w:r>
      <w:r w:rsidRPr="00184C59">
        <w:t xml:space="preserve"> This act provides some specific issues which wi</w:t>
      </w:r>
      <w:r w:rsidR="00F56763" w:rsidRPr="00184C59">
        <w:t>ll be found in this assignment.</w:t>
      </w:r>
      <w:r w:rsidRPr="00184C59">
        <w:t xml:space="preserve"> </w:t>
      </w:r>
      <w:r w:rsidR="00916795" w:rsidRPr="00184C59">
        <w:t xml:space="preserve">The activities from Christine case in the previous assignment was also related with Homicide Act 2009 when one of the guests hit another. </w:t>
      </w:r>
      <w:r w:rsidRPr="00184C59">
        <w:t xml:space="preserve">Homicide </w:t>
      </w:r>
      <w:r>
        <w:t>Act 2009 will also be discussed in this assignment</w:t>
      </w:r>
      <w:r w:rsidR="00F56763">
        <w:t>.</w:t>
      </w:r>
      <w:r>
        <w:t xml:space="preserve"> The proposals of the Law Commission and other bodies through the consultation paper 2006 will b</w:t>
      </w:r>
      <w:r w:rsidR="00F56763">
        <w:t>e explained in this assignment.</w:t>
      </w:r>
      <w:r>
        <w:t xml:space="preserve"> The reasons for accepting proposals will be described and the government's right to reform the law will also be found in this</w:t>
      </w:r>
      <w:r w:rsidR="00F56763">
        <w:t xml:space="preserve"> assignment.</w:t>
      </w:r>
      <w:r>
        <w:t xml:space="preserve"> Finally, the arguments against the reform of the homicide act will be explained. </w:t>
      </w:r>
    </w:p>
    <w:p w14:paraId="76D86B65" w14:textId="12422520" w:rsidR="00070CB0" w:rsidRPr="0038111D" w:rsidRDefault="00070CB0" w:rsidP="0038111D">
      <w:pPr>
        <w:pStyle w:val="Heading1"/>
        <w:rPr>
          <w:u w:val="single"/>
        </w:rPr>
      </w:pPr>
      <w:bookmarkStart w:id="2" w:name="_Toc138353802"/>
      <w:r w:rsidRPr="0038111D">
        <w:rPr>
          <w:u w:val="single"/>
        </w:rPr>
        <w:t>The law governing homicide in England and Wales</w:t>
      </w:r>
      <w:bookmarkEnd w:id="2"/>
      <w:r w:rsidR="0038111D" w:rsidRPr="0038111D">
        <w:rPr>
          <w:u w:val="single"/>
        </w:rPr>
        <w:t>:</w:t>
      </w:r>
    </w:p>
    <w:p w14:paraId="679CEDBC" w14:textId="7887EABD" w:rsidR="00070CB0" w:rsidRDefault="00070CB0" w:rsidP="00070CB0">
      <w:pPr>
        <w:jc w:val="both"/>
      </w:pPr>
      <w:r>
        <w:t xml:space="preserve">Homicide is the process of causing the death of another person for any unlawful reason. Primarily the </w:t>
      </w:r>
      <w:r w:rsidR="00EE6E4A">
        <w:t xml:space="preserve">HOMICIDE ACT 1957 </w:t>
      </w:r>
      <w:r>
        <w:t xml:space="preserve">is considered in the cases of homicide in England and Wales. Another act that is also used </w:t>
      </w:r>
      <w:r w:rsidR="00E24C6D">
        <w:t>for homicide activities is the H</w:t>
      </w:r>
      <w:r>
        <w:t>omicide Act 2009. Under this jurisdiction, some specific categor</w:t>
      </w:r>
      <w:r w:rsidR="00F56763">
        <w:t>ies of homicide are considered.</w:t>
      </w:r>
      <w:r>
        <w:t xml:space="preserve"> Murder, manslaughter, infanticide, and some other are some specific categories that are part of this act. </w:t>
      </w:r>
    </w:p>
    <w:p w14:paraId="0A5942CE" w14:textId="77777777" w:rsidR="00070CB0" w:rsidRDefault="00070CB0" w:rsidP="00070CB0">
      <w:pPr>
        <w:jc w:val="both"/>
      </w:pPr>
      <w:r>
        <w:t>Murder: Murder is the main form of homicide (</w:t>
      </w:r>
      <w:r w:rsidRPr="007817A9">
        <w:rPr>
          <w:rFonts w:cstheme="majorBidi"/>
          <w:color w:val="222222"/>
          <w:szCs w:val="24"/>
          <w:shd w:val="clear" w:color="auto" w:fill="FFFFFF"/>
        </w:rPr>
        <w:t>Greenall, P.V., 2023</w:t>
      </w:r>
      <w:r>
        <w:rPr>
          <w:rFonts w:cstheme="majorBidi"/>
          <w:color w:val="222222"/>
          <w:szCs w:val="24"/>
          <w:shd w:val="clear" w:color="auto" w:fill="FFFFFF"/>
        </w:rPr>
        <w:t>)</w:t>
      </w:r>
      <w:r>
        <w:t xml:space="preserve">.  Hawaiian individuals intentionally kill another person it is part of the murder.  Intentional murder is also known as malice aforethought.  For Bing murder of any incident, the murderer must have some specific intention and also the causes of death without any legal activities.  Based on the homicide act 1957, a mandatory life sentence is the murder charge. </w:t>
      </w:r>
    </w:p>
    <w:p w14:paraId="1D6495D4" w14:textId="77777777" w:rsidR="00070CB0" w:rsidRDefault="00070CB0" w:rsidP="00070CB0">
      <w:pPr>
        <w:jc w:val="both"/>
      </w:pPr>
      <w:r>
        <w:t xml:space="preserve">Manslaughter: Manslaughter is the process of killing someone unlawfully without intention. There are two types of manslaughter like voluntary manslaughter and involuntary manslaughter. </w:t>
      </w:r>
    </w:p>
    <w:p w14:paraId="36D4BA50" w14:textId="2ECD9DD0" w:rsidR="00070CB0" w:rsidRDefault="00070CB0" w:rsidP="00070CB0">
      <w:pPr>
        <w:jc w:val="both"/>
      </w:pPr>
      <w:r>
        <w:t>Infanticide: Infanticide is the process of killing a child of less than one year of age by the mother (</w:t>
      </w:r>
      <w:r>
        <w:rPr>
          <w:rFonts w:cstheme="majorBidi"/>
          <w:color w:val="222222"/>
          <w:szCs w:val="24"/>
          <w:shd w:val="clear" w:color="auto" w:fill="FFFFFF"/>
        </w:rPr>
        <w:t>Eastman et al.</w:t>
      </w:r>
      <w:r w:rsidR="00F56763">
        <w:rPr>
          <w:rFonts w:cstheme="majorBidi"/>
          <w:color w:val="222222"/>
          <w:szCs w:val="24"/>
          <w:shd w:val="clear" w:color="auto" w:fill="FFFFFF"/>
        </w:rPr>
        <w:t xml:space="preserve">, </w:t>
      </w:r>
      <w:r w:rsidR="00F56763" w:rsidRPr="007817A9">
        <w:rPr>
          <w:rFonts w:cstheme="majorBidi"/>
          <w:color w:val="222222"/>
          <w:szCs w:val="24"/>
          <w:shd w:val="clear" w:color="auto" w:fill="FFFFFF"/>
        </w:rPr>
        <w:t>2020</w:t>
      </w:r>
      <w:r>
        <w:rPr>
          <w:rFonts w:cstheme="majorBidi"/>
          <w:color w:val="222222"/>
          <w:szCs w:val="24"/>
          <w:shd w:val="clear" w:color="auto" w:fill="FFFFFF"/>
        </w:rPr>
        <w:t>)</w:t>
      </w:r>
      <w:r w:rsidR="00F56763">
        <w:t>.</w:t>
      </w:r>
      <w:r>
        <w:t xml:space="preserve"> This offense is treated less severely than mu</w:t>
      </w:r>
      <w:r w:rsidR="00E24C6D">
        <w:t xml:space="preserve">rder and </w:t>
      </w:r>
      <w:r w:rsidR="00E24C6D">
        <w:lastRenderedPageBreak/>
        <w:t>manslaughter.  In the Act of H</w:t>
      </w:r>
      <w:r>
        <w:t>omicide 2009, the mother will be charged with imprisonment for a specific time.</w:t>
      </w:r>
    </w:p>
    <w:p w14:paraId="19FC4FCE" w14:textId="77777777" w:rsidR="00070CB0" w:rsidRDefault="00070CB0" w:rsidP="00070CB0">
      <w:pPr>
        <w:jc w:val="both"/>
      </w:pPr>
      <w:r>
        <w:t xml:space="preserve">In English law, the defence to murder has three partial activities.  If anyone can prove these partial activities, it will help him to reduce the charges of murder. </w:t>
      </w:r>
    </w:p>
    <w:p w14:paraId="7F8E42E9" w14:textId="37D2B4BA" w:rsidR="00070CB0" w:rsidRDefault="00070CB0" w:rsidP="00070CB0">
      <w:pPr>
        <w:jc w:val="both"/>
      </w:pPr>
      <w:r>
        <w:t>Diminished responsibility: Diminished responsibil</w:t>
      </w:r>
      <w:r w:rsidR="00E24C6D">
        <w:t>ity is one of the parts of the H</w:t>
      </w:r>
      <w:r>
        <w:t>omicide act 1957.  It means the person who performs the killing had no mental stability.  Abnormality and disability of mental state was the reason for killing.</w:t>
      </w:r>
    </w:p>
    <w:p w14:paraId="0FA9E3E0" w14:textId="77777777" w:rsidR="00070CB0" w:rsidRDefault="00070CB0" w:rsidP="00070CB0">
      <w:pPr>
        <w:jc w:val="both"/>
      </w:pPr>
      <w:r>
        <w:t xml:space="preserve">Loss of control:  The Coroners and Justice Act 2009 mentioned the loss of control </w:t>
      </w:r>
      <w:proofErr w:type="spellStart"/>
      <w:r>
        <w:t>defense</w:t>
      </w:r>
      <w:proofErr w:type="spellEnd"/>
      <w:r>
        <w:t xml:space="preserve">.  It means the killing activities were out of control. </w:t>
      </w:r>
    </w:p>
    <w:p w14:paraId="0397CC57" w14:textId="40DEED3E" w:rsidR="00070CB0" w:rsidRDefault="00070CB0" w:rsidP="00070CB0">
      <w:pPr>
        <w:spacing w:line="259" w:lineRule="auto"/>
        <w:jc w:val="both"/>
      </w:pPr>
      <w:r>
        <w:t xml:space="preserve">Suicide pact: Suicide perfect </w:t>
      </w:r>
      <w:r w:rsidR="00F56763">
        <w:t>does the activity of mutual understand</w:t>
      </w:r>
      <w:r>
        <w:t xml:space="preserve"> for performing suicide.  It also can reduce the punishment of murder (</w:t>
      </w:r>
      <w:proofErr w:type="spellStart"/>
      <w:r>
        <w:rPr>
          <w:rFonts w:cstheme="majorBidi"/>
          <w:color w:val="222222"/>
          <w:szCs w:val="24"/>
          <w:shd w:val="clear" w:color="auto" w:fill="FFFFFF"/>
        </w:rPr>
        <w:t>Lilleker</w:t>
      </w:r>
      <w:proofErr w:type="spellEnd"/>
      <w:r>
        <w:rPr>
          <w:rFonts w:cstheme="majorBidi"/>
          <w:color w:val="222222"/>
          <w:szCs w:val="24"/>
          <w:shd w:val="clear" w:color="auto" w:fill="FFFFFF"/>
        </w:rPr>
        <w:t xml:space="preserve"> and</w:t>
      </w:r>
      <w:r w:rsidRPr="007817A9">
        <w:rPr>
          <w:rFonts w:cstheme="majorBidi"/>
          <w:color w:val="222222"/>
          <w:szCs w:val="24"/>
          <w:shd w:val="clear" w:color="auto" w:fill="FFFFFF"/>
        </w:rPr>
        <w:t xml:space="preserve"> J., 2023</w:t>
      </w:r>
      <w:r>
        <w:rPr>
          <w:rFonts w:cstheme="majorBidi"/>
          <w:color w:val="222222"/>
          <w:szCs w:val="24"/>
          <w:shd w:val="clear" w:color="auto" w:fill="FFFFFF"/>
        </w:rPr>
        <w:t>)</w:t>
      </w:r>
      <w:r>
        <w:t xml:space="preserve">. </w:t>
      </w:r>
    </w:p>
    <w:p w14:paraId="7186CF6A" w14:textId="196F010A" w:rsidR="00070CB0" w:rsidRDefault="00070CB0" w:rsidP="00070CB0">
      <w:pPr>
        <w:jc w:val="both"/>
      </w:pPr>
      <w:r>
        <w:t>There is a debate in legal circles where the intent required for murde</w:t>
      </w:r>
      <w:r w:rsidR="00F56763">
        <w:t>ring is a questionable factor. The</w:t>
      </w:r>
      <w:r>
        <w:t xml:space="preserve"> common law mentioned the intent in its definition.  On the other hand, some other parties raise a cushion about the intention.  There are some specific areas where specific controversies arise. Transferred malaise, recklessness and subjective intent, diminished responsibility, and intention to cause serious harm are some of the controversial areas. </w:t>
      </w:r>
    </w:p>
    <w:p w14:paraId="5BCFFCFB" w14:textId="52879846" w:rsidR="00070CB0" w:rsidRDefault="00070CB0" w:rsidP="00070CB0">
      <w:pPr>
        <w:jc w:val="both"/>
      </w:pPr>
      <w:r>
        <w:t xml:space="preserve">The breadth of manslaughter as a legal category has been a topic of discussion and debate. </w:t>
      </w:r>
    </w:p>
    <w:p w14:paraId="5529238A" w14:textId="77777777" w:rsidR="00070CB0" w:rsidRDefault="00070CB0" w:rsidP="00070CB0">
      <w:pPr>
        <w:jc w:val="both"/>
      </w:pPr>
      <w:r>
        <w:t>A consultation paper called murder manslaughter and Infanticide was published in November 2006.  This paper was made by the Law Commission and other independent bodies in England and oils for reforming the law of homicide (</w:t>
      </w:r>
      <w:proofErr w:type="spellStart"/>
      <w:r w:rsidRPr="007817A9">
        <w:rPr>
          <w:rFonts w:cstheme="majorBidi"/>
          <w:color w:val="222222"/>
          <w:szCs w:val="24"/>
          <w:shd w:val="clear" w:color="auto" w:fill="FFFFFF"/>
        </w:rPr>
        <w:t>Allsop</w:t>
      </w:r>
      <w:proofErr w:type="spellEnd"/>
      <w:r>
        <w:rPr>
          <w:rFonts w:cstheme="majorBidi"/>
          <w:color w:val="222222"/>
          <w:szCs w:val="24"/>
          <w:shd w:val="clear" w:color="auto" w:fill="FFFFFF"/>
        </w:rPr>
        <w:t xml:space="preserve"> et al.., 2019)</w:t>
      </w:r>
      <w:r>
        <w:t xml:space="preserve">.  The Commission proposed a new law system of three tires and replaced the present two-third systems for murder and manslaughter.  The Law Commission believes that it will reduce the number of killings. </w:t>
      </w:r>
    </w:p>
    <w:p w14:paraId="74344451" w14:textId="77777777" w:rsidR="00F56763" w:rsidRDefault="00070CB0" w:rsidP="00070CB0">
      <w:pPr>
        <w:jc w:val="both"/>
      </w:pPr>
      <w:r>
        <w:t xml:space="preserve">They also proposed new </w:t>
      </w:r>
      <w:r w:rsidR="00F56763">
        <w:t>defence</w:t>
      </w:r>
      <w:r>
        <w:t xml:space="preserve"> clarification like self-</w:t>
      </w:r>
      <w:r w:rsidR="00F56763">
        <w:t>defence</w:t>
      </w:r>
      <w:r>
        <w:t xml:space="preserve"> loss of control and diminished responsibility (</w:t>
      </w:r>
      <w:r w:rsidRPr="007817A9">
        <w:rPr>
          <w:rFonts w:cstheme="majorBidi"/>
          <w:color w:val="222222"/>
          <w:szCs w:val="24"/>
          <w:shd w:val="clear" w:color="auto" w:fill="FFFFFF"/>
        </w:rPr>
        <w:t>Todd</w:t>
      </w:r>
      <w:r>
        <w:rPr>
          <w:rFonts w:cstheme="majorBidi"/>
          <w:color w:val="222222"/>
          <w:szCs w:val="24"/>
          <w:shd w:val="clear" w:color="auto" w:fill="FFFFFF"/>
        </w:rPr>
        <w:t xml:space="preserve"> et al., 2019)</w:t>
      </w:r>
      <w:r>
        <w:t xml:space="preserve">.  The Law Commission also suggests the proper system for lifetime imprisonment where the jazz will need to evaluate the situation and follow some specific term of imprisonment rather than an automatic sentence.  These proposals are not accepted yet by the government of England and Wales.  These things are also raged by the Crown Prosecution Service and the sentencing council. </w:t>
      </w:r>
    </w:p>
    <w:p w14:paraId="4D1CDF22" w14:textId="17CE29C1" w:rsidR="00070CB0" w:rsidRPr="00F56763" w:rsidRDefault="00070CB0" w:rsidP="00070CB0">
      <w:pPr>
        <w:jc w:val="both"/>
      </w:pPr>
      <w:r>
        <w:t xml:space="preserve">There are different types of reasons which can be considered for accepting the proposals of reforming the homicide act based </w:t>
      </w:r>
      <w:r w:rsidR="00F56763">
        <w:t>on the consultation paper 2006.</w:t>
      </w:r>
      <w:r>
        <w:t xml:space="preserve"> Inconsistencies, </w:t>
      </w:r>
      <w:r>
        <w:lastRenderedPageBreak/>
        <w:t>arbitrariness, and injustice in the sentencing of the two-tier system of present the homicide act is the basic reason for reforming this act (</w:t>
      </w:r>
      <w:r w:rsidRPr="007817A9">
        <w:rPr>
          <w:rFonts w:cstheme="majorBidi"/>
          <w:color w:val="222222"/>
          <w:szCs w:val="24"/>
          <w:shd w:val="clear" w:color="auto" w:fill="FFFFFF"/>
        </w:rPr>
        <w:t>Edwards</w:t>
      </w:r>
      <w:r>
        <w:rPr>
          <w:rFonts w:cstheme="majorBidi"/>
          <w:color w:val="222222"/>
          <w:szCs w:val="24"/>
          <w:shd w:val="clear" w:color="auto" w:fill="FFFFFF"/>
        </w:rPr>
        <w:t xml:space="preserve"> et al., 2021)</w:t>
      </w:r>
      <w:r>
        <w:t>.  In the present law, we cannot differentiate between cases that are morally and legally distinguishable.  Providing a clear picture of the incident and guidance for juries’ judges and lawyers, the Reformation of the present act is needed.  The Law Commission is also aimed at modernizing the legal framework of homicide which will add some social values and ensure proper law based on this act.  This can also be another reason for accepting the proposals.  Simplification of the legal process for homicide cases can be another reason for accepting proposals from the Law Commission and other bodies (</w:t>
      </w:r>
      <w:r w:rsidRPr="007817A9">
        <w:rPr>
          <w:rFonts w:cstheme="majorBidi"/>
          <w:color w:val="222222"/>
          <w:szCs w:val="24"/>
          <w:shd w:val="clear" w:color="auto" w:fill="FFFFFF"/>
        </w:rPr>
        <w:t>Bows</w:t>
      </w:r>
      <w:r>
        <w:rPr>
          <w:rFonts w:cstheme="majorBidi"/>
          <w:color w:val="222222"/>
          <w:szCs w:val="24"/>
          <w:shd w:val="clear" w:color="auto" w:fill="FFFFFF"/>
        </w:rPr>
        <w:t xml:space="preserve"> et al., 2020)</w:t>
      </w:r>
      <w:r>
        <w:t>.</w:t>
      </w:r>
    </w:p>
    <w:p w14:paraId="67A8F2B7" w14:textId="3991DA31" w:rsidR="00070CB0" w:rsidRDefault="00070CB0" w:rsidP="00070CB0">
      <w:pPr>
        <w:jc w:val="both"/>
      </w:pPr>
      <w:r>
        <w:t>The government of any country has the ultimate right to reform or stabilize any kind of law.  In England and Wales, the government has the responsibility and right to reform the law with a specific process. The process is developed by proper propose, debating, and passing the laws.  Based on this situation, the Law Commission proposed some specific proposals for reforming the homicide act.  The government has the ultimate right to change it.  The government can review the proposal and consulate with the bodies.  If the government is convinced with the proposal and activities, the government can change or reform the law. The government will need to take approval from Parliament for passin</w:t>
      </w:r>
      <w:r w:rsidR="00F56763">
        <w:t>g any new laws and amendments. The</w:t>
      </w:r>
      <w:r>
        <w:t xml:space="preserve"> court also has the right to change or reform the laws. For setting some principles or setting some legal actions</w:t>
      </w:r>
      <w:r w:rsidR="00F56763">
        <w:t>, the</w:t>
      </w:r>
      <w:r>
        <w:t xml:space="preserve"> court and the government have the ultimate rights based on the constitution to change or r</w:t>
      </w:r>
      <w:r w:rsidR="00E24C6D">
        <w:t>eform any kind of law like the H</w:t>
      </w:r>
      <w:r>
        <w:t xml:space="preserve">omicide act of 1957. </w:t>
      </w:r>
    </w:p>
    <w:p w14:paraId="57744EBD" w14:textId="7F3833F5" w:rsidR="00070CB0" w:rsidRDefault="00070CB0" w:rsidP="00070CB0">
      <w:pPr>
        <w:jc w:val="both"/>
      </w:pPr>
      <w:r>
        <w:t>There are some specific a</w:t>
      </w:r>
      <w:r w:rsidR="00E24C6D">
        <w:t>rguments against reforming the H</w:t>
      </w:r>
      <w:r>
        <w:t xml:space="preserve">omicide act in England and Wales. </w:t>
      </w:r>
    </w:p>
    <w:p w14:paraId="23FD96F5" w14:textId="4FA3CB87" w:rsidR="00070CB0" w:rsidRDefault="00070CB0" w:rsidP="00070CB0">
      <w:pPr>
        <w:jc w:val="both"/>
      </w:pPr>
      <w:r>
        <w:t>The changes are the ref</w:t>
      </w:r>
      <w:r w:rsidR="00F56763">
        <w:t>ormation of law is too complex.</w:t>
      </w:r>
      <w:r>
        <w:t xml:space="preserve"> There is a specific risk of making the law more complex and difficult for the users (</w:t>
      </w:r>
      <w:proofErr w:type="spellStart"/>
      <w:r>
        <w:rPr>
          <w:rFonts w:cstheme="majorBidi"/>
          <w:color w:val="222222"/>
          <w:szCs w:val="24"/>
          <w:shd w:val="clear" w:color="auto" w:fill="FFFFFF"/>
        </w:rPr>
        <w:t>Bergelson</w:t>
      </w:r>
      <w:proofErr w:type="spellEnd"/>
      <w:r>
        <w:rPr>
          <w:rFonts w:cstheme="majorBidi"/>
          <w:color w:val="222222"/>
          <w:szCs w:val="24"/>
          <w:shd w:val="clear" w:color="auto" w:fill="FFFFFF"/>
        </w:rPr>
        <w:t xml:space="preserve"> and </w:t>
      </w:r>
      <w:r w:rsidRPr="007817A9">
        <w:rPr>
          <w:rFonts w:cstheme="majorBidi"/>
          <w:color w:val="222222"/>
          <w:szCs w:val="24"/>
          <w:shd w:val="clear" w:color="auto" w:fill="FFFFFF"/>
        </w:rPr>
        <w:t>V., 2021</w:t>
      </w:r>
      <w:r>
        <w:rPr>
          <w:rFonts w:cstheme="majorBidi"/>
          <w:color w:val="222222"/>
          <w:szCs w:val="24"/>
          <w:shd w:val="clear" w:color="auto" w:fill="FFFFFF"/>
        </w:rPr>
        <w:t>)</w:t>
      </w:r>
      <w:r>
        <w:t xml:space="preserve">.  Navigation can be difficult for lawyers and judges. </w:t>
      </w:r>
    </w:p>
    <w:p w14:paraId="5294F6DD" w14:textId="3FC1DE6B" w:rsidR="00070CB0" w:rsidRDefault="00070CB0" w:rsidP="00070CB0">
      <w:pPr>
        <w:jc w:val="both"/>
      </w:pPr>
      <w:r>
        <w:t xml:space="preserve">Reformation can't change moral relativism.  The value of human rights can be diminished by the message of changing </w:t>
      </w:r>
      <w:r w:rsidR="00F56763">
        <w:t xml:space="preserve">or reforming the homicide act. </w:t>
      </w:r>
      <w:r>
        <w:t>The proposed reformations have some specific arguments like the league of public consensus (</w:t>
      </w:r>
      <w:proofErr w:type="spellStart"/>
      <w:r>
        <w:rPr>
          <w:rFonts w:cstheme="majorBidi"/>
          <w:color w:val="222222"/>
          <w:szCs w:val="24"/>
          <w:shd w:val="clear" w:color="auto" w:fill="FFFFFF"/>
        </w:rPr>
        <w:t>Timmermann</w:t>
      </w:r>
      <w:proofErr w:type="spellEnd"/>
      <w:r>
        <w:rPr>
          <w:rFonts w:cstheme="majorBidi"/>
          <w:color w:val="222222"/>
          <w:szCs w:val="24"/>
          <w:shd w:val="clear" w:color="auto" w:fill="FFFFFF"/>
        </w:rPr>
        <w:t xml:space="preserve"> </w:t>
      </w:r>
      <w:r w:rsidR="00F56763">
        <w:rPr>
          <w:rFonts w:cstheme="majorBidi"/>
          <w:color w:val="222222"/>
          <w:szCs w:val="24"/>
          <w:shd w:val="clear" w:color="auto" w:fill="FFFFFF"/>
        </w:rPr>
        <w:t xml:space="preserve">and </w:t>
      </w:r>
      <w:r w:rsidR="00F56763" w:rsidRPr="007817A9">
        <w:rPr>
          <w:rFonts w:cstheme="majorBidi"/>
          <w:color w:val="222222"/>
          <w:szCs w:val="24"/>
          <w:shd w:val="clear" w:color="auto" w:fill="FFFFFF"/>
        </w:rPr>
        <w:t>J</w:t>
      </w:r>
      <w:r w:rsidRPr="007817A9">
        <w:rPr>
          <w:rFonts w:cstheme="majorBidi"/>
          <w:color w:val="222222"/>
          <w:szCs w:val="24"/>
          <w:shd w:val="clear" w:color="auto" w:fill="FFFFFF"/>
        </w:rPr>
        <w:t>., 2022</w:t>
      </w:r>
      <w:r>
        <w:rPr>
          <w:rFonts w:cstheme="majorBidi"/>
          <w:color w:val="222222"/>
          <w:szCs w:val="24"/>
          <w:shd w:val="clear" w:color="auto" w:fill="FFFFFF"/>
        </w:rPr>
        <w:t>)</w:t>
      </w:r>
      <w:r>
        <w:t xml:space="preserve">.  Some critics argued that the public consensus is not that much in these types of reformation. It could increase the risk of lenient sentencing. It can increase the chances of the feeling for people of being less safe.  It can also increase the complexity of the prosecutorial decision. </w:t>
      </w:r>
    </w:p>
    <w:p w14:paraId="0ECB7140" w14:textId="2A2EC13F" w:rsidR="00F56763" w:rsidRDefault="00070CB0" w:rsidP="0038111D">
      <w:pPr>
        <w:jc w:val="both"/>
        <w:rPr>
          <w:b/>
          <w:sz w:val="32"/>
          <w:szCs w:val="32"/>
        </w:rPr>
      </w:pPr>
      <w:r>
        <w:t xml:space="preserve">As the </w:t>
      </w:r>
      <w:r w:rsidR="00EE6E4A">
        <w:t>HOMICIDE ACT 1957</w:t>
      </w:r>
      <w:r w:rsidR="00BA472F">
        <w:t xml:space="preserve"> </w:t>
      </w:r>
      <w:r>
        <w:t>was made with the cultures of the previous time, there should h</w:t>
      </w:r>
      <w:r w:rsidR="00F56763">
        <w:t>ave been some specific changes.</w:t>
      </w:r>
      <w:r>
        <w:t xml:space="preserve"> The government should rethink the proposals of the l</w:t>
      </w:r>
      <w:r w:rsidR="00F56763">
        <w:t xml:space="preserve">aw </w:t>
      </w:r>
      <w:r w:rsidR="00F56763">
        <w:lastRenderedPageBreak/>
        <w:t>Commission and other bodies.</w:t>
      </w:r>
      <w:r>
        <w:t xml:space="preserve"> Re-examining the situation and proposal can increase the chan</w:t>
      </w:r>
      <w:r w:rsidR="00F56763">
        <w:t>ces of reformation of this law.</w:t>
      </w:r>
      <w:r>
        <w:t xml:space="preserve"> The Law Commission should also need to identify strong end spe</w:t>
      </w:r>
      <w:r w:rsidR="00E24C6D">
        <w:t>cific reasons for changing the H</w:t>
      </w:r>
      <w:r>
        <w:t xml:space="preserve">omicide act 1957.  It will help the government to take its decision.  Increasing awareness among general people can be another option to take action on behalf of law commissions. </w:t>
      </w:r>
      <w:bookmarkStart w:id="3" w:name="_Toc138353803"/>
    </w:p>
    <w:p w14:paraId="2BF64F75" w14:textId="7466B009" w:rsidR="00070CB0" w:rsidRPr="0038111D" w:rsidRDefault="00070CB0" w:rsidP="00070CB0">
      <w:pPr>
        <w:spacing w:line="259" w:lineRule="auto"/>
        <w:jc w:val="both"/>
        <w:rPr>
          <w:b/>
          <w:sz w:val="32"/>
          <w:szCs w:val="32"/>
          <w:u w:val="single"/>
        </w:rPr>
      </w:pPr>
      <w:r w:rsidRPr="0038111D">
        <w:rPr>
          <w:b/>
          <w:sz w:val="32"/>
          <w:szCs w:val="32"/>
          <w:u w:val="single"/>
        </w:rPr>
        <w:t>Conclusion</w:t>
      </w:r>
      <w:bookmarkEnd w:id="3"/>
      <w:r w:rsidR="0038111D" w:rsidRPr="0038111D">
        <w:rPr>
          <w:b/>
          <w:sz w:val="32"/>
          <w:szCs w:val="32"/>
          <w:u w:val="single"/>
        </w:rPr>
        <w:t>:</w:t>
      </w:r>
    </w:p>
    <w:p w14:paraId="6E919278" w14:textId="74A40EB7" w:rsidR="00F56763" w:rsidRDefault="00070CB0" w:rsidP="0038111D">
      <w:pPr>
        <w:jc w:val="both"/>
        <w:rPr>
          <w:b/>
          <w:sz w:val="32"/>
          <w:szCs w:val="32"/>
        </w:rPr>
      </w:pPr>
      <w:r>
        <w:t>Homicide is the act of killing someone illegally.  In England and Wales, the homicide act of 1957 is used as the jurisdiction process of homicide.  There are different types of parts and categories of homicide like murder manslaughter and Infanticide. There are some specific considerable iss</w:t>
      </w:r>
      <w:r w:rsidR="00F56763">
        <w:t>ues in the section on homicide.</w:t>
      </w:r>
      <w:r>
        <w:t xml:space="preserve"> Partial </w:t>
      </w:r>
      <w:r w:rsidR="00184C59">
        <w:t>defence</w:t>
      </w:r>
      <w:r>
        <w:t xml:space="preserve"> to </w:t>
      </w:r>
      <w:r w:rsidR="00F56763">
        <w:t>murder needed to be considered.</w:t>
      </w:r>
      <w:r>
        <w:t xml:space="preserve"> The controversy surrounding the intent also needed to be considered.  For adapting to the new changes in the homicide act, the Law Commission and other bodies provide some propo</w:t>
      </w:r>
      <w:r w:rsidR="00F56763">
        <w:t>sals in the Consultation paper.</w:t>
      </w:r>
      <w:r>
        <w:t xml:space="preserve"> There are different types of reasons for accepting proposals like improving the current two-tire systems to three-tire systems. But the ultimate right to reform the homicide act belongs to the government.  There are also some </w:t>
      </w:r>
      <w:r w:rsidRPr="00BE2D1E">
        <w:t xml:space="preserve">specific arguments against the reform which are also needed to be considered. </w:t>
      </w:r>
      <w:bookmarkStart w:id="4" w:name="_Toc138353804"/>
    </w:p>
    <w:p w14:paraId="42F11EF7" w14:textId="6337CBC8" w:rsidR="00070CB0" w:rsidRPr="0038111D" w:rsidRDefault="00070CB0" w:rsidP="00070CB0">
      <w:pPr>
        <w:spacing w:line="259" w:lineRule="auto"/>
        <w:jc w:val="both"/>
        <w:rPr>
          <w:b/>
          <w:sz w:val="32"/>
          <w:szCs w:val="32"/>
          <w:u w:val="single"/>
        </w:rPr>
      </w:pPr>
      <w:r w:rsidRPr="0038111D">
        <w:rPr>
          <w:b/>
          <w:sz w:val="32"/>
          <w:szCs w:val="32"/>
          <w:u w:val="single"/>
        </w:rPr>
        <w:t>References</w:t>
      </w:r>
      <w:bookmarkEnd w:id="4"/>
      <w:r w:rsidRPr="0038111D">
        <w:rPr>
          <w:b/>
          <w:sz w:val="32"/>
          <w:szCs w:val="32"/>
          <w:u w:val="single"/>
        </w:rPr>
        <w:t>:</w:t>
      </w:r>
    </w:p>
    <w:p w14:paraId="373DB0EA" w14:textId="77777777" w:rsidR="00070CB0" w:rsidRPr="007817A9" w:rsidRDefault="00070CB0" w:rsidP="00070CB0">
      <w:pPr>
        <w:jc w:val="both"/>
        <w:rPr>
          <w:rFonts w:cstheme="majorBidi"/>
          <w:color w:val="222222"/>
          <w:szCs w:val="24"/>
          <w:shd w:val="clear" w:color="auto" w:fill="FFFFFF"/>
        </w:rPr>
      </w:pPr>
      <w:proofErr w:type="spellStart"/>
      <w:r w:rsidRPr="007817A9">
        <w:rPr>
          <w:rFonts w:cstheme="majorBidi"/>
          <w:color w:val="222222"/>
          <w:szCs w:val="24"/>
          <w:shd w:val="clear" w:color="auto" w:fill="FFFFFF"/>
        </w:rPr>
        <w:t>Allsop</w:t>
      </w:r>
      <w:proofErr w:type="spellEnd"/>
      <w:r w:rsidRPr="007817A9">
        <w:rPr>
          <w:rFonts w:cstheme="majorBidi"/>
          <w:color w:val="222222"/>
          <w:szCs w:val="24"/>
          <w:shd w:val="clear" w:color="auto" w:fill="FFFFFF"/>
        </w:rPr>
        <w:t>, C. and Pike, S., 2019. Investigating homicide: back to the future. </w:t>
      </w:r>
      <w:proofErr w:type="gramStart"/>
      <w:r w:rsidRPr="007817A9">
        <w:rPr>
          <w:rFonts w:cstheme="majorBidi"/>
          <w:i/>
          <w:iCs/>
          <w:color w:val="222222"/>
          <w:szCs w:val="24"/>
          <w:shd w:val="clear" w:color="auto" w:fill="FFFFFF"/>
        </w:rPr>
        <w:t>Journal of Criminological Research, Policy and Practice</w:t>
      </w:r>
      <w:r w:rsidRPr="007817A9">
        <w:rPr>
          <w:rFonts w:cstheme="majorBidi"/>
          <w:color w:val="222222"/>
          <w:szCs w:val="24"/>
          <w:shd w:val="clear" w:color="auto" w:fill="FFFFFF"/>
        </w:rPr>
        <w:t>.</w:t>
      </w:r>
      <w:proofErr w:type="gramEnd"/>
    </w:p>
    <w:p w14:paraId="54B8C9E9" w14:textId="77777777" w:rsidR="00070CB0" w:rsidRPr="007817A9" w:rsidRDefault="00070CB0" w:rsidP="00070CB0">
      <w:pPr>
        <w:jc w:val="both"/>
        <w:rPr>
          <w:rFonts w:cstheme="majorBidi"/>
          <w:color w:val="222222"/>
          <w:szCs w:val="24"/>
          <w:shd w:val="clear" w:color="auto" w:fill="FFFFFF"/>
        </w:rPr>
      </w:pPr>
      <w:proofErr w:type="spellStart"/>
      <w:proofErr w:type="gramStart"/>
      <w:r w:rsidRPr="007817A9">
        <w:rPr>
          <w:rFonts w:cstheme="majorBidi"/>
          <w:color w:val="222222"/>
          <w:szCs w:val="24"/>
          <w:shd w:val="clear" w:color="auto" w:fill="FFFFFF"/>
        </w:rPr>
        <w:t>Bergelson</w:t>
      </w:r>
      <w:proofErr w:type="spellEnd"/>
      <w:r w:rsidRPr="007817A9">
        <w:rPr>
          <w:rFonts w:cstheme="majorBidi"/>
          <w:color w:val="222222"/>
          <w:szCs w:val="24"/>
          <w:shd w:val="clear" w:color="auto" w:fill="FFFFFF"/>
        </w:rPr>
        <w:t>, V., 2021.</w:t>
      </w:r>
      <w:proofErr w:type="gramEnd"/>
      <w:r w:rsidRPr="007817A9">
        <w:rPr>
          <w:rFonts w:cstheme="majorBidi"/>
          <w:color w:val="222222"/>
          <w:szCs w:val="24"/>
          <w:shd w:val="clear" w:color="auto" w:fill="FFFFFF"/>
        </w:rPr>
        <w:t xml:space="preserve"> Rationales: rejected, imagined, and real–provocation, loss of control, and extreme mental or emotional disturbance. </w:t>
      </w:r>
      <w:proofErr w:type="gramStart"/>
      <w:r w:rsidRPr="007817A9">
        <w:rPr>
          <w:rFonts w:cstheme="majorBidi"/>
          <w:i/>
          <w:iCs/>
          <w:color w:val="222222"/>
          <w:szCs w:val="24"/>
          <w:shd w:val="clear" w:color="auto" w:fill="FFFFFF"/>
        </w:rPr>
        <w:t>Northern Ireland Legal Quarterly Summer</w:t>
      </w:r>
      <w:r w:rsidRPr="007817A9">
        <w:rPr>
          <w:rFonts w:cstheme="majorBidi"/>
          <w:color w:val="222222"/>
          <w:szCs w:val="24"/>
          <w:shd w:val="clear" w:color="auto" w:fill="FFFFFF"/>
        </w:rPr>
        <w:t>, </w:t>
      </w:r>
      <w:r w:rsidRPr="007817A9">
        <w:rPr>
          <w:rFonts w:cstheme="majorBidi"/>
          <w:i/>
          <w:iCs/>
          <w:color w:val="222222"/>
          <w:szCs w:val="24"/>
          <w:shd w:val="clear" w:color="auto" w:fill="FFFFFF"/>
        </w:rPr>
        <w:t>72</w:t>
      </w:r>
      <w:r w:rsidRPr="007817A9">
        <w:rPr>
          <w:rFonts w:cstheme="majorBidi"/>
          <w:color w:val="222222"/>
          <w:szCs w:val="24"/>
          <w:shd w:val="clear" w:color="auto" w:fill="FFFFFF"/>
        </w:rPr>
        <w:t>(2), pp.363-388.</w:t>
      </w:r>
      <w:proofErr w:type="gramEnd"/>
    </w:p>
    <w:p w14:paraId="5026E5BB" w14:textId="77777777" w:rsidR="00070CB0" w:rsidRPr="007817A9" w:rsidRDefault="00070CB0" w:rsidP="00070CB0">
      <w:pPr>
        <w:jc w:val="both"/>
        <w:rPr>
          <w:rFonts w:cstheme="majorBidi"/>
          <w:color w:val="222222"/>
          <w:szCs w:val="24"/>
          <w:shd w:val="clear" w:color="auto" w:fill="FFFFFF"/>
        </w:rPr>
      </w:pPr>
      <w:r w:rsidRPr="007817A9">
        <w:rPr>
          <w:rFonts w:cstheme="majorBidi"/>
          <w:color w:val="222222"/>
          <w:szCs w:val="24"/>
          <w:shd w:val="clear" w:color="auto" w:fill="FFFFFF"/>
        </w:rPr>
        <w:t xml:space="preserve">Bows, H. and Herring, J., 2020. Getting away with murder? </w:t>
      </w:r>
      <w:proofErr w:type="gramStart"/>
      <w:r w:rsidRPr="007817A9">
        <w:rPr>
          <w:rFonts w:cstheme="majorBidi"/>
          <w:color w:val="222222"/>
          <w:szCs w:val="24"/>
          <w:shd w:val="clear" w:color="auto" w:fill="FFFFFF"/>
        </w:rPr>
        <w:t xml:space="preserve">A review of the 'rough sex </w:t>
      </w:r>
      <w:proofErr w:type="spellStart"/>
      <w:r w:rsidRPr="007817A9">
        <w:rPr>
          <w:rFonts w:cstheme="majorBidi"/>
          <w:color w:val="222222"/>
          <w:szCs w:val="24"/>
          <w:shd w:val="clear" w:color="auto" w:fill="FFFFFF"/>
        </w:rPr>
        <w:t>defense</w:t>
      </w:r>
      <w:proofErr w:type="spellEnd"/>
      <w:r w:rsidRPr="007817A9">
        <w:rPr>
          <w:rFonts w:cstheme="majorBidi"/>
          <w:color w:val="222222"/>
          <w:szCs w:val="24"/>
          <w:shd w:val="clear" w:color="auto" w:fill="FFFFFF"/>
        </w:rPr>
        <w:t>'.</w:t>
      </w:r>
      <w:proofErr w:type="gramEnd"/>
      <w:r w:rsidRPr="007817A9">
        <w:rPr>
          <w:rFonts w:cstheme="majorBidi"/>
          <w:color w:val="222222"/>
          <w:szCs w:val="24"/>
          <w:shd w:val="clear" w:color="auto" w:fill="FFFFFF"/>
        </w:rPr>
        <w:t> </w:t>
      </w:r>
      <w:proofErr w:type="gramStart"/>
      <w:r w:rsidRPr="007817A9">
        <w:rPr>
          <w:rFonts w:cstheme="majorBidi"/>
          <w:i/>
          <w:iCs/>
          <w:color w:val="222222"/>
          <w:szCs w:val="24"/>
          <w:shd w:val="clear" w:color="auto" w:fill="FFFFFF"/>
        </w:rPr>
        <w:t>The Journal of Criminal Law</w:t>
      </w:r>
      <w:r w:rsidRPr="007817A9">
        <w:rPr>
          <w:rFonts w:cstheme="majorBidi"/>
          <w:color w:val="222222"/>
          <w:szCs w:val="24"/>
          <w:shd w:val="clear" w:color="auto" w:fill="FFFFFF"/>
        </w:rPr>
        <w:t>, </w:t>
      </w:r>
      <w:r w:rsidRPr="007817A9">
        <w:rPr>
          <w:rFonts w:cstheme="majorBidi"/>
          <w:i/>
          <w:iCs/>
          <w:color w:val="222222"/>
          <w:szCs w:val="24"/>
          <w:shd w:val="clear" w:color="auto" w:fill="FFFFFF"/>
        </w:rPr>
        <w:t>84</w:t>
      </w:r>
      <w:r w:rsidRPr="007817A9">
        <w:rPr>
          <w:rFonts w:cstheme="majorBidi"/>
          <w:color w:val="222222"/>
          <w:szCs w:val="24"/>
          <w:shd w:val="clear" w:color="auto" w:fill="FFFFFF"/>
        </w:rPr>
        <w:t>(6), pp.525-538.</w:t>
      </w:r>
      <w:proofErr w:type="gramEnd"/>
    </w:p>
    <w:p w14:paraId="7F481AF6" w14:textId="77777777" w:rsidR="00070CB0" w:rsidRPr="007817A9" w:rsidRDefault="00070CB0" w:rsidP="00070CB0">
      <w:pPr>
        <w:jc w:val="both"/>
        <w:rPr>
          <w:rFonts w:cstheme="majorBidi"/>
          <w:color w:val="222222"/>
          <w:szCs w:val="24"/>
          <w:shd w:val="clear" w:color="auto" w:fill="FFFFFF"/>
        </w:rPr>
      </w:pPr>
      <w:r w:rsidRPr="007817A9">
        <w:rPr>
          <w:rFonts w:cstheme="majorBidi"/>
          <w:color w:val="222222"/>
          <w:szCs w:val="24"/>
          <w:shd w:val="clear" w:color="auto" w:fill="FFFFFF"/>
        </w:rPr>
        <w:t xml:space="preserve">Eastman, N. and </w:t>
      </w:r>
      <w:proofErr w:type="spellStart"/>
      <w:r w:rsidRPr="007817A9">
        <w:rPr>
          <w:rFonts w:cstheme="majorBidi"/>
          <w:color w:val="222222"/>
          <w:szCs w:val="24"/>
          <w:shd w:val="clear" w:color="auto" w:fill="FFFFFF"/>
        </w:rPr>
        <w:t>Grubin</w:t>
      </w:r>
      <w:proofErr w:type="spellEnd"/>
      <w:r w:rsidRPr="007817A9">
        <w:rPr>
          <w:rFonts w:cstheme="majorBidi"/>
          <w:color w:val="222222"/>
          <w:szCs w:val="24"/>
          <w:shd w:val="clear" w:color="auto" w:fill="FFFFFF"/>
        </w:rPr>
        <w:t xml:space="preserve">, D., 2020. </w:t>
      </w:r>
      <w:proofErr w:type="gramStart"/>
      <w:r w:rsidRPr="007817A9">
        <w:rPr>
          <w:rFonts w:cstheme="majorBidi"/>
          <w:color w:val="222222"/>
          <w:szCs w:val="24"/>
          <w:shd w:val="clear" w:color="auto" w:fill="FFFFFF"/>
        </w:rPr>
        <w:t>Insanity, Diminished Responsibility, and Personality Disorder in England and Wales.</w:t>
      </w:r>
      <w:proofErr w:type="gramEnd"/>
      <w:r w:rsidRPr="007817A9">
        <w:rPr>
          <w:rFonts w:cstheme="majorBidi"/>
          <w:color w:val="222222"/>
          <w:szCs w:val="24"/>
          <w:shd w:val="clear" w:color="auto" w:fill="FFFFFF"/>
        </w:rPr>
        <w:t> </w:t>
      </w:r>
      <w:proofErr w:type="gramStart"/>
      <w:r w:rsidRPr="007817A9">
        <w:rPr>
          <w:rFonts w:cstheme="majorBidi"/>
          <w:i/>
          <w:iCs/>
          <w:color w:val="222222"/>
          <w:szCs w:val="24"/>
          <w:shd w:val="clear" w:color="auto" w:fill="FFFFFF"/>
        </w:rPr>
        <w:t>The Wiley International Handbook on Psychopathic Disorders and the Law</w:t>
      </w:r>
      <w:r w:rsidRPr="007817A9">
        <w:rPr>
          <w:rFonts w:cstheme="majorBidi"/>
          <w:color w:val="222222"/>
          <w:szCs w:val="24"/>
          <w:shd w:val="clear" w:color="auto" w:fill="FFFFFF"/>
        </w:rPr>
        <w:t>, pp.339-358.</w:t>
      </w:r>
      <w:proofErr w:type="gramEnd"/>
    </w:p>
    <w:p w14:paraId="0C3F3C04" w14:textId="77777777" w:rsidR="00070CB0" w:rsidRPr="007817A9" w:rsidRDefault="00070CB0" w:rsidP="00070CB0">
      <w:pPr>
        <w:jc w:val="both"/>
        <w:rPr>
          <w:rFonts w:cstheme="majorBidi"/>
          <w:color w:val="222222"/>
          <w:szCs w:val="24"/>
          <w:shd w:val="clear" w:color="auto" w:fill="FFFFFF"/>
        </w:rPr>
      </w:pPr>
      <w:r w:rsidRPr="007817A9">
        <w:rPr>
          <w:rFonts w:cstheme="majorBidi"/>
          <w:color w:val="222222"/>
          <w:szCs w:val="24"/>
          <w:shd w:val="clear" w:color="auto" w:fill="FFFFFF"/>
        </w:rPr>
        <w:t xml:space="preserve">Edwards, S.S. and Douglas, H., 2021. The criminalization of a dangerous form of coercive control: Non-fatal strangulation in England and Wales and Australia. </w:t>
      </w:r>
      <w:r w:rsidRPr="007817A9">
        <w:rPr>
          <w:rFonts w:cstheme="majorBidi"/>
          <w:i/>
          <w:iCs/>
          <w:color w:val="222222"/>
          <w:szCs w:val="24"/>
          <w:shd w:val="clear" w:color="auto" w:fill="FFFFFF"/>
        </w:rPr>
        <w:t>J. Int'l &amp; Comp. L.</w:t>
      </w:r>
      <w:r w:rsidRPr="007817A9">
        <w:rPr>
          <w:rFonts w:cstheme="majorBidi"/>
          <w:color w:val="222222"/>
          <w:szCs w:val="24"/>
          <w:shd w:val="clear" w:color="auto" w:fill="FFFFFF"/>
        </w:rPr>
        <w:t>, </w:t>
      </w:r>
      <w:r w:rsidRPr="007817A9">
        <w:rPr>
          <w:rFonts w:cstheme="majorBidi"/>
          <w:i/>
          <w:iCs/>
          <w:color w:val="222222"/>
          <w:szCs w:val="24"/>
          <w:shd w:val="clear" w:color="auto" w:fill="FFFFFF"/>
        </w:rPr>
        <w:t>8</w:t>
      </w:r>
      <w:r w:rsidRPr="007817A9">
        <w:rPr>
          <w:rFonts w:cstheme="majorBidi"/>
          <w:color w:val="222222"/>
          <w:szCs w:val="24"/>
          <w:shd w:val="clear" w:color="auto" w:fill="FFFFFF"/>
        </w:rPr>
        <w:t>, p.87.</w:t>
      </w:r>
    </w:p>
    <w:p w14:paraId="70EE279D" w14:textId="77777777" w:rsidR="00070CB0" w:rsidRPr="007817A9" w:rsidRDefault="00070CB0" w:rsidP="00070CB0">
      <w:pPr>
        <w:jc w:val="both"/>
        <w:rPr>
          <w:rFonts w:cstheme="majorBidi"/>
          <w:color w:val="222222"/>
          <w:szCs w:val="24"/>
          <w:shd w:val="clear" w:color="auto" w:fill="FFFFFF"/>
        </w:rPr>
      </w:pPr>
      <w:r w:rsidRPr="007817A9">
        <w:rPr>
          <w:rFonts w:cstheme="majorBidi"/>
          <w:color w:val="222222"/>
          <w:szCs w:val="24"/>
          <w:shd w:val="clear" w:color="auto" w:fill="FFFFFF"/>
        </w:rPr>
        <w:lastRenderedPageBreak/>
        <w:t xml:space="preserve">Greenall, P.V., 2023. </w:t>
      </w:r>
      <w:proofErr w:type="gramStart"/>
      <w:r w:rsidRPr="007817A9">
        <w:rPr>
          <w:rFonts w:cstheme="majorBidi"/>
          <w:color w:val="222222"/>
          <w:szCs w:val="24"/>
          <w:shd w:val="clear" w:color="auto" w:fill="FFFFFF"/>
        </w:rPr>
        <w:t>Forensic psychology and homicide.</w:t>
      </w:r>
      <w:proofErr w:type="gramEnd"/>
      <w:r w:rsidRPr="007817A9">
        <w:rPr>
          <w:rFonts w:cstheme="majorBidi"/>
          <w:color w:val="222222"/>
          <w:szCs w:val="24"/>
          <w:shd w:val="clear" w:color="auto" w:fill="FFFFFF"/>
        </w:rPr>
        <w:t xml:space="preserve"> </w:t>
      </w:r>
      <w:proofErr w:type="gramStart"/>
      <w:r w:rsidRPr="007817A9">
        <w:rPr>
          <w:rFonts w:cstheme="majorBidi"/>
          <w:color w:val="222222"/>
          <w:szCs w:val="24"/>
          <w:shd w:val="clear" w:color="auto" w:fill="FFFFFF"/>
        </w:rPr>
        <w:t>In </w:t>
      </w:r>
      <w:r w:rsidRPr="007817A9">
        <w:rPr>
          <w:rFonts w:cstheme="majorBidi"/>
          <w:i/>
          <w:iCs/>
          <w:color w:val="222222"/>
          <w:szCs w:val="24"/>
          <w:shd w:val="clear" w:color="auto" w:fill="FFFFFF"/>
        </w:rPr>
        <w:t>Forensic Psychology, Crime and Policing</w:t>
      </w:r>
      <w:r w:rsidRPr="007817A9">
        <w:rPr>
          <w:rFonts w:cstheme="majorBidi"/>
          <w:color w:val="222222"/>
          <w:szCs w:val="24"/>
          <w:shd w:val="clear" w:color="auto" w:fill="FFFFFF"/>
        </w:rPr>
        <w:t> (pp. 73-77).</w:t>
      </w:r>
      <w:proofErr w:type="gramEnd"/>
      <w:r w:rsidRPr="007817A9">
        <w:rPr>
          <w:rFonts w:cstheme="majorBidi"/>
          <w:color w:val="222222"/>
          <w:szCs w:val="24"/>
          <w:shd w:val="clear" w:color="auto" w:fill="FFFFFF"/>
        </w:rPr>
        <w:t xml:space="preserve"> </w:t>
      </w:r>
      <w:proofErr w:type="gramStart"/>
      <w:r w:rsidRPr="007817A9">
        <w:rPr>
          <w:rFonts w:cstheme="majorBidi"/>
          <w:color w:val="222222"/>
          <w:szCs w:val="24"/>
          <w:shd w:val="clear" w:color="auto" w:fill="FFFFFF"/>
        </w:rPr>
        <w:t>Policy Press.</w:t>
      </w:r>
      <w:proofErr w:type="gramEnd"/>
    </w:p>
    <w:p w14:paraId="7B729AC8" w14:textId="77777777" w:rsidR="00070CB0" w:rsidRPr="007817A9" w:rsidRDefault="00070CB0" w:rsidP="00070CB0">
      <w:pPr>
        <w:jc w:val="both"/>
        <w:rPr>
          <w:rFonts w:cstheme="majorBidi"/>
          <w:szCs w:val="24"/>
        </w:rPr>
      </w:pPr>
      <w:proofErr w:type="spellStart"/>
      <w:r w:rsidRPr="007817A9">
        <w:rPr>
          <w:rFonts w:cstheme="majorBidi"/>
          <w:color w:val="222222"/>
          <w:szCs w:val="24"/>
          <w:shd w:val="clear" w:color="auto" w:fill="FFFFFF"/>
        </w:rPr>
        <w:t>Lilleker</w:t>
      </w:r>
      <w:proofErr w:type="spellEnd"/>
      <w:r w:rsidRPr="007817A9">
        <w:rPr>
          <w:rFonts w:cstheme="majorBidi"/>
          <w:color w:val="222222"/>
          <w:szCs w:val="24"/>
          <w:shd w:val="clear" w:color="auto" w:fill="FFFFFF"/>
        </w:rPr>
        <w:t>, J., 2023. Reforming Medical Manslaughter, the Scottish Way? </w:t>
      </w:r>
      <w:r w:rsidRPr="007817A9">
        <w:rPr>
          <w:rFonts w:cstheme="majorBidi"/>
          <w:i/>
          <w:iCs/>
          <w:color w:val="222222"/>
          <w:szCs w:val="24"/>
          <w:shd w:val="clear" w:color="auto" w:fill="FFFFFF"/>
        </w:rPr>
        <w:t>The Journal of Criminal Law</w:t>
      </w:r>
      <w:r w:rsidRPr="007817A9">
        <w:rPr>
          <w:rFonts w:cstheme="majorBidi"/>
          <w:color w:val="222222"/>
          <w:szCs w:val="24"/>
          <w:shd w:val="clear" w:color="auto" w:fill="FFFFFF"/>
        </w:rPr>
        <w:t>, p.00220183231174146.</w:t>
      </w:r>
    </w:p>
    <w:p w14:paraId="76A8E875" w14:textId="77777777" w:rsidR="00070CB0" w:rsidRPr="007817A9" w:rsidRDefault="00070CB0" w:rsidP="00070CB0">
      <w:pPr>
        <w:jc w:val="both"/>
        <w:rPr>
          <w:rFonts w:cstheme="majorBidi"/>
          <w:color w:val="222222"/>
          <w:szCs w:val="24"/>
          <w:shd w:val="clear" w:color="auto" w:fill="FFFFFF"/>
        </w:rPr>
      </w:pPr>
      <w:proofErr w:type="spellStart"/>
      <w:r w:rsidRPr="007817A9">
        <w:rPr>
          <w:rFonts w:cstheme="majorBidi"/>
          <w:color w:val="222222"/>
          <w:szCs w:val="24"/>
          <w:shd w:val="clear" w:color="auto" w:fill="FFFFFF"/>
        </w:rPr>
        <w:t>Timmermann</w:t>
      </w:r>
      <w:proofErr w:type="spellEnd"/>
      <w:r w:rsidRPr="007817A9">
        <w:rPr>
          <w:rFonts w:cstheme="majorBidi"/>
          <w:color w:val="222222"/>
          <w:szCs w:val="24"/>
          <w:shd w:val="clear" w:color="auto" w:fill="FFFFFF"/>
        </w:rPr>
        <w:t>, J., 2022. The Quandary of Infanticide in Kant’s ‘Doctrine of Right’. </w:t>
      </w:r>
      <w:proofErr w:type="spellStart"/>
      <w:proofErr w:type="gramStart"/>
      <w:r w:rsidRPr="007817A9">
        <w:rPr>
          <w:rFonts w:cstheme="majorBidi"/>
          <w:i/>
          <w:iCs/>
          <w:color w:val="222222"/>
          <w:szCs w:val="24"/>
          <w:shd w:val="clear" w:color="auto" w:fill="FFFFFF"/>
        </w:rPr>
        <w:t>Archiv</w:t>
      </w:r>
      <w:proofErr w:type="spellEnd"/>
      <w:r w:rsidRPr="007817A9">
        <w:rPr>
          <w:rFonts w:cstheme="majorBidi"/>
          <w:i/>
          <w:iCs/>
          <w:color w:val="222222"/>
          <w:szCs w:val="24"/>
          <w:shd w:val="clear" w:color="auto" w:fill="FFFFFF"/>
        </w:rPr>
        <w:t xml:space="preserve"> </w:t>
      </w:r>
      <w:proofErr w:type="spellStart"/>
      <w:r w:rsidRPr="007817A9">
        <w:rPr>
          <w:rFonts w:cstheme="majorBidi"/>
          <w:i/>
          <w:iCs/>
          <w:color w:val="222222"/>
          <w:szCs w:val="24"/>
          <w:shd w:val="clear" w:color="auto" w:fill="FFFFFF"/>
        </w:rPr>
        <w:t>für</w:t>
      </w:r>
      <w:proofErr w:type="spellEnd"/>
      <w:r w:rsidRPr="007817A9">
        <w:rPr>
          <w:rFonts w:cstheme="majorBidi"/>
          <w:i/>
          <w:iCs/>
          <w:color w:val="222222"/>
          <w:szCs w:val="24"/>
          <w:shd w:val="clear" w:color="auto" w:fill="FFFFFF"/>
        </w:rPr>
        <w:t xml:space="preserve"> Geschichte der </w:t>
      </w:r>
      <w:proofErr w:type="spellStart"/>
      <w:r w:rsidRPr="007817A9">
        <w:rPr>
          <w:rFonts w:cstheme="majorBidi"/>
          <w:i/>
          <w:iCs/>
          <w:color w:val="222222"/>
          <w:szCs w:val="24"/>
          <w:shd w:val="clear" w:color="auto" w:fill="FFFFFF"/>
        </w:rPr>
        <w:t>Philosophie</w:t>
      </w:r>
      <w:proofErr w:type="spellEnd"/>
      <w:r w:rsidRPr="007817A9">
        <w:rPr>
          <w:rFonts w:cstheme="majorBidi"/>
          <w:color w:val="222222"/>
          <w:szCs w:val="24"/>
          <w:shd w:val="clear" w:color="auto" w:fill="FFFFFF"/>
        </w:rPr>
        <w:t>.</w:t>
      </w:r>
      <w:proofErr w:type="gramEnd"/>
    </w:p>
    <w:p w14:paraId="48EACFCF" w14:textId="77777777" w:rsidR="00070CB0" w:rsidRPr="007817A9" w:rsidRDefault="00070CB0" w:rsidP="00070CB0">
      <w:pPr>
        <w:jc w:val="both"/>
        <w:rPr>
          <w:rFonts w:cstheme="majorBidi"/>
          <w:color w:val="222222"/>
          <w:szCs w:val="24"/>
          <w:shd w:val="clear" w:color="auto" w:fill="FFFFFF"/>
        </w:rPr>
      </w:pPr>
      <w:proofErr w:type="gramStart"/>
      <w:r w:rsidRPr="007817A9">
        <w:rPr>
          <w:rFonts w:cstheme="majorBidi"/>
          <w:color w:val="222222"/>
          <w:szCs w:val="24"/>
          <w:shd w:val="clear" w:color="auto" w:fill="FFFFFF"/>
        </w:rPr>
        <w:t xml:space="preserve">Todd, L., Usman, K., Tyler, F., </w:t>
      </w:r>
      <w:proofErr w:type="spellStart"/>
      <w:r w:rsidRPr="007817A9">
        <w:rPr>
          <w:rFonts w:cstheme="majorBidi"/>
          <w:color w:val="222222"/>
          <w:szCs w:val="24"/>
          <w:shd w:val="clear" w:color="auto" w:fill="FFFFFF"/>
        </w:rPr>
        <w:t>Toffolo</w:t>
      </w:r>
      <w:proofErr w:type="spellEnd"/>
      <w:r w:rsidRPr="007817A9">
        <w:rPr>
          <w:rFonts w:cstheme="majorBidi"/>
          <w:color w:val="222222"/>
          <w:szCs w:val="24"/>
          <w:shd w:val="clear" w:color="auto" w:fill="FFFFFF"/>
        </w:rPr>
        <w:t>, L. and Temple, A., 2019.</w:t>
      </w:r>
      <w:proofErr w:type="gramEnd"/>
      <w:r w:rsidRPr="007817A9">
        <w:rPr>
          <w:rFonts w:cstheme="majorBidi"/>
          <w:color w:val="222222"/>
          <w:szCs w:val="24"/>
          <w:shd w:val="clear" w:color="auto" w:fill="FFFFFF"/>
        </w:rPr>
        <w:t xml:space="preserve"> Should the laws on involuntary manslaughter in England and Wales be reformed? </w:t>
      </w:r>
      <w:proofErr w:type="gramStart"/>
      <w:r w:rsidRPr="007817A9">
        <w:rPr>
          <w:rFonts w:cstheme="majorBidi"/>
          <w:i/>
          <w:iCs/>
          <w:color w:val="222222"/>
          <w:szCs w:val="24"/>
          <w:shd w:val="clear" w:color="auto" w:fill="FFFFFF"/>
        </w:rPr>
        <w:t>The Student Journal of Professional Practice and Academic Research</w:t>
      </w:r>
      <w:r w:rsidRPr="007817A9">
        <w:rPr>
          <w:rFonts w:cstheme="majorBidi"/>
          <w:color w:val="222222"/>
          <w:szCs w:val="24"/>
          <w:shd w:val="clear" w:color="auto" w:fill="FFFFFF"/>
        </w:rPr>
        <w:t>, </w:t>
      </w:r>
      <w:r w:rsidRPr="007817A9">
        <w:rPr>
          <w:rFonts w:cstheme="majorBidi"/>
          <w:i/>
          <w:iCs/>
          <w:color w:val="222222"/>
          <w:szCs w:val="24"/>
          <w:shd w:val="clear" w:color="auto" w:fill="FFFFFF"/>
        </w:rPr>
        <w:t>1</w:t>
      </w:r>
      <w:r w:rsidRPr="007817A9">
        <w:rPr>
          <w:rFonts w:cstheme="majorBidi"/>
          <w:color w:val="222222"/>
          <w:szCs w:val="24"/>
          <w:shd w:val="clear" w:color="auto" w:fill="FFFFFF"/>
        </w:rPr>
        <w:t>(1), pp.65-73.</w:t>
      </w:r>
      <w:proofErr w:type="gramEnd"/>
    </w:p>
    <w:p w14:paraId="7333030D" w14:textId="77777777" w:rsidR="00070CB0" w:rsidRDefault="00070CB0" w:rsidP="00070CB0">
      <w:pPr>
        <w:jc w:val="both"/>
      </w:pPr>
    </w:p>
    <w:p w14:paraId="0708F52C" w14:textId="77777777" w:rsidR="00070CB0" w:rsidRPr="00D35E0C" w:rsidRDefault="00070CB0" w:rsidP="00070CB0">
      <w:pPr>
        <w:jc w:val="both"/>
      </w:pPr>
    </w:p>
    <w:p w14:paraId="7DB25EBD" w14:textId="77777777" w:rsidR="007263D5" w:rsidRDefault="007263D5" w:rsidP="00070CB0">
      <w:pPr>
        <w:jc w:val="both"/>
      </w:pPr>
    </w:p>
    <w:sectPr w:rsidR="007263D5" w:rsidSect="003C246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4683FD" w14:textId="77777777" w:rsidR="00511AFA" w:rsidRDefault="00511AFA" w:rsidP="00070CB0">
      <w:pPr>
        <w:spacing w:after="0" w:line="240" w:lineRule="auto"/>
      </w:pPr>
      <w:r>
        <w:separator/>
      </w:r>
    </w:p>
  </w:endnote>
  <w:endnote w:type="continuationSeparator" w:id="0">
    <w:p w14:paraId="11498AC6" w14:textId="77777777" w:rsidR="00511AFA" w:rsidRDefault="00511AFA" w:rsidP="00070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4856044"/>
      <w:docPartObj>
        <w:docPartGallery w:val="Page Numbers (Bottom of Page)"/>
        <w:docPartUnique/>
      </w:docPartObj>
    </w:sdtPr>
    <w:sdtEndPr>
      <w:rPr>
        <w:noProof/>
      </w:rPr>
    </w:sdtEndPr>
    <w:sdtContent>
      <w:p w14:paraId="5537D485" w14:textId="7E2C25C1" w:rsidR="00070CB0" w:rsidRDefault="00070CB0">
        <w:pPr>
          <w:pStyle w:val="Footer"/>
          <w:jc w:val="center"/>
        </w:pPr>
        <w:r>
          <w:t xml:space="preserve">Page </w:t>
        </w:r>
        <w:r>
          <w:fldChar w:fldCharType="begin"/>
        </w:r>
        <w:r>
          <w:instrText xml:space="preserve"> PAGE   \* MERGEFORMAT </w:instrText>
        </w:r>
        <w:r>
          <w:fldChar w:fldCharType="separate"/>
        </w:r>
        <w:r w:rsidR="00BF396A">
          <w:rPr>
            <w:noProof/>
          </w:rPr>
          <w:t>5</w:t>
        </w:r>
        <w:r>
          <w:rPr>
            <w:noProof/>
          </w:rPr>
          <w:fldChar w:fldCharType="end"/>
        </w:r>
        <w:r w:rsidR="0038111D">
          <w:rPr>
            <w:noProof/>
          </w:rPr>
          <w:t xml:space="preserve"> of 5</w:t>
        </w:r>
      </w:p>
    </w:sdtContent>
  </w:sdt>
  <w:p w14:paraId="59E0C26A" w14:textId="77777777" w:rsidR="00070CB0" w:rsidRDefault="00070C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D0DBE7" w14:textId="77777777" w:rsidR="00511AFA" w:rsidRDefault="00511AFA" w:rsidP="00070CB0">
      <w:pPr>
        <w:spacing w:after="0" w:line="240" w:lineRule="auto"/>
      </w:pPr>
      <w:r>
        <w:separator/>
      </w:r>
    </w:p>
  </w:footnote>
  <w:footnote w:type="continuationSeparator" w:id="0">
    <w:p w14:paraId="02AC80F8" w14:textId="77777777" w:rsidR="00511AFA" w:rsidRDefault="00511AFA" w:rsidP="00070C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CB0"/>
    <w:rsid w:val="00070CB0"/>
    <w:rsid w:val="00184C59"/>
    <w:rsid w:val="001E144A"/>
    <w:rsid w:val="002A6E88"/>
    <w:rsid w:val="0038111D"/>
    <w:rsid w:val="00425FEE"/>
    <w:rsid w:val="00511AFA"/>
    <w:rsid w:val="00561A77"/>
    <w:rsid w:val="007263D5"/>
    <w:rsid w:val="007B0790"/>
    <w:rsid w:val="00916795"/>
    <w:rsid w:val="009806BB"/>
    <w:rsid w:val="00AE6399"/>
    <w:rsid w:val="00BA472F"/>
    <w:rsid w:val="00BE2D1E"/>
    <w:rsid w:val="00BF396A"/>
    <w:rsid w:val="00E24C6D"/>
    <w:rsid w:val="00EE6E4A"/>
    <w:rsid w:val="00F56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1B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CB0"/>
    <w:pPr>
      <w:spacing w:after="160" w:line="360" w:lineRule="auto"/>
    </w:pPr>
    <w:rPr>
      <w:rFonts w:asciiTheme="majorBidi" w:eastAsiaTheme="minorEastAsia" w:hAnsiTheme="majorBidi"/>
      <w:kern w:val="2"/>
      <w:sz w:val="24"/>
      <w:lang w:eastAsia="en-GB"/>
    </w:rPr>
  </w:style>
  <w:style w:type="paragraph" w:styleId="Heading1">
    <w:name w:val="heading 1"/>
    <w:basedOn w:val="Normal"/>
    <w:next w:val="Normal"/>
    <w:link w:val="Heading1Char"/>
    <w:uiPriority w:val="9"/>
    <w:qFormat/>
    <w:rsid w:val="00070CB0"/>
    <w:pPr>
      <w:keepNext/>
      <w:keepLines/>
      <w:spacing w:before="480" w:after="0"/>
      <w:outlineLvl w:val="0"/>
    </w:pPr>
    <w:rPr>
      <w:rFonts w:eastAsiaTheme="majorEastAsia" w:cstheme="majorBidi"/>
      <w:b/>
      <w:bCs/>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CB0"/>
    <w:rPr>
      <w:rFonts w:asciiTheme="majorBidi" w:eastAsiaTheme="majorEastAsia" w:hAnsiTheme="majorBidi" w:cstheme="majorBidi"/>
      <w:b/>
      <w:bCs/>
      <w:kern w:val="2"/>
      <w:sz w:val="32"/>
      <w:szCs w:val="28"/>
      <w:lang w:eastAsia="en-GB"/>
    </w:rPr>
  </w:style>
  <w:style w:type="paragraph" w:styleId="TOCHeading">
    <w:name w:val="TOC Heading"/>
    <w:basedOn w:val="Heading1"/>
    <w:next w:val="Normal"/>
    <w:uiPriority w:val="39"/>
    <w:semiHidden/>
    <w:unhideWhenUsed/>
    <w:qFormat/>
    <w:rsid w:val="00070CB0"/>
    <w:pPr>
      <w:spacing w:line="276" w:lineRule="auto"/>
      <w:outlineLvl w:val="9"/>
    </w:pPr>
    <w:rPr>
      <w:rFonts w:asciiTheme="majorHAnsi" w:hAnsiTheme="majorHAnsi"/>
      <w:color w:val="365F91" w:themeColor="accent1" w:themeShade="BF"/>
      <w:kern w:val="0"/>
      <w:sz w:val="28"/>
      <w:lang w:val="en-US" w:eastAsia="en-US"/>
    </w:rPr>
  </w:style>
  <w:style w:type="paragraph" w:styleId="TOC1">
    <w:name w:val="toc 1"/>
    <w:basedOn w:val="Normal"/>
    <w:next w:val="Normal"/>
    <w:autoRedefine/>
    <w:uiPriority w:val="39"/>
    <w:unhideWhenUsed/>
    <w:rsid w:val="00070CB0"/>
    <w:pPr>
      <w:spacing w:after="100"/>
    </w:pPr>
  </w:style>
  <w:style w:type="character" w:styleId="Hyperlink">
    <w:name w:val="Hyperlink"/>
    <w:basedOn w:val="DefaultParagraphFont"/>
    <w:uiPriority w:val="99"/>
    <w:unhideWhenUsed/>
    <w:rsid w:val="00070CB0"/>
    <w:rPr>
      <w:color w:val="0000FF" w:themeColor="hyperlink"/>
      <w:u w:val="single"/>
    </w:rPr>
  </w:style>
  <w:style w:type="paragraph" w:styleId="BalloonText">
    <w:name w:val="Balloon Text"/>
    <w:basedOn w:val="Normal"/>
    <w:link w:val="BalloonTextChar"/>
    <w:uiPriority w:val="99"/>
    <w:semiHidden/>
    <w:unhideWhenUsed/>
    <w:rsid w:val="00070C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0CB0"/>
    <w:rPr>
      <w:rFonts w:ascii="Tahoma" w:eastAsiaTheme="minorEastAsia" w:hAnsi="Tahoma" w:cs="Tahoma"/>
      <w:kern w:val="2"/>
      <w:sz w:val="16"/>
      <w:szCs w:val="16"/>
      <w:lang w:eastAsia="en-GB"/>
    </w:rPr>
  </w:style>
  <w:style w:type="paragraph" w:styleId="Header">
    <w:name w:val="header"/>
    <w:basedOn w:val="Normal"/>
    <w:link w:val="HeaderChar"/>
    <w:uiPriority w:val="99"/>
    <w:unhideWhenUsed/>
    <w:rsid w:val="00070C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0CB0"/>
    <w:rPr>
      <w:rFonts w:asciiTheme="majorBidi" w:eastAsiaTheme="minorEastAsia" w:hAnsiTheme="majorBidi"/>
      <w:kern w:val="2"/>
      <w:sz w:val="24"/>
      <w:lang w:eastAsia="en-GB"/>
    </w:rPr>
  </w:style>
  <w:style w:type="paragraph" w:styleId="Footer">
    <w:name w:val="footer"/>
    <w:basedOn w:val="Normal"/>
    <w:link w:val="FooterChar"/>
    <w:uiPriority w:val="99"/>
    <w:unhideWhenUsed/>
    <w:rsid w:val="00070C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0CB0"/>
    <w:rPr>
      <w:rFonts w:asciiTheme="majorBidi" w:eastAsiaTheme="minorEastAsia" w:hAnsiTheme="majorBidi"/>
      <w:kern w:val="2"/>
      <w:sz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CB0"/>
    <w:pPr>
      <w:spacing w:after="160" w:line="360" w:lineRule="auto"/>
    </w:pPr>
    <w:rPr>
      <w:rFonts w:asciiTheme="majorBidi" w:eastAsiaTheme="minorEastAsia" w:hAnsiTheme="majorBidi"/>
      <w:kern w:val="2"/>
      <w:sz w:val="24"/>
      <w:lang w:eastAsia="en-GB"/>
    </w:rPr>
  </w:style>
  <w:style w:type="paragraph" w:styleId="Heading1">
    <w:name w:val="heading 1"/>
    <w:basedOn w:val="Normal"/>
    <w:next w:val="Normal"/>
    <w:link w:val="Heading1Char"/>
    <w:uiPriority w:val="9"/>
    <w:qFormat/>
    <w:rsid w:val="00070CB0"/>
    <w:pPr>
      <w:keepNext/>
      <w:keepLines/>
      <w:spacing w:before="480" w:after="0"/>
      <w:outlineLvl w:val="0"/>
    </w:pPr>
    <w:rPr>
      <w:rFonts w:eastAsiaTheme="majorEastAsia" w:cstheme="majorBidi"/>
      <w:b/>
      <w:bCs/>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CB0"/>
    <w:rPr>
      <w:rFonts w:asciiTheme="majorBidi" w:eastAsiaTheme="majorEastAsia" w:hAnsiTheme="majorBidi" w:cstheme="majorBidi"/>
      <w:b/>
      <w:bCs/>
      <w:kern w:val="2"/>
      <w:sz w:val="32"/>
      <w:szCs w:val="28"/>
      <w:lang w:eastAsia="en-GB"/>
    </w:rPr>
  </w:style>
  <w:style w:type="paragraph" w:styleId="TOCHeading">
    <w:name w:val="TOC Heading"/>
    <w:basedOn w:val="Heading1"/>
    <w:next w:val="Normal"/>
    <w:uiPriority w:val="39"/>
    <w:semiHidden/>
    <w:unhideWhenUsed/>
    <w:qFormat/>
    <w:rsid w:val="00070CB0"/>
    <w:pPr>
      <w:spacing w:line="276" w:lineRule="auto"/>
      <w:outlineLvl w:val="9"/>
    </w:pPr>
    <w:rPr>
      <w:rFonts w:asciiTheme="majorHAnsi" w:hAnsiTheme="majorHAnsi"/>
      <w:color w:val="365F91" w:themeColor="accent1" w:themeShade="BF"/>
      <w:kern w:val="0"/>
      <w:sz w:val="28"/>
      <w:lang w:val="en-US" w:eastAsia="en-US"/>
    </w:rPr>
  </w:style>
  <w:style w:type="paragraph" w:styleId="TOC1">
    <w:name w:val="toc 1"/>
    <w:basedOn w:val="Normal"/>
    <w:next w:val="Normal"/>
    <w:autoRedefine/>
    <w:uiPriority w:val="39"/>
    <w:unhideWhenUsed/>
    <w:rsid w:val="00070CB0"/>
    <w:pPr>
      <w:spacing w:after="100"/>
    </w:pPr>
  </w:style>
  <w:style w:type="character" w:styleId="Hyperlink">
    <w:name w:val="Hyperlink"/>
    <w:basedOn w:val="DefaultParagraphFont"/>
    <w:uiPriority w:val="99"/>
    <w:unhideWhenUsed/>
    <w:rsid w:val="00070CB0"/>
    <w:rPr>
      <w:color w:val="0000FF" w:themeColor="hyperlink"/>
      <w:u w:val="single"/>
    </w:rPr>
  </w:style>
  <w:style w:type="paragraph" w:styleId="BalloonText">
    <w:name w:val="Balloon Text"/>
    <w:basedOn w:val="Normal"/>
    <w:link w:val="BalloonTextChar"/>
    <w:uiPriority w:val="99"/>
    <w:semiHidden/>
    <w:unhideWhenUsed/>
    <w:rsid w:val="00070C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0CB0"/>
    <w:rPr>
      <w:rFonts w:ascii="Tahoma" w:eastAsiaTheme="minorEastAsia" w:hAnsi="Tahoma" w:cs="Tahoma"/>
      <w:kern w:val="2"/>
      <w:sz w:val="16"/>
      <w:szCs w:val="16"/>
      <w:lang w:eastAsia="en-GB"/>
    </w:rPr>
  </w:style>
  <w:style w:type="paragraph" w:styleId="Header">
    <w:name w:val="header"/>
    <w:basedOn w:val="Normal"/>
    <w:link w:val="HeaderChar"/>
    <w:uiPriority w:val="99"/>
    <w:unhideWhenUsed/>
    <w:rsid w:val="00070C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0CB0"/>
    <w:rPr>
      <w:rFonts w:asciiTheme="majorBidi" w:eastAsiaTheme="minorEastAsia" w:hAnsiTheme="majorBidi"/>
      <w:kern w:val="2"/>
      <w:sz w:val="24"/>
      <w:lang w:eastAsia="en-GB"/>
    </w:rPr>
  </w:style>
  <w:style w:type="paragraph" w:styleId="Footer">
    <w:name w:val="footer"/>
    <w:basedOn w:val="Normal"/>
    <w:link w:val="FooterChar"/>
    <w:uiPriority w:val="99"/>
    <w:unhideWhenUsed/>
    <w:rsid w:val="00070C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0CB0"/>
    <w:rPr>
      <w:rFonts w:asciiTheme="majorBidi" w:eastAsiaTheme="minorEastAsia" w:hAnsiTheme="majorBidi"/>
      <w:kern w:val="2"/>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1526</Words>
  <Characters>8701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DAD</dc:creator>
  <cp:lastModifiedBy>DAD</cp:lastModifiedBy>
  <cp:revision>6</cp:revision>
  <dcterms:created xsi:type="dcterms:W3CDTF">2023-07-05T18:57:00Z</dcterms:created>
  <dcterms:modified xsi:type="dcterms:W3CDTF">2023-07-05T19:04:00Z</dcterms:modified>
</cp:coreProperties>
</file>