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905AD5" w14:textId="77777777" w:rsidR="00E949FB" w:rsidRDefault="00E949FB"/>
    <w:p w14:paraId="0CB0C6B3" w14:textId="1B5D1F8E" w:rsidR="006A4D63" w:rsidRDefault="00D47920" w:rsidP="00343704">
      <w:pPr>
        <w:jc w:val="center"/>
      </w:pPr>
      <w:r>
        <w:rPr>
          <w:noProof/>
          <w:lang w:eastAsia="en-GB"/>
        </w:rPr>
        <w:drawing>
          <wp:inline distT="0" distB="0" distL="0" distR="0" wp14:anchorId="6E36FD9E" wp14:editId="0495E66D">
            <wp:extent cx="3209925" cy="1428750"/>
            <wp:effectExtent l="0" t="0" r="9525" b="0"/>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09925" cy="1428750"/>
                    </a:xfrm>
                    <a:prstGeom prst="rect">
                      <a:avLst/>
                    </a:prstGeom>
                    <a:noFill/>
                    <a:ln>
                      <a:noFill/>
                    </a:ln>
                  </pic:spPr>
                </pic:pic>
              </a:graphicData>
            </a:graphic>
          </wp:inline>
        </w:drawing>
      </w:r>
    </w:p>
    <w:p w14:paraId="20AE8DBA" w14:textId="77777777" w:rsidR="00C315B9" w:rsidRDefault="00C315B9" w:rsidP="00C315B9">
      <w:pPr>
        <w:rPr>
          <w:rFonts w:ascii="Arial" w:hAnsi="Arial" w:cs="Arial"/>
        </w:rPr>
      </w:pPr>
    </w:p>
    <w:p w14:paraId="58423779" w14:textId="6969F37A" w:rsidR="00C315B9" w:rsidRPr="00C315B9" w:rsidRDefault="00C315B9" w:rsidP="00C315B9">
      <w:pPr>
        <w:rPr>
          <w:rFonts w:ascii="Arial" w:hAnsi="Arial" w:cs="Arial"/>
        </w:rPr>
      </w:pPr>
      <w:r w:rsidRPr="00C315B9">
        <w:rPr>
          <w:rFonts w:ascii="Arial" w:hAnsi="Arial" w:cs="Arial"/>
        </w:rPr>
        <w:t>TITLE : Critically Examining the Social Model of Disability and its Application to Adult</w:t>
      </w:r>
    </w:p>
    <w:p w14:paraId="331EBD6B" w14:textId="7F570BEC" w:rsidR="00D47920" w:rsidRPr="00C315B9" w:rsidRDefault="00C315B9" w:rsidP="00C315B9">
      <w:pPr>
        <w:rPr>
          <w:rFonts w:ascii="Arial" w:hAnsi="Arial" w:cs="Arial"/>
        </w:rPr>
      </w:pPr>
      <w:r w:rsidRPr="00C315B9">
        <w:rPr>
          <w:rFonts w:ascii="Arial" w:hAnsi="Arial" w:cs="Arial"/>
        </w:rPr>
        <w:t>Social Care in the United Kingdom</w:t>
      </w:r>
    </w:p>
    <w:p w14:paraId="165EF0F9" w14:textId="77777777" w:rsidR="00D47920" w:rsidRDefault="00D47920"/>
    <w:p w14:paraId="216B3F48" w14:textId="7CC669EE" w:rsidR="00D47920" w:rsidRPr="00D47920" w:rsidRDefault="00D47920">
      <w:pPr>
        <w:rPr>
          <w:sz w:val="28"/>
          <w:szCs w:val="28"/>
        </w:rPr>
      </w:pPr>
      <w:r w:rsidRPr="00D47920">
        <w:rPr>
          <w:sz w:val="28"/>
          <w:szCs w:val="28"/>
        </w:rPr>
        <w:tab/>
      </w:r>
      <w:r w:rsidRPr="00D47920">
        <w:rPr>
          <w:sz w:val="28"/>
          <w:szCs w:val="28"/>
        </w:rPr>
        <w:tab/>
      </w:r>
      <w:r w:rsidRPr="00D47920">
        <w:rPr>
          <w:sz w:val="28"/>
          <w:szCs w:val="28"/>
        </w:rPr>
        <w:tab/>
      </w:r>
    </w:p>
    <w:p w14:paraId="61CC0C9A" w14:textId="77777777" w:rsidR="00D47920" w:rsidRPr="00CF61E4" w:rsidRDefault="00D47920">
      <w:pPr>
        <w:rPr>
          <w:rFonts w:ascii="Arial" w:hAnsi="Arial" w:cs="Arial"/>
          <w:sz w:val="22"/>
          <w:szCs w:val="22"/>
        </w:rPr>
      </w:pPr>
    </w:p>
    <w:p w14:paraId="3B393DB6" w14:textId="77777777" w:rsidR="00C315B9" w:rsidRDefault="00C315B9" w:rsidP="00CF61E4">
      <w:pPr>
        <w:spacing w:line="360" w:lineRule="auto"/>
        <w:rPr>
          <w:rFonts w:ascii="Arial" w:hAnsi="Arial" w:cs="Arial"/>
        </w:rPr>
      </w:pPr>
    </w:p>
    <w:p w14:paraId="60FF9148" w14:textId="637FDC74" w:rsidR="00D47920" w:rsidRPr="00C315B9" w:rsidRDefault="00D47920" w:rsidP="00CF61E4">
      <w:pPr>
        <w:spacing w:line="360" w:lineRule="auto"/>
        <w:rPr>
          <w:rFonts w:ascii="Arial" w:hAnsi="Arial" w:cs="Arial"/>
        </w:rPr>
      </w:pPr>
      <w:r w:rsidRPr="00C315B9">
        <w:rPr>
          <w:rFonts w:ascii="Arial" w:hAnsi="Arial" w:cs="Arial"/>
        </w:rPr>
        <w:t xml:space="preserve">Name: </w:t>
      </w:r>
      <w:r w:rsidR="00E949FB" w:rsidRPr="00C315B9">
        <w:rPr>
          <w:rFonts w:ascii="Arial" w:hAnsi="Arial" w:cs="Arial"/>
        </w:rPr>
        <w:t>Cheila Patricia Lopes Tavares</w:t>
      </w:r>
    </w:p>
    <w:p w14:paraId="1F949526" w14:textId="333F0C16" w:rsidR="00D47920" w:rsidRPr="00C315B9" w:rsidRDefault="00D47920" w:rsidP="00CF61E4">
      <w:pPr>
        <w:spacing w:line="360" w:lineRule="auto"/>
        <w:rPr>
          <w:rFonts w:ascii="Arial" w:hAnsi="Arial" w:cs="Arial"/>
        </w:rPr>
      </w:pPr>
      <w:r w:rsidRPr="00C315B9">
        <w:rPr>
          <w:rFonts w:ascii="Arial" w:hAnsi="Arial" w:cs="Arial"/>
        </w:rPr>
        <w:t xml:space="preserve">Student’s ID number: </w:t>
      </w:r>
      <w:r w:rsidR="00E949FB" w:rsidRPr="00C315B9">
        <w:rPr>
          <w:rFonts w:ascii="Arial" w:hAnsi="Arial" w:cs="Arial"/>
        </w:rPr>
        <w:t>2430825</w:t>
      </w:r>
    </w:p>
    <w:p w14:paraId="28719829" w14:textId="22266EB7" w:rsidR="00D47920" w:rsidRPr="00C315B9" w:rsidRDefault="00D47920" w:rsidP="00CF61E4">
      <w:pPr>
        <w:spacing w:line="360" w:lineRule="auto"/>
        <w:rPr>
          <w:rFonts w:ascii="Arial" w:hAnsi="Arial" w:cs="Arial"/>
        </w:rPr>
      </w:pPr>
      <w:r w:rsidRPr="00C315B9">
        <w:rPr>
          <w:rFonts w:ascii="Arial" w:hAnsi="Arial" w:cs="Arial"/>
        </w:rPr>
        <w:t>Module Code:</w:t>
      </w:r>
      <w:r w:rsidR="00E949FB" w:rsidRPr="00C315B9">
        <w:rPr>
          <w:rFonts w:ascii="Arial" w:hAnsi="Arial" w:cs="Arial"/>
        </w:rPr>
        <w:t xml:space="preserve"> </w:t>
      </w:r>
      <w:r w:rsidR="00C315B9" w:rsidRPr="00C315B9">
        <w:rPr>
          <w:rFonts w:ascii="Arial" w:hAnsi="Arial" w:cs="Arial"/>
        </w:rPr>
        <w:t>BMHP5016</w:t>
      </w:r>
    </w:p>
    <w:p w14:paraId="5E96929D" w14:textId="40FE0FAA" w:rsidR="00D47920" w:rsidRPr="00C315B9" w:rsidRDefault="00D47920" w:rsidP="00CF61E4">
      <w:pPr>
        <w:spacing w:line="360" w:lineRule="auto"/>
        <w:rPr>
          <w:rFonts w:ascii="Arial" w:hAnsi="Arial" w:cs="Arial"/>
        </w:rPr>
      </w:pPr>
      <w:r w:rsidRPr="00C315B9">
        <w:rPr>
          <w:rFonts w:ascii="Arial" w:hAnsi="Arial" w:cs="Arial"/>
        </w:rPr>
        <w:t>Module name:</w:t>
      </w:r>
      <w:r w:rsidR="00E949FB" w:rsidRPr="00C315B9">
        <w:rPr>
          <w:rFonts w:ascii="Arial" w:hAnsi="Arial" w:cs="Arial"/>
        </w:rPr>
        <w:t xml:space="preserve"> </w:t>
      </w:r>
      <w:r w:rsidR="00C315B9" w:rsidRPr="00C315B9">
        <w:rPr>
          <w:rFonts w:ascii="Arial" w:hAnsi="Arial" w:cs="Arial"/>
        </w:rPr>
        <w:t xml:space="preserve">Principles of Health and Social Care Practice </w:t>
      </w:r>
    </w:p>
    <w:p w14:paraId="6379A8C3" w14:textId="4377FD59" w:rsidR="00D47920" w:rsidRPr="00C315B9" w:rsidRDefault="00D47920" w:rsidP="00C315B9">
      <w:pPr>
        <w:spacing w:line="360" w:lineRule="auto"/>
        <w:rPr>
          <w:rFonts w:ascii="Arial" w:hAnsi="Arial" w:cs="Arial"/>
        </w:rPr>
      </w:pPr>
      <w:r w:rsidRPr="00C315B9">
        <w:rPr>
          <w:rFonts w:ascii="Arial" w:hAnsi="Arial" w:cs="Arial"/>
        </w:rPr>
        <w:t xml:space="preserve">Lecturer: </w:t>
      </w:r>
      <w:r w:rsidR="00C315B9" w:rsidRPr="00C315B9">
        <w:rPr>
          <w:rFonts w:ascii="Arial" w:hAnsi="Arial" w:cs="Arial"/>
        </w:rPr>
        <w:t>Farah Wiita</w:t>
      </w:r>
    </w:p>
    <w:p w14:paraId="43D12E6D" w14:textId="77777777" w:rsidR="00D47920" w:rsidRPr="00CF61E4" w:rsidRDefault="00D47920" w:rsidP="00CF61E4">
      <w:pPr>
        <w:spacing w:line="360" w:lineRule="auto"/>
        <w:rPr>
          <w:rFonts w:ascii="Arial" w:hAnsi="Arial" w:cs="Arial"/>
          <w:sz w:val="22"/>
          <w:szCs w:val="22"/>
        </w:rPr>
      </w:pPr>
    </w:p>
    <w:p w14:paraId="487D7B86" w14:textId="77777777" w:rsidR="00D47920" w:rsidRPr="00CF61E4" w:rsidRDefault="00D47920" w:rsidP="00CF61E4">
      <w:pPr>
        <w:spacing w:line="360" w:lineRule="auto"/>
        <w:rPr>
          <w:rFonts w:ascii="Arial" w:hAnsi="Arial" w:cs="Arial"/>
          <w:sz w:val="22"/>
          <w:szCs w:val="22"/>
        </w:rPr>
      </w:pPr>
    </w:p>
    <w:p w14:paraId="2F240D71" w14:textId="77777777" w:rsidR="00D47920" w:rsidRPr="00CF61E4" w:rsidRDefault="00D47920" w:rsidP="00CF61E4">
      <w:pPr>
        <w:spacing w:line="360" w:lineRule="auto"/>
        <w:rPr>
          <w:rFonts w:ascii="Arial" w:hAnsi="Arial" w:cs="Arial"/>
          <w:sz w:val="22"/>
          <w:szCs w:val="22"/>
        </w:rPr>
      </w:pPr>
    </w:p>
    <w:p w14:paraId="3535F263" w14:textId="77777777" w:rsidR="00D47920" w:rsidRPr="00CF61E4" w:rsidRDefault="00D47920" w:rsidP="00CF61E4">
      <w:pPr>
        <w:spacing w:line="360" w:lineRule="auto"/>
        <w:rPr>
          <w:rFonts w:ascii="Arial" w:hAnsi="Arial" w:cs="Arial"/>
          <w:sz w:val="22"/>
          <w:szCs w:val="22"/>
        </w:rPr>
      </w:pPr>
    </w:p>
    <w:p w14:paraId="39AF2035" w14:textId="77777777" w:rsidR="00D47920" w:rsidRPr="00CF61E4" w:rsidRDefault="00D47920" w:rsidP="00CF61E4">
      <w:pPr>
        <w:spacing w:line="360" w:lineRule="auto"/>
        <w:rPr>
          <w:rFonts w:ascii="Arial" w:hAnsi="Arial" w:cs="Arial"/>
          <w:sz w:val="22"/>
          <w:szCs w:val="22"/>
        </w:rPr>
      </w:pPr>
    </w:p>
    <w:p w14:paraId="7A7EE4CE" w14:textId="77777777" w:rsidR="00D47920" w:rsidRPr="00CF61E4" w:rsidRDefault="00D47920" w:rsidP="00CF61E4">
      <w:pPr>
        <w:spacing w:line="360" w:lineRule="auto"/>
        <w:rPr>
          <w:rFonts w:ascii="Arial" w:hAnsi="Arial" w:cs="Arial"/>
          <w:sz w:val="22"/>
          <w:szCs w:val="22"/>
        </w:rPr>
      </w:pPr>
    </w:p>
    <w:p w14:paraId="73AEA828" w14:textId="77777777" w:rsidR="00D47920" w:rsidRPr="00CF61E4" w:rsidRDefault="00D47920" w:rsidP="00CF61E4">
      <w:pPr>
        <w:spacing w:line="360" w:lineRule="auto"/>
        <w:rPr>
          <w:rFonts w:ascii="Arial" w:hAnsi="Arial" w:cs="Arial"/>
          <w:sz w:val="22"/>
          <w:szCs w:val="22"/>
        </w:rPr>
      </w:pPr>
    </w:p>
    <w:p w14:paraId="202E650A" w14:textId="2F42343E" w:rsidR="00D47920" w:rsidRPr="00CF61E4" w:rsidRDefault="00D47920" w:rsidP="00CF61E4">
      <w:pPr>
        <w:spacing w:line="360" w:lineRule="auto"/>
        <w:rPr>
          <w:rFonts w:ascii="Arial" w:hAnsi="Arial" w:cs="Arial"/>
          <w:sz w:val="22"/>
          <w:szCs w:val="22"/>
        </w:rPr>
      </w:pPr>
    </w:p>
    <w:p w14:paraId="6E1F916E" w14:textId="51261826" w:rsidR="00D47920" w:rsidRPr="00CF61E4" w:rsidRDefault="00D47920" w:rsidP="00CF61E4">
      <w:pPr>
        <w:spacing w:line="360" w:lineRule="auto"/>
        <w:rPr>
          <w:rFonts w:ascii="Arial" w:hAnsi="Arial" w:cs="Arial"/>
          <w:sz w:val="22"/>
          <w:szCs w:val="22"/>
        </w:rPr>
      </w:pPr>
      <w:r w:rsidRPr="00CF61E4">
        <w:rPr>
          <w:rFonts w:ascii="Arial" w:hAnsi="Arial" w:cs="Arial"/>
          <w:sz w:val="22"/>
          <w:szCs w:val="22"/>
        </w:rPr>
        <w:tab/>
      </w:r>
      <w:r w:rsidRPr="00CF61E4">
        <w:rPr>
          <w:rFonts w:ascii="Arial" w:hAnsi="Arial" w:cs="Arial"/>
          <w:sz w:val="22"/>
          <w:szCs w:val="22"/>
        </w:rPr>
        <w:tab/>
      </w:r>
      <w:r w:rsidRPr="00CF61E4">
        <w:rPr>
          <w:rFonts w:ascii="Arial" w:hAnsi="Arial" w:cs="Arial"/>
          <w:sz w:val="22"/>
          <w:szCs w:val="22"/>
        </w:rPr>
        <w:tab/>
        <w:t xml:space="preserve">          Submitted on: </w:t>
      </w:r>
      <w:r w:rsidR="00C315B9">
        <w:rPr>
          <w:rFonts w:ascii="Arial" w:hAnsi="Arial" w:cs="Arial"/>
          <w:sz w:val="22"/>
          <w:szCs w:val="22"/>
        </w:rPr>
        <w:t>2</w:t>
      </w:r>
      <w:r w:rsidR="00B11D60">
        <w:rPr>
          <w:rFonts w:ascii="Arial" w:hAnsi="Arial" w:cs="Arial"/>
          <w:sz w:val="22"/>
          <w:szCs w:val="22"/>
        </w:rPr>
        <w:t>7</w:t>
      </w:r>
      <w:r w:rsidR="00C315B9" w:rsidRPr="00C315B9">
        <w:rPr>
          <w:rFonts w:ascii="Arial" w:hAnsi="Arial" w:cs="Arial"/>
          <w:sz w:val="22"/>
          <w:szCs w:val="22"/>
          <w:vertAlign w:val="superscript"/>
        </w:rPr>
        <w:t>th</w:t>
      </w:r>
      <w:r w:rsidR="00C315B9">
        <w:rPr>
          <w:rFonts w:ascii="Arial" w:hAnsi="Arial" w:cs="Arial"/>
          <w:sz w:val="22"/>
          <w:szCs w:val="22"/>
        </w:rPr>
        <w:t xml:space="preserve"> April 2026</w:t>
      </w:r>
    </w:p>
    <w:p w14:paraId="6DC2DF27" w14:textId="77777777" w:rsidR="00D47920" w:rsidRDefault="00D47920" w:rsidP="00CF61E4">
      <w:pPr>
        <w:spacing w:line="360" w:lineRule="auto"/>
      </w:pPr>
    </w:p>
    <w:p w14:paraId="566D1D6D" w14:textId="77777777" w:rsidR="00CF61E4" w:rsidRDefault="00CF61E4" w:rsidP="00CF61E4">
      <w:pPr>
        <w:spacing w:line="360" w:lineRule="auto"/>
      </w:pPr>
    </w:p>
    <w:p w14:paraId="577E6A15" w14:textId="77777777" w:rsidR="00CF61E4" w:rsidRDefault="00CF61E4" w:rsidP="00CF61E4">
      <w:pPr>
        <w:spacing w:line="360" w:lineRule="auto"/>
      </w:pPr>
    </w:p>
    <w:sdt>
      <w:sdtPr>
        <w:rPr>
          <w:rFonts w:ascii="Arial" w:eastAsiaTheme="minorEastAsia" w:hAnsi="Arial" w:cs="Arial"/>
          <w:b w:val="0"/>
          <w:bCs w:val="0"/>
          <w:color w:val="auto"/>
          <w:kern w:val="2"/>
          <w:sz w:val="22"/>
          <w:szCs w:val="22"/>
          <w:lang w:val="en-GB" w:eastAsia="zh-CN"/>
          <w14:ligatures w14:val="standardContextual"/>
        </w:rPr>
        <w:id w:val="-1902277130"/>
        <w:docPartObj>
          <w:docPartGallery w:val="Table of Contents"/>
          <w:docPartUnique/>
        </w:docPartObj>
      </w:sdtPr>
      <w:sdtContent>
        <w:p w14:paraId="7539A35F" w14:textId="7F391F48" w:rsidR="00CE66BB" w:rsidRPr="00CF61E4" w:rsidRDefault="00E609EE" w:rsidP="00CF61E4">
          <w:pPr>
            <w:pStyle w:val="TOCHeading"/>
            <w:spacing w:line="360" w:lineRule="auto"/>
            <w:rPr>
              <w:rFonts w:ascii="Arial" w:hAnsi="Arial" w:cs="Arial"/>
              <w:color w:val="000000" w:themeColor="text1"/>
              <w:sz w:val="22"/>
              <w:szCs w:val="22"/>
            </w:rPr>
          </w:pPr>
          <w:r w:rsidRPr="00CF61E4">
            <w:rPr>
              <w:rFonts w:ascii="Arial" w:hAnsi="Arial" w:cs="Arial"/>
              <w:color w:val="000000" w:themeColor="text1"/>
              <w:sz w:val="22"/>
              <w:szCs w:val="22"/>
              <w:lang w:val="en-GB"/>
            </w:rPr>
            <w:t>Table of Contents</w:t>
          </w:r>
        </w:p>
        <w:p w14:paraId="2621232C" w14:textId="660EAE77" w:rsidR="00036B49" w:rsidRDefault="00CE66BB">
          <w:pPr>
            <w:pStyle w:val="TOC1"/>
            <w:tabs>
              <w:tab w:val="right" w:leader="dot" w:pos="9016"/>
            </w:tabs>
            <w:rPr>
              <w:b w:val="0"/>
              <w:bCs w:val="0"/>
              <w:i w:val="0"/>
              <w:iCs w:val="0"/>
              <w:noProof/>
              <w:kern w:val="0"/>
              <w:sz w:val="22"/>
              <w:szCs w:val="22"/>
              <w:lang w:eastAsia="en-GB"/>
              <w14:ligatures w14:val="none"/>
            </w:rPr>
          </w:pPr>
          <w:r w:rsidRPr="00CF61E4">
            <w:rPr>
              <w:rFonts w:ascii="Arial" w:hAnsi="Arial" w:cs="Arial"/>
              <w:b w:val="0"/>
              <w:bCs w:val="0"/>
              <w:sz w:val="22"/>
              <w:szCs w:val="22"/>
            </w:rPr>
            <w:fldChar w:fldCharType="begin"/>
          </w:r>
          <w:r w:rsidRPr="00CF61E4">
            <w:rPr>
              <w:rFonts w:ascii="Arial" w:hAnsi="Arial" w:cs="Arial"/>
              <w:b w:val="0"/>
              <w:bCs w:val="0"/>
              <w:sz w:val="22"/>
              <w:szCs w:val="22"/>
            </w:rPr>
            <w:instrText xml:space="preserve"> TOC \o "1-3" \h \z \u </w:instrText>
          </w:r>
          <w:r w:rsidRPr="00CF61E4">
            <w:rPr>
              <w:rFonts w:ascii="Arial" w:hAnsi="Arial" w:cs="Arial"/>
              <w:b w:val="0"/>
              <w:bCs w:val="0"/>
              <w:sz w:val="22"/>
              <w:szCs w:val="22"/>
            </w:rPr>
            <w:fldChar w:fldCharType="separate"/>
          </w:r>
          <w:hyperlink w:anchor="_Toc226912566" w:history="1">
            <w:r w:rsidR="00036B49" w:rsidRPr="00203AD5">
              <w:rPr>
                <w:rStyle w:val="Hyperlink"/>
                <w:rFonts w:ascii="Arial" w:hAnsi="Arial" w:cs="Arial"/>
                <w:noProof/>
              </w:rPr>
              <w:t>Introduction</w:t>
            </w:r>
            <w:r w:rsidR="00036B49">
              <w:rPr>
                <w:noProof/>
                <w:webHidden/>
              </w:rPr>
              <w:tab/>
            </w:r>
            <w:r w:rsidR="00036B49">
              <w:rPr>
                <w:noProof/>
                <w:webHidden/>
              </w:rPr>
              <w:fldChar w:fldCharType="begin"/>
            </w:r>
            <w:r w:rsidR="00036B49">
              <w:rPr>
                <w:noProof/>
                <w:webHidden/>
              </w:rPr>
              <w:instrText xml:space="preserve"> PAGEREF _Toc226912566 \h </w:instrText>
            </w:r>
            <w:r w:rsidR="00036B49">
              <w:rPr>
                <w:noProof/>
                <w:webHidden/>
              </w:rPr>
            </w:r>
            <w:r w:rsidR="00036B49">
              <w:rPr>
                <w:noProof/>
                <w:webHidden/>
              </w:rPr>
              <w:fldChar w:fldCharType="separate"/>
            </w:r>
            <w:r w:rsidR="00036B49">
              <w:rPr>
                <w:noProof/>
                <w:webHidden/>
              </w:rPr>
              <w:t>3</w:t>
            </w:r>
            <w:r w:rsidR="00036B49">
              <w:rPr>
                <w:noProof/>
                <w:webHidden/>
              </w:rPr>
              <w:fldChar w:fldCharType="end"/>
            </w:r>
          </w:hyperlink>
        </w:p>
        <w:p w14:paraId="604F1CAF" w14:textId="1DB2AEC9" w:rsidR="00036B49" w:rsidRDefault="00036B49">
          <w:pPr>
            <w:pStyle w:val="TOC1"/>
            <w:tabs>
              <w:tab w:val="right" w:leader="dot" w:pos="9016"/>
            </w:tabs>
            <w:rPr>
              <w:b w:val="0"/>
              <w:bCs w:val="0"/>
              <w:i w:val="0"/>
              <w:iCs w:val="0"/>
              <w:noProof/>
              <w:kern w:val="0"/>
              <w:sz w:val="22"/>
              <w:szCs w:val="22"/>
              <w:lang w:eastAsia="en-GB"/>
              <w14:ligatures w14:val="none"/>
            </w:rPr>
          </w:pPr>
          <w:hyperlink w:anchor="_Toc226912567" w:history="1">
            <w:r w:rsidRPr="00203AD5">
              <w:rPr>
                <w:rStyle w:val="Hyperlink"/>
                <w:rFonts w:ascii="Arial" w:hAnsi="Arial" w:cs="Arial"/>
                <w:noProof/>
              </w:rPr>
              <w:t>Main body</w:t>
            </w:r>
            <w:r>
              <w:rPr>
                <w:noProof/>
                <w:webHidden/>
              </w:rPr>
              <w:tab/>
            </w:r>
            <w:r>
              <w:rPr>
                <w:noProof/>
                <w:webHidden/>
              </w:rPr>
              <w:fldChar w:fldCharType="begin"/>
            </w:r>
            <w:r>
              <w:rPr>
                <w:noProof/>
                <w:webHidden/>
              </w:rPr>
              <w:instrText xml:space="preserve"> PAGEREF _Toc226912567 \h </w:instrText>
            </w:r>
            <w:r>
              <w:rPr>
                <w:noProof/>
                <w:webHidden/>
              </w:rPr>
            </w:r>
            <w:r>
              <w:rPr>
                <w:noProof/>
                <w:webHidden/>
              </w:rPr>
              <w:fldChar w:fldCharType="separate"/>
            </w:r>
            <w:r>
              <w:rPr>
                <w:noProof/>
                <w:webHidden/>
              </w:rPr>
              <w:t>4</w:t>
            </w:r>
            <w:r>
              <w:rPr>
                <w:noProof/>
                <w:webHidden/>
              </w:rPr>
              <w:fldChar w:fldCharType="end"/>
            </w:r>
          </w:hyperlink>
        </w:p>
        <w:p w14:paraId="560C4D46" w14:textId="0EC6AA87" w:rsidR="00036B49" w:rsidRDefault="00036B49">
          <w:pPr>
            <w:pStyle w:val="TOC1"/>
            <w:tabs>
              <w:tab w:val="right" w:leader="dot" w:pos="9016"/>
            </w:tabs>
            <w:rPr>
              <w:b w:val="0"/>
              <w:bCs w:val="0"/>
              <w:i w:val="0"/>
              <w:iCs w:val="0"/>
              <w:noProof/>
              <w:kern w:val="0"/>
              <w:sz w:val="22"/>
              <w:szCs w:val="22"/>
              <w:lang w:eastAsia="en-GB"/>
              <w14:ligatures w14:val="none"/>
            </w:rPr>
          </w:pPr>
          <w:hyperlink w:anchor="_Toc226912568" w:history="1">
            <w:r w:rsidRPr="00203AD5">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_Toc226912568 \h </w:instrText>
            </w:r>
            <w:r>
              <w:rPr>
                <w:noProof/>
                <w:webHidden/>
              </w:rPr>
            </w:r>
            <w:r>
              <w:rPr>
                <w:noProof/>
                <w:webHidden/>
              </w:rPr>
              <w:fldChar w:fldCharType="separate"/>
            </w:r>
            <w:r>
              <w:rPr>
                <w:noProof/>
                <w:webHidden/>
              </w:rPr>
              <w:t>9</w:t>
            </w:r>
            <w:r>
              <w:rPr>
                <w:noProof/>
                <w:webHidden/>
              </w:rPr>
              <w:fldChar w:fldCharType="end"/>
            </w:r>
          </w:hyperlink>
        </w:p>
        <w:p w14:paraId="30FD5F41" w14:textId="0C3BDF8B" w:rsidR="00036B49" w:rsidRDefault="00036B49">
          <w:pPr>
            <w:pStyle w:val="TOC1"/>
            <w:tabs>
              <w:tab w:val="right" w:leader="dot" w:pos="9016"/>
            </w:tabs>
            <w:rPr>
              <w:b w:val="0"/>
              <w:bCs w:val="0"/>
              <w:i w:val="0"/>
              <w:iCs w:val="0"/>
              <w:noProof/>
              <w:kern w:val="0"/>
              <w:sz w:val="22"/>
              <w:szCs w:val="22"/>
              <w:lang w:eastAsia="en-GB"/>
              <w14:ligatures w14:val="none"/>
            </w:rPr>
          </w:pPr>
          <w:hyperlink w:anchor="_Toc226912569" w:history="1">
            <w:r w:rsidRPr="00203AD5">
              <w:rPr>
                <w:rStyle w:val="Hyperlink"/>
                <w:rFonts w:ascii="Arial" w:hAnsi="Arial" w:cs="Arial"/>
                <w:noProof/>
              </w:rPr>
              <w:t>Reference</w:t>
            </w:r>
            <w:r>
              <w:rPr>
                <w:noProof/>
                <w:webHidden/>
              </w:rPr>
              <w:tab/>
            </w:r>
            <w:r>
              <w:rPr>
                <w:noProof/>
                <w:webHidden/>
              </w:rPr>
              <w:fldChar w:fldCharType="begin"/>
            </w:r>
            <w:r>
              <w:rPr>
                <w:noProof/>
                <w:webHidden/>
              </w:rPr>
              <w:instrText xml:space="preserve"> PAGEREF _Toc226912569 \h </w:instrText>
            </w:r>
            <w:r>
              <w:rPr>
                <w:noProof/>
                <w:webHidden/>
              </w:rPr>
            </w:r>
            <w:r>
              <w:rPr>
                <w:noProof/>
                <w:webHidden/>
              </w:rPr>
              <w:fldChar w:fldCharType="separate"/>
            </w:r>
            <w:r>
              <w:rPr>
                <w:noProof/>
                <w:webHidden/>
              </w:rPr>
              <w:t>10</w:t>
            </w:r>
            <w:r>
              <w:rPr>
                <w:noProof/>
                <w:webHidden/>
              </w:rPr>
              <w:fldChar w:fldCharType="end"/>
            </w:r>
          </w:hyperlink>
        </w:p>
        <w:p w14:paraId="3F3D6CD2" w14:textId="58BEADDF" w:rsidR="00CE66BB" w:rsidRPr="00E609EE" w:rsidRDefault="00CE66BB" w:rsidP="00CF61E4">
          <w:pPr>
            <w:spacing w:line="360" w:lineRule="auto"/>
            <w:rPr>
              <w:rFonts w:ascii="Arial" w:hAnsi="Arial" w:cs="Arial"/>
              <w:sz w:val="22"/>
              <w:szCs w:val="22"/>
            </w:rPr>
          </w:pPr>
          <w:r w:rsidRPr="00CF61E4">
            <w:rPr>
              <w:rFonts w:ascii="Arial" w:hAnsi="Arial" w:cs="Arial"/>
              <w:sz w:val="22"/>
              <w:szCs w:val="22"/>
            </w:rPr>
            <w:fldChar w:fldCharType="end"/>
          </w:r>
        </w:p>
      </w:sdtContent>
    </w:sdt>
    <w:p w14:paraId="0E6848EB" w14:textId="1B116BEB" w:rsidR="55F3C1ED" w:rsidRPr="00E609EE" w:rsidRDefault="55F3C1ED" w:rsidP="00CF61E4">
      <w:pPr>
        <w:pStyle w:val="TOCHeading"/>
        <w:spacing w:line="360" w:lineRule="auto"/>
        <w:rPr>
          <w:rStyle w:val="Hyperlink"/>
          <w:rFonts w:ascii="Arial" w:hAnsi="Arial" w:cs="Arial"/>
          <w:color w:val="000000" w:themeColor="text1"/>
          <w:sz w:val="22"/>
          <w:szCs w:val="22"/>
          <w:u w:val="none"/>
        </w:rPr>
      </w:pPr>
    </w:p>
    <w:p w14:paraId="56A44A6A" w14:textId="096A12EF" w:rsidR="00B84E0F" w:rsidRPr="00E609EE" w:rsidRDefault="00B84E0F" w:rsidP="00CF61E4">
      <w:pPr>
        <w:spacing w:line="360" w:lineRule="auto"/>
        <w:rPr>
          <w:rFonts w:ascii="Arial" w:hAnsi="Arial" w:cs="Arial"/>
          <w:sz w:val="22"/>
          <w:szCs w:val="22"/>
        </w:rPr>
      </w:pPr>
    </w:p>
    <w:p w14:paraId="50C2337F" w14:textId="77777777" w:rsidR="00D47920" w:rsidRPr="00E609EE" w:rsidRDefault="00D47920" w:rsidP="00CF61E4">
      <w:pPr>
        <w:spacing w:line="360" w:lineRule="auto"/>
        <w:rPr>
          <w:rFonts w:ascii="Arial" w:hAnsi="Arial" w:cs="Arial"/>
          <w:sz w:val="22"/>
          <w:szCs w:val="22"/>
        </w:rPr>
      </w:pPr>
    </w:p>
    <w:p w14:paraId="08399A62" w14:textId="77777777" w:rsidR="00D47920" w:rsidRPr="00E609EE" w:rsidRDefault="00D47920" w:rsidP="00CF61E4">
      <w:pPr>
        <w:spacing w:line="360" w:lineRule="auto"/>
        <w:rPr>
          <w:rFonts w:ascii="Arial" w:hAnsi="Arial" w:cs="Arial"/>
          <w:sz w:val="22"/>
          <w:szCs w:val="22"/>
        </w:rPr>
      </w:pPr>
    </w:p>
    <w:p w14:paraId="64702B27" w14:textId="77777777" w:rsidR="00D47920" w:rsidRPr="00E609EE" w:rsidRDefault="00D47920" w:rsidP="00CF61E4">
      <w:pPr>
        <w:spacing w:line="360" w:lineRule="auto"/>
        <w:rPr>
          <w:rFonts w:ascii="Arial" w:hAnsi="Arial" w:cs="Arial"/>
          <w:sz w:val="22"/>
          <w:szCs w:val="22"/>
        </w:rPr>
      </w:pPr>
    </w:p>
    <w:p w14:paraId="7D756D73" w14:textId="77777777" w:rsidR="00D47920" w:rsidRPr="00E609EE" w:rsidRDefault="00D47920" w:rsidP="00CF61E4">
      <w:pPr>
        <w:spacing w:line="360" w:lineRule="auto"/>
        <w:rPr>
          <w:rFonts w:ascii="Arial" w:hAnsi="Arial" w:cs="Arial"/>
          <w:sz w:val="22"/>
          <w:szCs w:val="22"/>
        </w:rPr>
      </w:pPr>
    </w:p>
    <w:p w14:paraId="74EC71C3" w14:textId="77777777" w:rsidR="00D47920" w:rsidRPr="00E609EE" w:rsidRDefault="00D47920" w:rsidP="00CF61E4">
      <w:pPr>
        <w:spacing w:line="360" w:lineRule="auto"/>
        <w:rPr>
          <w:rFonts w:ascii="Arial" w:hAnsi="Arial" w:cs="Arial"/>
          <w:sz w:val="22"/>
          <w:szCs w:val="22"/>
        </w:rPr>
      </w:pPr>
    </w:p>
    <w:p w14:paraId="126E5827" w14:textId="77777777" w:rsidR="00E949FB" w:rsidRPr="00E609EE" w:rsidRDefault="00E949FB" w:rsidP="00CF61E4">
      <w:pPr>
        <w:spacing w:line="360" w:lineRule="auto"/>
        <w:rPr>
          <w:rFonts w:ascii="Arial" w:hAnsi="Arial" w:cs="Arial"/>
          <w:sz w:val="22"/>
          <w:szCs w:val="22"/>
        </w:rPr>
      </w:pPr>
    </w:p>
    <w:p w14:paraId="67FB9C30" w14:textId="77777777" w:rsidR="00D47920" w:rsidRPr="00E609EE" w:rsidRDefault="00D47920" w:rsidP="00CF61E4">
      <w:pPr>
        <w:spacing w:line="360" w:lineRule="auto"/>
        <w:rPr>
          <w:rFonts w:ascii="Arial" w:hAnsi="Arial" w:cs="Arial"/>
          <w:sz w:val="22"/>
          <w:szCs w:val="22"/>
        </w:rPr>
      </w:pPr>
    </w:p>
    <w:p w14:paraId="3B1BD285" w14:textId="77777777" w:rsidR="00D47920" w:rsidRPr="00E609EE" w:rsidRDefault="00D47920" w:rsidP="00CF61E4">
      <w:pPr>
        <w:spacing w:line="360" w:lineRule="auto"/>
        <w:rPr>
          <w:rFonts w:ascii="Arial" w:hAnsi="Arial" w:cs="Arial"/>
          <w:sz w:val="22"/>
          <w:szCs w:val="22"/>
        </w:rPr>
      </w:pPr>
    </w:p>
    <w:p w14:paraId="71DE591C" w14:textId="77777777" w:rsidR="00D47920" w:rsidRPr="00E609EE" w:rsidRDefault="00D47920" w:rsidP="00CF61E4">
      <w:pPr>
        <w:spacing w:line="360" w:lineRule="auto"/>
        <w:rPr>
          <w:rFonts w:ascii="Arial" w:hAnsi="Arial" w:cs="Arial"/>
          <w:sz w:val="22"/>
          <w:szCs w:val="22"/>
        </w:rPr>
      </w:pPr>
    </w:p>
    <w:p w14:paraId="7FCFBB77" w14:textId="77777777" w:rsidR="00CE66BB" w:rsidRPr="00E609EE" w:rsidRDefault="00CE66BB" w:rsidP="00CF61E4">
      <w:pPr>
        <w:spacing w:line="360" w:lineRule="auto"/>
        <w:rPr>
          <w:rFonts w:ascii="Arial" w:hAnsi="Arial" w:cs="Arial"/>
          <w:sz w:val="22"/>
          <w:szCs w:val="22"/>
        </w:rPr>
      </w:pPr>
    </w:p>
    <w:p w14:paraId="43825A62" w14:textId="77777777" w:rsidR="00CE66BB" w:rsidRPr="00E609EE" w:rsidRDefault="00CE66BB" w:rsidP="00CF61E4">
      <w:pPr>
        <w:spacing w:line="360" w:lineRule="auto"/>
        <w:rPr>
          <w:rFonts w:ascii="Arial" w:hAnsi="Arial" w:cs="Arial"/>
          <w:sz w:val="22"/>
          <w:szCs w:val="22"/>
        </w:rPr>
      </w:pPr>
    </w:p>
    <w:p w14:paraId="6B5C70F5" w14:textId="77777777" w:rsidR="00CE66BB" w:rsidRPr="00E609EE" w:rsidRDefault="00CE66BB" w:rsidP="00CF61E4">
      <w:pPr>
        <w:spacing w:line="360" w:lineRule="auto"/>
        <w:rPr>
          <w:rFonts w:ascii="Arial" w:hAnsi="Arial" w:cs="Arial"/>
          <w:sz w:val="22"/>
          <w:szCs w:val="22"/>
        </w:rPr>
      </w:pPr>
    </w:p>
    <w:p w14:paraId="3545D0A3" w14:textId="77777777" w:rsidR="00CE66BB" w:rsidRPr="00E609EE" w:rsidRDefault="00CE66BB" w:rsidP="00CF61E4">
      <w:pPr>
        <w:spacing w:line="360" w:lineRule="auto"/>
        <w:rPr>
          <w:rFonts w:ascii="Arial" w:hAnsi="Arial" w:cs="Arial"/>
          <w:sz w:val="22"/>
          <w:szCs w:val="22"/>
        </w:rPr>
      </w:pPr>
    </w:p>
    <w:p w14:paraId="0D8FB0C1" w14:textId="77777777" w:rsidR="00CE66BB" w:rsidRPr="00E609EE" w:rsidRDefault="00CE66BB" w:rsidP="00CF61E4">
      <w:pPr>
        <w:spacing w:line="360" w:lineRule="auto"/>
        <w:rPr>
          <w:rFonts w:ascii="Arial" w:hAnsi="Arial" w:cs="Arial"/>
          <w:sz w:val="22"/>
          <w:szCs w:val="22"/>
        </w:rPr>
      </w:pPr>
    </w:p>
    <w:p w14:paraId="721DF611" w14:textId="77777777" w:rsidR="00D47920" w:rsidRPr="00E609EE" w:rsidRDefault="00D47920" w:rsidP="00CF61E4">
      <w:pPr>
        <w:spacing w:line="360" w:lineRule="auto"/>
        <w:rPr>
          <w:rFonts w:ascii="Arial" w:hAnsi="Arial" w:cs="Arial"/>
          <w:sz w:val="22"/>
          <w:szCs w:val="22"/>
        </w:rPr>
      </w:pPr>
    </w:p>
    <w:p w14:paraId="55FDD1ED" w14:textId="5A16D0AC" w:rsidR="00B84E0F" w:rsidRPr="00E609EE" w:rsidRDefault="00B84E0F" w:rsidP="00CF61E4">
      <w:pPr>
        <w:spacing w:line="360" w:lineRule="auto"/>
        <w:rPr>
          <w:rFonts w:ascii="Arial" w:hAnsi="Arial" w:cs="Arial"/>
          <w:sz w:val="22"/>
          <w:szCs w:val="22"/>
        </w:rPr>
      </w:pPr>
    </w:p>
    <w:p w14:paraId="634D8B14" w14:textId="345AE9A0" w:rsidR="00D47920" w:rsidRPr="00C315B9" w:rsidRDefault="00B84E0F" w:rsidP="00C315B9">
      <w:pPr>
        <w:pStyle w:val="Heading1"/>
        <w:rPr>
          <w:rFonts w:ascii="Arial" w:hAnsi="Arial" w:cs="Arial"/>
        </w:rPr>
      </w:pPr>
      <w:bookmarkStart w:id="0" w:name="_Toc1359729376"/>
      <w:r w:rsidRPr="00C315B9">
        <w:rPr>
          <w:rFonts w:ascii="Arial" w:hAnsi="Arial" w:cs="Arial"/>
        </w:rPr>
        <w:t xml:space="preserve"> </w:t>
      </w:r>
      <w:bookmarkStart w:id="1" w:name="_Toc226912566"/>
      <w:r w:rsidR="00D47920" w:rsidRPr="00C315B9">
        <w:rPr>
          <w:rFonts w:ascii="Arial" w:hAnsi="Arial" w:cs="Arial"/>
        </w:rPr>
        <w:t>Introduction</w:t>
      </w:r>
      <w:bookmarkEnd w:id="0"/>
      <w:bookmarkEnd w:id="1"/>
      <w:r w:rsidR="00D47920" w:rsidRPr="00C315B9">
        <w:rPr>
          <w:rFonts w:ascii="Arial" w:hAnsi="Arial" w:cs="Arial"/>
        </w:rPr>
        <w:t xml:space="preserve"> </w:t>
      </w:r>
    </w:p>
    <w:p w14:paraId="28F39265" w14:textId="08C68DEE" w:rsidR="00F47167" w:rsidRPr="00BA50B7" w:rsidRDefault="00C315B9" w:rsidP="00C315B9">
      <w:pPr>
        <w:spacing w:line="360" w:lineRule="auto"/>
        <w:rPr>
          <w:rFonts w:ascii="Arial" w:hAnsi="Arial" w:cs="Arial"/>
          <w:lang w:val="en-US"/>
        </w:rPr>
      </w:pPr>
      <w:r w:rsidRPr="00BA50B7">
        <w:rPr>
          <w:rFonts w:ascii="Arial" w:hAnsi="Arial" w:cs="Arial"/>
          <w:lang w:val="en-US"/>
        </w:rPr>
        <w:t>Person-centred care has since integrated into the modern UK health and social care policy, with landmark legislations such as the Health and Social Care Act (2012) and the Care Act (2014) both incorporating the concept of individual wellbeing and choice as the core component of service management. In general, Person-centred treatment can be described as a treatment method that honours and addresses the tastes, wishes and worth of individuals in such a way that it governs all the clinical and care judgments (Coulter and Ellins, 2006). More so, Santana et al. (2018) stress that, to implement a truly person-centred practice, the service users and the professionals should be partners, not care receivers. The main point of this essay is the Social Model of Disability (SMD) that suggests that disabled individuals are not disadvantaged due to their impairments but rather due to the social and environmental barriers that the society has created (Oliver, 1996). This essay will take a critical subject of the emergence and development of the social model of disability, how it is applicable to adult social care policy and practice in the UK and recommend ways of improvement. This essay will start by describing the history and criticism of the SMD, analyses how it has been implemented in policy, and finish by giving recommendations based on practice.</w:t>
      </w:r>
    </w:p>
    <w:p w14:paraId="5CC155D1" w14:textId="77777777" w:rsidR="00E949FB" w:rsidRPr="00E609EE" w:rsidRDefault="00E949FB" w:rsidP="00CF61E4">
      <w:pPr>
        <w:spacing w:line="360" w:lineRule="auto"/>
        <w:rPr>
          <w:rFonts w:ascii="Arial" w:hAnsi="Arial" w:cs="Arial"/>
          <w:sz w:val="22"/>
          <w:szCs w:val="22"/>
        </w:rPr>
      </w:pPr>
    </w:p>
    <w:p w14:paraId="1815BE6A" w14:textId="77777777" w:rsidR="00D47920" w:rsidRPr="00E609EE" w:rsidRDefault="00D47920" w:rsidP="00CF61E4">
      <w:pPr>
        <w:spacing w:line="360" w:lineRule="auto"/>
        <w:rPr>
          <w:rFonts w:ascii="Arial" w:hAnsi="Arial" w:cs="Arial"/>
          <w:sz w:val="22"/>
          <w:szCs w:val="22"/>
        </w:rPr>
      </w:pPr>
    </w:p>
    <w:p w14:paraId="495D1B2D" w14:textId="77777777" w:rsidR="00D47920" w:rsidRPr="00E609EE" w:rsidRDefault="00D47920" w:rsidP="00CF61E4">
      <w:pPr>
        <w:spacing w:line="360" w:lineRule="auto"/>
        <w:rPr>
          <w:rFonts w:ascii="Arial" w:hAnsi="Arial" w:cs="Arial"/>
          <w:sz w:val="22"/>
          <w:szCs w:val="22"/>
        </w:rPr>
      </w:pPr>
    </w:p>
    <w:p w14:paraId="5405428B" w14:textId="77777777" w:rsidR="00D47920" w:rsidRPr="00E609EE" w:rsidRDefault="00D47920" w:rsidP="00CF61E4">
      <w:pPr>
        <w:spacing w:line="360" w:lineRule="auto"/>
        <w:rPr>
          <w:rFonts w:ascii="Arial" w:hAnsi="Arial" w:cs="Arial"/>
          <w:sz w:val="22"/>
          <w:szCs w:val="22"/>
        </w:rPr>
      </w:pPr>
    </w:p>
    <w:p w14:paraId="0DCB3F81" w14:textId="77777777" w:rsidR="00D47920" w:rsidRPr="00E609EE" w:rsidRDefault="00D47920" w:rsidP="00CF61E4">
      <w:pPr>
        <w:spacing w:line="360" w:lineRule="auto"/>
        <w:rPr>
          <w:rFonts w:ascii="Arial" w:hAnsi="Arial" w:cs="Arial"/>
          <w:sz w:val="22"/>
          <w:szCs w:val="22"/>
        </w:rPr>
      </w:pPr>
    </w:p>
    <w:p w14:paraId="1ACD713A" w14:textId="77777777" w:rsidR="00D47920" w:rsidRPr="00E609EE" w:rsidRDefault="00D47920" w:rsidP="00CF61E4">
      <w:pPr>
        <w:spacing w:line="360" w:lineRule="auto"/>
        <w:rPr>
          <w:rFonts w:ascii="Arial" w:hAnsi="Arial" w:cs="Arial"/>
          <w:sz w:val="22"/>
          <w:szCs w:val="22"/>
        </w:rPr>
      </w:pPr>
    </w:p>
    <w:p w14:paraId="282BBA7F" w14:textId="77777777" w:rsidR="00D47920" w:rsidRPr="00E609EE" w:rsidRDefault="00D47920" w:rsidP="00CF61E4">
      <w:pPr>
        <w:spacing w:line="360" w:lineRule="auto"/>
        <w:rPr>
          <w:rFonts w:ascii="Arial" w:hAnsi="Arial" w:cs="Arial"/>
          <w:sz w:val="22"/>
          <w:szCs w:val="22"/>
        </w:rPr>
      </w:pPr>
    </w:p>
    <w:p w14:paraId="62619CEB" w14:textId="028D8B64" w:rsidR="00BA50B7" w:rsidRDefault="00BA50B7" w:rsidP="00CF61E4">
      <w:pPr>
        <w:spacing w:line="360" w:lineRule="auto"/>
        <w:rPr>
          <w:rFonts w:ascii="Arial" w:eastAsiaTheme="majorEastAsia" w:hAnsi="Arial" w:cs="Arial"/>
          <w:color w:val="0F4761" w:themeColor="accent1" w:themeShade="BF"/>
          <w:sz w:val="22"/>
          <w:szCs w:val="22"/>
        </w:rPr>
      </w:pPr>
      <w:bookmarkStart w:id="2" w:name="_Toc1922985329"/>
    </w:p>
    <w:p w14:paraId="0B29327B" w14:textId="4682402C" w:rsidR="00BA50B7" w:rsidRDefault="00BA50B7" w:rsidP="00CF61E4">
      <w:pPr>
        <w:spacing w:line="360" w:lineRule="auto"/>
        <w:rPr>
          <w:rFonts w:ascii="Arial" w:eastAsiaTheme="majorEastAsia" w:hAnsi="Arial" w:cs="Arial"/>
          <w:color w:val="0F4761" w:themeColor="accent1" w:themeShade="BF"/>
          <w:sz w:val="22"/>
          <w:szCs w:val="22"/>
        </w:rPr>
      </w:pPr>
    </w:p>
    <w:p w14:paraId="45FEE989" w14:textId="77777777" w:rsidR="00BA50B7" w:rsidRPr="00590093" w:rsidRDefault="00BA50B7" w:rsidP="00590093">
      <w:pPr>
        <w:pStyle w:val="Heading1"/>
        <w:rPr>
          <w:rFonts w:ascii="Arial" w:hAnsi="Arial" w:cs="Arial"/>
        </w:rPr>
      </w:pPr>
      <w:bookmarkStart w:id="3" w:name="_Toc226912567"/>
      <w:r w:rsidRPr="00590093">
        <w:rPr>
          <w:rFonts w:ascii="Arial" w:hAnsi="Arial" w:cs="Arial"/>
        </w:rPr>
        <w:lastRenderedPageBreak/>
        <w:t>Main body</w:t>
      </w:r>
      <w:bookmarkEnd w:id="3"/>
    </w:p>
    <w:p w14:paraId="5F51FF90" w14:textId="77777777" w:rsidR="00BA50B7" w:rsidRDefault="00BA50B7" w:rsidP="00BA50B7">
      <w:pPr>
        <w:spacing w:line="360" w:lineRule="auto"/>
      </w:pPr>
    </w:p>
    <w:p w14:paraId="5831B70E" w14:textId="77777777" w:rsidR="00590093" w:rsidRDefault="00BA50B7" w:rsidP="00BA50B7">
      <w:pPr>
        <w:spacing w:line="360" w:lineRule="auto"/>
      </w:pPr>
      <w:r>
        <w:t>The Social Model of Disability (SMD) was based upon the radical w</w:t>
      </w:r>
      <w:r w:rsidR="003B1441">
        <w:t xml:space="preserve">ritings of the Activists of the </w:t>
      </w:r>
      <w:r>
        <w:t xml:space="preserve">Union of the Physically Impaired Against Segregation (UPIAS, </w:t>
      </w:r>
      <w:r w:rsidR="003B1441">
        <w:t xml:space="preserve">1976), who made a radical break </w:t>
      </w:r>
      <w:r>
        <w:t>with the concept of impairment as being a physical or cognitiv</w:t>
      </w:r>
      <w:r w:rsidR="003B1441">
        <w:t xml:space="preserve">e difference, and disability as </w:t>
      </w:r>
      <w:r>
        <w:t xml:space="preserve">being a segregation forced upon people with impairments by a society </w:t>
      </w:r>
      <w:r w:rsidR="003B1441">
        <w:t xml:space="preserve">that did not </w:t>
      </w:r>
      <w:r>
        <w:t>accommodate them. This was a drastic contrast to the existi</w:t>
      </w:r>
      <w:r w:rsidR="003B1441">
        <w:t xml:space="preserve">ng medical paradigm that placed </w:t>
      </w:r>
      <w:r>
        <w:t>the problem in the individual and emphasized the treatment, r</w:t>
      </w:r>
      <w:r w:rsidR="003B1441">
        <w:t xml:space="preserve">ehabilitation and cure (Oliver, </w:t>
      </w:r>
      <w:r>
        <w:t>1990). In 1983, Mike Oliver officially used the term Social Mode</w:t>
      </w:r>
      <w:r w:rsidR="003B1441">
        <w:t xml:space="preserve">l of Disability to contend that </w:t>
      </w:r>
      <w:r>
        <w:t xml:space="preserve">disability was not a personal tragedy, but rather a mode of </w:t>
      </w:r>
      <w:r w:rsidR="003B1441">
        <w:t xml:space="preserve">social oppression that had been </w:t>
      </w:r>
      <w:r>
        <w:t>created by environmental, attitudinal and institutional factors (Olive</w:t>
      </w:r>
      <w:r w:rsidR="003B1441">
        <w:t xml:space="preserve">r, 1990). This point of view is </w:t>
      </w:r>
      <w:r>
        <w:t>supported by Barnes and Mercer (2010) who point out th</w:t>
      </w:r>
      <w:r w:rsidR="003B1441">
        <w:t xml:space="preserve">e fact that the SMD was heavily </w:t>
      </w:r>
      <w:r>
        <w:t>embedded within the wider disability rights movement of th</w:t>
      </w:r>
      <w:r w:rsidR="003B1441">
        <w:t xml:space="preserve">e 1970s and 1980s in the United </w:t>
      </w:r>
      <w:r>
        <w:t xml:space="preserve">Kingdom, which demanded civil rights and independent living </w:t>
      </w:r>
      <w:r w:rsidR="003B1441">
        <w:t xml:space="preserve">over medical care. The paradigm </w:t>
      </w:r>
      <w:r>
        <w:t>was, however, the concept of not fixing a person, but altering the obstacles.</w:t>
      </w:r>
      <w:r w:rsidR="003B1441">
        <w:t xml:space="preserve"> </w:t>
      </w:r>
    </w:p>
    <w:p w14:paraId="2757049C" w14:textId="77777777" w:rsidR="00590093" w:rsidRDefault="00BA50B7" w:rsidP="00BA50B7">
      <w:pPr>
        <w:spacing w:line="360" w:lineRule="auto"/>
      </w:pPr>
      <w:r>
        <w:t>After its beginnings in the UK, the SMD was embraced internati</w:t>
      </w:r>
      <w:r w:rsidR="003B1441">
        <w:t xml:space="preserve">onally as Disabled People’s </w:t>
      </w:r>
      <w:r>
        <w:t>International (1981) took the same principles to all other nat</w:t>
      </w:r>
      <w:r w:rsidR="003B1441">
        <w:t xml:space="preserve">ions and realised that disabled </w:t>
      </w:r>
      <w:r>
        <w:t xml:space="preserve">people in all cultures experienced systemic ostracism. </w:t>
      </w:r>
      <w:r w:rsidR="003B1441">
        <w:t xml:space="preserve">Swain and French (2000) further </w:t>
      </w:r>
      <w:r>
        <w:t>developed the model into their Affirmative Model of Disability t</w:t>
      </w:r>
      <w:r w:rsidR="003B1441">
        <w:t xml:space="preserve">hat went beyond merely breaking </w:t>
      </w:r>
      <w:r>
        <w:t>down barriers in order to actively embrace disabled identity and the belief</w:t>
      </w:r>
      <w:r w:rsidR="003B1441">
        <w:t xml:space="preserve"> that disability is </w:t>
      </w:r>
      <w:r>
        <w:t>necessarily negative. Meanwhile, a new bio-psychos</w:t>
      </w:r>
      <w:r w:rsidR="003B1441">
        <w:t xml:space="preserve">ocial model of the World Health </w:t>
      </w:r>
      <w:r>
        <w:t>Organization (2001) the International Classification of Functioni</w:t>
      </w:r>
      <w:r w:rsidR="003B1441">
        <w:t xml:space="preserve">ng, Disability and Health (ICF) </w:t>
      </w:r>
      <w:r>
        <w:t>was presented, which tried to reconcile the medical and social</w:t>
      </w:r>
      <w:r w:rsidR="003B1441">
        <w:t xml:space="preserve"> model taking into account both </w:t>
      </w:r>
      <w:r>
        <w:t>the impaired body and the social environment. The developmen</w:t>
      </w:r>
      <w:r w:rsidR="003B1441">
        <w:t xml:space="preserve">t of the SMD can be well traced </w:t>
      </w:r>
      <w:r>
        <w:t>in the UK law under which the Disability Discrimination Act (1995) was</w:t>
      </w:r>
      <w:r w:rsidR="003B1441">
        <w:t xml:space="preserve"> superseded by the more </w:t>
      </w:r>
      <w:r>
        <w:t>comprehensive Equality Act (2010) that recognised disability as</w:t>
      </w:r>
      <w:r w:rsidR="003B1441">
        <w:t xml:space="preserve"> a characteristic to be covered </w:t>
      </w:r>
      <w:r>
        <w:t>and as such imposed obligations on organisations to make re</w:t>
      </w:r>
      <w:r w:rsidR="003B1441">
        <w:t xml:space="preserve">asonable adjustments, which was </w:t>
      </w:r>
      <w:r>
        <w:t>one of the fundamental ideas of the model the eliminat</w:t>
      </w:r>
      <w:r w:rsidR="003B1441">
        <w:t xml:space="preserve">ion of barriers in the society. </w:t>
      </w:r>
    </w:p>
    <w:p w14:paraId="74FDAB54" w14:textId="77777777" w:rsidR="00590093" w:rsidRDefault="00BA50B7" w:rsidP="00BA50B7">
      <w:pPr>
        <w:spacing w:line="360" w:lineRule="auto"/>
      </w:pPr>
      <w:r>
        <w:lastRenderedPageBreak/>
        <w:t>The SMD has had its share of criticism, although it has been influential to a large extent.</w:t>
      </w:r>
      <w:r w:rsidR="003B1441">
        <w:t xml:space="preserve"> </w:t>
      </w:r>
      <w:r>
        <w:t>Thomas (1999) asserts that the model over looks the actual liv</w:t>
      </w:r>
      <w:r w:rsidR="003B1441">
        <w:t xml:space="preserve">ed experiences of impairment as </w:t>
      </w:r>
      <w:r>
        <w:t>real, which are chronic pain, fatigue and psychological distres</w:t>
      </w:r>
      <w:r w:rsidR="003B1441">
        <w:t xml:space="preserve">s, which could not be explained </w:t>
      </w:r>
      <w:r>
        <w:t>only by the societal failures. The longest criticism may hav</w:t>
      </w:r>
      <w:r w:rsidR="003B1441">
        <w:t xml:space="preserve">e been presented by Shakespeare </w:t>
      </w:r>
      <w:r>
        <w:t>2006), in his Disability Rights and Wrongs, where he argues tha</w:t>
      </w:r>
      <w:r w:rsidR="003B1441">
        <w:t xml:space="preserve">t the SMD is too simplistic and </w:t>
      </w:r>
      <w:r>
        <w:t xml:space="preserve">ideological and rejects the biological fact of impairment </w:t>
      </w:r>
      <w:r w:rsidR="003B1441">
        <w:t xml:space="preserve">in favour of an entirely social </w:t>
      </w:r>
      <w:r>
        <w:t>explanation. Moreover, Morris (1991) brought up a significant fem</w:t>
      </w:r>
      <w:r w:rsidR="003B1441">
        <w:t xml:space="preserve">inist objection and stated that </w:t>
      </w:r>
      <w:r>
        <w:t>the model, which was made mostly by disabled men, did not properly cons</w:t>
      </w:r>
      <w:r w:rsidR="003B1441">
        <w:t xml:space="preserve">ider the personal and </w:t>
      </w:r>
      <w:r>
        <w:t>emotional aspects of disability as encountered by disabled wom</w:t>
      </w:r>
      <w:r w:rsidR="003B1441">
        <w:t xml:space="preserve">en. These criticisms point to a </w:t>
      </w:r>
      <w:r>
        <w:t xml:space="preserve">major shortcoming: the strict dichotomy between the impairment </w:t>
      </w:r>
      <w:r w:rsidR="003B1441">
        <w:t xml:space="preserve">and disability will lead to the </w:t>
      </w:r>
      <w:r>
        <w:t xml:space="preserve">simplification of a very sophisticated lived </w:t>
      </w:r>
      <w:r w:rsidR="003B1441">
        <w:t>experience.</w:t>
      </w:r>
    </w:p>
    <w:p w14:paraId="7572F8FD" w14:textId="77777777" w:rsidR="00590093" w:rsidRDefault="003B1441" w:rsidP="00BA50B7">
      <w:pPr>
        <w:spacing w:line="360" w:lineRule="auto"/>
      </w:pPr>
      <w:r>
        <w:t xml:space="preserve"> </w:t>
      </w:r>
      <w:r w:rsidR="00BA50B7">
        <w:t>Oliver repeatedly justified the SMD as neither a full-blown t</w:t>
      </w:r>
      <w:r>
        <w:t xml:space="preserve">heory of human experience nor a </w:t>
      </w:r>
      <w:r w:rsidR="00BA50B7">
        <w:t>political instrument aimed at organising the disabled pe</w:t>
      </w:r>
      <w:r>
        <w:t xml:space="preserve">ople and confronting structural </w:t>
      </w:r>
      <w:r w:rsidR="00BA50B7">
        <w:t>oppression (Oliver and Barnes, 2012). A critical realist strate</w:t>
      </w:r>
      <w:r>
        <w:t xml:space="preserve">gy was suggested by Williams </w:t>
      </w:r>
      <w:r w:rsidR="00BA50B7">
        <w:t>(1999) because it does not ignore the fact that social bar</w:t>
      </w:r>
      <w:r>
        <w:t xml:space="preserve">riers interplay with biological </w:t>
      </w:r>
      <w:r w:rsidR="00BA50B7">
        <w:t>impairment to create the perceived disability, thus providing a more balanced level of middle</w:t>
      </w:r>
      <w:r>
        <w:t xml:space="preserve"> </w:t>
      </w:r>
      <w:r w:rsidR="00BA50B7">
        <w:t>ground. On the same note, another theoretical framework that a</w:t>
      </w:r>
      <w:r>
        <w:t xml:space="preserve">cknowledged the significance of </w:t>
      </w:r>
      <w:r w:rsidR="00BA50B7">
        <w:t>the individual functioning and the social opportunity to the under</w:t>
      </w:r>
      <w:r>
        <w:t xml:space="preserve">standing of disability and as a </w:t>
      </w:r>
      <w:r w:rsidR="00BA50B7">
        <w:t>more comprehensive concept was the Capability Approach</w:t>
      </w:r>
      <w:r>
        <w:t xml:space="preserve"> by Sen (1999) and furthered by </w:t>
      </w:r>
      <w:r w:rsidR="00BA50B7">
        <w:t>Nussbaum (2006) which addressed much of the sh</w:t>
      </w:r>
      <w:r>
        <w:t xml:space="preserve">ortcomings of the original SMD. </w:t>
      </w:r>
    </w:p>
    <w:p w14:paraId="2789F3AC" w14:textId="77777777" w:rsidR="00590093" w:rsidRDefault="00BA50B7" w:rsidP="00BA50B7">
      <w:pPr>
        <w:spacing w:line="360" w:lineRule="auto"/>
      </w:pPr>
      <w:r>
        <w:t>The social care policy of the UK regarding adults has been signi</w:t>
      </w:r>
      <w:r w:rsidR="003B1441">
        <w:t xml:space="preserve">ficantly affected by the Social </w:t>
      </w:r>
      <w:r>
        <w:t>Model of Disability (SMD), especially since the late 1990s. T</w:t>
      </w:r>
      <w:r w:rsidR="003B1441">
        <w:t xml:space="preserve">he Care Act 2014 is perhaps the </w:t>
      </w:r>
      <w:r>
        <w:t xml:space="preserve">most important legislative manifestation of SMD principles </w:t>
      </w:r>
      <w:r w:rsidR="003B1441">
        <w:t xml:space="preserve">in England in that it imposes a </w:t>
      </w:r>
      <w:r>
        <w:t>statutory obligation to the local authorities to promote individ</w:t>
      </w:r>
      <w:r w:rsidR="003B1441">
        <w:t xml:space="preserve">ual wellbeing, independence and </w:t>
      </w:r>
      <w:r>
        <w:t xml:space="preserve">choice and thus change the emphasis of institutional care to barrier </w:t>
      </w:r>
      <w:r w:rsidR="003B1441">
        <w:t xml:space="preserve">elimination and </w:t>
      </w:r>
      <w:r>
        <w:t>personalised support. This was followed by Valuing People (Depa</w:t>
      </w:r>
      <w:r w:rsidR="003B1441">
        <w:t>rtment of Health, 2001) and its</w:t>
      </w:r>
      <w:r>
        <w:t>successor Valuing People Now (Department of Health, 2009) w</w:t>
      </w:r>
      <w:r w:rsidR="003B1441">
        <w:t xml:space="preserve">hich used the principles of SMD </w:t>
      </w:r>
      <w:r>
        <w:t>on people with learning disabilities, where independent livin</w:t>
      </w:r>
      <w:r w:rsidR="003B1441">
        <w:t xml:space="preserve">g, rights and inclusion are the </w:t>
      </w:r>
      <w:r>
        <w:t xml:space="preserve">central aspects. The </w:t>
      </w:r>
      <w:r>
        <w:lastRenderedPageBreak/>
        <w:t>personalisation agenda, which came to fruit</w:t>
      </w:r>
      <w:r w:rsidR="003B1441">
        <w:t xml:space="preserve">ion in Putting People First (HM </w:t>
      </w:r>
      <w:r>
        <w:t>Government, 2007), provided disabled people with direct control on their funding of care using</w:t>
      </w:r>
      <w:r w:rsidR="003B1441">
        <w:t xml:space="preserve"> </w:t>
      </w:r>
      <w:r>
        <w:t>Individual Budgets, which essentially transformed the conce</w:t>
      </w:r>
      <w:r w:rsidR="003B1441">
        <w:t xml:space="preserve">pt of disabled people to active </w:t>
      </w:r>
      <w:r>
        <w:t>citizens and not passive consumers of services. Internatio</w:t>
      </w:r>
      <w:r w:rsidR="003B1441">
        <w:t xml:space="preserve">nally, the UN Convention on the </w:t>
      </w:r>
      <w:r>
        <w:t>Rights of Persons with Disabilities (UNCRPD, 2006) that wa</w:t>
      </w:r>
      <w:r w:rsidR="003B1441">
        <w:t xml:space="preserve">s ratified by the UK in 2009 is </w:t>
      </w:r>
      <w:r>
        <w:t xml:space="preserve">broadly regarded as based on SMD philosophy, which establishes </w:t>
      </w:r>
      <w:r w:rsidR="003B1441">
        <w:t xml:space="preserve">the right to full participation </w:t>
      </w:r>
      <w:r>
        <w:t>and elimination of social barriers (United Nations, 2006</w:t>
      </w:r>
      <w:r w:rsidR="003B1441">
        <w:t xml:space="preserve">). The NHS Long Term Plan ( NHS </w:t>
      </w:r>
      <w:r>
        <w:t>England, 2019) made the commitment to community-based and person-centred care strong</w:t>
      </w:r>
      <w:r w:rsidR="003B1441">
        <w:t xml:space="preserve">er </w:t>
      </w:r>
      <w:r>
        <w:t xml:space="preserve">more recently, and it entrenched the values of SMD in more </w:t>
      </w:r>
      <w:r w:rsidR="003B1441">
        <w:t xml:space="preserve">mainstream policy frameworks of health and social care. </w:t>
      </w:r>
    </w:p>
    <w:p w14:paraId="6136F3C0" w14:textId="77777777" w:rsidR="00590093" w:rsidRDefault="00BA50B7" w:rsidP="00BA50B7">
      <w:pPr>
        <w:spacing w:line="360" w:lineRule="auto"/>
      </w:pPr>
      <w:r>
        <w:t>On the practice level, the SMD has been transformed into a vari</w:t>
      </w:r>
      <w:r w:rsidR="003B1441">
        <w:t xml:space="preserve">ety of real practices in the UK </w:t>
      </w:r>
      <w:r>
        <w:t>adult social care. Direct Payments that were initially establishe</w:t>
      </w:r>
      <w:r w:rsidR="003B1441">
        <w:t xml:space="preserve">d by the Community Care (Direct </w:t>
      </w:r>
      <w:r>
        <w:t xml:space="preserve">Payments) Act (1996) and expanded substantially by the </w:t>
      </w:r>
      <w:r w:rsidR="003B1441">
        <w:t xml:space="preserve">Care Act (2014) enable disabled </w:t>
      </w:r>
      <w:r>
        <w:t>individuals to fund their own support, which puts the SMD princi</w:t>
      </w:r>
      <w:r w:rsidR="003B1441">
        <w:t xml:space="preserve">ple of eliminating obstacles to </w:t>
      </w:r>
      <w:r>
        <w:t>independent living into practice (Glasby and Littlechild,</w:t>
      </w:r>
      <w:r w:rsidR="003B1441">
        <w:t xml:space="preserve"> 2016). The SMD is practised in </w:t>
      </w:r>
      <w:r>
        <w:t>grassroots through the Independent Living Movement that has offered peer support networks</w:t>
      </w:r>
      <w:r w:rsidR="003B1441">
        <w:t xml:space="preserve"> </w:t>
      </w:r>
      <w:r>
        <w:t>and practical assistance in identifying and challenging barriers, supported through Centres for</w:t>
      </w:r>
      <w:r w:rsidR="003B1441">
        <w:t xml:space="preserve"> </w:t>
      </w:r>
      <w:r>
        <w:t>Independent Living (CILs) throughout the UK. Moreover, the</w:t>
      </w:r>
      <w:r w:rsidR="003B1441">
        <w:t xml:space="preserve"> strengths-based practice model </w:t>
      </w:r>
      <w:r>
        <w:t>propagated by the Department of Health and Social Care (D</w:t>
      </w:r>
      <w:r w:rsidR="003B1441">
        <w:t xml:space="preserve">HSC, 2019) helps social workers </w:t>
      </w:r>
      <w:r>
        <w:t xml:space="preserve">pay attention to the abilities and aspirations of their individuals </w:t>
      </w:r>
      <w:r w:rsidR="003B1441">
        <w:t xml:space="preserve">instead of their weaknesses and </w:t>
      </w:r>
      <w:r>
        <w:t xml:space="preserve">greatly resembles the denial of the medical model promoted </w:t>
      </w:r>
      <w:r w:rsidR="003B1441">
        <w:t xml:space="preserve">by the SMD. The Disabled People </w:t>
      </w:r>
      <w:r>
        <w:t>Organisations (DPOs) have equally contributed towards co-producti</w:t>
      </w:r>
      <w:r w:rsidR="003B1441">
        <w:t xml:space="preserve">on of care assessment in </w:t>
      </w:r>
      <w:r>
        <w:t xml:space="preserve">the local authorities like Essex and Birmingham as part </w:t>
      </w:r>
      <w:r w:rsidR="003B1441">
        <w:t xml:space="preserve">of a significant change towards empowerment (Carr, 2010). </w:t>
      </w:r>
    </w:p>
    <w:p w14:paraId="5B452B0F" w14:textId="77777777" w:rsidR="00590093" w:rsidRDefault="00BA50B7" w:rsidP="00BA50B7">
      <w:pPr>
        <w:spacing w:line="360" w:lineRule="auto"/>
      </w:pPr>
      <w:r>
        <w:t>With these policy and practice developments, there are still c</w:t>
      </w:r>
      <w:r w:rsidR="003B1441">
        <w:t xml:space="preserve">onsiderable difficulties in the </w:t>
      </w:r>
      <w:r>
        <w:t>maintenance of the application of SMD principles into t</w:t>
      </w:r>
      <w:r w:rsidR="003B1441">
        <w:t xml:space="preserve">he adult social care. Austerity </w:t>
      </w:r>
      <w:r>
        <w:t>interventions that followed the 2010 Comprehensive Spending R</w:t>
      </w:r>
      <w:r w:rsidR="003B1441">
        <w:t xml:space="preserve">eview led to drastic reductions </w:t>
      </w:r>
      <w:r>
        <w:t xml:space="preserve">on adult social care budgets, which in essence compromised the </w:t>
      </w:r>
      <w:r w:rsidR="003B1441">
        <w:t xml:space="preserve">ability of local governments to </w:t>
      </w:r>
      <w:r>
        <w:t>provide personalised and barrier-free support (Local Governme</w:t>
      </w:r>
      <w:r w:rsidR="003B1441">
        <w:t xml:space="preserve">nt Association, 2023). This has </w:t>
      </w:r>
      <w:r>
        <w:t xml:space="preserve">resulted in a postcode lottery with the quality </w:t>
      </w:r>
      <w:r>
        <w:lastRenderedPageBreak/>
        <w:t>and access to person centred services having a</w:t>
      </w:r>
      <w:r w:rsidR="003B1441">
        <w:t xml:space="preserve"> </w:t>
      </w:r>
      <w:r>
        <w:t>dramatic difference based on geographical location and the resources th</w:t>
      </w:r>
      <w:r w:rsidR="003B1441">
        <w:t xml:space="preserve">at the local authority </w:t>
      </w:r>
      <w:r>
        <w:t xml:space="preserve">can bring into the picture which is a direct antithesis of </w:t>
      </w:r>
      <w:r w:rsidR="003B1441">
        <w:t xml:space="preserve">universalism ideals of the SMD. </w:t>
      </w:r>
      <w:r>
        <w:t>Beresford (2016) critically points out that co-production in adult s</w:t>
      </w:r>
      <w:r w:rsidR="003B1441">
        <w:t xml:space="preserve">ocial care has often been there </w:t>
      </w:r>
      <w:r>
        <w:t>solely in name only with disabled people being consult</w:t>
      </w:r>
      <w:r w:rsidR="003B1441">
        <w:t xml:space="preserve">ed rather than being given real </w:t>
      </w:r>
      <w:r>
        <w:t>partnerships and decisions based on professional and budgetar</w:t>
      </w:r>
      <w:r w:rsidR="003B1441">
        <w:t xml:space="preserve">y interests instead of the real </w:t>
      </w:r>
      <w:r>
        <w:t>goal of collaboration. The SMD has also been critiqued due to its l</w:t>
      </w:r>
      <w:r w:rsidR="003B1441">
        <w:t xml:space="preserve">ack of relevance to individuals </w:t>
      </w:r>
      <w:r>
        <w:t>with the most extreme impaired cognitive functions or with dement</w:t>
      </w:r>
      <w:r w:rsidR="003B1441">
        <w:t xml:space="preserve">ia, as an individual with these </w:t>
      </w:r>
      <w:r>
        <w:t xml:space="preserve">conditions may lack the ability to self-direct care and it is thus very </w:t>
      </w:r>
      <w:r w:rsidR="003B1441">
        <w:t xml:space="preserve">relevant to ask if the model is </w:t>
      </w:r>
      <w:r>
        <w:t>universal (Series, 2022). Lastly, Vernon (1999) highlights the topic of int</w:t>
      </w:r>
      <w:r w:rsidR="003B1441">
        <w:t xml:space="preserve">ersectionality, </w:t>
      </w:r>
      <w:r>
        <w:t>suggesting that the SMD does not adequately explain the inter</w:t>
      </w:r>
      <w:r w:rsidR="003B1441">
        <w:t xml:space="preserve">action between race, gender and </w:t>
      </w:r>
      <w:r>
        <w:t xml:space="preserve">class with the experience of disability, thus posing a threat </w:t>
      </w:r>
      <w:r w:rsidR="003B1441">
        <w:t xml:space="preserve">of marginalisation to those who </w:t>
      </w:r>
      <w:r>
        <w:t xml:space="preserve">experience multiple and cross forms of oppression in </w:t>
      </w:r>
      <w:r w:rsidR="003B1441">
        <w:t>the adult social care systems.</w:t>
      </w:r>
    </w:p>
    <w:p w14:paraId="7D3DB635" w14:textId="77777777" w:rsidR="00590093" w:rsidRDefault="003B1441" w:rsidP="00BA50B7">
      <w:pPr>
        <w:spacing w:line="360" w:lineRule="auto"/>
      </w:pPr>
      <w:r>
        <w:t xml:space="preserve"> </w:t>
      </w:r>
      <w:r w:rsidR="00BA50B7">
        <w:t>After critically analysing the Social Model of Disability (SMD) and i</w:t>
      </w:r>
      <w:r>
        <w:t xml:space="preserve">ts use in the context of the UK </w:t>
      </w:r>
      <w:r w:rsidR="00BA50B7">
        <w:t>adult social care, four evidence-based suggestions are pr</w:t>
      </w:r>
      <w:r>
        <w:t xml:space="preserve">ovided in order to overcome the </w:t>
      </w:r>
      <w:r w:rsidR="00BA50B7">
        <w:t>identified limitation and enhance the person-centred practice in the future.</w:t>
      </w:r>
      <w:r>
        <w:t xml:space="preserve"> </w:t>
      </w:r>
    </w:p>
    <w:p w14:paraId="38D6B558" w14:textId="77777777" w:rsidR="00590093" w:rsidRDefault="00BA50B7" w:rsidP="00BA50B7">
      <w:pPr>
        <w:spacing w:line="360" w:lineRule="auto"/>
      </w:pPr>
      <w:r>
        <w:t xml:space="preserve">To start with, disabled individuals should become relevant </w:t>
      </w:r>
      <w:r w:rsidR="003B1441">
        <w:t xml:space="preserve">in the process of designing and </w:t>
      </w:r>
      <w:r>
        <w:t xml:space="preserve">reviewing services, shifting to the superficial consultation to </w:t>
      </w:r>
      <w:r w:rsidR="003B1441">
        <w:t xml:space="preserve">the real partnering. The agency </w:t>
      </w:r>
      <w:r>
        <w:t>Think Local Act Personal (TLAP, 2019) has designed a practi</w:t>
      </w:r>
      <w:r w:rsidR="003B1441">
        <w:t xml:space="preserve">cal model of co-production that </w:t>
      </w:r>
      <w:r>
        <w:t xml:space="preserve">should be used by the local authorities. The main advantage is that services are closer to lived experience and trust is formed between professionals and service users. Nevertheless, true co-production is a resource-consuming initiative and, unless properly funded and equipped, may turn into a mere tokenism (Beresford, 2016). The local authorities should therefore be willing to believe in the principle and the practical conditions under which co-production can be given a real meaning. </w:t>
      </w:r>
    </w:p>
    <w:p w14:paraId="0EB39ABA" w14:textId="77777777" w:rsidR="00036B49" w:rsidRDefault="00BA50B7" w:rsidP="00BA50B7">
      <w:pPr>
        <w:spacing w:line="360" w:lineRule="auto"/>
      </w:pPr>
      <w:r>
        <w:t xml:space="preserve">Second, and closely related to the former, sustainable state investment in adult social care is the key to the realisation of the SMD principles in practice. Dilnot Report (2011) provided a clear proposal of long-term funding reform, and though the Health and Care Act (2022) slightly changed it, it was not properly implemented, and local authorities </w:t>
      </w:r>
      <w:r>
        <w:lastRenderedPageBreak/>
        <w:t>could not serve the increasing demand (Bottery, 2023). The personalisation agenda and the principles of barrier-removal of the SMD would be merely a dream without sufficient and sustained investment, which would only help to prolong the disparity in accessibility between the distinct geographical locations even further.</w:t>
      </w:r>
    </w:p>
    <w:p w14:paraId="08960C0F" w14:textId="77777777" w:rsidR="00036B49" w:rsidRDefault="00BA50B7" w:rsidP="00BA50B7">
      <w:pPr>
        <w:spacing w:line="360" w:lineRule="auto"/>
      </w:pPr>
      <w:r>
        <w:t xml:space="preserve"> Thirdly, a compulsory course on the SMD should be implemented to all health and social care professionals to make sure that there is gradual transition to the alternative to medicalised approaches based on the use of barriers, and person-centred practice. At present, although the professional standards of the Social Work England (2022) mention rights-based approaches, the standardised SMD training requirement is not present across all professional categories. Oliver and Barnes (2012) also suggest that no progressive legislative changes can make much difference in the daily lives of disabled people unless this is accompanied by a real cultural change in the professional practice. The main weakness in this is the financial burden of mass education and the possibility of cultural opposition in traditionally medicalised fields. </w:t>
      </w:r>
    </w:p>
    <w:p w14:paraId="0DE4BE41" w14:textId="1B4386C6" w:rsidR="00BA50B7" w:rsidRDefault="00BA50B7" w:rsidP="00BA50B7">
      <w:pPr>
        <w:spacing w:line="360" w:lineRule="auto"/>
      </w:pPr>
      <w:r>
        <w:t>Additionally, the policy of adult social care should consider the explicitly intersectional constructions, where disability, race, gender, and class interact with each other to escalate disadvantage. Crenshaw (1989) reveals that single axis approaches of equality never pass the fringe people. Although the Equality Act (2010) offers some legal basis due to its identification of several characteristics under protection, their intricate overlaps are seldom considered within the policy implementation (Vernon, 1999). Further intersectional information gathering, and more adaptable service designing would yield more fair and actually embracing results among all disabled individuals who get adult social care.</w:t>
      </w:r>
    </w:p>
    <w:p w14:paraId="08BBEC9D" w14:textId="77777777" w:rsidR="00E609EE" w:rsidRDefault="00E609EE" w:rsidP="00CF61E4">
      <w:pPr>
        <w:spacing w:line="360" w:lineRule="auto"/>
      </w:pPr>
    </w:p>
    <w:p w14:paraId="05F58286" w14:textId="622605C1" w:rsidR="00E609EE" w:rsidRDefault="00E609EE" w:rsidP="00CF61E4">
      <w:pPr>
        <w:spacing w:line="360" w:lineRule="auto"/>
      </w:pPr>
    </w:p>
    <w:p w14:paraId="67B79F7E" w14:textId="1DC9857C" w:rsidR="00BA50B7" w:rsidRDefault="00BA50B7" w:rsidP="00CF61E4">
      <w:pPr>
        <w:spacing w:line="360" w:lineRule="auto"/>
      </w:pPr>
    </w:p>
    <w:p w14:paraId="57129FF7" w14:textId="7E8FDCA7" w:rsidR="00BA50B7" w:rsidRDefault="00BA50B7" w:rsidP="00CF61E4">
      <w:pPr>
        <w:spacing w:line="360" w:lineRule="auto"/>
      </w:pPr>
    </w:p>
    <w:p w14:paraId="7010F454" w14:textId="0BC9CC9F" w:rsidR="00BA50B7" w:rsidRDefault="00BA50B7" w:rsidP="00CF61E4">
      <w:pPr>
        <w:spacing w:line="360" w:lineRule="auto"/>
      </w:pPr>
    </w:p>
    <w:p w14:paraId="65CAB0FE" w14:textId="38E8731E" w:rsidR="00BA50B7" w:rsidRDefault="00BA50B7" w:rsidP="00CF61E4">
      <w:pPr>
        <w:spacing w:line="360" w:lineRule="auto"/>
      </w:pPr>
    </w:p>
    <w:p w14:paraId="4C74ED7A" w14:textId="443F90F1" w:rsidR="00D47920" w:rsidRPr="00C315B9" w:rsidRDefault="00D47920" w:rsidP="00C315B9">
      <w:pPr>
        <w:pStyle w:val="Heading1"/>
        <w:rPr>
          <w:rFonts w:ascii="Arial" w:hAnsi="Arial" w:cs="Arial"/>
        </w:rPr>
      </w:pPr>
      <w:bookmarkStart w:id="4" w:name="_Toc1449786460"/>
      <w:bookmarkStart w:id="5" w:name="_Toc226912568"/>
      <w:bookmarkEnd w:id="2"/>
      <w:r w:rsidRPr="00C315B9">
        <w:rPr>
          <w:rFonts w:ascii="Arial" w:hAnsi="Arial" w:cs="Arial"/>
        </w:rPr>
        <w:lastRenderedPageBreak/>
        <w:t>Conclusion</w:t>
      </w:r>
      <w:bookmarkEnd w:id="4"/>
      <w:bookmarkEnd w:id="5"/>
      <w:r w:rsidRPr="00C315B9">
        <w:rPr>
          <w:rFonts w:ascii="Arial" w:hAnsi="Arial" w:cs="Arial"/>
        </w:rPr>
        <w:t xml:space="preserve"> </w:t>
      </w:r>
    </w:p>
    <w:p w14:paraId="195C68C5" w14:textId="71189986" w:rsidR="00AD5E47" w:rsidRPr="00BA50B7" w:rsidRDefault="00C315B9" w:rsidP="00C315B9">
      <w:pPr>
        <w:spacing w:line="360" w:lineRule="auto"/>
        <w:rPr>
          <w:rFonts w:ascii="Arial" w:hAnsi="Arial" w:cs="Arial"/>
          <w:lang w:val="en-US"/>
        </w:rPr>
      </w:pPr>
      <w:r w:rsidRPr="00BA50B7">
        <w:rPr>
          <w:rFonts w:ascii="Arial" w:hAnsi="Arial" w:cs="Arial"/>
          <w:lang w:val="en-US"/>
        </w:rPr>
        <w:t>Parting the Social Model of Disability has been revolutionary in redefining the UK health and social care, fundamentally questioning the medicalised concept of disability and centring the elimination of the social barriers as the central element of policy and practice. The model is based on UPIAS (1976) and has been improved by Oliver (1990), and is widely thought to have been influential on landmark legislation such as the Care Act (2014), the personalisation agenda and Direct Payments despite receiving significant criticisms by Shakespeare (2006) and Thomas (1999) over its approach to impairment. However, there is still a noticeable contradiction between the ideals of the model and the austerity reality, inconsistent application and tokenism of co-production in local authorities. The recommendations specified, authentic co-production, long-term financing, compulsory training of workforce, and intersectional guidelines provide a positive way of the future. After all, the history of struggle to attain truly person-centred adult social care involves a proactive policy pledge, as well as a deep-seated and lasting culture shift in professional practice as such.</w:t>
      </w:r>
    </w:p>
    <w:p w14:paraId="3CC74EF1" w14:textId="77777777" w:rsidR="00D47920" w:rsidRPr="00E609EE" w:rsidRDefault="00D47920" w:rsidP="00CF61E4">
      <w:pPr>
        <w:pStyle w:val="ListParagraph"/>
        <w:spacing w:line="360" w:lineRule="auto"/>
        <w:rPr>
          <w:rFonts w:ascii="Arial" w:hAnsi="Arial" w:cs="Arial"/>
          <w:sz w:val="22"/>
          <w:szCs w:val="22"/>
        </w:rPr>
      </w:pPr>
    </w:p>
    <w:p w14:paraId="7DE932D1" w14:textId="77777777" w:rsidR="00D47920" w:rsidRPr="00E609EE" w:rsidRDefault="00D47920" w:rsidP="00CF61E4">
      <w:pPr>
        <w:spacing w:line="360" w:lineRule="auto"/>
        <w:rPr>
          <w:rFonts w:ascii="Arial" w:hAnsi="Arial" w:cs="Arial"/>
          <w:sz w:val="22"/>
          <w:szCs w:val="22"/>
        </w:rPr>
      </w:pPr>
    </w:p>
    <w:p w14:paraId="63D25EDE" w14:textId="77777777" w:rsidR="00D47920" w:rsidRPr="00E609EE" w:rsidRDefault="00D47920" w:rsidP="00CF61E4">
      <w:pPr>
        <w:spacing w:line="360" w:lineRule="auto"/>
        <w:rPr>
          <w:rFonts w:ascii="Arial" w:hAnsi="Arial" w:cs="Arial"/>
          <w:sz w:val="22"/>
          <w:szCs w:val="22"/>
        </w:rPr>
      </w:pPr>
    </w:p>
    <w:p w14:paraId="26842E76" w14:textId="77777777" w:rsidR="00D47920" w:rsidRPr="00E609EE" w:rsidRDefault="00D47920" w:rsidP="00CF61E4">
      <w:pPr>
        <w:spacing w:line="360" w:lineRule="auto"/>
        <w:rPr>
          <w:rFonts w:ascii="Arial" w:hAnsi="Arial" w:cs="Arial"/>
          <w:sz w:val="22"/>
          <w:szCs w:val="22"/>
        </w:rPr>
      </w:pPr>
    </w:p>
    <w:p w14:paraId="206A573E" w14:textId="77777777" w:rsidR="00D47920" w:rsidRPr="00E609EE" w:rsidRDefault="00D47920" w:rsidP="00CF61E4">
      <w:pPr>
        <w:spacing w:line="360" w:lineRule="auto"/>
        <w:rPr>
          <w:rFonts w:ascii="Arial" w:hAnsi="Arial" w:cs="Arial"/>
          <w:sz w:val="22"/>
          <w:szCs w:val="22"/>
        </w:rPr>
      </w:pPr>
    </w:p>
    <w:p w14:paraId="16D8CB42" w14:textId="77777777" w:rsidR="00D47920" w:rsidRPr="00E609EE" w:rsidRDefault="00D47920" w:rsidP="00CF61E4">
      <w:pPr>
        <w:spacing w:line="360" w:lineRule="auto"/>
        <w:rPr>
          <w:rFonts w:ascii="Arial" w:hAnsi="Arial" w:cs="Arial"/>
          <w:sz w:val="22"/>
          <w:szCs w:val="22"/>
        </w:rPr>
      </w:pPr>
    </w:p>
    <w:p w14:paraId="410FA396" w14:textId="77777777" w:rsidR="00D47920" w:rsidRPr="00E609EE" w:rsidRDefault="00D47920" w:rsidP="00CF61E4">
      <w:pPr>
        <w:spacing w:line="360" w:lineRule="auto"/>
        <w:rPr>
          <w:rFonts w:ascii="Arial" w:hAnsi="Arial" w:cs="Arial"/>
          <w:sz w:val="22"/>
          <w:szCs w:val="22"/>
        </w:rPr>
      </w:pPr>
    </w:p>
    <w:p w14:paraId="7402022B" w14:textId="77777777" w:rsidR="00D47920" w:rsidRPr="00E609EE" w:rsidRDefault="00D47920" w:rsidP="00CF61E4">
      <w:pPr>
        <w:spacing w:line="360" w:lineRule="auto"/>
        <w:rPr>
          <w:rFonts w:ascii="Arial" w:hAnsi="Arial" w:cs="Arial"/>
          <w:sz w:val="22"/>
          <w:szCs w:val="22"/>
        </w:rPr>
      </w:pPr>
    </w:p>
    <w:p w14:paraId="6063EE2D" w14:textId="77777777" w:rsidR="00D47920" w:rsidRPr="00E609EE" w:rsidRDefault="00D47920" w:rsidP="00CF61E4">
      <w:pPr>
        <w:spacing w:line="360" w:lineRule="auto"/>
        <w:rPr>
          <w:rFonts w:ascii="Arial" w:hAnsi="Arial" w:cs="Arial"/>
          <w:sz w:val="22"/>
          <w:szCs w:val="22"/>
        </w:rPr>
      </w:pPr>
    </w:p>
    <w:p w14:paraId="6529C85A" w14:textId="77777777" w:rsidR="00D47920" w:rsidRPr="00E609EE" w:rsidRDefault="00D47920" w:rsidP="00CF61E4">
      <w:pPr>
        <w:spacing w:line="360" w:lineRule="auto"/>
        <w:rPr>
          <w:rFonts w:ascii="Arial" w:hAnsi="Arial" w:cs="Arial"/>
          <w:sz w:val="22"/>
          <w:szCs w:val="22"/>
        </w:rPr>
      </w:pPr>
    </w:p>
    <w:p w14:paraId="66A71242" w14:textId="6603B136" w:rsidR="00D47920" w:rsidRPr="00E609EE" w:rsidRDefault="00D47920" w:rsidP="00CF61E4">
      <w:pPr>
        <w:spacing w:line="360" w:lineRule="auto"/>
        <w:rPr>
          <w:rFonts w:ascii="Arial" w:hAnsi="Arial" w:cs="Arial"/>
          <w:sz w:val="22"/>
          <w:szCs w:val="22"/>
        </w:rPr>
      </w:pPr>
    </w:p>
    <w:p w14:paraId="34C28E44" w14:textId="77777777" w:rsidR="00D47920" w:rsidRDefault="00D47920" w:rsidP="00CF61E4">
      <w:pPr>
        <w:spacing w:line="360" w:lineRule="auto"/>
        <w:rPr>
          <w:rFonts w:ascii="Arial" w:hAnsi="Arial" w:cs="Arial"/>
          <w:sz w:val="22"/>
          <w:szCs w:val="22"/>
        </w:rPr>
      </w:pPr>
    </w:p>
    <w:p w14:paraId="2EC043EC" w14:textId="1E088481" w:rsidR="00D47920" w:rsidRPr="00C315B9" w:rsidRDefault="00D47920" w:rsidP="00C315B9">
      <w:pPr>
        <w:pStyle w:val="Heading1"/>
        <w:rPr>
          <w:rFonts w:ascii="Arial" w:hAnsi="Arial" w:cs="Arial"/>
        </w:rPr>
      </w:pPr>
      <w:bookmarkStart w:id="6" w:name="_Toc226912569"/>
      <w:bookmarkStart w:id="7" w:name="_Toc893786434"/>
      <w:r w:rsidRPr="00C315B9">
        <w:rPr>
          <w:rStyle w:val="Heading1Char"/>
          <w:rFonts w:ascii="Arial" w:hAnsi="Arial" w:cs="Arial"/>
        </w:rPr>
        <w:lastRenderedPageBreak/>
        <w:t>Reference</w:t>
      </w:r>
      <w:bookmarkEnd w:id="6"/>
      <w:r w:rsidRPr="00C315B9">
        <w:rPr>
          <w:rFonts w:ascii="Arial" w:hAnsi="Arial" w:cs="Arial"/>
        </w:rPr>
        <w:t xml:space="preserve"> </w:t>
      </w:r>
      <w:bookmarkEnd w:id="7"/>
    </w:p>
    <w:p w14:paraId="275C56D3" w14:textId="3D136CBB" w:rsidR="00C315B9" w:rsidRDefault="00C315B9" w:rsidP="00BA50B7">
      <w:pPr>
        <w:pStyle w:val="ListParagraph"/>
        <w:numPr>
          <w:ilvl w:val="0"/>
          <w:numId w:val="4"/>
        </w:numPr>
        <w:spacing w:line="360" w:lineRule="auto"/>
      </w:pPr>
      <w:r>
        <w:t>Barnes, C. and Mercer, G. (2010) Exploring Disability, 2n</w:t>
      </w:r>
      <w:r w:rsidR="00BA50B7">
        <w:t xml:space="preserve">d edn. Cambridge: Polity Press. </w:t>
      </w:r>
      <w:r>
        <w:t xml:space="preserve">Available at: </w:t>
      </w:r>
      <w:hyperlink r:id="rId7" w:history="1">
        <w:r w:rsidR="00BA50B7" w:rsidRPr="00356215">
          <w:rPr>
            <w:rStyle w:val="Hyperlink"/>
          </w:rPr>
          <w:t>https://www.politybooks.com/bookdetail?book_slug=exploring-disability2nd-edition--9780745634227</w:t>
        </w:r>
      </w:hyperlink>
      <w:r w:rsidR="00BA50B7">
        <w:t xml:space="preserve"> </w:t>
      </w:r>
      <w:r>
        <w:t>[Accessed: 21 March 2026]</w:t>
      </w:r>
    </w:p>
    <w:p w14:paraId="51564D98" w14:textId="2F5FDD63" w:rsidR="00C315B9" w:rsidRDefault="00C315B9" w:rsidP="00BA50B7">
      <w:pPr>
        <w:pStyle w:val="ListParagraph"/>
        <w:numPr>
          <w:ilvl w:val="0"/>
          <w:numId w:val="4"/>
        </w:numPr>
        <w:spacing w:line="360" w:lineRule="auto"/>
      </w:pPr>
      <w:r>
        <w:t>Bottery, S. (2023) Social Care 360. London: The</w:t>
      </w:r>
      <w:r w:rsidR="00BA50B7">
        <w:t xml:space="preserve"> King&amp;#39;s Fund. Available at: </w:t>
      </w:r>
      <w:hyperlink r:id="rId8" w:history="1">
        <w:r w:rsidR="00BA50B7" w:rsidRPr="00356215">
          <w:rPr>
            <w:rStyle w:val="Hyperlink"/>
          </w:rPr>
          <w:t>https://www.kingsfund.org.uk/publications/social-care-360</w:t>
        </w:r>
      </w:hyperlink>
      <w:r w:rsidR="00BA50B7">
        <w:t xml:space="preserve"> [Accessed: 11 March 2026]2Crenshaw, K. (1989) ‘</w:t>
      </w:r>
      <w:r>
        <w:t>Demarginalizing the i</w:t>
      </w:r>
      <w:r w:rsidR="00BA50B7">
        <w:t>ntersection of race and sex’</w:t>
      </w:r>
      <w:r>
        <w:t>, University</w:t>
      </w:r>
      <w:r w:rsidR="00BA50B7">
        <w:t xml:space="preserve"> </w:t>
      </w:r>
      <w:r>
        <w:t>of Chicago Legal Forum, 1989</w:t>
      </w:r>
      <w:r w:rsidR="00BA50B7">
        <w:t xml:space="preserve">(1), pp. 139–167. Available at: </w:t>
      </w:r>
      <w:hyperlink r:id="rId9" w:history="1">
        <w:r w:rsidR="00BA50B7" w:rsidRPr="00356215">
          <w:rPr>
            <w:rStyle w:val="Hyperlink"/>
          </w:rPr>
          <w:t>https://chicagounbound.uchicago.edu/uclf/vol1989/iss1/8</w:t>
        </w:r>
      </w:hyperlink>
      <w:r w:rsidR="00BA50B7">
        <w:t xml:space="preserve"> </w:t>
      </w:r>
      <w:r>
        <w:t>[Accessed: 12 March 2026]</w:t>
      </w:r>
    </w:p>
    <w:p w14:paraId="57FDE71E" w14:textId="11A344B6" w:rsidR="00C315B9" w:rsidRDefault="00C315B9" w:rsidP="00BA50B7">
      <w:pPr>
        <w:pStyle w:val="ListParagraph"/>
        <w:numPr>
          <w:ilvl w:val="0"/>
          <w:numId w:val="4"/>
        </w:numPr>
        <w:spacing w:line="360" w:lineRule="auto"/>
      </w:pPr>
      <w:r>
        <w:t>Carr, S. (2010) Personalisation: A Rough Guide, r</w:t>
      </w:r>
      <w:r w:rsidR="00BA50B7">
        <w:t xml:space="preserve">evised edn. London: Social Care </w:t>
      </w:r>
      <w:r>
        <w:t>Institute for Excellence. Ava</w:t>
      </w:r>
      <w:r w:rsidR="00BA50B7">
        <w:t xml:space="preserve">ilable at: </w:t>
      </w:r>
      <w:hyperlink r:id="rId10" w:history="1">
        <w:r w:rsidR="00BA50B7" w:rsidRPr="00356215">
          <w:rPr>
            <w:rStyle w:val="Hyperlink"/>
          </w:rPr>
          <w:t>https://www.scie.org.uk/publications/reports/report20.asp</w:t>
        </w:r>
      </w:hyperlink>
      <w:r w:rsidR="00BA50B7">
        <w:t xml:space="preserve"> </w:t>
      </w:r>
      <w:r>
        <w:t>[Accessed: 21 March 2026]</w:t>
      </w:r>
    </w:p>
    <w:p w14:paraId="679F0D7E" w14:textId="7219FA05" w:rsidR="00C315B9" w:rsidRDefault="00C315B9" w:rsidP="00BA50B7">
      <w:pPr>
        <w:pStyle w:val="ListParagraph"/>
        <w:numPr>
          <w:ilvl w:val="0"/>
          <w:numId w:val="4"/>
        </w:numPr>
        <w:spacing w:line="360" w:lineRule="auto"/>
      </w:pPr>
      <w:r>
        <w:t>Coulter, A. and Ellins, J. (2006) Patient-Focused</w:t>
      </w:r>
      <w:r w:rsidR="00BA50B7">
        <w:t xml:space="preserve"> Interventions: A Review of the </w:t>
      </w:r>
      <w:r>
        <w:t>Evidence. London: Picker Institute Europe</w:t>
      </w:r>
    </w:p>
    <w:p w14:paraId="2298863B" w14:textId="1B3780CE" w:rsidR="00C315B9" w:rsidRDefault="00C315B9" w:rsidP="00BA50B7">
      <w:pPr>
        <w:pStyle w:val="ListParagraph"/>
        <w:numPr>
          <w:ilvl w:val="0"/>
          <w:numId w:val="4"/>
        </w:numPr>
        <w:spacing w:line="360" w:lineRule="auto"/>
      </w:pPr>
      <w:r>
        <w:t>HM Government (2007) Putting People First: A Shar</w:t>
      </w:r>
      <w:r w:rsidR="00BA50B7">
        <w:t xml:space="preserve">ed Vision and Commitment to the </w:t>
      </w:r>
      <w:r>
        <w:t>Transformation of Adult Social Care. Londo</w:t>
      </w:r>
      <w:r w:rsidR="00BA50B7">
        <w:t xml:space="preserve">n: HM Government. Available at: </w:t>
      </w:r>
      <w:hyperlink r:id="rId11" w:history="1">
        <w:r w:rsidR="00BA50B7" w:rsidRPr="00356215">
          <w:rPr>
            <w:rStyle w:val="Hyperlink"/>
          </w:rPr>
          <w:t>https://webarchive.nationalarchives.gov.uk/ukgwa/20130107105354/http://www.dh.gov.uk/prod_consum_dh/groups/dh_digitalassets/@dh/@en/documents/digitalasset/dh_081119.pdf</w:t>
        </w:r>
      </w:hyperlink>
      <w:r w:rsidR="00BA50B7">
        <w:t xml:space="preserve"> </w:t>
      </w:r>
      <w:r>
        <w:t>[Accessed: 18 March 2026]</w:t>
      </w:r>
    </w:p>
    <w:p w14:paraId="636D16D4" w14:textId="15F990D3" w:rsidR="00C315B9" w:rsidRDefault="00C315B9" w:rsidP="00BA50B7">
      <w:pPr>
        <w:pStyle w:val="ListParagraph"/>
        <w:numPr>
          <w:ilvl w:val="0"/>
          <w:numId w:val="4"/>
        </w:numPr>
        <w:spacing w:line="360" w:lineRule="auto"/>
      </w:pPr>
      <w:r>
        <w:t>Local Government Association (2023) Adult Social Care: The Case for Reform. London:</w:t>
      </w:r>
      <w:r w:rsidR="00BA50B7">
        <w:t xml:space="preserve"> </w:t>
      </w:r>
      <w:r>
        <w:t xml:space="preserve">LGA. Available at: </w:t>
      </w:r>
      <w:hyperlink r:id="rId12" w:history="1">
        <w:r w:rsidR="00BA50B7" w:rsidRPr="00356215">
          <w:rPr>
            <w:rStyle w:val="Hyperlink"/>
          </w:rPr>
          <w:t>https://www.local.gov.uk/publications/adult-social-care-case-reform</w:t>
        </w:r>
      </w:hyperlink>
      <w:r w:rsidR="00BA50B7">
        <w:t xml:space="preserve"> </w:t>
      </w:r>
      <w:r>
        <w:t>[Accessed: 19 March 2026]</w:t>
      </w:r>
    </w:p>
    <w:p w14:paraId="6B11AE03" w14:textId="0E4D70FE" w:rsidR="00C315B9" w:rsidRDefault="00C315B9" w:rsidP="00BA50B7">
      <w:pPr>
        <w:pStyle w:val="ListParagraph"/>
        <w:numPr>
          <w:ilvl w:val="0"/>
          <w:numId w:val="4"/>
        </w:numPr>
        <w:spacing w:line="360" w:lineRule="auto"/>
      </w:pPr>
      <w:r>
        <w:t>M. (1996) Understanding Disability: From T</w:t>
      </w:r>
      <w:r w:rsidR="00BA50B7">
        <w:t xml:space="preserve">heory to Practice. Basingstoke: </w:t>
      </w:r>
      <w:r>
        <w:t>Macmillan</w:t>
      </w:r>
    </w:p>
    <w:p w14:paraId="2FD8022F" w14:textId="03DD273A" w:rsidR="00C315B9" w:rsidRDefault="00C315B9" w:rsidP="00BA50B7">
      <w:pPr>
        <w:pStyle w:val="ListParagraph"/>
        <w:numPr>
          <w:ilvl w:val="0"/>
          <w:numId w:val="4"/>
        </w:numPr>
        <w:spacing w:line="360" w:lineRule="auto"/>
      </w:pPr>
      <w:r>
        <w:t>Morris, J. (1991) Pride Against Prejudice: Transforming A</w:t>
      </w:r>
      <w:r w:rsidR="00BA50B7">
        <w:t>ttitudes to Disability. London: Women’</w:t>
      </w:r>
      <w:r>
        <w:t xml:space="preserve">s Press. Available at: </w:t>
      </w:r>
      <w:hyperlink r:id="rId13" w:history="1">
        <w:r w:rsidR="00BA50B7" w:rsidRPr="00356215">
          <w:rPr>
            <w:rStyle w:val="Hyperlink"/>
          </w:rPr>
          <w:t>https://disability-studies.leeds.ac.uk/library/</w:t>
        </w:r>
      </w:hyperlink>
      <w:r w:rsidR="00BA50B7">
        <w:t xml:space="preserve"> [Accessed: 21</w:t>
      </w:r>
      <w:r>
        <w:t>March 2026]</w:t>
      </w:r>
    </w:p>
    <w:p w14:paraId="7FB592AA" w14:textId="3144C4FB" w:rsidR="00C315B9" w:rsidRDefault="00C315B9" w:rsidP="00BA50B7">
      <w:pPr>
        <w:pStyle w:val="ListParagraph"/>
        <w:numPr>
          <w:ilvl w:val="0"/>
          <w:numId w:val="4"/>
        </w:numPr>
        <w:spacing w:line="360" w:lineRule="auto"/>
      </w:pPr>
      <w:r>
        <w:lastRenderedPageBreak/>
        <w:t>Nussbaum, M. (2006) Frontiers of Justice: Disability, N</w:t>
      </w:r>
      <w:r w:rsidR="00BA50B7">
        <w:t xml:space="preserve">ationality, Species Membership. </w:t>
      </w:r>
      <w:r>
        <w:t xml:space="preserve">Cambridge: Harvard </w:t>
      </w:r>
      <w:r w:rsidR="00BA50B7">
        <w:t xml:space="preserve">University Press. Available at: </w:t>
      </w:r>
      <w:hyperlink r:id="rId14" w:history="1">
        <w:r w:rsidR="00BA50B7" w:rsidRPr="00356215">
          <w:rPr>
            <w:rStyle w:val="Hyperlink"/>
          </w:rPr>
          <w:t>https://www.hup.harvard.edu/catalog.php?isbn=9780674024106</w:t>
        </w:r>
      </w:hyperlink>
      <w:r w:rsidR="00BA50B7">
        <w:t xml:space="preserve"> </w:t>
      </w:r>
      <w:r>
        <w:t>[Accessed: 21 March</w:t>
      </w:r>
      <w:r w:rsidR="00BA50B7">
        <w:t xml:space="preserve"> </w:t>
      </w:r>
      <w:r>
        <w:t>2026]</w:t>
      </w:r>
    </w:p>
    <w:p w14:paraId="5716E5CF" w14:textId="6B8C1F34" w:rsidR="00C315B9" w:rsidRDefault="00C315B9" w:rsidP="00BA50B7">
      <w:pPr>
        <w:pStyle w:val="ListParagraph"/>
        <w:numPr>
          <w:ilvl w:val="0"/>
          <w:numId w:val="4"/>
        </w:numPr>
        <w:spacing w:line="360" w:lineRule="auto"/>
      </w:pPr>
      <w:r>
        <w:t>Oliver, M. (1990) The Politics of Disablement. Basing</w:t>
      </w:r>
      <w:r w:rsidR="00EC31DE">
        <w:t>stoke: Macmillan. Available at:</w:t>
      </w:r>
      <w:hyperlink r:id="rId15" w:history="1">
        <w:r w:rsidR="00EC31DE" w:rsidRPr="00EC31DE">
          <w:rPr>
            <w:rStyle w:val="Hyperlink"/>
          </w:rPr>
          <w:t xml:space="preserve"> </w:t>
        </w:r>
        <w:r w:rsidRPr="00EC31DE">
          <w:rPr>
            <w:rStyle w:val="Hyperlink"/>
          </w:rPr>
          <w:t>https://disability-studies.leeds.ac.uk/library/</w:t>
        </w:r>
      </w:hyperlink>
    </w:p>
    <w:p w14:paraId="13EB8DA5" w14:textId="0D40A12F" w:rsidR="00C315B9" w:rsidRDefault="00C315B9" w:rsidP="00EC31DE">
      <w:pPr>
        <w:pStyle w:val="ListParagraph"/>
        <w:numPr>
          <w:ilvl w:val="0"/>
          <w:numId w:val="4"/>
        </w:numPr>
        <w:spacing w:line="360" w:lineRule="auto"/>
      </w:pPr>
      <w:r>
        <w:t>Oliver, M. and Barnes, C. (2012) The New Politi</w:t>
      </w:r>
      <w:r w:rsidR="00EC31DE">
        <w:t xml:space="preserve">cs of Disablement. Basingstoke: </w:t>
      </w:r>
      <w:r>
        <w:t xml:space="preserve">Palgrave Macmillan. Available at: </w:t>
      </w:r>
      <w:hyperlink r:id="rId16" w:history="1">
        <w:r w:rsidR="00EC31DE" w:rsidRPr="00356215">
          <w:rPr>
            <w:rStyle w:val="Hyperlink"/>
          </w:rPr>
          <w:t>https://link.springer.com/book/10.1007/978-0-230-39244-1</w:t>
        </w:r>
      </w:hyperlink>
      <w:r w:rsidR="00EC31DE">
        <w:t xml:space="preserve"> </w:t>
      </w:r>
      <w:r>
        <w:t>[Accessed: 21 March 2026]</w:t>
      </w:r>
    </w:p>
    <w:p w14:paraId="2E1EAB61" w14:textId="73612397" w:rsidR="00C315B9" w:rsidRDefault="00C315B9" w:rsidP="00EC31DE">
      <w:pPr>
        <w:pStyle w:val="ListParagraph"/>
        <w:numPr>
          <w:ilvl w:val="0"/>
          <w:numId w:val="4"/>
        </w:numPr>
        <w:spacing w:line="360" w:lineRule="auto"/>
      </w:pPr>
      <w:r>
        <w:t>Santana, M.J., Manalili, K., Jolley, R.J., Zelinsky, S., Quan, H</w:t>
      </w:r>
      <w:r w:rsidR="00EC31DE">
        <w:t xml:space="preserve">. and Lu, M. (2018) ‘How to </w:t>
      </w:r>
      <w:r>
        <w:t>practice person-centred care: A concep</w:t>
      </w:r>
      <w:r w:rsidR="00EC31DE">
        <w:t>tual framework’</w:t>
      </w:r>
      <w:r>
        <w:t>, Health Expectations, 21(2), pp.429–4403Oliver,</w:t>
      </w:r>
    </w:p>
    <w:p w14:paraId="4EF910EF" w14:textId="752E1C1C" w:rsidR="00C315B9" w:rsidRDefault="00C315B9" w:rsidP="00EC31DE">
      <w:pPr>
        <w:pStyle w:val="ListParagraph"/>
        <w:numPr>
          <w:ilvl w:val="0"/>
          <w:numId w:val="4"/>
        </w:numPr>
        <w:spacing w:line="360" w:lineRule="auto"/>
      </w:pPr>
      <w:r>
        <w:t>Sen, A. (1999) Development as Freedom. Oxford: Oxford University Press. Available at:</w:t>
      </w:r>
      <w:r w:rsidR="00EC31DE">
        <w:t xml:space="preserve"> </w:t>
      </w:r>
      <w:hyperlink r:id="rId17" w:history="1">
        <w:r w:rsidR="00EC31DE" w:rsidRPr="00356215">
          <w:rPr>
            <w:rStyle w:val="Hyperlink"/>
          </w:rPr>
          <w:t>https://global.oup.com/academic/product/development-as-freedom-9780198297581</w:t>
        </w:r>
      </w:hyperlink>
      <w:r w:rsidR="00EC31DE">
        <w:t xml:space="preserve"> </w:t>
      </w:r>
      <w:r>
        <w:t>[Accessed: 21 March 2026].</w:t>
      </w:r>
    </w:p>
    <w:p w14:paraId="45E7AB14" w14:textId="5A56AFB1" w:rsidR="00C315B9" w:rsidRDefault="00C315B9" w:rsidP="00EC31DE">
      <w:pPr>
        <w:pStyle w:val="ListParagraph"/>
        <w:numPr>
          <w:ilvl w:val="0"/>
          <w:numId w:val="4"/>
        </w:numPr>
        <w:spacing w:line="360" w:lineRule="auto"/>
      </w:pPr>
      <w:r>
        <w:t xml:space="preserve">Series, L. (2022) Mental Capacity: A Guide to the MCA </w:t>
      </w:r>
      <w:r w:rsidR="00EC31DE">
        <w:t xml:space="preserve">2005, 2nd edn. Bristol: Bristol </w:t>
      </w:r>
      <w:r>
        <w:t xml:space="preserve">University Press. Available at: </w:t>
      </w:r>
      <w:hyperlink r:id="rId18" w:history="1">
        <w:r w:rsidR="00EC31DE" w:rsidRPr="00356215">
          <w:rPr>
            <w:rStyle w:val="Hyperlink"/>
          </w:rPr>
          <w:t>https://bristoluniversitypress.co.uk/mental-capacity</w:t>
        </w:r>
      </w:hyperlink>
      <w:r w:rsidR="00EC31DE">
        <w:t xml:space="preserve"> </w:t>
      </w:r>
      <w:r>
        <w:t>[Accessed: 17 March 2026].</w:t>
      </w:r>
    </w:p>
    <w:p w14:paraId="35DC1BA1" w14:textId="5A6911DC" w:rsidR="00C315B9" w:rsidRDefault="00C315B9" w:rsidP="00EC31DE">
      <w:pPr>
        <w:pStyle w:val="ListParagraph"/>
        <w:numPr>
          <w:ilvl w:val="0"/>
          <w:numId w:val="4"/>
        </w:numPr>
        <w:spacing w:line="360" w:lineRule="auto"/>
      </w:pPr>
      <w:r>
        <w:t>Shakespeare, T. (2006) Disability Rights and Wrongs.</w:t>
      </w:r>
      <w:r w:rsidR="00EC31DE">
        <w:t xml:space="preserve"> Abingdon: Routledge. Available at: </w:t>
      </w:r>
      <w:hyperlink r:id="rId19" w:history="1">
        <w:r w:rsidRPr="00EC31DE">
          <w:rPr>
            <w:rStyle w:val="Hyperlink"/>
          </w:rPr>
          <w:t>https://www.routl</w:t>
        </w:r>
        <w:r w:rsidR="00EC31DE" w:rsidRPr="00EC31DE">
          <w:rPr>
            <w:rStyle w:val="Hyperlink"/>
          </w:rPr>
          <w:t>edge.com/Disability-Rights-and</w:t>
        </w:r>
        <w:r w:rsidRPr="00EC31DE">
          <w:rPr>
            <w:rStyle w:val="Hyperlink"/>
          </w:rPr>
          <w:t>Wrongs/Shakespeare/p/book/9780415348911</w:t>
        </w:r>
      </w:hyperlink>
    </w:p>
    <w:p w14:paraId="5BA51384" w14:textId="7F025A7B" w:rsidR="00C315B9" w:rsidRDefault="00C315B9" w:rsidP="00EC31DE">
      <w:pPr>
        <w:pStyle w:val="ListParagraph"/>
        <w:numPr>
          <w:ilvl w:val="0"/>
          <w:numId w:val="4"/>
        </w:numPr>
        <w:spacing w:line="360" w:lineRule="auto"/>
      </w:pPr>
      <w:r>
        <w:t>Swain</w:t>
      </w:r>
      <w:r w:rsidR="00EC31DE">
        <w:t>, J. and French, S. (2000) ‘</w:t>
      </w:r>
      <w:r>
        <w:t>Towards an affirmative model</w:t>
      </w:r>
      <w:r w:rsidR="00EC31DE">
        <w:t xml:space="preserve"> of disability’, Disability </w:t>
      </w:r>
      <w:r>
        <w:t>and Society, 15(4), p</w:t>
      </w:r>
      <w:r w:rsidR="00EC31DE">
        <w:t xml:space="preserve">p. 569–582. Available at: </w:t>
      </w:r>
      <w:hyperlink r:id="rId20" w:history="1">
        <w:r w:rsidR="00EC31DE" w:rsidRPr="00356215">
          <w:rPr>
            <w:rStyle w:val="Hyperlink"/>
          </w:rPr>
          <w:t>https://doi.org/10.1080/09687590050058189</w:t>
        </w:r>
      </w:hyperlink>
      <w:r w:rsidR="00EC31DE">
        <w:t xml:space="preserve"> </w:t>
      </w:r>
      <w:r>
        <w:t>[Accessed: 21 March 2026]</w:t>
      </w:r>
    </w:p>
    <w:p w14:paraId="3D4FE4A9" w14:textId="74F7F909" w:rsidR="00C315B9" w:rsidRDefault="00C315B9" w:rsidP="00EC31DE">
      <w:pPr>
        <w:pStyle w:val="ListParagraph"/>
        <w:numPr>
          <w:ilvl w:val="0"/>
          <w:numId w:val="4"/>
        </w:numPr>
        <w:spacing w:line="360" w:lineRule="auto"/>
      </w:pPr>
      <w:r>
        <w:t>Think Local Act Personal (TLAP) (2019) Co-product</w:t>
      </w:r>
      <w:r w:rsidR="00EC31DE">
        <w:t xml:space="preserve">ion: A Series of Conversations. </w:t>
      </w:r>
      <w:r>
        <w:t xml:space="preserve">London: TLAP. Available at: </w:t>
      </w:r>
      <w:hyperlink r:id="rId21" w:history="1">
        <w:r w:rsidR="00EC31DE" w:rsidRPr="00356215">
          <w:rPr>
            <w:rStyle w:val="Hyperlink"/>
          </w:rPr>
          <w:t>https://www.thinklocalactpersonal.org.uk/co-production</w:t>
        </w:r>
      </w:hyperlink>
      <w:r w:rsidR="00EC31DE">
        <w:t xml:space="preserve"> </w:t>
      </w:r>
      <w:r>
        <w:t>[Accessed: 13 March 2026]</w:t>
      </w:r>
    </w:p>
    <w:p w14:paraId="38E84E25" w14:textId="0415B016" w:rsidR="00C315B9" w:rsidRDefault="00C315B9" w:rsidP="00EC31DE">
      <w:pPr>
        <w:pStyle w:val="ListParagraph"/>
        <w:numPr>
          <w:ilvl w:val="0"/>
          <w:numId w:val="4"/>
        </w:numPr>
        <w:spacing w:line="360" w:lineRule="auto"/>
      </w:pPr>
      <w:r>
        <w:t>Thomas, C. (1999) Female Forms: Experiencin</w:t>
      </w:r>
      <w:r w:rsidR="00EC31DE">
        <w:t xml:space="preserve">g and Understanding Disability. </w:t>
      </w:r>
      <w:r>
        <w:t>Buckingham: Open University Press. Av</w:t>
      </w:r>
      <w:r w:rsidR="00EC31DE">
        <w:t xml:space="preserve">ailable at: </w:t>
      </w:r>
      <w:hyperlink r:id="rId22" w:history="1">
        <w:r w:rsidR="00EC31DE" w:rsidRPr="00356215">
          <w:rPr>
            <w:rStyle w:val="Hyperlink"/>
          </w:rPr>
          <w:t>https://disabilitystudies.leeds.ac.uk/library/</w:t>
        </w:r>
      </w:hyperlink>
      <w:r w:rsidR="00EC31DE">
        <w:t xml:space="preserve"> </w:t>
      </w:r>
      <w:r>
        <w:t xml:space="preserve">[Accessed: 21 March 2026] </w:t>
      </w:r>
    </w:p>
    <w:p w14:paraId="60035EC3" w14:textId="037E60D6" w:rsidR="00C315B9" w:rsidRDefault="00C315B9" w:rsidP="00C315B9">
      <w:pPr>
        <w:pStyle w:val="ListParagraph"/>
        <w:numPr>
          <w:ilvl w:val="0"/>
          <w:numId w:val="4"/>
        </w:numPr>
        <w:spacing w:line="360" w:lineRule="auto"/>
      </w:pPr>
      <w:r>
        <w:lastRenderedPageBreak/>
        <w:t>UPIAS (1976) Fundamental Principles of Disability. London: Union of the Physically Impaired Against Segregation. Available at:</w:t>
      </w:r>
      <w:r w:rsidR="00EC31DE">
        <w:t xml:space="preserve"> </w:t>
      </w:r>
      <w:hyperlink r:id="rId23" w:history="1">
        <w:r w:rsidR="00EC31DE" w:rsidRPr="00356215">
          <w:rPr>
            <w:rStyle w:val="Hyperlink"/>
          </w:rPr>
          <w:t>https://disabilitystudies.leeds.ac.uk/wpcontent/uploads/sites/40/library/UPIAS-fundamental-principles.pdf</w:t>
        </w:r>
      </w:hyperlink>
      <w:r>
        <w:t xml:space="preserve"> [Accessed: 21 March 2026].</w:t>
      </w:r>
    </w:p>
    <w:p w14:paraId="20056D61" w14:textId="60C042D7" w:rsidR="00C315B9" w:rsidRDefault="00C315B9" w:rsidP="00C315B9">
      <w:pPr>
        <w:pStyle w:val="ListParagraph"/>
        <w:numPr>
          <w:ilvl w:val="0"/>
          <w:numId w:val="4"/>
        </w:numPr>
        <w:spacing w:line="360" w:lineRule="auto"/>
      </w:pPr>
      <w:r>
        <w:t xml:space="preserve">Williams, G. (1999) ‘The genesis of chronic illness: narrative re-construction’, Sociology of Health and Illness, 6(2), pp. 175–200. Available at: </w:t>
      </w:r>
      <w:hyperlink r:id="rId24" w:history="1">
        <w:r w:rsidRPr="00356215">
          <w:rPr>
            <w:rStyle w:val="Hyperlink"/>
          </w:rPr>
          <w:t>https://doi.org/10.1111/14679566.ep10491531</w:t>
        </w:r>
      </w:hyperlink>
      <w:r>
        <w:t xml:space="preserve"> [Accessed: 11 March 2026]</w:t>
      </w:r>
    </w:p>
    <w:p w14:paraId="55C6D5DA" w14:textId="6E75538F" w:rsidR="00343704" w:rsidRPr="00343704" w:rsidRDefault="00C315B9" w:rsidP="00C315B9">
      <w:pPr>
        <w:pStyle w:val="ListParagraph"/>
        <w:numPr>
          <w:ilvl w:val="0"/>
          <w:numId w:val="4"/>
        </w:numPr>
        <w:spacing w:line="360" w:lineRule="auto"/>
      </w:pPr>
      <w:r>
        <w:t xml:space="preserve">World Health Organization (2001) International Classification of Functioning, Disability and Health. Geneva: WHO. Available at: </w:t>
      </w:r>
      <w:hyperlink r:id="rId25" w:history="1">
        <w:r w:rsidRPr="00356215">
          <w:rPr>
            <w:rStyle w:val="Hyperlink"/>
          </w:rPr>
          <w:t>https://www.who.int/classifications/icf/en/</w:t>
        </w:r>
      </w:hyperlink>
      <w:r>
        <w:t xml:space="preserve"> [Accessed: 21 March 2026].</w:t>
      </w:r>
    </w:p>
    <w:p w14:paraId="3D7F7745" w14:textId="77777777" w:rsidR="00D47920" w:rsidRDefault="00D47920" w:rsidP="00CF61E4">
      <w:pPr>
        <w:spacing w:line="360" w:lineRule="auto"/>
      </w:pPr>
    </w:p>
    <w:sectPr w:rsidR="00D479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3536D"/>
    <w:multiLevelType w:val="hybridMultilevel"/>
    <w:tmpl w:val="5A7CC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FC3120"/>
    <w:multiLevelType w:val="multilevel"/>
    <w:tmpl w:val="057837C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DE15874"/>
    <w:multiLevelType w:val="hybridMultilevel"/>
    <w:tmpl w:val="4A0C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D9055B"/>
    <w:multiLevelType w:val="multilevel"/>
    <w:tmpl w:val="4CD85432"/>
    <w:lvl w:ilvl="0">
      <w:start w:val="3"/>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698631761">
    <w:abstractNumId w:val="1"/>
  </w:num>
  <w:num w:numId="2" w16cid:durableId="1348363218">
    <w:abstractNumId w:val="2"/>
  </w:num>
  <w:num w:numId="3" w16cid:durableId="937951574">
    <w:abstractNumId w:val="3"/>
  </w:num>
  <w:num w:numId="4" w16cid:durableId="1524200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7920"/>
    <w:rsid w:val="00025553"/>
    <w:rsid w:val="00036B49"/>
    <w:rsid w:val="000B66E0"/>
    <w:rsid w:val="00272F8C"/>
    <w:rsid w:val="00343704"/>
    <w:rsid w:val="003516B8"/>
    <w:rsid w:val="003B1441"/>
    <w:rsid w:val="003B1FDA"/>
    <w:rsid w:val="003D43F4"/>
    <w:rsid w:val="003F5CB4"/>
    <w:rsid w:val="00443EF4"/>
    <w:rsid w:val="00506ABA"/>
    <w:rsid w:val="00583CDE"/>
    <w:rsid w:val="00590093"/>
    <w:rsid w:val="00606690"/>
    <w:rsid w:val="006A4D63"/>
    <w:rsid w:val="00750C8C"/>
    <w:rsid w:val="007D1FAF"/>
    <w:rsid w:val="007E10E3"/>
    <w:rsid w:val="008E63C9"/>
    <w:rsid w:val="00AD5E47"/>
    <w:rsid w:val="00AD7DDA"/>
    <w:rsid w:val="00B00AC4"/>
    <w:rsid w:val="00B07076"/>
    <w:rsid w:val="00B11D60"/>
    <w:rsid w:val="00B82B31"/>
    <w:rsid w:val="00B84E0F"/>
    <w:rsid w:val="00BA50B7"/>
    <w:rsid w:val="00BC49E7"/>
    <w:rsid w:val="00C315B9"/>
    <w:rsid w:val="00C3477A"/>
    <w:rsid w:val="00CE66BB"/>
    <w:rsid w:val="00CF61E4"/>
    <w:rsid w:val="00D07C71"/>
    <w:rsid w:val="00D40A31"/>
    <w:rsid w:val="00D47920"/>
    <w:rsid w:val="00D96FFF"/>
    <w:rsid w:val="00DD76BC"/>
    <w:rsid w:val="00E067F8"/>
    <w:rsid w:val="00E609EE"/>
    <w:rsid w:val="00E949FB"/>
    <w:rsid w:val="00EC31DE"/>
    <w:rsid w:val="00EE574D"/>
    <w:rsid w:val="00F05551"/>
    <w:rsid w:val="00F46D89"/>
    <w:rsid w:val="00F47167"/>
    <w:rsid w:val="00F53755"/>
    <w:rsid w:val="00F54E79"/>
    <w:rsid w:val="06AE6BAC"/>
    <w:rsid w:val="10B9B44E"/>
    <w:rsid w:val="13702EAD"/>
    <w:rsid w:val="55F3C1ED"/>
    <w:rsid w:val="5A8AF2BF"/>
    <w:rsid w:val="6E8059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306C1"/>
  <w15:chartTrackingRefBased/>
  <w15:docId w15:val="{33C252E9-CC6F-4D4A-838B-BAF844950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9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79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79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79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79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79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79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79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79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79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79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79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79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79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79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79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7920"/>
    <w:rPr>
      <w:rFonts w:eastAsiaTheme="majorEastAsia" w:cstheme="majorBidi"/>
      <w:color w:val="272727" w:themeColor="text1" w:themeTint="D8"/>
    </w:rPr>
  </w:style>
  <w:style w:type="paragraph" w:styleId="Title">
    <w:name w:val="Title"/>
    <w:basedOn w:val="Normal"/>
    <w:next w:val="Normal"/>
    <w:link w:val="TitleChar"/>
    <w:uiPriority w:val="10"/>
    <w:qFormat/>
    <w:rsid w:val="00D479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79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79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79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7920"/>
    <w:pPr>
      <w:spacing w:before="160"/>
      <w:jc w:val="center"/>
    </w:pPr>
    <w:rPr>
      <w:i/>
      <w:iCs/>
      <w:color w:val="404040" w:themeColor="text1" w:themeTint="BF"/>
    </w:rPr>
  </w:style>
  <w:style w:type="character" w:customStyle="1" w:styleId="QuoteChar">
    <w:name w:val="Quote Char"/>
    <w:basedOn w:val="DefaultParagraphFont"/>
    <w:link w:val="Quote"/>
    <w:uiPriority w:val="29"/>
    <w:rsid w:val="00D47920"/>
    <w:rPr>
      <w:i/>
      <w:iCs/>
      <w:color w:val="404040" w:themeColor="text1" w:themeTint="BF"/>
    </w:rPr>
  </w:style>
  <w:style w:type="paragraph" w:styleId="ListParagraph">
    <w:name w:val="List Paragraph"/>
    <w:basedOn w:val="Normal"/>
    <w:uiPriority w:val="34"/>
    <w:qFormat/>
    <w:rsid w:val="00D47920"/>
    <w:pPr>
      <w:ind w:left="720"/>
      <w:contextualSpacing/>
    </w:pPr>
  </w:style>
  <w:style w:type="character" w:styleId="IntenseEmphasis">
    <w:name w:val="Intense Emphasis"/>
    <w:basedOn w:val="DefaultParagraphFont"/>
    <w:uiPriority w:val="21"/>
    <w:qFormat/>
    <w:rsid w:val="00D47920"/>
    <w:rPr>
      <w:i/>
      <w:iCs/>
      <w:color w:val="0F4761" w:themeColor="accent1" w:themeShade="BF"/>
    </w:rPr>
  </w:style>
  <w:style w:type="paragraph" w:styleId="IntenseQuote">
    <w:name w:val="Intense Quote"/>
    <w:basedOn w:val="Normal"/>
    <w:next w:val="Normal"/>
    <w:link w:val="IntenseQuoteChar"/>
    <w:uiPriority w:val="30"/>
    <w:qFormat/>
    <w:rsid w:val="00D479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7920"/>
    <w:rPr>
      <w:i/>
      <w:iCs/>
      <w:color w:val="0F4761" w:themeColor="accent1" w:themeShade="BF"/>
    </w:rPr>
  </w:style>
  <w:style w:type="character" w:styleId="IntenseReference">
    <w:name w:val="Intense Reference"/>
    <w:basedOn w:val="DefaultParagraphFont"/>
    <w:uiPriority w:val="32"/>
    <w:qFormat/>
    <w:rsid w:val="00D47920"/>
    <w:rPr>
      <w:b/>
      <w:bCs/>
      <w:smallCaps/>
      <w:color w:val="0F4761" w:themeColor="accent1" w:themeShade="BF"/>
      <w:spacing w:val="5"/>
    </w:rPr>
  </w:style>
  <w:style w:type="paragraph" w:styleId="TOCHeading">
    <w:name w:val="TOC Heading"/>
    <w:basedOn w:val="Heading1"/>
    <w:next w:val="Normal"/>
    <w:uiPriority w:val="39"/>
    <w:unhideWhenUsed/>
    <w:qFormat/>
    <w:rsid w:val="00B84E0F"/>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B84E0F"/>
    <w:pPr>
      <w:spacing w:before="120" w:after="0"/>
    </w:pPr>
    <w:rPr>
      <w:b/>
      <w:bCs/>
      <w:i/>
      <w:iCs/>
    </w:rPr>
  </w:style>
  <w:style w:type="paragraph" w:styleId="TOC2">
    <w:name w:val="toc 2"/>
    <w:basedOn w:val="Normal"/>
    <w:next w:val="Normal"/>
    <w:autoRedefine/>
    <w:uiPriority w:val="39"/>
    <w:unhideWhenUsed/>
    <w:rsid w:val="00B84E0F"/>
    <w:pPr>
      <w:spacing w:before="120" w:after="0"/>
      <w:ind w:left="240"/>
    </w:pPr>
    <w:rPr>
      <w:b/>
      <w:bCs/>
      <w:sz w:val="22"/>
      <w:szCs w:val="22"/>
    </w:rPr>
  </w:style>
  <w:style w:type="character" w:styleId="Hyperlink">
    <w:name w:val="Hyperlink"/>
    <w:basedOn w:val="DefaultParagraphFont"/>
    <w:uiPriority w:val="99"/>
    <w:unhideWhenUsed/>
    <w:rsid w:val="00B84E0F"/>
    <w:rPr>
      <w:color w:val="467886" w:themeColor="hyperlink"/>
      <w:u w:val="single"/>
    </w:rPr>
  </w:style>
  <w:style w:type="paragraph" w:styleId="TOC3">
    <w:name w:val="toc 3"/>
    <w:basedOn w:val="Normal"/>
    <w:next w:val="Normal"/>
    <w:autoRedefine/>
    <w:uiPriority w:val="39"/>
    <w:unhideWhenUsed/>
    <w:rsid w:val="00B84E0F"/>
    <w:pPr>
      <w:spacing w:after="0"/>
      <w:ind w:left="480"/>
    </w:pPr>
    <w:rPr>
      <w:sz w:val="20"/>
      <w:szCs w:val="20"/>
    </w:rPr>
  </w:style>
  <w:style w:type="paragraph" w:styleId="TOC4">
    <w:name w:val="toc 4"/>
    <w:basedOn w:val="Normal"/>
    <w:next w:val="Normal"/>
    <w:autoRedefine/>
    <w:uiPriority w:val="39"/>
    <w:semiHidden/>
    <w:unhideWhenUsed/>
    <w:rsid w:val="00B84E0F"/>
    <w:pPr>
      <w:spacing w:after="0"/>
      <w:ind w:left="720"/>
    </w:pPr>
    <w:rPr>
      <w:sz w:val="20"/>
      <w:szCs w:val="20"/>
    </w:rPr>
  </w:style>
  <w:style w:type="paragraph" w:styleId="TOC5">
    <w:name w:val="toc 5"/>
    <w:basedOn w:val="Normal"/>
    <w:next w:val="Normal"/>
    <w:autoRedefine/>
    <w:uiPriority w:val="39"/>
    <w:semiHidden/>
    <w:unhideWhenUsed/>
    <w:rsid w:val="00B84E0F"/>
    <w:pPr>
      <w:spacing w:after="0"/>
      <w:ind w:left="960"/>
    </w:pPr>
    <w:rPr>
      <w:sz w:val="20"/>
      <w:szCs w:val="20"/>
    </w:rPr>
  </w:style>
  <w:style w:type="paragraph" w:styleId="TOC6">
    <w:name w:val="toc 6"/>
    <w:basedOn w:val="Normal"/>
    <w:next w:val="Normal"/>
    <w:autoRedefine/>
    <w:uiPriority w:val="39"/>
    <w:semiHidden/>
    <w:unhideWhenUsed/>
    <w:rsid w:val="00B84E0F"/>
    <w:pPr>
      <w:spacing w:after="0"/>
      <w:ind w:left="1200"/>
    </w:pPr>
    <w:rPr>
      <w:sz w:val="20"/>
      <w:szCs w:val="20"/>
    </w:rPr>
  </w:style>
  <w:style w:type="paragraph" w:styleId="TOC7">
    <w:name w:val="toc 7"/>
    <w:basedOn w:val="Normal"/>
    <w:next w:val="Normal"/>
    <w:autoRedefine/>
    <w:uiPriority w:val="39"/>
    <w:semiHidden/>
    <w:unhideWhenUsed/>
    <w:rsid w:val="00B84E0F"/>
    <w:pPr>
      <w:spacing w:after="0"/>
      <w:ind w:left="1440"/>
    </w:pPr>
    <w:rPr>
      <w:sz w:val="20"/>
      <w:szCs w:val="20"/>
    </w:rPr>
  </w:style>
  <w:style w:type="paragraph" w:styleId="TOC8">
    <w:name w:val="toc 8"/>
    <w:basedOn w:val="Normal"/>
    <w:next w:val="Normal"/>
    <w:autoRedefine/>
    <w:uiPriority w:val="39"/>
    <w:semiHidden/>
    <w:unhideWhenUsed/>
    <w:rsid w:val="00B84E0F"/>
    <w:pPr>
      <w:spacing w:after="0"/>
      <w:ind w:left="1680"/>
    </w:pPr>
    <w:rPr>
      <w:sz w:val="20"/>
      <w:szCs w:val="20"/>
    </w:rPr>
  </w:style>
  <w:style w:type="paragraph" w:styleId="TOC9">
    <w:name w:val="toc 9"/>
    <w:basedOn w:val="Normal"/>
    <w:next w:val="Normal"/>
    <w:autoRedefine/>
    <w:uiPriority w:val="39"/>
    <w:semiHidden/>
    <w:unhideWhenUsed/>
    <w:rsid w:val="00B84E0F"/>
    <w:pPr>
      <w:spacing w:after="0"/>
      <w:ind w:left="1920"/>
    </w:pPr>
    <w:rPr>
      <w:sz w:val="20"/>
      <w:szCs w:val="20"/>
    </w:rPr>
  </w:style>
  <w:style w:type="character" w:styleId="Strong">
    <w:name w:val="Strong"/>
    <w:basedOn w:val="DefaultParagraphFont"/>
    <w:uiPriority w:val="22"/>
    <w:qFormat/>
    <w:rsid w:val="00583CDE"/>
    <w:rPr>
      <w:b/>
      <w:bCs/>
    </w:rPr>
  </w:style>
  <w:style w:type="character" w:styleId="Emphasis">
    <w:name w:val="Emphasis"/>
    <w:basedOn w:val="DefaultParagraphFont"/>
    <w:uiPriority w:val="20"/>
    <w:qFormat/>
    <w:rsid w:val="00583C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7151156">
      <w:bodyDiv w:val="1"/>
      <w:marLeft w:val="0"/>
      <w:marRight w:val="0"/>
      <w:marTop w:val="0"/>
      <w:marBottom w:val="0"/>
      <w:divBdr>
        <w:top w:val="none" w:sz="0" w:space="0" w:color="auto"/>
        <w:left w:val="none" w:sz="0" w:space="0" w:color="auto"/>
        <w:bottom w:val="none" w:sz="0" w:space="0" w:color="auto"/>
        <w:right w:val="none" w:sz="0" w:space="0" w:color="auto"/>
      </w:divBdr>
    </w:div>
    <w:div w:id="1051461036">
      <w:bodyDiv w:val="1"/>
      <w:marLeft w:val="0"/>
      <w:marRight w:val="0"/>
      <w:marTop w:val="0"/>
      <w:marBottom w:val="0"/>
      <w:divBdr>
        <w:top w:val="none" w:sz="0" w:space="0" w:color="auto"/>
        <w:left w:val="none" w:sz="0" w:space="0" w:color="auto"/>
        <w:bottom w:val="none" w:sz="0" w:space="0" w:color="auto"/>
        <w:right w:val="none" w:sz="0" w:space="0" w:color="auto"/>
      </w:divBdr>
    </w:div>
    <w:div w:id="1163356636">
      <w:bodyDiv w:val="1"/>
      <w:marLeft w:val="0"/>
      <w:marRight w:val="0"/>
      <w:marTop w:val="0"/>
      <w:marBottom w:val="0"/>
      <w:divBdr>
        <w:top w:val="none" w:sz="0" w:space="0" w:color="auto"/>
        <w:left w:val="none" w:sz="0" w:space="0" w:color="auto"/>
        <w:bottom w:val="none" w:sz="0" w:space="0" w:color="auto"/>
        <w:right w:val="none" w:sz="0" w:space="0" w:color="auto"/>
      </w:divBdr>
    </w:div>
    <w:div w:id="1519008887">
      <w:bodyDiv w:val="1"/>
      <w:marLeft w:val="0"/>
      <w:marRight w:val="0"/>
      <w:marTop w:val="0"/>
      <w:marBottom w:val="0"/>
      <w:divBdr>
        <w:top w:val="none" w:sz="0" w:space="0" w:color="auto"/>
        <w:left w:val="none" w:sz="0" w:space="0" w:color="auto"/>
        <w:bottom w:val="none" w:sz="0" w:space="0" w:color="auto"/>
        <w:right w:val="none" w:sz="0" w:space="0" w:color="auto"/>
      </w:divBdr>
    </w:div>
    <w:div w:id="213702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publications/social-care-360" TargetMode="External"/><Relationship Id="rId13" Type="http://schemas.openxmlformats.org/officeDocument/2006/relationships/hyperlink" Target="https://disability-studies.leeds.ac.uk/library/" TargetMode="External"/><Relationship Id="rId18" Type="http://schemas.openxmlformats.org/officeDocument/2006/relationships/hyperlink" Target="https://bristoluniversitypress.co.uk/mental-capacit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thinklocalactpersonal.org.uk/co-production" TargetMode="External"/><Relationship Id="rId7" Type="http://schemas.openxmlformats.org/officeDocument/2006/relationships/hyperlink" Target="https://www.politybooks.com/bookdetail?book_slug=exploring-disability2nd-edition--9780745634227" TargetMode="External"/><Relationship Id="rId12" Type="http://schemas.openxmlformats.org/officeDocument/2006/relationships/hyperlink" Target="https://www.local.gov.uk/publications/adult-social-care-case-reform" TargetMode="External"/><Relationship Id="rId17" Type="http://schemas.openxmlformats.org/officeDocument/2006/relationships/hyperlink" Target="https://global.oup.com/academic/product/development-as-freedom-9780198297581" TargetMode="External"/><Relationship Id="rId25" Type="http://schemas.openxmlformats.org/officeDocument/2006/relationships/hyperlink" Target="https://www.who.int/classifications/icf/en/" TargetMode="External"/><Relationship Id="rId2" Type="http://schemas.openxmlformats.org/officeDocument/2006/relationships/numbering" Target="numbering.xml"/><Relationship Id="rId16" Type="http://schemas.openxmlformats.org/officeDocument/2006/relationships/hyperlink" Target="https://link.springer.com/book/10.1007/978-0-230-39244-1" TargetMode="External"/><Relationship Id="rId20" Type="http://schemas.openxmlformats.org/officeDocument/2006/relationships/hyperlink" Target="https://doi.org/10.1080/09687590050058189"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ebarchive.nationalarchives.gov.uk/ukgwa/20130107105354/http://www.dh.gov.uk/prod_consum_dh/groups/dh_digitalassets/@dh/@en/documents/digitalasset/dh_081119.pdf" TargetMode="External"/><Relationship Id="rId24" Type="http://schemas.openxmlformats.org/officeDocument/2006/relationships/hyperlink" Target="https://doi.org/10.1111/14679566.ep10491531" TargetMode="External"/><Relationship Id="rId5" Type="http://schemas.openxmlformats.org/officeDocument/2006/relationships/webSettings" Target="webSettings.xml"/><Relationship Id="rId15" Type="http://schemas.openxmlformats.org/officeDocument/2006/relationships/hyperlink" Target="%20https:/disability-studies.leeds.ac.uk/library/" TargetMode="External"/><Relationship Id="rId23" Type="http://schemas.openxmlformats.org/officeDocument/2006/relationships/hyperlink" Target="https://disabilitystudies.leeds.ac.uk/wpcontent/uploads/sites/40/library/UPIAS-fundamental-principles.pdf" TargetMode="External"/><Relationship Id="rId10" Type="http://schemas.openxmlformats.org/officeDocument/2006/relationships/hyperlink" Target="https://www.scie.org.uk/publications/reports/report20.asp" TargetMode="External"/><Relationship Id="rId19" Type="http://schemas.openxmlformats.org/officeDocument/2006/relationships/hyperlink" Target="https://www.routledge.com/Disability-Rights-andWrongs/Shakespeare/p/book/9780415348911" TargetMode="External"/><Relationship Id="rId4" Type="http://schemas.openxmlformats.org/officeDocument/2006/relationships/settings" Target="settings.xml"/><Relationship Id="rId9" Type="http://schemas.openxmlformats.org/officeDocument/2006/relationships/hyperlink" Target="https://chicagounbound.uchicago.edu/uclf/vol1989/iss1/8" TargetMode="External"/><Relationship Id="rId14" Type="http://schemas.openxmlformats.org/officeDocument/2006/relationships/hyperlink" Target="https://www.hup.harvard.edu/catalog.php?isbn=9780674024106" TargetMode="External"/><Relationship Id="rId22" Type="http://schemas.openxmlformats.org/officeDocument/2006/relationships/hyperlink" Target="https://disabilitystudies.leeds.ac.uk/libra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8FB25-1588-488F-BDDD-5D216BE45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3161</Words>
  <Characters>18024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cheila patricia tavares</cp:lastModifiedBy>
  <cp:revision>4</cp:revision>
  <dcterms:created xsi:type="dcterms:W3CDTF">2026-04-12T17:56:00Z</dcterms:created>
  <dcterms:modified xsi:type="dcterms:W3CDTF">2026-04-27T19:44:00Z</dcterms:modified>
</cp:coreProperties>
</file>