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B0D7649" w14:textId="044DD532"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7E1888EF"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14:paraId="0E4A258C" w14:textId="77777777" w:rsidR="008375B5" w:rsidRDefault="008375B5" w:rsidP="008375B5">
      <w:pPr>
        <w:spacing w:line="360" w:lineRule="auto"/>
        <w:jc w:val="center"/>
        <w:rPr>
          <w:rStyle w:val="Strong"/>
          <w:rFonts w:ascii="Arial" w:hAnsi="Arial" w:cs="Arial"/>
          <w:color w:val="1D2125"/>
          <w:sz w:val="36"/>
          <w:szCs w:val="36"/>
        </w:rPr>
      </w:pPr>
    </w:p>
    <w:p w14:paraId="4D8F34EA" w14:textId="77777777" w:rsidR="008375B5" w:rsidRDefault="008375B5" w:rsidP="008375B5">
      <w:pPr>
        <w:spacing w:line="360" w:lineRule="auto"/>
        <w:jc w:val="center"/>
        <w:rPr>
          <w:rStyle w:val="Strong"/>
          <w:rFonts w:ascii="Arial" w:hAnsi="Arial" w:cs="Arial"/>
          <w:color w:val="1D2125"/>
          <w:sz w:val="36"/>
          <w:szCs w:val="36"/>
        </w:rPr>
      </w:pPr>
    </w:p>
    <w:p w14:paraId="09EDD2AC" w14:textId="77777777" w:rsidR="008375B5"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 Written Report</w:t>
      </w:r>
    </w:p>
    <w:p w14:paraId="03B7C5EA" w14:textId="77777777" w:rsidR="008375B5" w:rsidRDefault="008375B5" w:rsidP="008375B5">
      <w:pPr>
        <w:spacing w:line="360" w:lineRule="auto"/>
        <w:rPr>
          <w:rStyle w:val="Strong"/>
          <w:rFonts w:ascii="Arial" w:hAnsi="Arial" w:cs="Arial"/>
          <w:color w:val="1D2125"/>
          <w:sz w:val="32"/>
          <w:szCs w:val="32"/>
        </w:rPr>
      </w:pPr>
    </w:p>
    <w:p w14:paraId="3C3042AD" w14:textId="23C28E55"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AA6F71">
        <w:rPr>
          <w:rStyle w:val="Strong"/>
          <w:rFonts w:ascii="Arial" w:hAnsi="Arial" w:cs="Arial"/>
          <w:color w:val="1D2125"/>
          <w:sz w:val="32"/>
          <w:szCs w:val="32"/>
        </w:rPr>
        <w:t xml:space="preserve"> Noemi Putz</w:t>
      </w:r>
    </w:p>
    <w:p w14:paraId="227AC82E" w14:textId="20FBD324"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AA6F71">
        <w:rPr>
          <w:rStyle w:val="Strong"/>
          <w:rFonts w:ascii="Arial" w:hAnsi="Arial" w:cs="Arial"/>
          <w:color w:val="1D2125"/>
          <w:sz w:val="32"/>
          <w:szCs w:val="32"/>
        </w:rPr>
        <w:t xml:space="preserve"> </w:t>
      </w:r>
      <w:r w:rsidR="00476FAE">
        <w:rPr>
          <w:rStyle w:val="Strong"/>
          <w:rFonts w:ascii="Arial" w:hAnsi="Arial" w:cs="Arial"/>
          <w:color w:val="1D2125"/>
          <w:sz w:val="32"/>
          <w:szCs w:val="32"/>
        </w:rPr>
        <w:t>2336726</w:t>
      </w:r>
    </w:p>
    <w:p w14:paraId="5B5E64AD" w14:textId="253A09A1"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476FAE">
        <w:rPr>
          <w:rStyle w:val="Strong"/>
          <w:rFonts w:ascii="Arial" w:hAnsi="Arial" w:cs="Arial"/>
          <w:color w:val="1D2125"/>
          <w:sz w:val="32"/>
          <w:szCs w:val="32"/>
        </w:rPr>
        <w:t xml:space="preserve"> </w:t>
      </w:r>
      <w:r w:rsidR="00737C77">
        <w:rPr>
          <w:rStyle w:val="Strong"/>
          <w:rFonts w:ascii="Arial" w:hAnsi="Arial" w:cs="Arial"/>
          <w:color w:val="1D2125"/>
          <w:sz w:val="32"/>
          <w:szCs w:val="32"/>
        </w:rPr>
        <w:t>Ping Wu</w:t>
      </w:r>
    </w:p>
    <w:p w14:paraId="4F492421" w14:textId="77777777" w:rsidR="008375B5" w:rsidRDefault="008375B5" w:rsidP="008375B5">
      <w:pPr>
        <w:spacing w:line="360" w:lineRule="auto"/>
        <w:rPr>
          <w:sz w:val="36"/>
          <w:szCs w:val="36"/>
        </w:rPr>
      </w:pPr>
    </w:p>
    <w:p w14:paraId="43FBD350" w14:textId="77777777" w:rsidR="008375B5" w:rsidRDefault="008375B5" w:rsidP="008375B5">
      <w:pPr>
        <w:spacing w:line="360" w:lineRule="auto"/>
        <w:rPr>
          <w:rFonts w:ascii="Arial" w:hAnsi="Arial" w:cs="Arial"/>
          <w:sz w:val="36"/>
          <w:szCs w:val="36"/>
        </w:rPr>
      </w:pPr>
    </w:p>
    <w:p w14:paraId="2EE68F49" w14:textId="77777777" w:rsidR="008375B5" w:rsidRDefault="008375B5" w:rsidP="008375B5">
      <w:pPr>
        <w:spacing w:line="360" w:lineRule="auto"/>
        <w:rPr>
          <w:rFonts w:ascii="Arial" w:hAnsi="Arial" w:cs="Arial"/>
          <w:sz w:val="36"/>
          <w:szCs w:val="36"/>
        </w:rPr>
      </w:pPr>
    </w:p>
    <w:p w14:paraId="1EDC1B14" w14:textId="4F2B5268" w:rsidR="00AD0233" w:rsidRPr="00F42726" w:rsidRDefault="00AD0233" w:rsidP="00F113A4">
      <w:pPr>
        <w:pStyle w:val="NormalWeb"/>
        <w:spacing w:line="720" w:lineRule="auto"/>
        <w:rPr>
          <w:rFonts w:ascii="Arial" w:hAnsi="Arial" w:cs="Arial"/>
          <w:b/>
          <w:bCs/>
          <w:color w:val="000000"/>
          <w:sz w:val="28"/>
          <w:szCs w:val="28"/>
          <w:u w:val="single"/>
        </w:rPr>
      </w:pPr>
    </w:p>
    <w:sdt>
      <w:sdtPr>
        <w:id w:val="969007301"/>
        <w:docPartObj>
          <w:docPartGallery w:val="Table of Contents"/>
          <w:docPartUnique/>
        </w:docPartObj>
      </w:sdtPr>
      <w:sdtEndPr>
        <w:rPr>
          <w:rFonts w:ascii="Aptos" w:eastAsia="Aptos" w:hAnsi="Aptos" w:cs="Times New Roman"/>
          <w:noProof/>
          <w:color w:val="auto"/>
          <w:kern w:val="2"/>
          <w:sz w:val="24"/>
          <w:szCs w:val="24"/>
          <w:lang w:val="en-GB"/>
        </w:rPr>
      </w:sdtEndPr>
      <w:sdtContent>
        <w:p w14:paraId="7D078958" w14:textId="6E224545" w:rsidR="00AD0233" w:rsidRDefault="00AD0233" w:rsidP="00F113A4">
          <w:pPr>
            <w:pStyle w:val="TOCHeading"/>
            <w:spacing w:line="720" w:lineRule="auto"/>
          </w:pPr>
          <w:r>
            <w:t>Table of Contents</w:t>
          </w:r>
        </w:p>
        <w:p w14:paraId="4FAE3914" w14:textId="0BB50296" w:rsidR="00AD0233" w:rsidRDefault="00AD0233" w:rsidP="00F113A4">
          <w:pPr>
            <w:pStyle w:val="TOC2"/>
            <w:tabs>
              <w:tab w:val="right" w:leader="dot" w:pos="9016"/>
            </w:tabs>
            <w:spacing w:line="720" w:lineRule="auto"/>
            <w:rPr>
              <w:noProof/>
            </w:rPr>
          </w:pPr>
          <w:r>
            <w:fldChar w:fldCharType="begin"/>
          </w:r>
          <w:r>
            <w:instrText xml:space="preserve"> TOC \o "1-3" \h \z \u </w:instrText>
          </w:r>
          <w:r>
            <w:fldChar w:fldCharType="separate"/>
          </w:r>
          <w:hyperlink w:anchor="_Toc235441995" w:history="1">
            <w:r w:rsidRPr="00E734BA">
              <w:rPr>
                <w:rStyle w:val="Hyperlink"/>
                <w:rFonts w:ascii="Arial" w:eastAsia="Times New Roman" w:hAnsi="Arial" w:cs="Arial"/>
                <w:b/>
                <w:bCs/>
                <w:noProof/>
                <w:kern w:val="0"/>
                <w:lang w:eastAsia="en-GB"/>
              </w:rPr>
              <w:t>Introduction</w:t>
            </w:r>
            <w:r>
              <w:rPr>
                <w:noProof/>
                <w:webHidden/>
              </w:rPr>
              <w:tab/>
            </w:r>
            <w:r>
              <w:rPr>
                <w:noProof/>
                <w:webHidden/>
              </w:rPr>
              <w:fldChar w:fldCharType="begin"/>
            </w:r>
            <w:r>
              <w:rPr>
                <w:noProof/>
                <w:webHidden/>
              </w:rPr>
              <w:instrText xml:space="preserve"> PAGEREF _Toc235441995 \h </w:instrText>
            </w:r>
            <w:r>
              <w:rPr>
                <w:noProof/>
                <w:webHidden/>
              </w:rPr>
            </w:r>
            <w:r>
              <w:rPr>
                <w:noProof/>
                <w:webHidden/>
              </w:rPr>
              <w:fldChar w:fldCharType="separate"/>
            </w:r>
            <w:r>
              <w:rPr>
                <w:noProof/>
                <w:webHidden/>
              </w:rPr>
              <w:t>3</w:t>
            </w:r>
            <w:r>
              <w:rPr>
                <w:noProof/>
                <w:webHidden/>
              </w:rPr>
              <w:fldChar w:fldCharType="end"/>
            </w:r>
          </w:hyperlink>
        </w:p>
        <w:p w14:paraId="69D081AA" w14:textId="003492CC" w:rsidR="00AD0233" w:rsidRDefault="00AD0233" w:rsidP="00F113A4">
          <w:pPr>
            <w:pStyle w:val="TOC1"/>
            <w:tabs>
              <w:tab w:val="right" w:leader="dot" w:pos="9016"/>
            </w:tabs>
            <w:spacing w:line="720" w:lineRule="auto"/>
            <w:rPr>
              <w:noProof/>
            </w:rPr>
          </w:pPr>
          <w:hyperlink w:anchor="_Toc235441996" w:history="1">
            <w:r w:rsidRPr="00E734BA">
              <w:rPr>
                <w:rStyle w:val="Hyperlink"/>
                <w:rFonts w:ascii="Arial" w:eastAsia="Times New Roman" w:hAnsi="Arial" w:cs="Arial"/>
                <w:b/>
                <w:bCs/>
                <w:noProof/>
                <w:kern w:val="36"/>
                <w:lang w:eastAsia="en-GB"/>
              </w:rPr>
              <w:t>Electronic Patient Records as a Digital Innovation</w:t>
            </w:r>
            <w:r>
              <w:rPr>
                <w:noProof/>
                <w:webHidden/>
              </w:rPr>
              <w:tab/>
            </w:r>
            <w:r>
              <w:rPr>
                <w:noProof/>
                <w:webHidden/>
              </w:rPr>
              <w:fldChar w:fldCharType="begin"/>
            </w:r>
            <w:r>
              <w:rPr>
                <w:noProof/>
                <w:webHidden/>
              </w:rPr>
              <w:instrText xml:space="preserve"> PAGEREF _Toc235441996 \h </w:instrText>
            </w:r>
            <w:r>
              <w:rPr>
                <w:noProof/>
                <w:webHidden/>
              </w:rPr>
            </w:r>
            <w:r>
              <w:rPr>
                <w:noProof/>
                <w:webHidden/>
              </w:rPr>
              <w:fldChar w:fldCharType="separate"/>
            </w:r>
            <w:r>
              <w:rPr>
                <w:noProof/>
                <w:webHidden/>
              </w:rPr>
              <w:t>3</w:t>
            </w:r>
            <w:r>
              <w:rPr>
                <w:noProof/>
                <w:webHidden/>
              </w:rPr>
              <w:fldChar w:fldCharType="end"/>
            </w:r>
          </w:hyperlink>
        </w:p>
        <w:p w14:paraId="7F0B48F2" w14:textId="4D0A6096" w:rsidR="00AD0233" w:rsidRDefault="00AD0233" w:rsidP="00F113A4">
          <w:pPr>
            <w:pStyle w:val="TOC1"/>
            <w:tabs>
              <w:tab w:val="right" w:leader="dot" w:pos="9016"/>
            </w:tabs>
            <w:spacing w:line="720" w:lineRule="auto"/>
            <w:rPr>
              <w:noProof/>
            </w:rPr>
          </w:pPr>
          <w:hyperlink w:anchor="_Toc235441997" w:history="1">
            <w:r w:rsidRPr="00E734BA">
              <w:rPr>
                <w:rStyle w:val="Hyperlink"/>
                <w:rFonts w:ascii="Arial" w:eastAsia="Times New Roman" w:hAnsi="Arial" w:cs="Arial"/>
                <w:b/>
                <w:bCs/>
                <w:noProof/>
                <w:kern w:val="36"/>
                <w:lang w:eastAsia="en-GB"/>
              </w:rPr>
              <w:t>Impact on the Workforce</w:t>
            </w:r>
            <w:r>
              <w:rPr>
                <w:noProof/>
                <w:webHidden/>
              </w:rPr>
              <w:tab/>
            </w:r>
            <w:r>
              <w:rPr>
                <w:noProof/>
                <w:webHidden/>
              </w:rPr>
              <w:fldChar w:fldCharType="begin"/>
            </w:r>
            <w:r>
              <w:rPr>
                <w:noProof/>
                <w:webHidden/>
              </w:rPr>
              <w:instrText xml:space="preserve"> PAGEREF _Toc235441997 \h </w:instrText>
            </w:r>
            <w:r>
              <w:rPr>
                <w:noProof/>
                <w:webHidden/>
              </w:rPr>
            </w:r>
            <w:r>
              <w:rPr>
                <w:noProof/>
                <w:webHidden/>
              </w:rPr>
              <w:fldChar w:fldCharType="separate"/>
            </w:r>
            <w:r>
              <w:rPr>
                <w:noProof/>
                <w:webHidden/>
              </w:rPr>
              <w:t>4</w:t>
            </w:r>
            <w:r>
              <w:rPr>
                <w:noProof/>
                <w:webHidden/>
              </w:rPr>
              <w:fldChar w:fldCharType="end"/>
            </w:r>
          </w:hyperlink>
        </w:p>
        <w:p w14:paraId="6EFA6538" w14:textId="7E8B8E98" w:rsidR="00AD0233" w:rsidRDefault="00AD0233" w:rsidP="00F113A4">
          <w:pPr>
            <w:pStyle w:val="TOC1"/>
            <w:tabs>
              <w:tab w:val="right" w:leader="dot" w:pos="9016"/>
            </w:tabs>
            <w:spacing w:line="720" w:lineRule="auto"/>
            <w:rPr>
              <w:noProof/>
            </w:rPr>
          </w:pPr>
          <w:hyperlink w:anchor="_Toc235441998" w:history="1">
            <w:r w:rsidRPr="00E734BA">
              <w:rPr>
                <w:rStyle w:val="Hyperlink"/>
                <w:rFonts w:ascii="Arial" w:eastAsia="Times New Roman" w:hAnsi="Arial" w:cs="Arial"/>
                <w:b/>
                <w:bCs/>
                <w:noProof/>
                <w:kern w:val="36"/>
                <w:lang w:eastAsia="en-GB"/>
              </w:rPr>
              <w:t>Impact on Service Delivery</w:t>
            </w:r>
            <w:r>
              <w:rPr>
                <w:noProof/>
                <w:webHidden/>
              </w:rPr>
              <w:tab/>
            </w:r>
            <w:r>
              <w:rPr>
                <w:noProof/>
                <w:webHidden/>
              </w:rPr>
              <w:fldChar w:fldCharType="begin"/>
            </w:r>
            <w:r>
              <w:rPr>
                <w:noProof/>
                <w:webHidden/>
              </w:rPr>
              <w:instrText xml:space="preserve"> PAGEREF _Toc235441998 \h </w:instrText>
            </w:r>
            <w:r>
              <w:rPr>
                <w:noProof/>
                <w:webHidden/>
              </w:rPr>
            </w:r>
            <w:r>
              <w:rPr>
                <w:noProof/>
                <w:webHidden/>
              </w:rPr>
              <w:fldChar w:fldCharType="separate"/>
            </w:r>
            <w:r>
              <w:rPr>
                <w:noProof/>
                <w:webHidden/>
              </w:rPr>
              <w:t>5</w:t>
            </w:r>
            <w:r>
              <w:rPr>
                <w:noProof/>
                <w:webHidden/>
              </w:rPr>
              <w:fldChar w:fldCharType="end"/>
            </w:r>
          </w:hyperlink>
        </w:p>
        <w:p w14:paraId="170A188C" w14:textId="1CC6C1B5" w:rsidR="00AD0233" w:rsidRDefault="00AD0233" w:rsidP="00F113A4">
          <w:pPr>
            <w:pStyle w:val="TOC1"/>
            <w:tabs>
              <w:tab w:val="right" w:leader="dot" w:pos="9016"/>
            </w:tabs>
            <w:spacing w:line="720" w:lineRule="auto"/>
            <w:rPr>
              <w:noProof/>
            </w:rPr>
          </w:pPr>
          <w:hyperlink w:anchor="_Toc235441999" w:history="1">
            <w:r w:rsidRPr="00E734BA">
              <w:rPr>
                <w:rStyle w:val="Hyperlink"/>
                <w:rFonts w:ascii="Arial" w:eastAsia="Times New Roman" w:hAnsi="Arial" w:cs="Arial"/>
                <w:b/>
                <w:bCs/>
                <w:noProof/>
                <w:kern w:val="36"/>
                <w:lang w:eastAsia="en-GB"/>
              </w:rPr>
              <w:t>Impact on Patients and Service Users</w:t>
            </w:r>
            <w:r>
              <w:rPr>
                <w:noProof/>
                <w:webHidden/>
              </w:rPr>
              <w:tab/>
            </w:r>
            <w:r>
              <w:rPr>
                <w:noProof/>
                <w:webHidden/>
              </w:rPr>
              <w:fldChar w:fldCharType="begin"/>
            </w:r>
            <w:r>
              <w:rPr>
                <w:noProof/>
                <w:webHidden/>
              </w:rPr>
              <w:instrText xml:space="preserve"> PAGEREF _Toc235441999 \h </w:instrText>
            </w:r>
            <w:r>
              <w:rPr>
                <w:noProof/>
                <w:webHidden/>
              </w:rPr>
            </w:r>
            <w:r>
              <w:rPr>
                <w:noProof/>
                <w:webHidden/>
              </w:rPr>
              <w:fldChar w:fldCharType="separate"/>
            </w:r>
            <w:r>
              <w:rPr>
                <w:noProof/>
                <w:webHidden/>
              </w:rPr>
              <w:t>6</w:t>
            </w:r>
            <w:r>
              <w:rPr>
                <w:noProof/>
                <w:webHidden/>
              </w:rPr>
              <w:fldChar w:fldCharType="end"/>
            </w:r>
          </w:hyperlink>
        </w:p>
        <w:p w14:paraId="795C686E" w14:textId="371BE594" w:rsidR="00AD0233" w:rsidRDefault="00AD0233" w:rsidP="00F113A4">
          <w:pPr>
            <w:pStyle w:val="TOC1"/>
            <w:tabs>
              <w:tab w:val="right" w:leader="dot" w:pos="9016"/>
            </w:tabs>
            <w:spacing w:line="720" w:lineRule="auto"/>
            <w:rPr>
              <w:noProof/>
            </w:rPr>
          </w:pPr>
          <w:hyperlink w:anchor="_Toc235442000" w:history="1">
            <w:r w:rsidRPr="00E734BA">
              <w:rPr>
                <w:rStyle w:val="Hyperlink"/>
                <w:rFonts w:ascii="Arial" w:eastAsia="Times New Roman" w:hAnsi="Arial" w:cs="Arial"/>
                <w:b/>
                <w:bCs/>
                <w:noProof/>
                <w:kern w:val="36"/>
                <w:lang w:eastAsia="en-GB"/>
              </w:rPr>
              <w:t>Impact on the Community</w:t>
            </w:r>
            <w:r>
              <w:rPr>
                <w:noProof/>
                <w:webHidden/>
              </w:rPr>
              <w:tab/>
            </w:r>
            <w:r>
              <w:rPr>
                <w:noProof/>
                <w:webHidden/>
              </w:rPr>
              <w:fldChar w:fldCharType="begin"/>
            </w:r>
            <w:r>
              <w:rPr>
                <w:noProof/>
                <w:webHidden/>
              </w:rPr>
              <w:instrText xml:space="preserve"> PAGEREF _Toc235442000 \h </w:instrText>
            </w:r>
            <w:r>
              <w:rPr>
                <w:noProof/>
                <w:webHidden/>
              </w:rPr>
            </w:r>
            <w:r>
              <w:rPr>
                <w:noProof/>
                <w:webHidden/>
              </w:rPr>
              <w:fldChar w:fldCharType="separate"/>
            </w:r>
            <w:r>
              <w:rPr>
                <w:noProof/>
                <w:webHidden/>
              </w:rPr>
              <w:t>7</w:t>
            </w:r>
            <w:r>
              <w:rPr>
                <w:noProof/>
                <w:webHidden/>
              </w:rPr>
              <w:fldChar w:fldCharType="end"/>
            </w:r>
          </w:hyperlink>
        </w:p>
        <w:p w14:paraId="691F3F4A" w14:textId="6089535E" w:rsidR="00AD0233" w:rsidRDefault="00AD0233" w:rsidP="00F113A4">
          <w:pPr>
            <w:pStyle w:val="TOC1"/>
            <w:tabs>
              <w:tab w:val="right" w:leader="dot" w:pos="9016"/>
            </w:tabs>
            <w:spacing w:line="720" w:lineRule="auto"/>
            <w:rPr>
              <w:noProof/>
            </w:rPr>
          </w:pPr>
          <w:hyperlink w:anchor="_Toc235442001" w:history="1">
            <w:r w:rsidRPr="00E734BA">
              <w:rPr>
                <w:rStyle w:val="Hyperlink"/>
                <w:rFonts w:ascii="Arial" w:eastAsia="Times New Roman" w:hAnsi="Arial" w:cs="Arial"/>
                <w:b/>
                <w:bCs/>
                <w:noProof/>
                <w:kern w:val="36"/>
                <w:lang w:eastAsia="en-GB"/>
              </w:rPr>
              <w:t>Critical Evaluation</w:t>
            </w:r>
            <w:r>
              <w:rPr>
                <w:noProof/>
                <w:webHidden/>
              </w:rPr>
              <w:tab/>
            </w:r>
            <w:r>
              <w:rPr>
                <w:noProof/>
                <w:webHidden/>
              </w:rPr>
              <w:fldChar w:fldCharType="begin"/>
            </w:r>
            <w:r>
              <w:rPr>
                <w:noProof/>
                <w:webHidden/>
              </w:rPr>
              <w:instrText xml:space="preserve"> PAGEREF _Toc235442001 \h </w:instrText>
            </w:r>
            <w:r>
              <w:rPr>
                <w:noProof/>
                <w:webHidden/>
              </w:rPr>
            </w:r>
            <w:r>
              <w:rPr>
                <w:noProof/>
                <w:webHidden/>
              </w:rPr>
              <w:fldChar w:fldCharType="separate"/>
            </w:r>
            <w:r>
              <w:rPr>
                <w:noProof/>
                <w:webHidden/>
              </w:rPr>
              <w:t>8</w:t>
            </w:r>
            <w:r>
              <w:rPr>
                <w:noProof/>
                <w:webHidden/>
              </w:rPr>
              <w:fldChar w:fldCharType="end"/>
            </w:r>
          </w:hyperlink>
        </w:p>
        <w:p w14:paraId="6ECBF955" w14:textId="12FE2680" w:rsidR="00AD0233" w:rsidRDefault="00AD0233" w:rsidP="00F113A4">
          <w:pPr>
            <w:pStyle w:val="TOC1"/>
            <w:tabs>
              <w:tab w:val="right" w:leader="dot" w:pos="9016"/>
            </w:tabs>
            <w:spacing w:line="720" w:lineRule="auto"/>
            <w:rPr>
              <w:noProof/>
            </w:rPr>
          </w:pPr>
          <w:hyperlink w:anchor="_Toc235442002" w:history="1">
            <w:r w:rsidRPr="00E734BA">
              <w:rPr>
                <w:rStyle w:val="Hyperlink"/>
                <w:rFonts w:ascii="Arial" w:eastAsia="Times New Roman" w:hAnsi="Arial" w:cs="Arial"/>
                <w:b/>
                <w:bCs/>
                <w:noProof/>
                <w:kern w:val="36"/>
                <w:lang w:eastAsia="en-GB"/>
              </w:rPr>
              <w:t>Conclusion</w:t>
            </w:r>
            <w:r>
              <w:rPr>
                <w:noProof/>
                <w:webHidden/>
              </w:rPr>
              <w:tab/>
            </w:r>
            <w:r>
              <w:rPr>
                <w:noProof/>
                <w:webHidden/>
              </w:rPr>
              <w:fldChar w:fldCharType="begin"/>
            </w:r>
            <w:r>
              <w:rPr>
                <w:noProof/>
                <w:webHidden/>
              </w:rPr>
              <w:instrText xml:space="preserve"> PAGEREF _Toc235442002 \h </w:instrText>
            </w:r>
            <w:r>
              <w:rPr>
                <w:noProof/>
                <w:webHidden/>
              </w:rPr>
            </w:r>
            <w:r>
              <w:rPr>
                <w:noProof/>
                <w:webHidden/>
              </w:rPr>
              <w:fldChar w:fldCharType="separate"/>
            </w:r>
            <w:r>
              <w:rPr>
                <w:noProof/>
                <w:webHidden/>
              </w:rPr>
              <w:t>8</w:t>
            </w:r>
            <w:r>
              <w:rPr>
                <w:noProof/>
                <w:webHidden/>
              </w:rPr>
              <w:fldChar w:fldCharType="end"/>
            </w:r>
          </w:hyperlink>
        </w:p>
        <w:p w14:paraId="222930F6" w14:textId="19FA16A3" w:rsidR="00AD0233" w:rsidRDefault="00AD0233" w:rsidP="00F113A4">
          <w:pPr>
            <w:pStyle w:val="TOC1"/>
            <w:tabs>
              <w:tab w:val="right" w:leader="dot" w:pos="9016"/>
            </w:tabs>
            <w:spacing w:line="720" w:lineRule="auto"/>
            <w:rPr>
              <w:noProof/>
            </w:rPr>
          </w:pPr>
          <w:hyperlink w:anchor="_Toc235442003" w:history="1">
            <w:r w:rsidRPr="00E734BA">
              <w:rPr>
                <w:rStyle w:val="Hyperlink"/>
                <w:rFonts w:ascii="Arial" w:eastAsia="Times New Roman" w:hAnsi="Arial" w:cs="Arial"/>
                <w:b/>
                <w:bCs/>
                <w:noProof/>
                <w:kern w:val="36"/>
                <w:lang w:eastAsia="en-GB"/>
              </w:rPr>
              <w:t>References</w:t>
            </w:r>
            <w:r>
              <w:rPr>
                <w:noProof/>
                <w:webHidden/>
              </w:rPr>
              <w:tab/>
            </w:r>
            <w:r>
              <w:rPr>
                <w:noProof/>
                <w:webHidden/>
              </w:rPr>
              <w:fldChar w:fldCharType="begin"/>
            </w:r>
            <w:r>
              <w:rPr>
                <w:noProof/>
                <w:webHidden/>
              </w:rPr>
              <w:instrText xml:space="preserve"> PAGEREF _Toc235442003 \h </w:instrText>
            </w:r>
            <w:r>
              <w:rPr>
                <w:noProof/>
                <w:webHidden/>
              </w:rPr>
            </w:r>
            <w:r>
              <w:rPr>
                <w:noProof/>
                <w:webHidden/>
              </w:rPr>
              <w:fldChar w:fldCharType="separate"/>
            </w:r>
            <w:r>
              <w:rPr>
                <w:noProof/>
                <w:webHidden/>
              </w:rPr>
              <w:t>9</w:t>
            </w:r>
            <w:r>
              <w:rPr>
                <w:noProof/>
                <w:webHidden/>
              </w:rPr>
              <w:fldChar w:fldCharType="end"/>
            </w:r>
          </w:hyperlink>
        </w:p>
        <w:p w14:paraId="35E9E8E1" w14:textId="60B3F69A" w:rsidR="008375B5" w:rsidRPr="00F42726" w:rsidRDefault="00AD0233" w:rsidP="00F113A4">
          <w:pPr>
            <w:spacing w:line="720" w:lineRule="auto"/>
          </w:pPr>
          <w:r>
            <w:rPr>
              <w:b/>
              <w:bCs/>
              <w:noProof/>
            </w:rPr>
            <w:fldChar w:fldCharType="end"/>
          </w:r>
        </w:p>
      </w:sdtContent>
    </w:sdt>
    <w:p w14:paraId="50CC9F7A" w14:textId="60B3F69A" w:rsidR="00ED1226" w:rsidRPr="002A7D0B" w:rsidRDefault="00ED1226" w:rsidP="00CD30E3">
      <w:pPr>
        <w:pStyle w:val="Heading1"/>
        <w:rPr>
          <w:lang w:eastAsia="en-GB"/>
        </w:rPr>
      </w:pPr>
      <w:bookmarkStart w:id="0" w:name="_Toc235441995"/>
      <w:r w:rsidRPr="002A7D0B">
        <w:rPr>
          <w:lang w:eastAsia="en-GB"/>
        </w:rPr>
        <w:t>Introduction</w:t>
      </w:r>
      <w:bookmarkEnd w:id="0"/>
    </w:p>
    <w:p w14:paraId="10861E41" w14:textId="77777777" w:rsidR="00767114" w:rsidRDefault="006E55B7" w:rsidP="00835D97">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33543B">
        <w:rPr>
          <w:rFonts w:ascii="Arial" w:eastAsiaTheme="minorEastAsia" w:hAnsi="Arial" w:cs="Arial"/>
          <w:color w:val="000000"/>
          <w:kern w:val="0"/>
          <w:sz w:val="22"/>
          <w:szCs w:val="22"/>
          <w:lang w:eastAsia="en-GB"/>
        </w:rPr>
        <w:t>Digital transformation has become one of the most significant developments within the United Kingdom (UK) health and social care sector. The NHS Long Term Plan identifies digital technology as a key enabler for improving patient outcomes, increasing efficiency and supporting integrated care (NHS England, 2019). Electronic Patient Records (EPRs) represent one of the most influential digital innovations implemented across NHS organisations over the past decade. Electronic Patient Records replace traditional paper-based documentation with a digital system that stores, updates and shares patient information securely across healthcare services. Cambridge University Hospitals NHS Foundation Trust (CUH) introduced the Epic Electronic Health Record system in October 2021, becoming one of the largest NHS trusts to successfully implement this technology (Cambridge University Hospitals NHS Foundation Trust, 2021).</w:t>
      </w:r>
      <w:r w:rsidR="008479F1">
        <w:rPr>
          <w:rFonts w:ascii="Arial" w:eastAsiaTheme="minorEastAsia" w:hAnsi="Arial" w:cs="Arial"/>
          <w:color w:val="000000"/>
          <w:kern w:val="0"/>
          <w:sz w:val="22"/>
          <w:szCs w:val="22"/>
          <w:lang w:eastAsia="en-GB"/>
        </w:rPr>
        <w:t xml:space="preserve"> </w:t>
      </w:r>
    </w:p>
    <w:p w14:paraId="12DB59D8" w14:textId="533E1A5C" w:rsidR="006E55B7" w:rsidRPr="0033543B" w:rsidRDefault="006E55B7" w:rsidP="00835D97">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33543B">
        <w:rPr>
          <w:rFonts w:ascii="Arial" w:eastAsiaTheme="minorEastAsia" w:hAnsi="Arial" w:cs="Arial"/>
          <w:color w:val="000000"/>
          <w:kern w:val="0"/>
          <w:sz w:val="22"/>
          <w:szCs w:val="22"/>
          <w:lang w:eastAsia="en-GB"/>
        </w:rPr>
        <w:t xml:space="preserve">The move towards EPRs is part of a wider national agenda to modernise health and social care. Policies such as the </w:t>
      </w:r>
      <w:r w:rsidRPr="0033543B">
        <w:rPr>
          <w:rFonts w:ascii="Arial" w:eastAsiaTheme="minorEastAsia" w:hAnsi="Arial" w:cs="Arial"/>
          <w:b/>
          <w:bCs/>
          <w:color w:val="000000"/>
          <w:kern w:val="0"/>
          <w:sz w:val="22"/>
          <w:szCs w:val="22"/>
          <w:lang w:eastAsia="en-GB"/>
        </w:rPr>
        <w:t>NHS Digital Strategy</w:t>
      </w:r>
      <w:r w:rsidRPr="0033543B">
        <w:rPr>
          <w:rFonts w:ascii="Arial" w:eastAsiaTheme="minorEastAsia" w:hAnsi="Arial" w:cs="Arial"/>
          <w:color w:val="000000"/>
          <w:kern w:val="0"/>
          <w:sz w:val="22"/>
          <w:szCs w:val="22"/>
          <w:lang w:eastAsia="en-GB"/>
        </w:rPr>
        <w:t xml:space="preserve">, the </w:t>
      </w:r>
      <w:r w:rsidRPr="0033543B">
        <w:rPr>
          <w:rFonts w:ascii="Arial" w:eastAsiaTheme="minorEastAsia" w:hAnsi="Arial" w:cs="Arial"/>
          <w:b/>
          <w:bCs/>
          <w:color w:val="000000"/>
          <w:kern w:val="0"/>
          <w:sz w:val="22"/>
          <w:szCs w:val="22"/>
          <w:lang w:eastAsia="en-GB"/>
        </w:rPr>
        <w:t>Health and Care Act 2022</w:t>
      </w:r>
      <w:r w:rsidRPr="0033543B">
        <w:rPr>
          <w:rFonts w:ascii="Arial" w:eastAsiaTheme="minorEastAsia" w:hAnsi="Arial" w:cs="Arial"/>
          <w:color w:val="000000"/>
          <w:kern w:val="0"/>
          <w:sz w:val="22"/>
          <w:szCs w:val="22"/>
          <w:lang w:eastAsia="en-GB"/>
        </w:rPr>
        <w:t>, and the government’s commitment to achieving a “paperless NHS” have accelerated investment in digital infrastructure. These reforms emphasise interoperability, real</w:t>
      </w:r>
      <w:r w:rsidRPr="0033543B">
        <w:rPr>
          <w:rFonts w:ascii="Arial" w:eastAsiaTheme="minorEastAsia" w:hAnsi="Arial" w:cs="Arial"/>
          <w:color w:val="000000"/>
          <w:kern w:val="0"/>
          <w:sz w:val="22"/>
          <w:szCs w:val="22"/>
          <w:lang w:eastAsia="en-GB"/>
        </w:rPr>
        <w:noBreakHyphen/>
        <w:t>time data access, and improved coordination between hospitals, community services and social care providers. As a result, EPR systems like Epic are not simply technological upgrades—they represent a fundamental shift in how information is managed, shared and used to support clinical decision</w:t>
      </w:r>
      <w:r w:rsidRPr="0033543B">
        <w:rPr>
          <w:rFonts w:ascii="Arial" w:eastAsiaTheme="minorEastAsia" w:hAnsi="Arial" w:cs="Arial"/>
          <w:color w:val="000000"/>
          <w:kern w:val="0"/>
          <w:sz w:val="22"/>
          <w:szCs w:val="22"/>
          <w:lang w:eastAsia="en-GB"/>
        </w:rPr>
        <w:noBreakHyphen/>
        <w:t>making.</w:t>
      </w:r>
    </w:p>
    <w:p w14:paraId="041265AD" w14:textId="77777777" w:rsidR="006E55B7" w:rsidRPr="0033543B" w:rsidRDefault="006E55B7" w:rsidP="00835D97">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33543B">
        <w:rPr>
          <w:rFonts w:ascii="Arial" w:eastAsiaTheme="minorEastAsia" w:hAnsi="Arial" w:cs="Arial"/>
          <w:color w:val="000000"/>
          <w:kern w:val="0"/>
          <w:sz w:val="22"/>
          <w:szCs w:val="22"/>
          <w:lang w:eastAsia="en-GB"/>
        </w:rPr>
        <w:t>CUH’s adoption of Epic is particularly significant because the trust is a major teaching hospital and research centre. Implementing a comprehensive EPR in such a complex environment requires substantial organisational change, workforce adaptation and cultural transformation. Epic integrates clinical documentation, prescribing, diagnostics, scheduling and patient engagement tools into one unified platform, meaning its impact extends far beyond administrative efficiency. It influences how staff communicate, how services are delivered, and how patients experience care.</w:t>
      </w:r>
    </w:p>
    <w:p w14:paraId="195F5F78" w14:textId="72DF856D" w:rsidR="00ED1226" w:rsidRPr="008479F1" w:rsidRDefault="006E55B7" w:rsidP="008479F1">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33543B">
        <w:rPr>
          <w:rFonts w:ascii="Arial" w:eastAsiaTheme="minorEastAsia" w:hAnsi="Arial" w:cs="Arial"/>
          <w:color w:val="000000"/>
          <w:kern w:val="0"/>
          <w:sz w:val="22"/>
          <w:szCs w:val="22"/>
          <w:lang w:eastAsia="en-GB"/>
        </w:rPr>
        <w:t>Given the scale of this transformation, it is essential to critically evaluate its effects. This report examines the implementation of Epic EPR at CUH by analysing its impact on the workforce, service delivery, patients and service users, and the wider community. It also explores the advantages and limitations of digital transformation, considering issues such as digital literacy, data security, staff training, and the potential for unintended consequences. Through this evaluation, the report aims to provide a balanced understanding of how Epic has reshaped practice within CUH and what this means for the future of digital health across the NHS.</w:t>
      </w:r>
    </w:p>
    <w:p w14:paraId="7ADE3A29" w14:textId="77777777" w:rsidR="00ED1226" w:rsidRPr="002A7D0B" w:rsidRDefault="00ED1226" w:rsidP="00076BE5">
      <w:pPr>
        <w:pStyle w:val="Heading1"/>
        <w:rPr>
          <w:lang w:eastAsia="en-GB"/>
        </w:rPr>
      </w:pPr>
      <w:bookmarkStart w:id="1" w:name="_Toc235441996"/>
      <w:r w:rsidRPr="002A7D0B">
        <w:rPr>
          <w:lang w:eastAsia="en-GB"/>
        </w:rPr>
        <w:t>Electronic Patient Records as a Digital Innovation</w:t>
      </w:r>
      <w:bookmarkEnd w:id="1"/>
    </w:p>
    <w:p w14:paraId="14E29B5A" w14:textId="77777777" w:rsidR="0012100D" w:rsidRPr="008479F1" w:rsidRDefault="0012100D" w:rsidP="005B631B">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8479F1">
        <w:rPr>
          <w:rFonts w:ascii="Arial" w:eastAsiaTheme="minorEastAsia" w:hAnsi="Arial" w:cs="Arial"/>
          <w:color w:val="000000"/>
          <w:kern w:val="0"/>
          <w:sz w:val="22"/>
          <w:szCs w:val="22"/>
          <w:lang w:eastAsia="en-GB"/>
        </w:rPr>
        <w:t>Electronic Patient Records (EPRs) are digital systems designed to record, manage and share patient information across healthcare settings. Unlike traditional paper records, EPRs provide healthcare professionals with real-time access to clinical information including diagnoses, medications, laboratory results and treatment plans. The NHS has increasingly invested in EPR systems following recommendations from the Wachter Review (Wachter, 2016), which concluded that digitisation is essential for improving patient safety and healthcare quality. The implementation of Epic at Cambridge University Hospitals aimed to improve communication between healthcare professionals, reduce clinical errors and support integrated patient care. Epic also supports interoperability by allowing different clinical departments to access consistent patient information, thereby reducing duplication of work and improving decision-making (NHS England, 2022). Although digital transformation offers numerous benefits, implementation requires significant organisational change, workforce training and financial investment.</w:t>
      </w:r>
    </w:p>
    <w:p w14:paraId="546E79B3" w14:textId="77777777" w:rsidR="0012100D" w:rsidRPr="008479F1" w:rsidRDefault="0012100D" w:rsidP="005B631B">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8479F1">
        <w:rPr>
          <w:rFonts w:ascii="Arial" w:eastAsiaTheme="minorEastAsia" w:hAnsi="Arial" w:cs="Arial"/>
          <w:color w:val="000000"/>
          <w:kern w:val="0"/>
          <w:sz w:val="22"/>
          <w:szCs w:val="22"/>
          <w:lang w:eastAsia="en-GB"/>
        </w:rPr>
        <w:t>Digital innovation within the NHS is driven by the need to modernise outdated systems, reduce variation in care, and support more coordinated services across acute, community and social care settings. EPRs are central to this transformation because they replace fragmented, paper</w:t>
      </w:r>
      <w:r w:rsidRPr="008479F1">
        <w:rPr>
          <w:rFonts w:ascii="Arial" w:eastAsiaTheme="minorEastAsia" w:hAnsi="Arial" w:cs="Arial"/>
          <w:color w:val="000000"/>
          <w:kern w:val="0"/>
          <w:sz w:val="22"/>
          <w:szCs w:val="22"/>
          <w:lang w:eastAsia="en-GB"/>
        </w:rPr>
        <w:noBreakHyphen/>
        <w:t>based processes with a unified digital platform that enhances accuracy, accessibility and continuity of care. In practice, this means clinicians can access patient information instantly, reducing delays in treatment and improving the reliability of clinical decision</w:t>
      </w:r>
      <w:r w:rsidRPr="008479F1">
        <w:rPr>
          <w:rFonts w:ascii="Arial" w:eastAsiaTheme="minorEastAsia" w:hAnsi="Arial" w:cs="Arial"/>
          <w:color w:val="000000"/>
          <w:kern w:val="0"/>
          <w:sz w:val="22"/>
          <w:szCs w:val="22"/>
          <w:lang w:eastAsia="en-GB"/>
        </w:rPr>
        <w:noBreakHyphen/>
        <w:t>making.</w:t>
      </w:r>
    </w:p>
    <w:p w14:paraId="2D3FB619" w14:textId="77777777" w:rsidR="0012100D" w:rsidRPr="008479F1" w:rsidRDefault="0012100D" w:rsidP="005B631B">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8479F1">
        <w:rPr>
          <w:rFonts w:ascii="Arial" w:eastAsiaTheme="minorEastAsia" w:hAnsi="Arial" w:cs="Arial"/>
          <w:color w:val="000000"/>
          <w:kern w:val="0"/>
          <w:sz w:val="22"/>
          <w:szCs w:val="22"/>
          <w:lang w:eastAsia="en-GB"/>
        </w:rPr>
        <w:t>Epic, as adopted by Cambridge University Hospitals, represents one of the most advanced EPR systems currently used in the UK. Its design integrates multiple clinical functions—such as prescribing, documentation, diagnostics, referrals and patient engagement—into a single interface. This level of integration supports safer care pathways, reduces administrative burden and enables more efficient multidisciplinary working. For example, real</w:t>
      </w:r>
      <w:r w:rsidRPr="008479F1">
        <w:rPr>
          <w:rFonts w:ascii="Arial" w:eastAsiaTheme="minorEastAsia" w:hAnsi="Arial" w:cs="Arial"/>
          <w:color w:val="000000"/>
          <w:kern w:val="0"/>
          <w:sz w:val="22"/>
          <w:szCs w:val="22"/>
          <w:lang w:eastAsia="en-GB"/>
        </w:rPr>
        <w:noBreakHyphen/>
        <w:t>time updates allow nurses, doctors and allied health professionals to view the same information simultaneously, reducing miscommunication and improving coordination.</w:t>
      </w:r>
    </w:p>
    <w:p w14:paraId="0039B068" w14:textId="77777777" w:rsidR="0012100D" w:rsidRPr="008479F1" w:rsidRDefault="0012100D" w:rsidP="005B631B">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8479F1">
        <w:rPr>
          <w:rFonts w:ascii="Arial" w:eastAsiaTheme="minorEastAsia" w:hAnsi="Arial" w:cs="Arial"/>
          <w:color w:val="000000"/>
          <w:kern w:val="0"/>
          <w:sz w:val="22"/>
          <w:szCs w:val="22"/>
          <w:lang w:eastAsia="en-GB"/>
        </w:rPr>
        <w:t>However, the introduction of EPRs also highlights several challenges. Digital transformation requires staff to adapt to new workflows, develop digital literacy skills and adjust to changes in clinical documentation. Large-scale EPR implementation can also disrupt established routines, create temporary inefficiencies and require substantial financial investment in infrastructure, training and ongoing technical support. These factors mean that digital innovation must be carefully managed to ensure that benefits are realised without compromising service quality during the transition.</w:t>
      </w:r>
    </w:p>
    <w:p w14:paraId="6F35C190" w14:textId="040EA382" w:rsidR="00ED1226" w:rsidRPr="008479F1" w:rsidRDefault="0012100D" w:rsidP="008479F1">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8479F1">
        <w:rPr>
          <w:rFonts w:ascii="Arial" w:eastAsiaTheme="minorEastAsia" w:hAnsi="Arial" w:cs="Arial"/>
          <w:color w:val="000000"/>
          <w:kern w:val="0"/>
          <w:sz w:val="22"/>
          <w:szCs w:val="22"/>
          <w:lang w:eastAsia="en-GB"/>
        </w:rPr>
        <w:t>Overall, EPRs such as Epic represent a major step forward in modernising NHS services, but their success depends on effective implementation, staff engagement and long-term organisational commitment. This section sets the foundation for evaluating how Epic has influenced the workforce, service delivery, patient experience and the wider community within CUH.</w:t>
      </w:r>
    </w:p>
    <w:p w14:paraId="7C4F9CAE" w14:textId="77777777" w:rsidR="00ED1226" w:rsidRPr="002A7D0B" w:rsidRDefault="00ED1226" w:rsidP="00076BE5">
      <w:pPr>
        <w:pStyle w:val="Heading1"/>
        <w:rPr>
          <w:lang w:eastAsia="en-GB"/>
        </w:rPr>
      </w:pPr>
      <w:bookmarkStart w:id="2" w:name="_Toc235441997"/>
      <w:r w:rsidRPr="002A7D0B">
        <w:rPr>
          <w:lang w:eastAsia="en-GB"/>
        </w:rPr>
        <w:t>Impact on the Workforce</w:t>
      </w:r>
      <w:bookmarkEnd w:id="2"/>
    </w:p>
    <w:p w14:paraId="153ACAA8"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The implementation of Epic significantly transformed workforce roles and competencies.</w:t>
      </w:r>
    </w:p>
    <w:p w14:paraId="0B7D43DC"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Healthcare professionals have transitioned from paper documentation to digital clinical documentation. Doctors, nurses and allied health professionals now require advanced digital literacy alongside their traditional clinical skills (Health Education England, 2023).</w:t>
      </w:r>
    </w:p>
    <w:p w14:paraId="5FA10492"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One major benefit is improved access to patient information. Clinicians can review laboratory results, previous admissions and medication histories instantly, enabling quicker clinical decisions. This reduces delays associated with locating paper records and improves multidisciplinary collaboration.</w:t>
      </w:r>
    </w:p>
    <w:p w14:paraId="3F3930FA"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Epic also incorporates clinical decision support systems that provide medication alerts, allergy warnings and evidence-based recommendations. Research demonstrates that decision-support software reduces prescribing errors and improves medication safety (Topaz et al., 2020).</w:t>
      </w:r>
    </w:p>
    <w:p w14:paraId="1018BBCB"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However, implementation has also created challenges.</w:t>
      </w:r>
    </w:p>
    <w:p w14:paraId="1FE90D7A"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Learning a complex digital system required extensive staff training before and after implementation. During the early stages, productivity temporarily declined as clinicians adapted to new workflows (Cambridge University Hospitals NHS Foundation Trust, 2022).</w:t>
      </w:r>
    </w:p>
    <w:p w14:paraId="4AB6B3AC"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Digital transformation has altered professional roles. Clinical informaticians, digital nurses and EPR specialists have become increasingly important within NHS organisations. Consequently, organisations must continually invest in workforce development to maintain digital competence.</w:t>
      </w:r>
    </w:p>
    <w:p w14:paraId="5E17A9B8"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Another challenge involves staff workload. Many clinicians initially reported increased documentation time due to unfamiliarity with the system. Some studies have linked poorly designed electronic systems with digital fatigue and clinician burnout (Melnick et al., 2020). Therefore, although EPR improves long-term efficiency, implementation can temporarily increase staff pressure.</w:t>
      </w:r>
    </w:p>
    <w:p w14:paraId="6BA9708A" w14:textId="40A35DE9" w:rsidR="00ED1226" w:rsidRPr="008479F1" w:rsidRDefault="00ED1226" w:rsidP="008479F1">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Overall, Epic has strengthened workforce capability but required considerable investment in digital skills, training and organisational change.</w:t>
      </w:r>
    </w:p>
    <w:p w14:paraId="5E4F5EB5" w14:textId="77777777" w:rsidR="00ED1226" w:rsidRPr="002A7D0B" w:rsidRDefault="00ED1226" w:rsidP="00076BE5">
      <w:pPr>
        <w:pStyle w:val="Heading1"/>
        <w:rPr>
          <w:lang w:eastAsia="en-GB"/>
        </w:rPr>
      </w:pPr>
      <w:bookmarkStart w:id="3" w:name="_Toc235441998"/>
      <w:r w:rsidRPr="002A7D0B">
        <w:rPr>
          <w:lang w:eastAsia="en-GB"/>
        </w:rPr>
        <w:t>Impact on Service Delivery</w:t>
      </w:r>
      <w:bookmarkEnd w:id="3"/>
    </w:p>
    <w:p w14:paraId="25F13A45"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The implementation of Epic fundamentally changed healthcare delivery across Cambridge University Hospitals.</w:t>
      </w:r>
    </w:p>
    <w:p w14:paraId="32552DDA"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Digital records enable immediate access to patient information across departments, reducing duplication of investigations and improving communication between healthcare teams. Previously, paper records often delayed decision-making due to missing documentation or unavailable notes.</w:t>
      </w:r>
    </w:p>
    <w:p w14:paraId="08CCD44C"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Epic has streamlined outpatient appointments, inpatient care and emergency services through integrated scheduling, electronic prescribing and digital referrals. These improvements reduce waiting times and support more coordinated care pathways.</w:t>
      </w:r>
    </w:p>
    <w:p w14:paraId="34F921C1"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Electronic prescribing represents one of the most significant improvements. Medication orders are transmitted electronically, reducing transcription errors and improving patient safety. The NHS estimates medication errors cost the health service approximately £98 million annually and contribute to avoidable patient harm (Elliott et al., 2021). Digital prescribing systems therefore represent an important patient safety intervention.</w:t>
      </w:r>
    </w:p>
    <w:p w14:paraId="5490C127"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Service efficiency has also improved through automated administrative processes. Appointment scheduling, discharge summaries and laboratory requests are completed electronically, reducing paperwork and administrative burden.</w:t>
      </w:r>
    </w:p>
    <w:p w14:paraId="504EDF6A"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However, implementation was associated with considerable financial costs. Large-scale EPR projects require substantial investment in infrastructure, software licences, cybersecurity, staff training and technical support. The financial commitment can be challenging for NHS organisations already experiencing budget constraints.</w:t>
      </w:r>
    </w:p>
    <w:p w14:paraId="7CDDD513"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System downtime also presents risks. Technical failures or cyberattacks can disrupt clinical services if contingency plans are inadequate. Following previous NHS cyber incidents, organisations have strengthened cybersecurity measures to reduce these risks (National Cyber Security Centre, 2023).</w:t>
      </w:r>
    </w:p>
    <w:p w14:paraId="025F730D" w14:textId="56568983" w:rsidR="00ED1226" w:rsidRPr="008479F1" w:rsidRDefault="00ED1226" w:rsidP="008479F1">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Therefore, although Epic has improved efficiency and patient safety, successful implementation depends upon effective governance, infrastructure and continuous technical support.</w:t>
      </w:r>
    </w:p>
    <w:p w14:paraId="22CD5B25" w14:textId="77777777" w:rsidR="00ED1226" w:rsidRPr="002A7D0B" w:rsidRDefault="00ED1226" w:rsidP="00076BE5">
      <w:pPr>
        <w:pStyle w:val="Heading1"/>
        <w:rPr>
          <w:lang w:eastAsia="en-GB"/>
        </w:rPr>
      </w:pPr>
      <w:bookmarkStart w:id="4" w:name="_Toc235441999"/>
      <w:r w:rsidRPr="002A7D0B">
        <w:rPr>
          <w:lang w:eastAsia="en-GB"/>
        </w:rPr>
        <w:t>Impact on Patients and Service Users</w:t>
      </w:r>
      <w:bookmarkEnd w:id="4"/>
    </w:p>
    <w:p w14:paraId="3B2E4E5F"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Patients have experienced significant changes following implementation of Epic.</w:t>
      </w:r>
    </w:p>
    <w:p w14:paraId="7A815844"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Improved information sharing enhances continuity of care. Clinicians have immediate access to comprehensive patient histories, reducing repeated questioning and minimising clinical errors.</w:t>
      </w:r>
    </w:p>
    <w:p w14:paraId="4F242D07"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Epic includes patient portal technology, allowing individuals to view appointments, test results and clinical correspondence online. This encourages patient engagement and supports shared decision-making, which aligns with NHS policy promoting person-centred care (NHS England, 2019).</w:t>
      </w:r>
    </w:p>
    <w:p w14:paraId="39E036D7"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Patients increasingly expect digital access to healthcare information. Research suggests patient portals improve satisfaction by increasing transparency and communication with healthcare professionals (Ammenwerth et al., 2020).</w:t>
      </w:r>
    </w:p>
    <w:p w14:paraId="69A4B304"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Improved electronic documentation also reduces medication errors, duplicate testing and delayed diagnoses, contributing to safer healthcare.</w:t>
      </w:r>
    </w:p>
    <w:p w14:paraId="6E748348"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Nevertheless, digital transformation may increase health inequalities.</w:t>
      </w:r>
    </w:p>
    <w:p w14:paraId="06DD5167"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Older adults, individuals with learning disabilities and people lacking digital literacy may struggle to use patient portals effectively. Similarly, patients without internet access or suitable digital devices may experience reduced engagement compared with digitally confident populations.</w:t>
      </w:r>
    </w:p>
    <w:p w14:paraId="738893A3"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Privacy also remains an important concern. Patients may worry about confidential information being accessed electronically or shared across organisations. Maintaining public trust therefore requires strong cybersecurity measures and compliance with UK General Data Protection Regulation (UK GDPR).</w:t>
      </w:r>
    </w:p>
    <w:p w14:paraId="3CE54735" w14:textId="50E64693" w:rsidR="00ED1226" w:rsidRPr="008479F1" w:rsidRDefault="00ED1226" w:rsidP="008479F1">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Overall, Epic has improved patient safety, engagement and continuity of care but organisations must ensure digital inclusion strategies prevent inequalities.</w:t>
      </w:r>
    </w:p>
    <w:p w14:paraId="42E99D36" w14:textId="77777777" w:rsidR="00ED1226" w:rsidRPr="002A7D0B" w:rsidRDefault="00ED1226" w:rsidP="00076BE5">
      <w:pPr>
        <w:pStyle w:val="Heading1"/>
        <w:rPr>
          <w:lang w:eastAsia="en-GB"/>
        </w:rPr>
      </w:pPr>
      <w:bookmarkStart w:id="5" w:name="_Toc235442000"/>
      <w:r w:rsidRPr="002A7D0B">
        <w:rPr>
          <w:lang w:eastAsia="en-GB"/>
        </w:rPr>
        <w:t>Impact on the Community</w:t>
      </w:r>
      <w:bookmarkEnd w:id="5"/>
    </w:p>
    <w:p w14:paraId="1740FC1C"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Digital transformation extends beyond individual patients and influences wider communities.</w:t>
      </w:r>
    </w:p>
    <w:p w14:paraId="33146955"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Electronic Patient Records facilitate integrated care between hospitals, primary care services and community healthcare providers. Better information sharing improves continuity for patients with long-term conditions, reducing fragmented care.</w:t>
      </w:r>
    </w:p>
    <w:p w14:paraId="3119AD55"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Families and carers also benefit because improved communication enables more coordinated discharge planning and ongoing care management. This supports collaborative care and enhances patient outcomes.</w:t>
      </w:r>
    </w:p>
    <w:p w14:paraId="411B6C59"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From a public health perspective, digital records provide valuable population-level data. Healthcare organisations can analyse disease patterns, monitor service demand and support health planning using anonymised patient information.</w:t>
      </w:r>
    </w:p>
    <w:p w14:paraId="54185D56"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The COVID-19 pandemic demonstrated the value of digital healthcare infrastructure. Organisations with established electronic records adapted more effectively to remote consultations, vaccination programmes and data sharing across healthcare settings (World Health Organization, 2021).</w:t>
      </w:r>
    </w:p>
    <w:p w14:paraId="45C17F43"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Despite these benefits, community challenges remain.</w:t>
      </w:r>
    </w:p>
    <w:p w14:paraId="2B3C1112"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Digital exclusion affects certain populations disproportionately, including elderly individuals, socioeconomically disadvantaged communities and rural populations with limited internet connectivity. Unless addressed, digital innovation may unintentionally widen existing healthcare inequalities.</w:t>
      </w:r>
    </w:p>
    <w:p w14:paraId="3A67B050"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Additionally, communities increasingly expect transparency regarding how health data are collected, stored and shared. Public confidence depends upon ethical governance and robust information security.</w:t>
      </w:r>
    </w:p>
    <w:p w14:paraId="5A38AA43" w14:textId="2D2E4308" w:rsidR="00ED1226" w:rsidRPr="008479F1" w:rsidRDefault="00ED1226" w:rsidP="008479F1">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Therefore, community benefits are substantial but require ongoing investment in digital inclusion, cybersecurity and public engagement.</w:t>
      </w:r>
    </w:p>
    <w:p w14:paraId="4AE8B9F6" w14:textId="77777777" w:rsidR="00ED1226" w:rsidRPr="002A7D0B" w:rsidRDefault="00ED1226" w:rsidP="00076BE5">
      <w:pPr>
        <w:pStyle w:val="Heading1"/>
        <w:rPr>
          <w:lang w:eastAsia="en-GB"/>
        </w:rPr>
      </w:pPr>
      <w:bookmarkStart w:id="6" w:name="_Toc235442001"/>
      <w:r w:rsidRPr="002A7D0B">
        <w:rPr>
          <w:lang w:eastAsia="en-GB"/>
        </w:rPr>
        <w:t>Critical Evaluation</w:t>
      </w:r>
      <w:bookmarkEnd w:id="6"/>
    </w:p>
    <w:p w14:paraId="5D32E23D"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The implementation of Epic Electronic Patient Records at Cambridge University Hospitals demonstrates that successful digital transformation requires more than introducing new technology. Organisational culture, workforce readiness, leadership and continuous improvement are equally important.</w:t>
      </w:r>
    </w:p>
    <w:p w14:paraId="041E3021"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The innovation has significantly improved patient safety, multidisciplinary collaboration, information accessibility and operational efficiency. These improvements support NHS strategic priorities, including integrated care and digitally enabled services.</w:t>
      </w:r>
    </w:p>
    <w:p w14:paraId="15292008"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However, implementation challenges highlight that digital transformation is not without risk. High implementation costs, temporary reductions in productivity, staff resistance, cybersecurity threats and digital exclusion remain significant barriers.</w:t>
      </w:r>
    </w:p>
    <w:p w14:paraId="65BE95AA"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Furthermore, technology alone cannot improve healthcare quality. Benefits are only realised when digital systems are effectively integrated into clinical practice through adequate training, governance and continuous evaluation.</w:t>
      </w:r>
    </w:p>
    <w:p w14:paraId="5B8094E4"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The experience of Cambridge University Hospitals demonstrates that successful digital innovation requires sustained investment in workforce development, infrastructure and patient engagement alongside technological implementation.</w:t>
      </w:r>
    </w:p>
    <w:p w14:paraId="6EDCCB83" w14:textId="35CF02A0" w:rsidR="00ED1226" w:rsidRPr="002A7D0B" w:rsidRDefault="00ED1226" w:rsidP="006C6392">
      <w:pPr>
        <w:spacing w:after="0" w:line="360" w:lineRule="auto"/>
        <w:jc w:val="both"/>
        <w:rPr>
          <w:rFonts w:ascii="Arial" w:eastAsia="Times New Roman" w:hAnsi="Arial" w:cs="Arial"/>
          <w:kern w:val="0"/>
          <w:sz w:val="22"/>
          <w:szCs w:val="22"/>
          <w:lang w:eastAsia="en-GB"/>
        </w:rPr>
      </w:pPr>
    </w:p>
    <w:p w14:paraId="277854E1" w14:textId="77777777" w:rsidR="00ED1226" w:rsidRPr="002A7D0B" w:rsidRDefault="00ED1226" w:rsidP="00076BE5">
      <w:pPr>
        <w:pStyle w:val="Heading1"/>
        <w:rPr>
          <w:lang w:eastAsia="en-GB"/>
        </w:rPr>
      </w:pPr>
      <w:bookmarkStart w:id="7" w:name="_Toc235442002"/>
      <w:r w:rsidRPr="002A7D0B">
        <w:rPr>
          <w:lang w:eastAsia="en-GB"/>
        </w:rPr>
        <w:t>Conclusion</w:t>
      </w:r>
      <w:bookmarkEnd w:id="7"/>
    </w:p>
    <w:p w14:paraId="4E5D11FB"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Electronic Patient Records represent one of the UK’s most significant digital innovations in health and social care during the past decade. The implementation of Epic at Cambridge University Hospitals has transformed workforce practices, improved service delivery, enhanced patient safety and strengthened integrated community care.</w:t>
      </w:r>
    </w:p>
    <w:p w14:paraId="6387A6A5"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Although implementation required considerable financial investment, organisational change and workforce training, the long-term benefits outweigh many of the initial challenges. Improved access to clinical information, reduced medication errors, enhanced patient engagement and more coordinated healthcare demonstrate the value of digital transformation.</w:t>
      </w:r>
    </w:p>
    <w:p w14:paraId="6610E753"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Nevertheless, future implementation across the NHS should continue addressing digital inequality, cybersecurity and workforce capability to maximise the benefits of electronic healthcare systems.</w:t>
      </w:r>
    </w:p>
    <w:p w14:paraId="31873DC2" w14:textId="77777777" w:rsidR="00ED1226" w:rsidRPr="002A7D0B" w:rsidRDefault="00ED1226" w:rsidP="006C6392">
      <w:pPr>
        <w:spacing w:before="100" w:beforeAutospacing="1" w:after="100" w:afterAutospacing="1" w:line="360" w:lineRule="auto"/>
        <w:jc w:val="both"/>
        <w:rPr>
          <w:rFonts w:ascii="Arial" w:eastAsiaTheme="minorEastAsia" w:hAnsi="Arial" w:cs="Arial"/>
          <w:color w:val="000000"/>
          <w:kern w:val="0"/>
          <w:sz w:val="22"/>
          <w:szCs w:val="22"/>
          <w:lang w:eastAsia="en-GB"/>
        </w:rPr>
      </w:pPr>
      <w:r w:rsidRPr="002A7D0B">
        <w:rPr>
          <w:rFonts w:ascii="Arial" w:eastAsiaTheme="minorEastAsia" w:hAnsi="Arial" w:cs="Arial"/>
          <w:color w:val="000000"/>
          <w:kern w:val="0"/>
          <w:sz w:val="22"/>
          <w:szCs w:val="22"/>
          <w:lang w:eastAsia="en-GB"/>
        </w:rPr>
        <w:t>Overall, Epic Electronic Patient Records illustrate how digital innovation can contribute significantly to safer, more efficient and patient-centred healthcare across the UK.</w:t>
      </w:r>
    </w:p>
    <w:p w14:paraId="70CD1382" w14:textId="45C81B61" w:rsidR="00ED1226" w:rsidRPr="002A7D0B" w:rsidRDefault="00ED1226" w:rsidP="00076BE5">
      <w:pPr>
        <w:pStyle w:val="Heading1"/>
        <w:rPr>
          <w:lang w:eastAsia="en-GB"/>
        </w:rPr>
      </w:pPr>
      <w:bookmarkStart w:id="8" w:name="_Toc235442003"/>
      <w:r w:rsidRPr="002A7D0B">
        <w:rPr>
          <w:lang w:eastAsia="en-GB"/>
        </w:rPr>
        <w:t>Reference</w:t>
      </w:r>
      <w:r w:rsidR="00E45DAC" w:rsidRPr="002A7D0B">
        <w:rPr>
          <w:lang w:eastAsia="en-GB"/>
        </w:rPr>
        <w:t>s</w:t>
      </w:r>
      <w:bookmarkEnd w:id="8"/>
    </w:p>
    <w:p w14:paraId="06725C4A" w14:textId="77777777" w:rsidR="00ED1226" w:rsidRPr="00333A19" w:rsidRDefault="00ED1226" w:rsidP="00333A19">
      <w:pPr>
        <w:pStyle w:val="ListParagraph"/>
        <w:numPr>
          <w:ilvl w:val="0"/>
          <w:numId w:val="9"/>
        </w:numPr>
        <w:spacing w:before="100" w:beforeAutospacing="1" w:after="100" w:afterAutospacing="1" w:line="360" w:lineRule="auto"/>
        <w:jc w:val="both"/>
        <w:rPr>
          <w:rFonts w:ascii="Arial" w:eastAsiaTheme="minorEastAsia" w:hAnsi="Arial" w:cs="Arial"/>
          <w:color w:val="000000"/>
          <w:kern w:val="0"/>
          <w:sz w:val="22"/>
          <w:szCs w:val="22"/>
          <w:lang w:eastAsia="en-GB"/>
        </w:rPr>
      </w:pPr>
      <w:r w:rsidRPr="00333A19">
        <w:rPr>
          <w:rFonts w:ascii="Arial" w:eastAsiaTheme="minorEastAsia" w:hAnsi="Arial" w:cs="Arial"/>
          <w:color w:val="000000"/>
          <w:kern w:val="0"/>
          <w:sz w:val="22"/>
          <w:szCs w:val="22"/>
          <w:lang w:eastAsia="en-GB"/>
        </w:rPr>
        <w:t>Ammenwerth, E., Schnell-Inderst, P., Hoerbst, A. (2020) </w:t>
      </w:r>
      <w:r w:rsidRPr="00333A19">
        <w:rPr>
          <w:rFonts w:ascii="Arial" w:eastAsiaTheme="minorEastAsia" w:hAnsi="Arial" w:cs="Arial"/>
          <w:i/>
          <w:iCs/>
          <w:color w:val="000000"/>
          <w:kern w:val="0"/>
          <w:sz w:val="22"/>
          <w:szCs w:val="22"/>
          <w:lang w:eastAsia="en-GB"/>
        </w:rPr>
        <w:t>The impact of electronic patient portals on patient care: A systematic review.</w:t>
      </w:r>
      <w:r w:rsidRPr="00333A19">
        <w:rPr>
          <w:rFonts w:ascii="Arial" w:eastAsiaTheme="minorEastAsia" w:hAnsi="Arial" w:cs="Arial"/>
          <w:color w:val="000000"/>
          <w:kern w:val="0"/>
          <w:sz w:val="22"/>
          <w:szCs w:val="22"/>
          <w:lang w:eastAsia="en-GB"/>
        </w:rPr>
        <w:t> Journal of Medical Internet Research, 22(6), pp.1–18.</w:t>
      </w:r>
    </w:p>
    <w:p w14:paraId="6C4B324F" w14:textId="77777777" w:rsidR="00ED1226" w:rsidRPr="00333A19" w:rsidRDefault="00ED1226" w:rsidP="00333A19">
      <w:pPr>
        <w:pStyle w:val="ListParagraph"/>
        <w:numPr>
          <w:ilvl w:val="0"/>
          <w:numId w:val="9"/>
        </w:numPr>
        <w:spacing w:before="100" w:beforeAutospacing="1" w:after="100" w:afterAutospacing="1" w:line="360" w:lineRule="auto"/>
        <w:jc w:val="both"/>
        <w:rPr>
          <w:rFonts w:ascii="Arial" w:eastAsiaTheme="minorEastAsia" w:hAnsi="Arial" w:cs="Arial"/>
          <w:color w:val="000000"/>
          <w:kern w:val="0"/>
          <w:sz w:val="22"/>
          <w:szCs w:val="22"/>
          <w:lang w:eastAsia="en-GB"/>
        </w:rPr>
      </w:pPr>
      <w:r w:rsidRPr="00333A19">
        <w:rPr>
          <w:rFonts w:ascii="Arial" w:eastAsiaTheme="minorEastAsia" w:hAnsi="Arial" w:cs="Arial"/>
          <w:color w:val="000000"/>
          <w:kern w:val="0"/>
          <w:sz w:val="22"/>
          <w:szCs w:val="22"/>
          <w:lang w:eastAsia="en-GB"/>
        </w:rPr>
        <w:t>Cambridge University Hospitals NHS Foundation Trust (2021) </w:t>
      </w:r>
      <w:r w:rsidRPr="00333A19">
        <w:rPr>
          <w:rFonts w:ascii="Arial" w:eastAsiaTheme="minorEastAsia" w:hAnsi="Arial" w:cs="Arial"/>
          <w:i/>
          <w:iCs/>
          <w:color w:val="000000"/>
          <w:kern w:val="0"/>
          <w:sz w:val="22"/>
          <w:szCs w:val="22"/>
          <w:lang w:eastAsia="en-GB"/>
        </w:rPr>
        <w:t>Epic Electronic Patient Record goes live.</w:t>
      </w:r>
      <w:r w:rsidRPr="00333A19">
        <w:rPr>
          <w:rFonts w:ascii="Arial" w:eastAsiaTheme="minorEastAsia" w:hAnsi="Arial" w:cs="Arial"/>
          <w:color w:val="000000"/>
          <w:kern w:val="0"/>
          <w:sz w:val="22"/>
          <w:szCs w:val="22"/>
          <w:lang w:eastAsia="en-GB"/>
        </w:rPr>
        <w:t>Cambridge: CUH.</w:t>
      </w:r>
    </w:p>
    <w:p w14:paraId="1BD60014" w14:textId="77777777" w:rsidR="00ED1226" w:rsidRPr="00333A19" w:rsidRDefault="00ED1226" w:rsidP="00333A19">
      <w:pPr>
        <w:pStyle w:val="ListParagraph"/>
        <w:numPr>
          <w:ilvl w:val="0"/>
          <w:numId w:val="9"/>
        </w:numPr>
        <w:spacing w:before="100" w:beforeAutospacing="1" w:after="100" w:afterAutospacing="1" w:line="360" w:lineRule="auto"/>
        <w:jc w:val="both"/>
        <w:rPr>
          <w:rFonts w:ascii="Arial" w:eastAsiaTheme="minorEastAsia" w:hAnsi="Arial" w:cs="Arial"/>
          <w:color w:val="000000"/>
          <w:kern w:val="0"/>
          <w:sz w:val="22"/>
          <w:szCs w:val="22"/>
          <w:lang w:eastAsia="en-GB"/>
        </w:rPr>
      </w:pPr>
      <w:r w:rsidRPr="00333A19">
        <w:rPr>
          <w:rFonts w:ascii="Arial" w:eastAsiaTheme="minorEastAsia" w:hAnsi="Arial" w:cs="Arial"/>
          <w:color w:val="000000"/>
          <w:kern w:val="0"/>
          <w:sz w:val="22"/>
          <w:szCs w:val="22"/>
          <w:lang w:eastAsia="en-GB"/>
        </w:rPr>
        <w:t>Cambridge University Hospitals NHS Foundation Trust (2022) </w:t>
      </w:r>
      <w:r w:rsidRPr="00333A19">
        <w:rPr>
          <w:rFonts w:ascii="Arial" w:eastAsiaTheme="minorEastAsia" w:hAnsi="Arial" w:cs="Arial"/>
          <w:i/>
          <w:iCs/>
          <w:color w:val="000000"/>
          <w:kern w:val="0"/>
          <w:sz w:val="22"/>
          <w:szCs w:val="22"/>
          <w:lang w:eastAsia="en-GB"/>
        </w:rPr>
        <w:t>Annual Report and Accounts 2021–2022.</w:t>
      </w:r>
      <w:r w:rsidRPr="00333A19">
        <w:rPr>
          <w:rFonts w:ascii="Arial" w:eastAsiaTheme="minorEastAsia" w:hAnsi="Arial" w:cs="Arial"/>
          <w:color w:val="000000"/>
          <w:kern w:val="0"/>
          <w:sz w:val="22"/>
          <w:szCs w:val="22"/>
          <w:lang w:eastAsia="en-GB"/>
        </w:rPr>
        <w:t>Cambridge: CUH.</w:t>
      </w:r>
    </w:p>
    <w:p w14:paraId="7BCDD102" w14:textId="77777777" w:rsidR="00ED1226" w:rsidRPr="00333A19" w:rsidRDefault="00ED1226" w:rsidP="00333A19">
      <w:pPr>
        <w:pStyle w:val="ListParagraph"/>
        <w:numPr>
          <w:ilvl w:val="0"/>
          <w:numId w:val="9"/>
        </w:numPr>
        <w:spacing w:before="100" w:beforeAutospacing="1" w:after="100" w:afterAutospacing="1" w:line="360" w:lineRule="auto"/>
        <w:jc w:val="both"/>
        <w:rPr>
          <w:rFonts w:ascii="Arial" w:eastAsiaTheme="minorEastAsia" w:hAnsi="Arial" w:cs="Arial"/>
          <w:color w:val="000000"/>
          <w:kern w:val="0"/>
          <w:sz w:val="22"/>
          <w:szCs w:val="22"/>
          <w:lang w:eastAsia="en-GB"/>
        </w:rPr>
      </w:pPr>
      <w:r w:rsidRPr="00333A19">
        <w:rPr>
          <w:rFonts w:ascii="Arial" w:eastAsiaTheme="minorEastAsia" w:hAnsi="Arial" w:cs="Arial"/>
          <w:color w:val="000000"/>
          <w:kern w:val="0"/>
          <w:sz w:val="22"/>
          <w:szCs w:val="22"/>
          <w:lang w:eastAsia="en-GB"/>
        </w:rPr>
        <w:t>Elliott, R.A., Camacho, E., Campbell, F. et al. (2021) </w:t>
      </w:r>
      <w:r w:rsidRPr="00333A19">
        <w:rPr>
          <w:rFonts w:ascii="Arial" w:eastAsiaTheme="minorEastAsia" w:hAnsi="Arial" w:cs="Arial"/>
          <w:i/>
          <w:iCs/>
          <w:color w:val="000000"/>
          <w:kern w:val="0"/>
          <w:sz w:val="22"/>
          <w:szCs w:val="22"/>
          <w:lang w:eastAsia="en-GB"/>
        </w:rPr>
        <w:t>Prevalence and economic burden of medication errors in the NHS in England.</w:t>
      </w:r>
      <w:r w:rsidRPr="00333A19">
        <w:rPr>
          <w:rFonts w:ascii="Arial" w:eastAsiaTheme="minorEastAsia" w:hAnsi="Arial" w:cs="Arial"/>
          <w:color w:val="000000"/>
          <w:kern w:val="0"/>
          <w:sz w:val="22"/>
          <w:szCs w:val="22"/>
          <w:lang w:eastAsia="en-GB"/>
        </w:rPr>
        <w:t> BMJ Quality &amp; Safety, 30(2), pp.96–105.</w:t>
      </w:r>
    </w:p>
    <w:p w14:paraId="21D84073" w14:textId="77777777" w:rsidR="00ED1226" w:rsidRPr="00333A19" w:rsidRDefault="00ED1226" w:rsidP="00333A19">
      <w:pPr>
        <w:pStyle w:val="ListParagraph"/>
        <w:numPr>
          <w:ilvl w:val="0"/>
          <w:numId w:val="9"/>
        </w:numPr>
        <w:spacing w:before="100" w:beforeAutospacing="1" w:after="100" w:afterAutospacing="1" w:line="360" w:lineRule="auto"/>
        <w:jc w:val="both"/>
        <w:rPr>
          <w:rFonts w:ascii="Arial" w:eastAsiaTheme="minorEastAsia" w:hAnsi="Arial" w:cs="Arial"/>
          <w:color w:val="000000"/>
          <w:kern w:val="0"/>
          <w:sz w:val="22"/>
          <w:szCs w:val="22"/>
          <w:lang w:eastAsia="en-GB"/>
        </w:rPr>
      </w:pPr>
      <w:r w:rsidRPr="00333A19">
        <w:rPr>
          <w:rFonts w:ascii="Arial" w:eastAsiaTheme="minorEastAsia" w:hAnsi="Arial" w:cs="Arial"/>
          <w:color w:val="000000"/>
          <w:kern w:val="0"/>
          <w:sz w:val="22"/>
          <w:szCs w:val="22"/>
          <w:lang w:eastAsia="en-GB"/>
        </w:rPr>
        <w:t>Health Education England (2023) </w:t>
      </w:r>
      <w:r w:rsidRPr="00333A19">
        <w:rPr>
          <w:rFonts w:ascii="Arial" w:eastAsiaTheme="minorEastAsia" w:hAnsi="Arial" w:cs="Arial"/>
          <w:i/>
          <w:iCs/>
          <w:color w:val="000000"/>
          <w:kern w:val="0"/>
          <w:sz w:val="22"/>
          <w:szCs w:val="22"/>
          <w:lang w:eastAsia="en-GB"/>
        </w:rPr>
        <w:t>A Digital Workforce for Health and Care.</w:t>
      </w:r>
      <w:r w:rsidRPr="00333A19">
        <w:rPr>
          <w:rFonts w:ascii="Arial" w:eastAsiaTheme="minorEastAsia" w:hAnsi="Arial" w:cs="Arial"/>
          <w:color w:val="000000"/>
          <w:kern w:val="0"/>
          <w:sz w:val="22"/>
          <w:szCs w:val="22"/>
          <w:lang w:eastAsia="en-GB"/>
        </w:rPr>
        <w:t> London: HEE.</w:t>
      </w:r>
    </w:p>
    <w:p w14:paraId="002D45E3" w14:textId="77777777" w:rsidR="00ED1226" w:rsidRPr="00333A19" w:rsidRDefault="00ED1226" w:rsidP="00333A19">
      <w:pPr>
        <w:pStyle w:val="ListParagraph"/>
        <w:numPr>
          <w:ilvl w:val="0"/>
          <w:numId w:val="9"/>
        </w:numPr>
        <w:spacing w:before="100" w:beforeAutospacing="1" w:after="100" w:afterAutospacing="1" w:line="360" w:lineRule="auto"/>
        <w:jc w:val="both"/>
        <w:rPr>
          <w:rFonts w:ascii="Arial" w:eastAsiaTheme="minorEastAsia" w:hAnsi="Arial" w:cs="Arial"/>
          <w:color w:val="000000"/>
          <w:kern w:val="0"/>
          <w:sz w:val="22"/>
          <w:szCs w:val="22"/>
          <w:lang w:eastAsia="en-GB"/>
        </w:rPr>
      </w:pPr>
      <w:r w:rsidRPr="00333A19">
        <w:rPr>
          <w:rFonts w:ascii="Arial" w:eastAsiaTheme="minorEastAsia" w:hAnsi="Arial" w:cs="Arial"/>
          <w:color w:val="000000"/>
          <w:kern w:val="0"/>
          <w:sz w:val="22"/>
          <w:szCs w:val="22"/>
          <w:lang w:eastAsia="en-GB"/>
        </w:rPr>
        <w:t>Melnick, E.R., Dyrbye, L.N., Sinsky, C.A. et al. (2020) ‘The association between perceived electronic health record usability and professional burnout among US physicians’, </w:t>
      </w:r>
      <w:r w:rsidRPr="00333A19">
        <w:rPr>
          <w:rFonts w:ascii="Arial" w:eastAsiaTheme="minorEastAsia" w:hAnsi="Arial" w:cs="Arial"/>
          <w:i/>
          <w:iCs/>
          <w:color w:val="000000"/>
          <w:kern w:val="0"/>
          <w:sz w:val="22"/>
          <w:szCs w:val="22"/>
          <w:lang w:eastAsia="en-GB"/>
        </w:rPr>
        <w:t>Mayo Clinic Proceedings</w:t>
      </w:r>
      <w:r w:rsidRPr="00333A19">
        <w:rPr>
          <w:rFonts w:ascii="Arial" w:eastAsiaTheme="minorEastAsia" w:hAnsi="Arial" w:cs="Arial"/>
          <w:color w:val="000000"/>
          <w:kern w:val="0"/>
          <w:sz w:val="22"/>
          <w:szCs w:val="22"/>
          <w:lang w:eastAsia="en-GB"/>
        </w:rPr>
        <w:t>, 95(3), pp.476–487.</w:t>
      </w:r>
    </w:p>
    <w:p w14:paraId="63DEBB3A" w14:textId="77777777" w:rsidR="00ED1226" w:rsidRPr="00333A19" w:rsidRDefault="00ED1226" w:rsidP="00333A19">
      <w:pPr>
        <w:pStyle w:val="ListParagraph"/>
        <w:numPr>
          <w:ilvl w:val="0"/>
          <w:numId w:val="9"/>
        </w:numPr>
        <w:spacing w:before="100" w:beforeAutospacing="1" w:after="100" w:afterAutospacing="1" w:line="360" w:lineRule="auto"/>
        <w:jc w:val="both"/>
        <w:rPr>
          <w:rFonts w:ascii="Arial" w:eastAsiaTheme="minorEastAsia" w:hAnsi="Arial" w:cs="Arial"/>
          <w:color w:val="000000"/>
          <w:kern w:val="0"/>
          <w:sz w:val="22"/>
          <w:szCs w:val="22"/>
          <w:lang w:eastAsia="en-GB"/>
        </w:rPr>
      </w:pPr>
      <w:r w:rsidRPr="00333A19">
        <w:rPr>
          <w:rFonts w:ascii="Arial" w:eastAsiaTheme="minorEastAsia" w:hAnsi="Arial" w:cs="Arial"/>
          <w:color w:val="000000"/>
          <w:kern w:val="0"/>
          <w:sz w:val="22"/>
          <w:szCs w:val="22"/>
          <w:lang w:eastAsia="en-GB"/>
        </w:rPr>
        <w:t>NHS England (2019) </w:t>
      </w:r>
      <w:r w:rsidRPr="00333A19">
        <w:rPr>
          <w:rFonts w:ascii="Arial" w:eastAsiaTheme="minorEastAsia" w:hAnsi="Arial" w:cs="Arial"/>
          <w:i/>
          <w:iCs/>
          <w:color w:val="000000"/>
          <w:kern w:val="0"/>
          <w:sz w:val="22"/>
          <w:szCs w:val="22"/>
          <w:lang w:eastAsia="en-GB"/>
        </w:rPr>
        <w:t>The NHS Long Term Plan.</w:t>
      </w:r>
      <w:r w:rsidRPr="00333A19">
        <w:rPr>
          <w:rFonts w:ascii="Arial" w:eastAsiaTheme="minorEastAsia" w:hAnsi="Arial" w:cs="Arial"/>
          <w:color w:val="000000"/>
          <w:kern w:val="0"/>
          <w:sz w:val="22"/>
          <w:szCs w:val="22"/>
          <w:lang w:eastAsia="en-GB"/>
        </w:rPr>
        <w:t> London: NHS England.</w:t>
      </w:r>
    </w:p>
    <w:p w14:paraId="72C18EE3" w14:textId="77777777" w:rsidR="00ED1226" w:rsidRPr="00333A19" w:rsidRDefault="00ED1226" w:rsidP="00333A19">
      <w:pPr>
        <w:pStyle w:val="ListParagraph"/>
        <w:numPr>
          <w:ilvl w:val="0"/>
          <w:numId w:val="9"/>
        </w:numPr>
        <w:spacing w:before="100" w:beforeAutospacing="1" w:after="100" w:afterAutospacing="1" w:line="360" w:lineRule="auto"/>
        <w:jc w:val="both"/>
        <w:rPr>
          <w:rFonts w:ascii="Arial" w:eastAsiaTheme="minorEastAsia" w:hAnsi="Arial" w:cs="Arial"/>
          <w:color w:val="000000"/>
          <w:kern w:val="0"/>
          <w:sz w:val="22"/>
          <w:szCs w:val="22"/>
          <w:lang w:eastAsia="en-GB"/>
        </w:rPr>
      </w:pPr>
      <w:r w:rsidRPr="00333A19">
        <w:rPr>
          <w:rFonts w:ascii="Arial" w:eastAsiaTheme="minorEastAsia" w:hAnsi="Arial" w:cs="Arial"/>
          <w:color w:val="000000"/>
          <w:kern w:val="0"/>
          <w:sz w:val="22"/>
          <w:szCs w:val="22"/>
          <w:lang w:eastAsia="en-GB"/>
        </w:rPr>
        <w:t>NHS England (2022) </w:t>
      </w:r>
      <w:r w:rsidRPr="00333A19">
        <w:rPr>
          <w:rFonts w:ascii="Arial" w:eastAsiaTheme="minorEastAsia" w:hAnsi="Arial" w:cs="Arial"/>
          <w:i/>
          <w:iCs/>
          <w:color w:val="000000"/>
          <w:kern w:val="0"/>
          <w:sz w:val="22"/>
          <w:szCs w:val="22"/>
          <w:lang w:eastAsia="en-GB"/>
        </w:rPr>
        <w:t>What Good Looks Like Framework.</w:t>
      </w:r>
      <w:r w:rsidRPr="00333A19">
        <w:rPr>
          <w:rFonts w:ascii="Arial" w:eastAsiaTheme="minorEastAsia" w:hAnsi="Arial" w:cs="Arial"/>
          <w:color w:val="000000"/>
          <w:kern w:val="0"/>
          <w:sz w:val="22"/>
          <w:szCs w:val="22"/>
          <w:lang w:eastAsia="en-GB"/>
        </w:rPr>
        <w:t> London: NHS England.</w:t>
      </w:r>
    </w:p>
    <w:p w14:paraId="06939B7F" w14:textId="77777777" w:rsidR="00ED1226" w:rsidRPr="00333A19" w:rsidRDefault="00ED1226" w:rsidP="00333A19">
      <w:pPr>
        <w:pStyle w:val="ListParagraph"/>
        <w:numPr>
          <w:ilvl w:val="0"/>
          <w:numId w:val="9"/>
        </w:numPr>
        <w:spacing w:before="100" w:beforeAutospacing="1" w:after="100" w:afterAutospacing="1" w:line="360" w:lineRule="auto"/>
        <w:jc w:val="both"/>
        <w:rPr>
          <w:rFonts w:ascii="Arial" w:eastAsiaTheme="minorEastAsia" w:hAnsi="Arial" w:cs="Arial"/>
          <w:color w:val="000000"/>
          <w:kern w:val="0"/>
          <w:sz w:val="22"/>
          <w:szCs w:val="22"/>
          <w:lang w:eastAsia="en-GB"/>
        </w:rPr>
      </w:pPr>
      <w:r w:rsidRPr="00333A19">
        <w:rPr>
          <w:rFonts w:ascii="Arial" w:eastAsiaTheme="minorEastAsia" w:hAnsi="Arial" w:cs="Arial"/>
          <w:color w:val="000000"/>
          <w:kern w:val="0"/>
          <w:sz w:val="22"/>
          <w:szCs w:val="22"/>
          <w:lang w:eastAsia="en-GB"/>
        </w:rPr>
        <w:t>National Cyber Security Centre (2023) </w:t>
      </w:r>
      <w:r w:rsidRPr="00333A19">
        <w:rPr>
          <w:rFonts w:ascii="Arial" w:eastAsiaTheme="minorEastAsia" w:hAnsi="Arial" w:cs="Arial"/>
          <w:i/>
          <w:iCs/>
          <w:color w:val="000000"/>
          <w:kern w:val="0"/>
          <w:sz w:val="22"/>
          <w:szCs w:val="22"/>
          <w:lang w:eastAsia="en-GB"/>
        </w:rPr>
        <w:t>Cyber security guidance for health and social care organisations.</w:t>
      </w:r>
      <w:r w:rsidRPr="00333A19">
        <w:rPr>
          <w:rFonts w:ascii="Arial" w:eastAsiaTheme="minorEastAsia" w:hAnsi="Arial" w:cs="Arial"/>
          <w:color w:val="000000"/>
          <w:kern w:val="0"/>
          <w:sz w:val="22"/>
          <w:szCs w:val="22"/>
          <w:lang w:eastAsia="en-GB"/>
        </w:rPr>
        <w:t>London: NCSC.</w:t>
      </w:r>
    </w:p>
    <w:p w14:paraId="67C1025E" w14:textId="77777777" w:rsidR="00ED1226" w:rsidRPr="00333A19" w:rsidRDefault="00ED1226" w:rsidP="00333A19">
      <w:pPr>
        <w:pStyle w:val="ListParagraph"/>
        <w:numPr>
          <w:ilvl w:val="0"/>
          <w:numId w:val="9"/>
        </w:numPr>
        <w:spacing w:before="100" w:beforeAutospacing="1" w:after="100" w:afterAutospacing="1" w:line="360" w:lineRule="auto"/>
        <w:jc w:val="both"/>
        <w:rPr>
          <w:rFonts w:ascii="Arial" w:eastAsiaTheme="minorEastAsia" w:hAnsi="Arial" w:cs="Arial"/>
          <w:color w:val="000000"/>
          <w:kern w:val="0"/>
          <w:sz w:val="22"/>
          <w:szCs w:val="22"/>
          <w:lang w:eastAsia="en-GB"/>
        </w:rPr>
      </w:pPr>
      <w:r w:rsidRPr="00333A19">
        <w:rPr>
          <w:rFonts w:ascii="Arial" w:eastAsiaTheme="minorEastAsia" w:hAnsi="Arial" w:cs="Arial"/>
          <w:color w:val="000000"/>
          <w:kern w:val="0"/>
          <w:sz w:val="22"/>
          <w:szCs w:val="22"/>
          <w:lang w:eastAsia="en-GB"/>
        </w:rPr>
        <w:t>Topaz, M., Seger, D.L. and Slight, S.P. (2020) ‘Clinical decision support systems and medication safety: A systematic review’, </w:t>
      </w:r>
      <w:r w:rsidRPr="00333A19">
        <w:rPr>
          <w:rFonts w:ascii="Arial" w:eastAsiaTheme="minorEastAsia" w:hAnsi="Arial" w:cs="Arial"/>
          <w:i/>
          <w:iCs/>
          <w:color w:val="000000"/>
          <w:kern w:val="0"/>
          <w:sz w:val="22"/>
          <w:szCs w:val="22"/>
          <w:lang w:eastAsia="en-GB"/>
        </w:rPr>
        <w:t>Journal of the American Medical Informatics Association</w:t>
      </w:r>
      <w:r w:rsidRPr="00333A19">
        <w:rPr>
          <w:rFonts w:ascii="Arial" w:eastAsiaTheme="minorEastAsia" w:hAnsi="Arial" w:cs="Arial"/>
          <w:color w:val="000000"/>
          <w:kern w:val="0"/>
          <w:sz w:val="22"/>
          <w:szCs w:val="22"/>
          <w:lang w:eastAsia="en-GB"/>
        </w:rPr>
        <w:t>, 27(10), pp.</w:t>
      </w:r>
      <w:hyperlink r:id="rId9" w:tgtFrame="_blank" w:history="1">
        <w:r w:rsidRPr="00333A19">
          <w:rPr>
            <w:rFonts w:ascii="Arial" w:eastAsiaTheme="minorEastAsia" w:hAnsi="Arial" w:cs="Arial"/>
            <w:color w:val="4285F4"/>
            <w:kern w:val="0"/>
            <w:sz w:val="22"/>
            <w:szCs w:val="22"/>
            <w:u w:val="single"/>
            <w:lang w:eastAsia="en-GB"/>
          </w:rPr>
          <w:t>1619–1631</w:t>
        </w:r>
      </w:hyperlink>
      <w:r w:rsidRPr="00333A19">
        <w:rPr>
          <w:rFonts w:ascii="Arial" w:eastAsiaTheme="minorEastAsia" w:hAnsi="Arial" w:cs="Arial"/>
          <w:color w:val="000000"/>
          <w:kern w:val="0"/>
          <w:sz w:val="22"/>
          <w:szCs w:val="22"/>
          <w:lang w:eastAsia="en-GB"/>
        </w:rPr>
        <w:t>.</w:t>
      </w:r>
    </w:p>
    <w:p w14:paraId="7284C8EE" w14:textId="77777777" w:rsidR="00ED1226" w:rsidRPr="00333A19" w:rsidRDefault="00ED1226" w:rsidP="00333A19">
      <w:pPr>
        <w:pStyle w:val="ListParagraph"/>
        <w:numPr>
          <w:ilvl w:val="0"/>
          <w:numId w:val="9"/>
        </w:numPr>
        <w:spacing w:before="100" w:beforeAutospacing="1" w:after="100" w:afterAutospacing="1" w:line="360" w:lineRule="auto"/>
        <w:jc w:val="both"/>
        <w:rPr>
          <w:rFonts w:ascii="Arial" w:eastAsiaTheme="minorEastAsia" w:hAnsi="Arial" w:cs="Arial"/>
          <w:color w:val="000000"/>
          <w:kern w:val="0"/>
          <w:sz w:val="22"/>
          <w:szCs w:val="22"/>
          <w:lang w:eastAsia="en-GB"/>
        </w:rPr>
      </w:pPr>
      <w:r w:rsidRPr="00333A19">
        <w:rPr>
          <w:rFonts w:ascii="Arial" w:eastAsiaTheme="minorEastAsia" w:hAnsi="Arial" w:cs="Arial"/>
          <w:color w:val="000000"/>
          <w:kern w:val="0"/>
          <w:sz w:val="22"/>
          <w:szCs w:val="22"/>
          <w:lang w:eastAsia="en-GB"/>
        </w:rPr>
        <w:t>Wachter, R.M. (2016) </w:t>
      </w:r>
      <w:r w:rsidRPr="00333A19">
        <w:rPr>
          <w:rFonts w:ascii="Arial" w:eastAsiaTheme="minorEastAsia" w:hAnsi="Arial" w:cs="Arial"/>
          <w:i/>
          <w:iCs/>
          <w:color w:val="000000"/>
          <w:kern w:val="0"/>
          <w:sz w:val="22"/>
          <w:szCs w:val="22"/>
          <w:lang w:eastAsia="en-GB"/>
        </w:rPr>
        <w:t>Making IT Work: Harnessing the Power of Health Information Technology to Improve Care in England.</w:t>
      </w:r>
      <w:r w:rsidRPr="00333A19">
        <w:rPr>
          <w:rFonts w:ascii="Arial" w:eastAsiaTheme="minorEastAsia" w:hAnsi="Arial" w:cs="Arial"/>
          <w:color w:val="000000"/>
          <w:kern w:val="0"/>
          <w:sz w:val="22"/>
          <w:szCs w:val="22"/>
          <w:lang w:eastAsia="en-GB"/>
        </w:rPr>
        <w:t> London: Department of Health.</w:t>
      </w:r>
    </w:p>
    <w:p w14:paraId="6B1D4B2B" w14:textId="77777777" w:rsidR="00ED1226" w:rsidRPr="00333A19" w:rsidRDefault="00ED1226" w:rsidP="00333A19">
      <w:pPr>
        <w:pStyle w:val="ListParagraph"/>
        <w:numPr>
          <w:ilvl w:val="0"/>
          <w:numId w:val="9"/>
        </w:numPr>
        <w:spacing w:before="100" w:beforeAutospacing="1" w:after="100" w:afterAutospacing="1" w:line="360" w:lineRule="auto"/>
        <w:jc w:val="both"/>
        <w:rPr>
          <w:rFonts w:ascii="Arial" w:eastAsiaTheme="minorEastAsia" w:hAnsi="Arial" w:cs="Arial"/>
          <w:color w:val="000000"/>
          <w:kern w:val="0"/>
          <w:sz w:val="22"/>
          <w:szCs w:val="22"/>
          <w:lang w:eastAsia="en-GB"/>
        </w:rPr>
      </w:pPr>
      <w:r w:rsidRPr="00333A19">
        <w:rPr>
          <w:rFonts w:ascii="Arial" w:eastAsiaTheme="minorEastAsia" w:hAnsi="Arial" w:cs="Arial"/>
          <w:color w:val="000000"/>
          <w:kern w:val="0"/>
          <w:sz w:val="22"/>
          <w:szCs w:val="22"/>
          <w:lang w:eastAsia="en-GB"/>
        </w:rPr>
        <w:t>World Health Organization (2021) </w:t>
      </w:r>
      <w:r w:rsidRPr="00333A19">
        <w:rPr>
          <w:rFonts w:ascii="Arial" w:eastAsiaTheme="minorEastAsia" w:hAnsi="Arial" w:cs="Arial"/>
          <w:i/>
          <w:iCs/>
          <w:color w:val="000000"/>
          <w:kern w:val="0"/>
          <w:sz w:val="22"/>
          <w:szCs w:val="22"/>
          <w:lang w:eastAsia="en-GB"/>
        </w:rPr>
        <w:t>Global Strategy on Digital Health 2020–2025.</w:t>
      </w:r>
      <w:r w:rsidRPr="00333A19">
        <w:rPr>
          <w:rFonts w:ascii="Arial" w:eastAsiaTheme="minorEastAsia" w:hAnsi="Arial" w:cs="Arial"/>
          <w:color w:val="000000"/>
          <w:kern w:val="0"/>
          <w:sz w:val="22"/>
          <w:szCs w:val="22"/>
          <w:lang w:eastAsia="en-GB"/>
        </w:rPr>
        <w:t> Geneva: WHO.</w:t>
      </w:r>
    </w:p>
    <w:p w14:paraId="06388B3A" w14:textId="7EA4DD9E" w:rsidR="00C80D0F" w:rsidRPr="002A7D0B" w:rsidRDefault="00C80D0F" w:rsidP="006C6392">
      <w:pPr>
        <w:spacing w:line="360" w:lineRule="auto"/>
        <w:jc w:val="both"/>
        <w:rPr>
          <w:rFonts w:ascii="Arial" w:hAnsi="Arial" w:cs="Arial"/>
          <w:sz w:val="22"/>
          <w:szCs w:val="22"/>
        </w:rPr>
      </w:pPr>
    </w:p>
    <w:p w14:paraId="4241EF9C" w14:textId="77777777" w:rsidR="00C80D0F" w:rsidRPr="002A7D0B" w:rsidRDefault="00C80D0F" w:rsidP="006C6392">
      <w:pPr>
        <w:spacing w:line="360" w:lineRule="auto"/>
        <w:jc w:val="both"/>
        <w:rPr>
          <w:rFonts w:ascii="Arial" w:hAnsi="Arial" w:cs="Arial"/>
          <w:sz w:val="22"/>
          <w:szCs w:val="22"/>
        </w:rPr>
      </w:pPr>
    </w:p>
    <w:p w14:paraId="76920EB5" w14:textId="77777777" w:rsidR="00C80D0F" w:rsidRPr="002A7D0B" w:rsidRDefault="00C80D0F" w:rsidP="006C6392">
      <w:pPr>
        <w:spacing w:line="360" w:lineRule="auto"/>
        <w:jc w:val="both"/>
        <w:rPr>
          <w:rFonts w:ascii="Arial" w:hAnsi="Arial" w:cs="Arial"/>
          <w:sz w:val="22"/>
          <w:szCs w:val="22"/>
        </w:rPr>
      </w:pPr>
    </w:p>
    <w:p w14:paraId="5C4B2A31" w14:textId="77777777" w:rsidR="00C80D0F" w:rsidRPr="002A7D0B" w:rsidRDefault="00C80D0F" w:rsidP="006C6392">
      <w:pPr>
        <w:spacing w:line="360" w:lineRule="auto"/>
        <w:jc w:val="both"/>
        <w:rPr>
          <w:rFonts w:ascii="Arial" w:hAnsi="Arial" w:cs="Arial"/>
          <w:sz w:val="22"/>
          <w:szCs w:val="22"/>
        </w:rPr>
      </w:pPr>
    </w:p>
    <w:p w14:paraId="4A9E7E21" w14:textId="77777777" w:rsidR="008375B5" w:rsidRPr="002A7D0B" w:rsidRDefault="008375B5" w:rsidP="006C6392">
      <w:pPr>
        <w:spacing w:line="360" w:lineRule="auto"/>
        <w:jc w:val="both"/>
        <w:rPr>
          <w:rFonts w:ascii="Arial" w:hAnsi="Arial" w:cs="Arial"/>
          <w:sz w:val="22"/>
          <w:szCs w:val="22"/>
        </w:rPr>
      </w:pPr>
    </w:p>
    <w:p w14:paraId="3D599A25" w14:textId="77777777" w:rsidR="008375B5" w:rsidRPr="002A7D0B" w:rsidRDefault="008375B5" w:rsidP="006C6392">
      <w:pPr>
        <w:spacing w:line="360" w:lineRule="auto"/>
        <w:jc w:val="both"/>
        <w:rPr>
          <w:rFonts w:ascii="Arial" w:hAnsi="Arial" w:cs="Arial"/>
          <w:sz w:val="22"/>
          <w:szCs w:val="22"/>
        </w:rPr>
      </w:pPr>
    </w:p>
    <w:p w14:paraId="317B5555" w14:textId="77777777" w:rsidR="008375B5" w:rsidRPr="002A7D0B" w:rsidRDefault="008375B5" w:rsidP="006C6392">
      <w:pPr>
        <w:spacing w:line="360" w:lineRule="auto"/>
        <w:jc w:val="both"/>
        <w:rPr>
          <w:rFonts w:ascii="Arial" w:hAnsi="Arial" w:cs="Arial"/>
          <w:sz w:val="22"/>
          <w:szCs w:val="22"/>
        </w:rPr>
      </w:pPr>
    </w:p>
    <w:p w14:paraId="63857A30" w14:textId="15D6EBD0" w:rsidR="008375B5" w:rsidRPr="002A7D0B" w:rsidRDefault="008375B5" w:rsidP="006C6392">
      <w:pPr>
        <w:spacing w:line="360" w:lineRule="auto"/>
        <w:jc w:val="both"/>
        <w:rPr>
          <w:rFonts w:ascii="Arial" w:hAnsi="Arial" w:cs="Arial"/>
          <w:sz w:val="22"/>
          <w:szCs w:val="22"/>
        </w:rPr>
      </w:pPr>
    </w:p>
    <w:sectPr w:rsidR="008375B5" w:rsidRPr="002A7D0B" w:rsidSect="008375B5">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8C95A99" w14:textId="77777777" w:rsidR="008265EC" w:rsidRDefault="008265EC" w:rsidP="008375B5">
      <w:pPr>
        <w:spacing w:after="0" w:line="240" w:lineRule="auto"/>
      </w:pPr>
      <w:r>
        <w:separator/>
      </w:r>
    </w:p>
  </w:endnote>
  <w:endnote w:type="continuationSeparator" w:id="0">
    <w:p w14:paraId="5FEFB3B1" w14:textId="77777777" w:rsidR="008265EC" w:rsidRDefault="008265EC"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ABE110D" w14:textId="77777777" w:rsidR="008265EC" w:rsidRDefault="008265EC" w:rsidP="008375B5">
      <w:pPr>
        <w:spacing w:after="0" w:line="240" w:lineRule="auto"/>
      </w:pPr>
      <w:r>
        <w:separator/>
      </w:r>
    </w:p>
  </w:footnote>
  <w:footnote w:type="continuationSeparator" w:id="0">
    <w:p w14:paraId="62875B80" w14:textId="77777777" w:rsidR="008265EC" w:rsidRDefault="008265EC"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D4C4349"/>
    <w:multiLevelType w:val="hybridMultilevel"/>
    <w:tmpl w:val="EF10E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109961">
    <w:abstractNumId w:val="3"/>
  </w:num>
  <w:num w:numId="2" w16cid:durableId="1722706951">
    <w:abstractNumId w:val="4"/>
  </w:num>
  <w:num w:numId="3" w16cid:durableId="335810324">
    <w:abstractNumId w:val="5"/>
  </w:num>
  <w:num w:numId="4" w16cid:durableId="808743765">
    <w:abstractNumId w:val="1"/>
  </w:num>
  <w:num w:numId="5" w16cid:durableId="1356345100">
    <w:abstractNumId w:val="2"/>
  </w:num>
  <w:num w:numId="6" w16cid:durableId="409356113">
    <w:abstractNumId w:val="6"/>
  </w:num>
  <w:num w:numId="7" w16cid:durableId="1013411307">
    <w:abstractNumId w:val="7"/>
  </w:num>
  <w:num w:numId="8" w16cid:durableId="704909136">
    <w:abstractNumId w:val="8"/>
  </w:num>
  <w:num w:numId="9" w16cid:durableId="813645751">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76BE5"/>
    <w:rsid w:val="0012100D"/>
    <w:rsid w:val="00255D51"/>
    <w:rsid w:val="0029621F"/>
    <w:rsid w:val="002A7D0B"/>
    <w:rsid w:val="00315C00"/>
    <w:rsid w:val="00333A19"/>
    <w:rsid w:val="0033543B"/>
    <w:rsid w:val="004403A2"/>
    <w:rsid w:val="00476FAE"/>
    <w:rsid w:val="004963FE"/>
    <w:rsid w:val="004E284B"/>
    <w:rsid w:val="00556DF6"/>
    <w:rsid w:val="0058254B"/>
    <w:rsid w:val="005B631B"/>
    <w:rsid w:val="006C6392"/>
    <w:rsid w:val="006E55B7"/>
    <w:rsid w:val="00737C77"/>
    <w:rsid w:val="00767114"/>
    <w:rsid w:val="008265EC"/>
    <w:rsid w:val="00835D97"/>
    <w:rsid w:val="008375B5"/>
    <w:rsid w:val="008479F1"/>
    <w:rsid w:val="008C5B3A"/>
    <w:rsid w:val="008E31E6"/>
    <w:rsid w:val="009334D8"/>
    <w:rsid w:val="00987802"/>
    <w:rsid w:val="009B0828"/>
    <w:rsid w:val="00A37DC4"/>
    <w:rsid w:val="00A86EBF"/>
    <w:rsid w:val="00A875D4"/>
    <w:rsid w:val="00A9474F"/>
    <w:rsid w:val="00AA6F71"/>
    <w:rsid w:val="00AB2460"/>
    <w:rsid w:val="00AC2DCE"/>
    <w:rsid w:val="00AC3FDE"/>
    <w:rsid w:val="00AD0233"/>
    <w:rsid w:val="00C80D0F"/>
    <w:rsid w:val="00C824AC"/>
    <w:rsid w:val="00CB7125"/>
    <w:rsid w:val="00CD30E3"/>
    <w:rsid w:val="00D40915"/>
    <w:rsid w:val="00E45DAC"/>
    <w:rsid w:val="00ED1226"/>
    <w:rsid w:val="00F113A4"/>
    <w:rsid w:val="00F4272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styleId="Hyperlink">
    <w:name w:val="Hyperlink"/>
    <w:basedOn w:val="DefaultParagraphFont"/>
    <w:uiPriority w:val="99"/>
    <w:unhideWhenUsed/>
    <w:rsid w:val="00ED1226"/>
    <w:rPr>
      <w:color w:val="0000FF"/>
      <w:u w:val="single"/>
    </w:rPr>
  </w:style>
  <w:style w:type="paragraph" w:styleId="TOCHeading">
    <w:name w:val="TOC Heading"/>
    <w:basedOn w:val="Heading1"/>
    <w:next w:val="Normal"/>
    <w:uiPriority w:val="39"/>
    <w:unhideWhenUsed/>
    <w:qFormat/>
    <w:rsid w:val="00AD0233"/>
    <w:pPr>
      <w:spacing w:before="480" w:after="0" w:line="276" w:lineRule="auto"/>
      <w:outlineLvl w:val="9"/>
    </w:pPr>
    <w:rPr>
      <w:rFonts w:asciiTheme="majorHAnsi" w:eastAsiaTheme="majorEastAsia" w:hAnsiTheme="majorHAnsi" w:cstheme="majorBidi"/>
      <w:b/>
      <w:bCs/>
      <w:color w:val="0F4761" w:themeColor="accent1" w:themeShade="BF"/>
      <w:kern w:val="0"/>
      <w:sz w:val="28"/>
      <w:szCs w:val="28"/>
      <w:lang w:val="en-US"/>
    </w:rPr>
  </w:style>
  <w:style w:type="paragraph" w:styleId="TOC2">
    <w:name w:val="toc 2"/>
    <w:basedOn w:val="Normal"/>
    <w:next w:val="Normal"/>
    <w:autoRedefine/>
    <w:uiPriority w:val="39"/>
    <w:unhideWhenUsed/>
    <w:rsid w:val="00AD0233"/>
    <w:pPr>
      <w:spacing w:after="100"/>
      <w:ind w:left="240"/>
    </w:pPr>
  </w:style>
  <w:style w:type="paragraph" w:styleId="TOC1">
    <w:name w:val="toc 1"/>
    <w:basedOn w:val="Normal"/>
    <w:next w:val="Normal"/>
    <w:autoRedefine/>
    <w:uiPriority w:val="39"/>
    <w:unhideWhenUsed/>
    <w:rsid w:val="00AD023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file:///C:\Users\biancasanfilippo\Library\Group%20Containers\UBF8T346G9.ms\WebArchiveCopyPasteTempFiles\com.microsoft.Word\UWTSD-Logo.jpg"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tel:1619-16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2812</Words>
  <Characters>16034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18809</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Noemi Eniko Putz (2336726)</cp:lastModifiedBy>
  <cp:revision>2</cp:revision>
  <dcterms:created xsi:type="dcterms:W3CDTF">2026-07-20T11:37:00Z</dcterms:created>
  <dcterms:modified xsi:type="dcterms:W3CDTF">2026-07-20T11:37:00Z</dcterms:modified>
</cp:coreProperties>
</file>