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58CF59" w14:textId="77777777" w:rsidR="001418DE" w:rsidRDefault="001418DE"/>
    <w:p w14:paraId="3217814B" w14:textId="77777777" w:rsidR="00AF2A9C" w:rsidRPr="00D57107" w:rsidRDefault="00AF2A9C" w:rsidP="00D57107">
      <w:pPr>
        <w:jc w:val="center"/>
        <w:rPr>
          <w:b/>
          <w:u w:val="single"/>
        </w:rPr>
      </w:pPr>
    </w:p>
    <w:p w14:paraId="21DAD5E6" w14:textId="77777777" w:rsidR="00972B54" w:rsidRPr="00972B54" w:rsidRDefault="00972B54" w:rsidP="00D57107">
      <w:pPr>
        <w:jc w:val="center"/>
        <w:rPr>
          <w:rFonts w:ascii="Arial" w:eastAsia="Times New Roman" w:hAnsi="Arial" w:cs="Arial"/>
          <w:b/>
          <w:sz w:val="28"/>
          <w:szCs w:val="28"/>
          <w:u w:val="single"/>
        </w:rPr>
      </w:pPr>
      <w:r w:rsidRPr="00972B54">
        <w:rPr>
          <w:rFonts w:ascii="Arial" w:eastAsia="Times New Roman" w:hAnsi="Arial" w:cs="Arial"/>
          <w:b/>
          <w:sz w:val="28"/>
          <w:szCs w:val="28"/>
          <w:u w:val="single"/>
        </w:rPr>
        <w:t xml:space="preserve">Research Project: Case Study based on an Electives Experience </w:t>
      </w:r>
      <w:proofErr w:type="gramStart"/>
      <w:r w:rsidRPr="00972B54">
        <w:rPr>
          <w:rFonts w:ascii="Arial" w:eastAsia="Times New Roman" w:hAnsi="Arial" w:cs="Arial"/>
          <w:b/>
          <w:sz w:val="28"/>
          <w:szCs w:val="28"/>
          <w:u w:val="single"/>
        </w:rPr>
        <w:t>An</w:t>
      </w:r>
      <w:proofErr w:type="gramEnd"/>
      <w:r w:rsidRPr="00972B54">
        <w:rPr>
          <w:rFonts w:ascii="Arial" w:eastAsia="Times New Roman" w:hAnsi="Arial" w:cs="Arial"/>
          <w:b/>
          <w:sz w:val="28"/>
          <w:szCs w:val="28"/>
          <w:u w:val="single"/>
        </w:rPr>
        <w:t xml:space="preserve">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4AC7ECAB" w14:textId="77777777" w:rsidR="00AF2A9C" w:rsidRPr="00AF2A9C" w:rsidRDefault="00AF2A9C" w:rsidP="006C4DD8">
      <w:pPr>
        <w:rPr>
          <w:b/>
          <w:sz w:val="28"/>
          <w:u w:val="single"/>
        </w:rPr>
      </w:pPr>
    </w:p>
    <w:p w14:paraId="6B0FEE86" w14:textId="77777777" w:rsidR="006C4DD8" w:rsidRPr="00FE2089" w:rsidRDefault="00A373F4" w:rsidP="006C4DD8">
      <w:pPr>
        <w:rPr>
          <w:rFonts w:asciiTheme="minorHAnsi" w:hAnsiTheme="minorHAnsi" w:cs="Arial"/>
          <w:color w:val="000000" w:themeColor="text1"/>
          <w:sz w:val="22"/>
          <w:szCs w:val="22"/>
        </w:rPr>
      </w:pPr>
      <w:bookmarkStart w:id="0" w:name="_GoBack"/>
      <w:r w:rsidRPr="00FE2089">
        <w:rPr>
          <w:rFonts w:asciiTheme="minorHAnsi" w:hAnsiTheme="minorHAnsi" w:cs="Arial"/>
          <w:sz w:val="22"/>
          <w:szCs w:val="22"/>
        </w:rPr>
        <w:t xml:space="preserve">My research question - </w:t>
      </w:r>
      <w:r w:rsidR="006C4DD8" w:rsidRPr="00FE2089">
        <w:rPr>
          <w:rFonts w:asciiTheme="minorHAnsi" w:hAnsiTheme="minorHAnsi" w:cs="Arial"/>
          <w:color w:val="000000" w:themeColor="text1"/>
          <w:sz w:val="22"/>
          <w:szCs w:val="22"/>
        </w:rPr>
        <w:t>In light of the coronavirus pandemic, what strategies are key stage two teachers putting in place to support social and emotional well-being?</w:t>
      </w:r>
    </w:p>
    <w:p w14:paraId="3937819F" w14:textId="28C931A9" w:rsidR="00AE24C8" w:rsidRPr="00FE2089" w:rsidRDefault="00AE24C8">
      <w:pPr>
        <w:rPr>
          <w:rFonts w:asciiTheme="minorHAnsi" w:hAnsiTheme="minorHAnsi"/>
          <w:sz w:val="28"/>
        </w:rPr>
      </w:pPr>
    </w:p>
    <w:p w14:paraId="11367CFA" w14:textId="77777777" w:rsidR="00AF2A9C" w:rsidRPr="00FE2089" w:rsidRDefault="00AF2A9C">
      <w:pPr>
        <w:rPr>
          <w:rFonts w:asciiTheme="minorHAnsi" w:hAnsiTheme="minorHAnsi"/>
          <w:b/>
          <w:sz w:val="28"/>
          <w:u w:val="single"/>
        </w:rPr>
      </w:pPr>
      <w:r w:rsidRPr="00FE2089">
        <w:rPr>
          <w:rFonts w:asciiTheme="minorHAnsi" w:hAnsiTheme="minorHAnsi"/>
          <w:b/>
          <w:sz w:val="28"/>
          <w:u w:val="single"/>
        </w:rPr>
        <w:t>Aim, focus and purpose of the research / Research context</w:t>
      </w:r>
    </w:p>
    <w:p w14:paraId="5D9DD76D" w14:textId="0BA130A9" w:rsidR="00FF689C" w:rsidRPr="00FE2089" w:rsidRDefault="00FF689C" w:rsidP="00FF689C">
      <w:pPr>
        <w:rPr>
          <w:rFonts w:asciiTheme="minorHAnsi" w:hAnsiTheme="minorHAnsi"/>
        </w:rPr>
      </w:pPr>
      <w:r w:rsidRPr="00FE2089">
        <w:rPr>
          <w:rFonts w:asciiTheme="minorHAnsi" w:hAnsiTheme="minorHAnsi"/>
        </w:rPr>
        <w:t>In order to reach a conclusion about the research question, "In light of the coronavirus pandemic, what strategies are key stage two (KS2) teachers putting in place to support social and emotional well-being?" three separate research methodologies will be implemented as part of this study. First, all teachers from Years 3-6 will receive a questi</w:t>
      </w:r>
      <w:r w:rsidR="00A50760" w:rsidRPr="00FE2089">
        <w:rPr>
          <w:rFonts w:asciiTheme="minorHAnsi" w:hAnsiTheme="minorHAnsi"/>
        </w:rPr>
        <w:t>onnaire they have to complete. F</w:t>
      </w:r>
      <w:r w:rsidRPr="00FE2089">
        <w:rPr>
          <w:rFonts w:asciiTheme="minorHAnsi" w:hAnsiTheme="minorHAnsi"/>
        </w:rPr>
        <w:t xml:space="preserve">ollowing from that, children in Years 3-6 will be interviewed; and final, KS2 children will be observed participating in well-being activities. The purpose of this study is to provide a response to the research question: What strategies are in place to </w:t>
      </w:r>
      <w:r w:rsidR="00687F9B" w:rsidRPr="00FE2089">
        <w:rPr>
          <w:rFonts w:asciiTheme="minorHAnsi" w:hAnsiTheme="minorHAnsi"/>
        </w:rPr>
        <w:t>support</w:t>
      </w:r>
      <w:r w:rsidRPr="00FE2089">
        <w:rPr>
          <w:rFonts w:asciiTheme="minorHAnsi" w:hAnsiTheme="minorHAnsi"/>
        </w:rPr>
        <w:t xml:space="preserve"> social and emotional well-being?</w:t>
      </w:r>
    </w:p>
    <w:p w14:paraId="2E59E4DF" w14:textId="77777777" w:rsidR="00AF2A9C" w:rsidRPr="00FE2089" w:rsidRDefault="00AF2A9C">
      <w:pPr>
        <w:rPr>
          <w:rFonts w:asciiTheme="minorHAnsi" w:hAnsiTheme="minorHAnsi"/>
        </w:rPr>
      </w:pPr>
    </w:p>
    <w:p w14:paraId="49AE0991" w14:textId="5E68CB79" w:rsidR="00AF2A9C" w:rsidRPr="00FE2089" w:rsidRDefault="00AF2A9C">
      <w:pPr>
        <w:rPr>
          <w:rFonts w:asciiTheme="minorHAnsi" w:hAnsiTheme="minorHAnsi"/>
          <w:b/>
          <w:sz w:val="28"/>
          <w:u w:val="single"/>
        </w:rPr>
      </w:pPr>
      <w:r w:rsidRPr="00FE2089">
        <w:rPr>
          <w:rFonts w:asciiTheme="minorHAnsi" w:hAnsiTheme="minorHAnsi"/>
          <w:b/>
          <w:sz w:val="28"/>
          <w:u w:val="single"/>
        </w:rPr>
        <w:t>Overview of relevant literature</w:t>
      </w:r>
    </w:p>
    <w:p w14:paraId="3A1D6184" w14:textId="1432DF18" w:rsidR="00F05B81" w:rsidRPr="00FE2089" w:rsidRDefault="00C4575D" w:rsidP="00F05B81">
      <w:pPr>
        <w:rPr>
          <w:rFonts w:asciiTheme="minorHAnsi" w:eastAsia="Times New Roman" w:hAnsiTheme="minorHAnsi" w:cs="Arial"/>
        </w:rPr>
      </w:pPr>
      <w:r w:rsidRPr="00FE2089">
        <w:rPr>
          <w:rFonts w:asciiTheme="minorHAnsi" w:hAnsiTheme="minorHAnsi" w:cs="Arial"/>
        </w:rPr>
        <w:t>The beginning of 2020, the first case of the Coronavirus was recorded in the United Kingdom. The virus began to spread rapidly, which mark the start to a national lockdown that started on the 20</w:t>
      </w:r>
      <w:r w:rsidRPr="00FE2089">
        <w:rPr>
          <w:rFonts w:asciiTheme="minorHAnsi" w:hAnsiTheme="minorHAnsi" w:cs="Arial"/>
          <w:vertAlign w:val="superscript"/>
        </w:rPr>
        <w:t>th</w:t>
      </w:r>
      <w:r w:rsidRPr="00FE2089">
        <w:rPr>
          <w:rFonts w:asciiTheme="minorHAnsi" w:hAnsiTheme="minorHAnsi" w:cs="Arial"/>
        </w:rPr>
        <w:t xml:space="preserve"> of March (Sherrington, 2022). During a period of significant public and personal upheaval, children experienced limited contact with teachers, varied curriculum provision, and uncertain take-up of "home learning" due to the general closure of schools due to COVID-19 lockdown measures, which began in March 2020. In the months that followed, several studies were conducted in an effort to assess the effects of these closures and the transition to online, remote learning. </w:t>
      </w:r>
      <w:r w:rsidR="00F05B81" w:rsidRPr="00FE2089">
        <w:rPr>
          <w:rFonts w:asciiTheme="minorHAnsi" w:hAnsiTheme="minorHAnsi" w:cs="Arial"/>
        </w:rPr>
        <w:t xml:space="preserve">From previous experience in schools while on placements, it was very apparent that </w:t>
      </w:r>
      <w:proofErr w:type="spellStart"/>
      <w:r w:rsidR="00F05B81" w:rsidRPr="00FE2089">
        <w:rPr>
          <w:rFonts w:asciiTheme="minorHAnsi" w:hAnsiTheme="minorHAnsi" w:cs="Arial"/>
        </w:rPr>
        <w:t>Covid</w:t>
      </w:r>
      <w:proofErr w:type="spellEnd"/>
      <w:r w:rsidR="00F05B81" w:rsidRPr="00FE2089">
        <w:rPr>
          <w:rFonts w:asciiTheme="minorHAnsi" w:hAnsiTheme="minorHAnsi" w:cs="Arial"/>
        </w:rPr>
        <w:t xml:space="preserve"> has effected children in multiple ways other than academically. It is acknowledged that the Covid-19 pandemic has affected students in ways other than academic achievement. There is evidence to show that children's mental health has suffered as a result of the </w:t>
      </w:r>
      <w:proofErr w:type="spellStart"/>
      <w:r w:rsidR="00F05B81" w:rsidRPr="00FE2089">
        <w:rPr>
          <w:rFonts w:asciiTheme="minorHAnsi" w:hAnsiTheme="minorHAnsi" w:cs="Arial"/>
        </w:rPr>
        <w:t>the</w:t>
      </w:r>
      <w:proofErr w:type="spellEnd"/>
      <w:r w:rsidR="00F05B81" w:rsidRPr="00FE2089">
        <w:rPr>
          <w:rFonts w:asciiTheme="minorHAnsi" w:hAnsiTheme="minorHAnsi" w:cs="Arial"/>
        </w:rPr>
        <w:t xml:space="preserve"> pandemic. Further investigation is required to comprehend the enduring consequences of the Covid-19 epidemic on the emotional well-being of children, as well as the impact of certain risk factors as they change over time </w:t>
      </w:r>
      <w:r w:rsidR="00F05B81" w:rsidRPr="00FE2089">
        <w:rPr>
          <w:rFonts w:asciiTheme="minorHAnsi" w:eastAsia="Times New Roman" w:hAnsiTheme="minorHAnsi" w:cs="Arial"/>
        </w:rPr>
        <w:t>(</w:t>
      </w:r>
      <w:proofErr w:type="spellStart"/>
      <w:r w:rsidR="00F05B81" w:rsidRPr="00FE2089">
        <w:rPr>
          <w:rFonts w:asciiTheme="minorHAnsi" w:eastAsia="Times New Roman" w:hAnsiTheme="minorHAnsi" w:cs="Arial"/>
        </w:rPr>
        <w:t>Bussières</w:t>
      </w:r>
      <w:proofErr w:type="spellEnd"/>
      <w:r w:rsidR="00F05B81" w:rsidRPr="00FE2089">
        <w:rPr>
          <w:rFonts w:asciiTheme="minorHAnsi" w:eastAsia="Times New Roman" w:hAnsiTheme="minorHAnsi" w:cs="Arial"/>
        </w:rPr>
        <w:t xml:space="preserve"> et al., 2021). Since </w:t>
      </w:r>
      <w:proofErr w:type="spellStart"/>
      <w:r w:rsidR="00F05B81" w:rsidRPr="00FE2089">
        <w:rPr>
          <w:rFonts w:asciiTheme="minorHAnsi" w:eastAsia="Times New Roman" w:hAnsiTheme="minorHAnsi" w:cs="Arial"/>
        </w:rPr>
        <w:t>Covid</w:t>
      </w:r>
      <w:proofErr w:type="spellEnd"/>
      <w:r w:rsidR="00F05B81" w:rsidRPr="00FE2089">
        <w:rPr>
          <w:rFonts w:asciiTheme="minorHAnsi" w:eastAsia="Times New Roman" w:hAnsiTheme="minorHAnsi" w:cs="Arial"/>
        </w:rPr>
        <w:t xml:space="preserve"> it was clear to see that children’s ability to socialise with others has been hugely effected. In the year following the </w:t>
      </w:r>
      <w:proofErr w:type="spellStart"/>
      <w:r w:rsidR="00F05B81" w:rsidRPr="00FE2089">
        <w:rPr>
          <w:rFonts w:asciiTheme="minorHAnsi" w:eastAsia="Times New Roman" w:hAnsiTheme="minorHAnsi" w:cs="Arial"/>
        </w:rPr>
        <w:t>Covid</w:t>
      </w:r>
      <w:proofErr w:type="spellEnd"/>
      <w:r w:rsidR="00F05B81" w:rsidRPr="00FE2089">
        <w:rPr>
          <w:rFonts w:asciiTheme="minorHAnsi" w:eastAsia="Times New Roman" w:hAnsiTheme="minorHAnsi" w:cs="Arial"/>
        </w:rPr>
        <w:t xml:space="preserve"> pandemic, 47% of a study's participating parents stated their child's social and emotional development had deteriorated (Dyson, 2023).</w:t>
      </w:r>
    </w:p>
    <w:p w14:paraId="7834EDF3" w14:textId="717F7801" w:rsidR="00BC76E5" w:rsidRPr="00FE2089" w:rsidRDefault="00BC76E5" w:rsidP="00A1113C">
      <w:pPr>
        <w:rPr>
          <w:rFonts w:asciiTheme="minorHAnsi" w:eastAsia="Times New Roman" w:hAnsiTheme="minorHAnsi"/>
        </w:rPr>
      </w:pPr>
      <w:r w:rsidRPr="00FE2089">
        <w:rPr>
          <w:rStyle w:val="normaltextrun"/>
          <w:rFonts w:asciiTheme="minorHAnsi" w:hAnsiTheme="minorHAnsi"/>
          <w:color w:val="000000"/>
        </w:rPr>
        <w:t>Mindfulness has become a key component within schools to ensure children can regulate when they are feeling anxious, stressed or feel they just need a breather</w:t>
      </w:r>
      <w:r w:rsidR="001A76C4" w:rsidRPr="00FE2089">
        <w:rPr>
          <w:rStyle w:val="normaltextrun"/>
          <w:rFonts w:asciiTheme="minorHAnsi" w:hAnsiTheme="minorHAnsi"/>
          <w:color w:val="000000"/>
        </w:rPr>
        <w:t xml:space="preserve">, where that be in school or outside the school gates. </w:t>
      </w:r>
      <w:r w:rsidRPr="00FE2089">
        <w:rPr>
          <w:rStyle w:val="normaltextrun"/>
          <w:rFonts w:asciiTheme="minorHAnsi" w:hAnsiTheme="minorHAnsi"/>
          <w:color w:val="000000"/>
        </w:rPr>
        <w:t xml:space="preserve">The frequency of meditation and wellbeing have a connection that exhibits non-monotonicity, or a mix of beneficial, and negative effects. In an </w:t>
      </w:r>
      <w:r w:rsidRPr="00FE2089">
        <w:rPr>
          <w:rStyle w:val="normaltextrun"/>
          <w:rFonts w:asciiTheme="minorHAnsi" w:hAnsiTheme="minorHAnsi"/>
          <w:color w:val="000000"/>
        </w:rPr>
        <w:lastRenderedPageBreak/>
        <w:t>analysis of treatments focused on mindfulness, according to Parsons et al., 25% of the studies indicated a significant positive correlation between the quantity of mindfulness practise (up to 45 minutes per day) and outcomes that were favourable for either physical or psychological health</w:t>
      </w:r>
      <w:r w:rsidR="00A1113C" w:rsidRPr="00FE2089">
        <w:rPr>
          <w:rFonts w:asciiTheme="minorHAnsi" w:eastAsia="Times New Roman" w:hAnsiTheme="minorHAnsi"/>
        </w:rPr>
        <w:t xml:space="preserve"> (Parsons et al., 2017)</w:t>
      </w:r>
      <w:r w:rsidRPr="00FE2089">
        <w:rPr>
          <w:rStyle w:val="normaltextrun"/>
          <w:rFonts w:asciiTheme="minorHAnsi" w:hAnsiTheme="minorHAnsi"/>
          <w:color w:val="000000"/>
        </w:rPr>
        <w:t>. A substantial association was discovered between the quantity of practise and positive outcomes in three-quarters (75%) of the investigations, whereas some studies indicated a strong correlation between the amount of practise and bad outcomes. </w:t>
      </w:r>
      <w:r w:rsidRPr="00FE2089">
        <w:rPr>
          <w:rStyle w:val="eop"/>
          <w:rFonts w:asciiTheme="minorHAnsi" w:hAnsiTheme="minorHAnsi"/>
          <w:color w:val="000000"/>
          <w:lang w:val="en-US"/>
        </w:rPr>
        <w:t>​</w:t>
      </w:r>
    </w:p>
    <w:p w14:paraId="7F47C977" w14:textId="2BBEE269" w:rsidR="00BC76E5" w:rsidRPr="00FE2089" w:rsidRDefault="00BC76E5" w:rsidP="00BC76E5">
      <w:pPr>
        <w:pStyle w:val="paragraph"/>
        <w:spacing w:before="0" w:beforeAutospacing="0" w:after="0" w:afterAutospacing="0"/>
        <w:textAlignment w:val="baseline"/>
        <w:rPr>
          <w:rFonts w:asciiTheme="minorHAnsi" w:hAnsiTheme="minorHAnsi"/>
          <w:sz w:val="22"/>
          <w:szCs w:val="22"/>
        </w:rPr>
      </w:pPr>
      <w:r w:rsidRPr="00FE2089">
        <w:rPr>
          <w:rStyle w:val="eop"/>
          <w:rFonts w:asciiTheme="minorHAnsi" w:hAnsiTheme="minorHAnsi"/>
          <w:color w:val="000000"/>
        </w:rPr>
        <w:t>​</w:t>
      </w:r>
      <w:r w:rsidRPr="00FE2089">
        <w:rPr>
          <w:rStyle w:val="normaltextrun"/>
          <w:rFonts w:asciiTheme="minorHAnsi" w:hAnsiTheme="minorHAnsi"/>
          <w:color w:val="000000"/>
        </w:rPr>
        <w:t>Britton et al., for instance, discovered practising meditation was beneficial to sleep. Participants sleep length rose while practise amounts were low, but when practise amounts became closer to 30 minutes per day, participants' sleep length and depth decreased and their brain activity increased. Additionally, it has been shown that long-term meditators sleep worse than non-meditators, with brain activity being directly connected with the quantity of lifetime meditation practice</w:t>
      </w:r>
      <w:r w:rsidR="00A50760" w:rsidRPr="00FE2089">
        <w:rPr>
          <w:rStyle w:val="normaltextrun"/>
          <w:rFonts w:asciiTheme="minorHAnsi" w:hAnsiTheme="minorHAnsi"/>
          <w:color w:val="000000"/>
        </w:rPr>
        <w:t xml:space="preserve"> </w:t>
      </w:r>
      <w:r w:rsidRPr="00FE2089">
        <w:rPr>
          <w:rStyle w:val="normaltextrun"/>
          <w:rFonts w:asciiTheme="minorHAnsi" w:hAnsiTheme="minorHAnsi"/>
          <w:color w:val="000000"/>
        </w:rPr>
        <w:t xml:space="preserve">(Britton, </w:t>
      </w:r>
      <w:proofErr w:type="gramStart"/>
      <w:r w:rsidRPr="00FE2089">
        <w:rPr>
          <w:rStyle w:val="normaltextrun"/>
          <w:rFonts w:asciiTheme="minorHAnsi" w:hAnsiTheme="minorHAnsi"/>
          <w:color w:val="000000"/>
        </w:rPr>
        <w:t>2019)</w:t>
      </w:r>
      <w:r w:rsidRPr="00FE2089">
        <w:rPr>
          <w:rStyle w:val="eop"/>
          <w:rFonts w:asciiTheme="minorHAnsi" w:hAnsiTheme="minorHAnsi"/>
          <w:color w:val="000000"/>
        </w:rPr>
        <w:t>​</w:t>
      </w:r>
      <w:proofErr w:type="gramEnd"/>
      <w:r w:rsidR="00A50760" w:rsidRPr="00FE2089">
        <w:rPr>
          <w:rStyle w:val="eop"/>
          <w:rFonts w:asciiTheme="minorHAnsi" w:hAnsiTheme="minorHAnsi"/>
          <w:color w:val="000000"/>
        </w:rPr>
        <w:t>.</w:t>
      </w:r>
    </w:p>
    <w:p w14:paraId="6B4C8D20" w14:textId="395FCDB9" w:rsidR="00BC76E5" w:rsidRPr="00FE2089" w:rsidRDefault="00BC76E5" w:rsidP="00BC76E5">
      <w:pPr>
        <w:pStyle w:val="paragraph"/>
        <w:spacing w:before="0" w:beforeAutospacing="0" w:after="0" w:afterAutospacing="0"/>
        <w:textAlignment w:val="baseline"/>
        <w:rPr>
          <w:rStyle w:val="eop"/>
          <w:rFonts w:asciiTheme="minorHAnsi" w:hAnsiTheme="minorHAnsi"/>
          <w:color w:val="000000"/>
        </w:rPr>
      </w:pPr>
      <w:r w:rsidRPr="00FE2089">
        <w:rPr>
          <w:rStyle w:val="normaltextrun"/>
          <w:rFonts w:asciiTheme="minorHAnsi" w:hAnsiTheme="minorHAnsi"/>
          <w:color w:val="000000"/>
        </w:rPr>
        <w:t>The incorporation of mindfulness into the school ethos and other areas of learning will strengthen the four purposes. Young people who are "ambitious, capable learners, ready to learn throughout their lives" and "enterprising, creative contributors, ready to play a full part in life and work" can undoubtedly benefit from practicing mindfulness. Mindfulness also helps people become "ethical, informed citizens." This has a big influence on topics like the environment. It also affects how students view themselves as citizens and, most importantly, how they approach the decisions and choices they will have to make. Furthermore, the development of "healthy, confident individuals, ready to lead fulfilling lives as valued members of society" is something that mindfulness may help with. In addition to assisting with relationships, sleep, and anxiety, mindfulness may help people thrive and appreciate all aspects of life. (Mindfulness in Schools Project, 2019) </w:t>
      </w:r>
      <w:r w:rsidRPr="00FE2089">
        <w:rPr>
          <w:rStyle w:val="eop"/>
          <w:rFonts w:asciiTheme="minorHAnsi" w:hAnsiTheme="minorHAnsi"/>
          <w:color w:val="000000"/>
        </w:rPr>
        <w:t>​</w:t>
      </w:r>
      <w:r w:rsidR="003F0F4D" w:rsidRPr="00FE2089">
        <w:rPr>
          <w:rStyle w:val="eop"/>
          <w:rFonts w:asciiTheme="minorHAnsi" w:hAnsiTheme="minorHAnsi"/>
          <w:color w:val="000000"/>
        </w:rPr>
        <w:t xml:space="preserve">. </w:t>
      </w:r>
    </w:p>
    <w:p w14:paraId="2C399D99" w14:textId="196B9EB1" w:rsidR="003F0F4D" w:rsidRPr="00FE2089" w:rsidRDefault="00297949" w:rsidP="00BC76E5">
      <w:pPr>
        <w:pStyle w:val="paragraph"/>
        <w:spacing w:before="0" w:beforeAutospacing="0" w:after="0" w:afterAutospacing="0"/>
        <w:textAlignment w:val="baseline"/>
        <w:rPr>
          <w:rStyle w:val="eop"/>
          <w:rFonts w:asciiTheme="minorHAnsi" w:hAnsiTheme="minorHAnsi"/>
          <w:color w:val="000000"/>
        </w:rPr>
      </w:pPr>
      <w:r w:rsidRPr="00FE2089">
        <w:rPr>
          <w:rStyle w:val="eop"/>
          <w:rFonts w:asciiTheme="minorHAnsi" w:hAnsiTheme="minorHAnsi"/>
          <w:color w:val="000000"/>
        </w:rPr>
        <w:t>Children’s emotional well-being goes hand-in-hand with their social well-being. If a child has very poor levels of emotional well-being it usually means that they have poor levels of social well-being. And the same goes if a child has poor social well-being then their emotional well-being levels are also going to be low. There</w:t>
      </w:r>
      <w:r w:rsidR="004E3988" w:rsidRPr="00FE2089">
        <w:rPr>
          <w:rStyle w:val="eop"/>
          <w:rFonts w:asciiTheme="minorHAnsi" w:hAnsiTheme="minorHAnsi"/>
          <w:color w:val="000000"/>
        </w:rPr>
        <w:t xml:space="preserve">fore, </w:t>
      </w:r>
      <w:r w:rsidRPr="00FE2089">
        <w:rPr>
          <w:rStyle w:val="eop"/>
          <w:rFonts w:asciiTheme="minorHAnsi" w:hAnsiTheme="minorHAnsi"/>
          <w:color w:val="000000"/>
        </w:rPr>
        <w:t>it is important that children have good social well-being.</w:t>
      </w:r>
      <w:r w:rsidR="004E3988" w:rsidRPr="00FE2089">
        <w:rPr>
          <w:rStyle w:val="eop"/>
          <w:rFonts w:asciiTheme="minorHAnsi" w:hAnsiTheme="minorHAnsi"/>
          <w:color w:val="000000"/>
        </w:rPr>
        <w:t xml:space="preserve"> </w:t>
      </w:r>
    </w:p>
    <w:p w14:paraId="2AC0FA89" w14:textId="3379B02F" w:rsidR="00002F92" w:rsidRPr="00FE2089" w:rsidRDefault="00002F92" w:rsidP="00BA7B52">
      <w:pPr>
        <w:rPr>
          <w:rFonts w:asciiTheme="minorHAnsi" w:eastAsia="Times New Roman" w:hAnsiTheme="minorHAnsi"/>
        </w:rPr>
      </w:pPr>
      <w:r w:rsidRPr="00FE2089">
        <w:rPr>
          <w:rFonts w:asciiTheme="minorHAnsi" w:hAnsiTheme="minorHAnsi"/>
        </w:rPr>
        <w:t xml:space="preserve">A substantial rise in child mental health issues was observed during the pandemic, according to a research on the mental health of 142 primary school students in Wales who were classified as "at-risk" for mental health issues. During the first lockdown, 69% of the children who participated in the research were determined to have high or very high levels of potential mental health disorders, an increase from 61% prior to the pandemic. This was principally caused by a rise from 34% to 45% in the likelihood of internalising difficulties, such as anxiety or </w:t>
      </w:r>
      <w:r w:rsidR="00641181" w:rsidRPr="00FE2089">
        <w:rPr>
          <w:rFonts w:asciiTheme="minorHAnsi" w:hAnsiTheme="minorHAnsi"/>
        </w:rPr>
        <w:t>depression (</w:t>
      </w:r>
      <w:proofErr w:type="spellStart"/>
      <w:r w:rsidR="00641181" w:rsidRPr="00FE2089">
        <w:rPr>
          <w:rFonts w:asciiTheme="minorHAnsi" w:hAnsiTheme="minorHAnsi"/>
        </w:rPr>
        <w:t>Adegboye</w:t>
      </w:r>
      <w:proofErr w:type="spellEnd"/>
      <w:r w:rsidR="00641181" w:rsidRPr="00FE2089">
        <w:rPr>
          <w:rFonts w:asciiTheme="minorHAnsi" w:hAnsiTheme="minorHAnsi"/>
        </w:rPr>
        <w:t xml:space="preserve"> et al, 2021</w:t>
      </w:r>
      <w:r w:rsidRPr="00FE2089">
        <w:rPr>
          <w:rFonts w:asciiTheme="minorHAnsi" w:hAnsiTheme="minorHAnsi"/>
        </w:rPr>
        <w:t xml:space="preserve">).  </w:t>
      </w:r>
      <w:r w:rsidR="00A4158B" w:rsidRPr="00FE2089">
        <w:rPr>
          <w:rFonts w:asciiTheme="minorHAnsi" w:hAnsiTheme="minorHAnsi"/>
        </w:rPr>
        <w:t>Children's social and emotional abilities declined for children from all backgrounds, although certain groups were more negatively impacted than others. Compared to 12- to 15-year-olds, children ages 4 to 7 had a 10% higher chance of experiencing a decline in their s</w:t>
      </w:r>
      <w:r w:rsidR="00BA7B52" w:rsidRPr="00FE2089">
        <w:rPr>
          <w:rFonts w:asciiTheme="minorHAnsi" w:hAnsiTheme="minorHAnsi"/>
        </w:rPr>
        <w:t xml:space="preserve">ocial and emotional development </w:t>
      </w:r>
      <w:r w:rsidR="00BA7B52" w:rsidRPr="00FE2089">
        <w:rPr>
          <w:rFonts w:asciiTheme="minorHAnsi" w:eastAsia="Times New Roman" w:hAnsiTheme="minorHAnsi"/>
        </w:rPr>
        <w:t>(</w:t>
      </w:r>
      <w:proofErr w:type="spellStart"/>
      <w:r w:rsidR="00BA7B52" w:rsidRPr="00FE2089">
        <w:rPr>
          <w:rFonts w:asciiTheme="minorHAnsi" w:eastAsia="Times New Roman" w:hAnsiTheme="minorHAnsi"/>
        </w:rPr>
        <w:t>Cattan</w:t>
      </w:r>
      <w:proofErr w:type="spellEnd"/>
      <w:r w:rsidR="00BA7B52" w:rsidRPr="00FE2089">
        <w:rPr>
          <w:rFonts w:asciiTheme="minorHAnsi" w:eastAsia="Times New Roman" w:hAnsiTheme="minorHAnsi"/>
        </w:rPr>
        <w:t xml:space="preserve">, 2023). </w:t>
      </w:r>
    </w:p>
    <w:p w14:paraId="72CEF5EA" w14:textId="77777777" w:rsidR="00BC76E5" w:rsidRPr="00FE2089" w:rsidRDefault="00BC76E5" w:rsidP="00BC76E5">
      <w:pPr>
        <w:pStyle w:val="paragraph"/>
        <w:spacing w:before="0" w:beforeAutospacing="0" w:after="0" w:afterAutospacing="0"/>
        <w:textAlignment w:val="baseline"/>
        <w:rPr>
          <w:rFonts w:asciiTheme="minorHAnsi" w:hAnsiTheme="minorHAnsi"/>
          <w:sz w:val="22"/>
          <w:szCs w:val="22"/>
        </w:rPr>
      </w:pPr>
      <w:r w:rsidRPr="00FE2089">
        <w:rPr>
          <w:rStyle w:val="eop"/>
          <w:rFonts w:asciiTheme="minorHAnsi" w:hAnsiTheme="minorHAnsi"/>
          <w:color w:val="000000"/>
        </w:rPr>
        <w:t>​</w:t>
      </w:r>
    </w:p>
    <w:p w14:paraId="74EAC074" w14:textId="77777777" w:rsidR="00BC76E5" w:rsidRPr="00FE2089" w:rsidRDefault="00BC76E5" w:rsidP="00F05B81">
      <w:pPr>
        <w:rPr>
          <w:rFonts w:asciiTheme="minorHAnsi" w:eastAsia="Times New Roman" w:hAnsiTheme="minorHAnsi" w:cs="Arial"/>
        </w:rPr>
      </w:pPr>
    </w:p>
    <w:p w14:paraId="4378A00A" w14:textId="77777777" w:rsidR="00C4575D" w:rsidRPr="00FE2089" w:rsidRDefault="00C4575D" w:rsidP="00C4575D">
      <w:pPr>
        <w:rPr>
          <w:rFonts w:asciiTheme="minorHAnsi" w:hAnsiTheme="minorHAnsi" w:cs="Arial"/>
        </w:rPr>
      </w:pPr>
    </w:p>
    <w:p w14:paraId="5CDC1E7E" w14:textId="43F9B7E1" w:rsidR="00AF2A9C" w:rsidRPr="00FE2089" w:rsidRDefault="00AF2A9C">
      <w:pPr>
        <w:rPr>
          <w:rFonts w:asciiTheme="minorHAnsi" w:hAnsiTheme="minorHAnsi"/>
          <w:b/>
          <w:sz w:val="28"/>
          <w:szCs w:val="28"/>
          <w:u w:val="single"/>
        </w:rPr>
      </w:pPr>
      <w:r w:rsidRPr="00FE2089">
        <w:rPr>
          <w:rFonts w:asciiTheme="minorHAnsi" w:hAnsiTheme="minorHAnsi"/>
          <w:b/>
          <w:sz w:val="28"/>
          <w:szCs w:val="28"/>
          <w:u w:val="single"/>
        </w:rPr>
        <w:t>Explanation of case study</w:t>
      </w:r>
      <w:r w:rsidR="0090013D" w:rsidRPr="00FE2089">
        <w:rPr>
          <w:rFonts w:asciiTheme="minorHAnsi" w:hAnsiTheme="minorHAnsi"/>
          <w:b/>
          <w:sz w:val="28"/>
          <w:szCs w:val="28"/>
          <w:u w:val="single"/>
        </w:rPr>
        <w:t xml:space="preserve"> </w:t>
      </w:r>
    </w:p>
    <w:p w14:paraId="291C91B9" w14:textId="13FB3F8A" w:rsidR="00745869" w:rsidRPr="00FE2089" w:rsidRDefault="007841E9" w:rsidP="00745869">
      <w:pPr>
        <w:rPr>
          <w:rFonts w:asciiTheme="minorHAnsi" w:eastAsia="Times New Roman" w:hAnsiTheme="minorHAnsi"/>
        </w:rPr>
      </w:pPr>
      <w:r w:rsidRPr="00FE2089">
        <w:rPr>
          <w:rFonts w:asciiTheme="minorHAnsi" w:hAnsiTheme="minorHAnsi"/>
        </w:rPr>
        <w:t xml:space="preserve">The implementation of the case study technique is especially helpful for gaining a comprehensive understanding of a topic, incidence, or phenomena of interest within its natural, everyday setting. The implementation of the case study technique is especially </w:t>
      </w:r>
      <w:r w:rsidRPr="00FE2089">
        <w:rPr>
          <w:rFonts w:asciiTheme="minorHAnsi" w:hAnsiTheme="minorHAnsi"/>
        </w:rPr>
        <w:lastRenderedPageBreak/>
        <w:t>helpful for gaining a comprehensive understanding of a topic, incidence, or phenomena of interest withi</w:t>
      </w:r>
      <w:r w:rsidR="00406E3F" w:rsidRPr="00FE2089">
        <w:rPr>
          <w:rFonts w:asciiTheme="minorHAnsi" w:hAnsiTheme="minorHAnsi"/>
        </w:rPr>
        <w:t xml:space="preserve">n its natural, everyday setting </w:t>
      </w:r>
      <w:r w:rsidR="00406E3F" w:rsidRPr="00FE2089">
        <w:rPr>
          <w:rFonts w:asciiTheme="minorHAnsi" w:eastAsia="Times New Roman" w:hAnsiTheme="minorHAnsi"/>
        </w:rPr>
        <w:t xml:space="preserve">(Crowe et al., 2011). </w:t>
      </w:r>
      <w:r w:rsidR="00005591" w:rsidRPr="00FE2089">
        <w:rPr>
          <w:rFonts w:asciiTheme="minorHAnsi" w:eastAsia="Times New Roman" w:hAnsiTheme="minorHAnsi"/>
        </w:rPr>
        <w:t>Depending on the researcher’s theoretical stance, case studies can be approached in various ways. From a positivist approach (orienting towards the criteria of natural sciences, such as focusing on generalisability considerations) to an interpretivist approach (trying to understand individual and shared social meanings) or a critical one (questioning one’s own and others’ assumptions)</w:t>
      </w:r>
      <w:r w:rsidR="001D0EDF" w:rsidRPr="00FE2089">
        <w:rPr>
          <w:rFonts w:asciiTheme="minorHAnsi" w:eastAsia="Times New Roman" w:hAnsiTheme="minorHAnsi"/>
        </w:rPr>
        <w:t xml:space="preserve">. For example, </w:t>
      </w:r>
      <w:proofErr w:type="spellStart"/>
      <w:r w:rsidR="001D0EDF" w:rsidRPr="00FE2089">
        <w:rPr>
          <w:rFonts w:asciiTheme="minorHAnsi" w:eastAsia="Times New Roman" w:hAnsiTheme="minorHAnsi"/>
        </w:rPr>
        <w:t>Doolin</w:t>
      </w:r>
      <w:proofErr w:type="spellEnd"/>
      <w:r w:rsidR="001D0EDF" w:rsidRPr="00FE2089">
        <w:rPr>
          <w:rFonts w:asciiTheme="minorHAnsi" w:eastAsia="Times New Roman" w:hAnsiTheme="minorHAnsi"/>
        </w:rPr>
        <w:t xml:space="preserve"> has pointed out that while doing interpretive case studies, researchers might benefit from applying a critical, reflective viewpoint that aims to consider the larger social and political background tha</w:t>
      </w:r>
      <w:r w:rsidR="00745869" w:rsidRPr="00FE2089">
        <w:rPr>
          <w:rFonts w:asciiTheme="minorHAnsi" w:eastAsia="Times New Roman" w:hAnsiTheme="minorHAnsi"/>
        </w:rPr>
        <w:t>t has created the case (</w:t>
      </w:r>
      <w:proofErr w:type="spellStart"/>
      <w:r w:rsidR="00745869" w:rsidRPr="00FE2089">
        <w:rPr>
          <w:rFonts w:asciiTheme="minorHAnsi" w:eastAsia="Times New Roman" w:hAnsiTheme="minorHAnsi"/>
        </w:rPr>
        <w:t>Doolin</w:t>
      </w:r>
      <w:proofErr w:type="spellEnd"/>
      <w:r w:rsidR="00745869" w:rsidRPr="00FE2089">
        <w:rPr>
          <w:rFonts w:asciiTheme="minorHAnsi" w:eastAsia="Times New Roman" w:hAnsiTheme="minorHAnsi"/>
        </w:rPr>
        <w:t>, 1998).</w:t>
      </w:r>
      <w:r w:rsidR="00B44BDC" w:rsidRPr="00FE2089">
        <w:rPr>
          <w:rFonts w:asciiTheme="minorHAnsi" w:eastAsia="Times New Roman" w:hAnsiTheme="minorHAnsi"/>
        </w:rPr>
        <w:t xml:space="preserve"> In opposition to the dominant positivist model, which placed an emphasis on measurement and statistical analysis as a way to obtain reliable and insightful knowledge about classrooms and schools, the use of case studies in education research started to become increasingly popular in the 1970s in both the UK and the USA (Elliot and </w:t>
      </w:r>
      <w:proofErr w:type="spellStart"/>
      <w:r w:rsidR="00B44BDC" w:rsidRPr="00FE2089">
        <w:rPr>
          <w:rFonts w:asciiTheme="minorHAnsi" w:eastAsia="Times New Roman" w:hAnsiTheme="minorHAnsi"/>
        </w:rPr>
        <w:t>Lukes</w:t>
      </w:r>
      <w:proofErr w:type="spellEnd"/>
      <w:r w:rsidR="00B44BDC" w:rsidRPr="00FE2089">
        <w:rPr>
          <w:rFonts w:asciiTheme="minorHAnsi" w:eastAsia="Times New Roman" w:hAnsiTheme="minorHAnsi"/>
        </w:rPr>
        <w:t xml:space="preserve">, 2008). Lawrence </w:t>
      </w:r>
      <w:proofErr w:type="spellStart"/>
      <w:r w:rsidR="00B44BDC" w:rsidRPr="00FE2089">
        <w:rPr>
          <w:rFonts w:asciiTheme="minorHAnsi" w:eastAsia="Times New Roman" w:hAnsiTheme="minorHAnsi"/>
        </w:rPr>
        <w:t>Stenhouse</w:t>
      </w:r>
      <w:proofErr w:type="spellEnd"/>
      <w:r w:rsidR="00B44BDC" w:rsidRPr="00FE2089">
        <w:rPr>
          <w:rFonts w:asciiTheme="minorHAnsi" w:eastAsia="Times New Roman" w:hAnsiTheme="minorHAnsi"/>
        </w:rPr>
        <w:t xml:space="preserve"> was a particularly passionate advocate of case studies in the UK. He argues that case studies can be used to increase understanding within educational settings, and his arguments and unique contribution to the field of case study work in education should be taken into consideration</w:t>
      </w:r>
      <w:r w:rsidR="006F18FF" w:rsidRPr="00FE2089">
        <w:rPr>
          <w:rFonts w:asciiTheme="minorHAnsi" w:eastAsia="Times New Roman" w:hAnsiTheme="minorHAnsi"/>
        </w:rPr>
        <w:t xml:space="preserve"> </w:t>
      </w:r>
      <w:r w:rsidR="00131C4C" w:rsidRPr="00FE2089">
        <w:rPr>
          <w:rFonts w:asciiTheme="minorHAnsi" w:eastAsia="Times New Roman" w:hAnsiTheme="minorHAnsi"/>
        </w:rPr>
        <w:t>(Hamilton and Corbett-Whittier, 2012)</w:t>
      </w:r>
      <w:r w:rsidR="00B44BDC" w:rsidRPr="00FE2089">
        <w:rPr>
          <w:rFonts w:asciiTheme="minorHAnsi" w:eastAsia="Times New Roman" w:hAnsiTheme="minorHAnsi"/>
        </w:rPr>
        <w:t>.</w:t>
      </w:r>
      <w:r w:rsidR="006F18FF" w:rsidRPr="00FE2089">
        <w:rPr>
          <w:rFonts w:asciiTheme="minorHAnsi" w:eastAsia="Times New Roman" w:hAnsiTheme="minorHAnsi"/>
        </w:rPr>
        <w:t xml:space="preserve"> In education research, case studies continue to be crucial despite the shifting political landscape, particularly in the USA and the UK, where in the 1990s and early 21st century, narrow and simplistic ideas about what constitute</w:t>
      </w:r>
      <w:r w:rsidR="00D84DB0" w:rsidRPr="00FE2089">
        <w:rPr>
          <w:rFonts w:asciiTheme="minorHAnsi" w:eastAsia="Times New Roman" w:hAnsiTheme="minorHAnsi"/>
        </w:rPr>
        <w:t>s "good" research have emerged (OANCEA and PRING, 2008)</w:t>
      </w:r>
      <w:r w:rsidR="006F18FF" w:rsidRPr="00FE2089">
        <w:rPr>
          <w:rFonts w:asciiTheme="minorHAnsi" w:eastAsia="Times New Roman" w:hAnsiTheme="minorHAnsi"/>
        </w:rPr>
        <w:t>.</w:t>
      </w:r>
      <w:r w:rsidR="00D84DB0" w:rsidRPr="00FE2089">
        <w:rPr>
          <w:rFonts w:asciiTheme="minorHAnsi" w:eastAsia="Times New Roman" w:hAnsiTheme="minorHAnsi"/>
        </w:rPr>
        <w:t xml:space="preserve"> </w:t>
      </w:r>
    </w:p>
    <w:p w14:paraId="7B002846" w14:textId="50160508" w:rsidR="007F7E8B" w:rsidRPr="00FE2089" w:rsidRDefault="00CF44C9" w:rsidP="007F7E8B">
      <w:pPr>
        <w:rPr>
          <w:rFonts w:asciiTheme="minorHAnsi" w:eastAsia="Times New Roman" w:hAnsiTheme="minorHAnsi"/>
        </w:rPr>
      </w:pPr>
      <w:r w:rsidRPr="00FE2089">
        <w:rPr>
          <w:rFonts w:asciiTheme="minorHAnsi" w:eastAsia="Times New Roman" w:hAnsiTheme="minorHAnsi"/>
        </w:rPr>
        <w:t>In general, case studies excel where quantitative studies fall short</w:t>
      </w:r>
      <w:r w:rsidR="003E3590" w:rsidRPr="00FE2089">
        <w:rPr>
          <w:rFonts w:asciiTheme="minorHAnsi" w:eastAsia="Times New Roman" w:hAnsiTheme="minorHAnsi"/>
        </w:rPr>
        <w:t xml:space="preserve">. Case studies provide more </w:t>
      </w:r>
      <w:r w:rsidRPr="00FE2089">
        <w:rPr>
          <w:rFonts w:asciiTheme="minorHAnsi" w:eastAsia="Times New Roman" w:hAnsiTheme="minorHAnsi"/>
        </w:rPr>
        <w:t xml:space="preserve">benefits over quantitative methods, </w:t>
      </w:r>
      <w:r w:rsidR="00AA08C7" w:rsidRPr="00FE2089">
        <w:rPr>
          <w:rFonts w:asciiTheme="minorHAnsi" w:eastAsia="Times New Roman" w:hAnsiTheme="minorHAnsi"/>
        </w:rPr>
        <w:t xml:space="preserve">according to George and Bennett (George and Bennett, 2005). </w:t>
      </w:r>
      <w:r w:rsidR="006351E2" w:rsidRPr="00FE2089">
        <w:rPr>
          <w:rFonts w:asciiTheme="minorHAnsi" w:eastAsia="Times New Roman" w:hAnsiTheme="minorHAnsi"/>
        </w:rPr>
        <w:t xml:space="preserve">Finding and measuring the variables that most accurately reflect the theoretical ideas that a researcher </w:t>
      </w:r>
      <w:proofErr w:type="gramStart"/>
      <w:r w:rsidR="006351E2" w:rsidRPr="00FE2089">
        <w:rPr>
          <w:rFonts w:asciiTheme="minorHAnsi" w:eastAsia="Times New Roman" w:hAnsiTheme="minorHAnsi"/>
        </w:rPr>
        <w:t>want</w:t>
      </w:r>
      <w:proofErr w:type="gramEnd"/>
      <w:r w:rsidR="006351E2" w:rsidRPr="00FE2089">
        <w:rPr>
          <w:rFonts w:asciiTheme="minorHAnsi" w:eastAsia="Times New Roman" w:hAnsiTheme="minorHAnsi"/>
        </w:rPr>
        <w:t xml:space="preserve"> to assess is known as conceptual validity. A "contextualised comparison," which automatically looks for analytically equivalent issues even if they are expressed in different terms and contexts, is necessary because many of the variables that social scientists are interested in, like democracy, are difficult to measure. This necessitates a thorough examination of contextual elements, which is typical in case studies but exceedingly challenging in quantitative research.</w:t>
      </w:r>
      <w:r w:rsidR="00FF64F2" w:rsidRPr="00FE2089">
        <w:rPr>
          <w:rFonts w:asciiTheme="minorHAnsi" w:eastAsia="Times New Roman" w:hAnsiTheme="minorHAnsi"/>
        </w:rPr>
        <w:t xml:space="preserve"> The possibility of researcher bias is one drawback of the case study approach. The researchers' personal honesty, sensitivity, and any prejudices and/or biases must be taken into account. When conducting research, using alternative research methodologies, or creating surveys and questionnaires, personal biases may be incorporated in </w:t>
      </w:r>
      <w:r w:rsidR="007F7E8B" w:rsidRPr="00FE2089">
        <w:rPr>
          <w:rFonts w:asciiTheme="minorHAnsi" w:eastAsia="Times New Roman" w:hAnsiTheme="minorHAnsi"/>
        </w:rPr>
        <w:t>(Becker, Dawson and Devine, 1994).</w:t>
      </w:r>
    </w:p>
    <w:p w14:paraId="6D9170B3" w14:textId="77777777" w:rsidR="0090013D" w:rsidRPr="00FE2089" w:rsidRDefault="0090013D">
      <w:pPr>
        <w:rPr>
          <w:rFonts w:asciiTheme="minorHAnsi" w:hAnsiTheme="minorHAnsi"/>
        </w:rPr>
      </w:pPr>
    </w:p>
    <w:p w14:paraId="5EBD7606" w14:textId="1A8A8C5D" w:rsidR="00AF2A9C" w:rsidRPr="00FE2089" w:rsidRDefault="00AF2A9C">
      <w:pPr>
        <w:rPr>
          <w:rFonts w:asciiTheme="minorHAnsi" w:hAnsiTheme="minorHAnsi"/>
          <w:b/>
          <w:sz w:val="28"/>
          <w:u w:val="single"/>
        </w:rPr>
      </w:pPr>
      <w:r w:rsidRPr="00FE2089">
        <w:rPr>
          <w:rFonts w:asciiTheme="minorHAnsi" w:hAnsiTheme="minorHAnsi"/>
          <w:b/>
          <w:sz w:val="28"/>
          <w:u w:val="single"/>
        </w:rPr>
        <w:t xml:space="preserve">Research methods </w:t>
      </w:r>
    </w:p>
    <w:p w14:paraId="0B4287D2" w14:textId="3F4E00B9" w:rsidR="006C75CB" w:rsidRPr="00FE2089" w:rsidRDefault="00DD20AC" w:rsidP="006C75CB">
      <w:pPr>
        <w:rPr>
          <w:rFonts w:asciiTheme="minorHAnsi" w:eastAsia="Times New Roman" w:hAnsiTheme="minorHAnsi"/>
        </w:rPr>
      </w:pPr>
      <w:r w:rsidRPr="00FE2089">
        <w:rPr>
          <w:rFonts w:asciiTheme="minorHAnsi" w:hAnsiTheme="minorHAnsi"/>
        </w:rPr>
        <w:t xml:space="preserve">The research methods used </w:t>
      </w:r>
      <w:r w:rsidR="006C1FF6" w:rsidRPr="00FE2089">
        <w:rPr>
          <w:rFonts w:asciiTheme="minorHAnsi" w:hAnsiTheme="minorHAnsi"/>
        </w:rPr>
        <w:t>within this study were observations, interviews</w:t>
      </w:r>
      <w:r w:rsidR="00F07873" w:rsidRPr="00FE2089">
        <w:rPr>
          <w:rFonts w:asciiTheme="minorHAnsi" w:hAnsiTheme="minorHAnsi"/>
        </w:rPr>
        <w:t xml:space="preserve"> with children</w:t>
      </w:r>
      <w:r w:rsidR="006C1FF6" w:rsidRPr="00FE2089">
        <w:rPr>
          <w:rFonts w:asciiTheme="minorHAnsi" w:hAnsiTheme="minorHAnsi"/>
        </w:rPr>
        <w:t xml:space="preserve">, </w:t>
      </w:r>
      <w:r w:rsidR="003212A1" w:rsidRPr="00FE2089">
        <w:rPr>
          <w:rFonts w:asciiTheme="minorHAnsi" w:hAnsiTheme="minorHAnsi"/>
        </w:rPr>
        <w:t xml:space="preserve">unstructured </w:t>
      </w:r>
      <w:r w:rsidR="00F07873" w:rsidRPr="00FE2089">
        <w:rPr>
          <w:rFonts w:asciiTheme="minorHAnsi" w:hAnsiTheme="minorHAnsi"/>
        </w:rPr>
        <w:t>interviews with topic specialists</w:t>
      </w:r>
      <w:r w:rsidR="006C1FF6" w:rsidRPr="00FE2089">
        <w:rPr>
          <w:rFonts w:asciiTheme="minorHAnsi" w:hAnsiTheme="minorHAnsi"/>
        </w:rPr>
        <w:t xml:space="preserve"> and questionnaires</w:t>
      </w:r>
      <w:r w:rsidR="008B528F" w:rsidRPr="00FE2089">
        <w:rPr>
          <w:rFonts w:asciiTheme="minorHAnsi" w:hAnsiTheme="minorHAnsi"/>
        </w:rPr>
        <w:t xml:space="preserve">. Using multiple methods in order to collect data is called a mixed method approach. </w:t>
      </w:r>
      <w:r w:rsidR="00F66B7D" w:rsidRPr="00FE2089">
        <w:rPr>
          <w:rFonts w:asciiTheme="minorHAnsi" w:hAnsiTheme="minorHAnsi"/>
        </w:rPr>
        <w:t>A mixed methods approach in research collects and analyses data using both quantitative and qualitative approaches. Combining these methods is capable of producing more comprehensive results given that each one can a</w:t>
      </w:r>
      <w:r w:rsidR="006C75CB" w:rsidRPr="00FE2089">
        <w:rPr>
          <w:rFonts w:asciiTheme="minorHAnsi" w:hAnsiTheme="minorHAnsi"/>
        </w:rPr>
        <w:t xml:space="preserve">ddress a distinct set of issues </w:t>
      </w:r>
      <w:r w:rsidR="006C75CB" w:rsidRPr="00FE2089">
        <w:rPr>
          <w:rFonts w:asciiTheme="minorHAnsi" w:eastAsia="Times New Roman" w:hAnsiTheme="minorHAnsi"/>
        </w:rPr>
        <w:t xml:space="preserve">(GOV.UK, 2020). </w:t>
      </w:r>
    </w:p>
    <w:p w14:paraId="6BD0CB32" w14:textId="14915836" w:rsidR="00A85A0B" w:rsidRPr="00FE2089" w:rsidRDefault="00DF1926" w:rsidP="00A85A0B">
      <w:pPr>
        <w:rPr>
          <w:rFonts w:asciiTheme="minorHAnsi" w:eastAsia="Times New Roman" w:hAnsiTheme="minorHAnsi"/>
        </w:rPr>
      </w:pPr>
      <w:r w:rsidRPr="00FE2089">
        <w:rPr>
          <w:rFonts w:asciiTheme="minorHAnsi" w:eastAsia="Times New Roman" w:hAnsiTheme="minorHAnsi"/>
        </w:rPr>
        <w:t>The method that was used to gather evidence from the chi</w:t>
      </w:r>
      <w:r w:rsidR="00B959BE" w:rsidRPr="00FE2089">
        <w:rPr>
          <w:rFonts w:asciiTheme="minorHAnsi" w:eastAsia="Times New Roman" w:hAnsiTheme="minorHAnsi"/>
        </w:rPr>
        <w:t>ldren was individual interviews</w:t>
      </w:r>
      <w:r w:rsidR="00580DB8" w:rsidRPr="00FE2089">
        <w:rPr>
          <w:rFonts w:asciiTheme="minorHAnsi" w:eastAsia="Times New Roman" w:hAnsiTheme="minorHAnsi"/>
        </w:rPr>
        <w:t xml:space="preserve"> (interview questions in appendix)</w:t>
      </w:r>
      <w:r w:rsidR="00B959BE" w:rsidRPr="00FE2089">
        <w:rPr>
          <w:rFonts w:asciiTheme="minorHAnsi" w:eastAsia="Times New Roman" w:hAnsiTheme="minorHAnsi"/>
        </w:rPr>
        <w:t>. From the interviews it was hoped that this would be the best method to gain knowledge of the children’s perspective on the topic.</w:t>
      </w:r>
      <w:r w:rsidRPr="00FE2089">
        <w:rPr>
          <w:rFonts w:asciiTheme="minorHAnsi" w:eastAsia="Times New Roman" w:hAnsiTheme="minorHAnsi"/>
        </w:rPr>
        <w:t xml:space="preserve"> </w:t>
      </w:r>
      <w:r w:rsidR="00C11DE7" w:rsidRPr="00FE2089">
        <w:rPr>
          <w:rFonts w:asciiTheme="minorHAnsi" w:eastAsia="Times New Roman" w:hAnsiTheme="minorHAnsi"/>
        </w:rPr>
        <w:t>It was planned that f</w:t>
      </w:r>
      <w:r w:rsidR="00E158C5" w:rsidRPr="00FE2089">
        <w:rPr>
          <w:rFonts w:asciiTheme="minorHAnsi" w:eastAsia="Times New Roman" w:hAnsiTheme="minorHAnsi"/>
        </w:rPr>
        <w:t xml:space="preserve">our to five children from each class in </w:t>
      </w:r>
      <w:r w:rsidR="00235033" w:rsidRPr="00FE2089">
        <w:rPr>
          <w:rFonts w:asciiTheme="minorHAnsi" w:eastAsia="Times New Roman" w:hAnsiTheme="minorHAnsi"/>
        </w:rPr>
        <w:t>KS2</w:t>
      </w:r>
      <w:r w:rsidR="00E158C5" w:rsidRPr="00FE2089">
        <w:rPr>
          <w:rFonts w:asciiTheme="minorHAnsi" w:eastAsia="Times New Roman" w:hAnsiTheme="minorHAnsi"/>
        </w:rPr>
        <w:t xml:space="preserve">(Year 3-6) were </w:t>
      </w:r>
      <w:r w:rsidR="00C11DE7" w:rsidRPr="00FE2089">
        <w:rPr>
          <w:rFonts w:asciiTheme="minorHAnsi" w:eastAsia="Times New Roman" w:hAnsiTheme="minorHAnsi"/>
        </w:rPr>
        <w:t xml:space="preserve">going to be interviewed. </w:t>
      </w:r>
      <w:r w:rsidR="00362BFA" w:rsidRPr="00FE2089">
        <w:rPr>
          <w:rFonts w:asciiTheme="minorHAnsi" w:eastAsia="Times New Roman" w:hAnsiTheme="minorHAnsi"/>
        </w:rPr>
        <w:t xml:space="preserve">In order to facilitate the development of a "new and richly textured understanding" of the </w:t>
      </w:r>
      <w:r w:rsidR="00362BFA" w:rsidRPr="00FE2089">
        <w:rPr>
          <w:rFonts w:asciiTheme="minorHAnsi" w:eastAsia="Times New Roman" w:hAnsiTheme="minorHAnsi"/>
        </w:rPr>
        <w:lastRenderedPageBreak/>
        <w:t xml:space="preserve">issues being studied, </w:t>
      </w:r>
      <w:proofErr w:type="spellStart"/>
      <w:r w:rsidR="00362BFA" w:rsidRPr="00FE2089">
        <w:rPr>
          <w:rFonts w:asciiTheme="minorHAnsi" w:eastAsia="Times New Roman" w:hAnsiTheme="minorHAnsi"/>
        </w:rPr>
        <w:t>Sandelowski</w:t>
      </w:r>
      <w:proofErr w:type="spellEnd"/>
      <w:r w:rsidR="00362BFA" w:rsidRPr="00FE2089">
        <w:rPr>
          <w:rFonts w:asciiTheme="minorHAnsi" w:eastAsia="Times New Roman" w:hAnsiTheme="minorHAnsi"/>
        </w:rPr>
        <w:t xml:space="preserve"> suggests that qualitative sample sizes should be both sufficiently big and sufficiently small to allow for "deep, case-orie</w:t>
      </w:r>
      <w:r w:rsidR="00D35A0F" w:rsidRPr="00FE2089">
        <w:rPr>
          <w:rFonts w:asciiTheme="minorHAnsi" w:eastAsia="Times New Roman" w:hAnsiTheme="minorHAnsi"/>
        </w:rPr>
        <w:t>nted analysis" of the data (</w:t>
      </w:r>
      <w:proofErr w:type="spellStart"/>
      <w:r w:rsidR="00D35A0F" w:rsidRPr="00FE2089">
        <w:rPr>
          <w:rFonts w:asciiTheme="minorHAnsi" w:eastAsia="Times New Roman" w:hAnsiTheme="minorHAnsi"/>
        </w:rPr>
        <w:t>Sandelowski</w:t>
      </w:r>
      <w:proofErr w:type="spellEnd"/>
      <w:r w:rsidR="00D35A0F" w:rsidRPr="00FE2089">
        <w:rPr>
          <w:rFonts w:asciiTheme="minorHAnsi" w:eastAsia="Times New Roman" w:hAnsiTheme="minorHAnsi"/>
        </w:rPr>
        <w:t xml:space="preserve">, 1995). </w:t>
      </w:r>
      <w:r w:rsidR="00871CFA" w:rsidRPr="00FE2089">
        <w:rPr>
          <w:rFonts w:asciiTheme="minorHAnsi" w:eastAsia="Times New Roman" w:hAnsiTheme="minorHAnsi"/>
        </w:rPr>
        <w:t xml:space="preserve">According to Green and </w:t>
      </w:r>
      <w:proofErr w:type="spellStart"/>
      <w:r w:rsidR="00871CFA" w:rsidRPr="00FE2089">
        <w:rPr>
          <w:rFonts w:asciiTheme="minorHAnsi" w:eastAsia="Times New Roman" w:hAnsiTheme="minorHAnsi"/>
        </w:rPr>
        <w:t>Thorogood</w:t>
      </w:r>
      <w:proofErr w:type="spellEnd"/>
      <w:r w:rsidR="00871CFA" w:rsidRPr="00FE2089">
        <w:rPr>
          <w:rFonts w:asciiTheme="minorHAnsi" w:eastAsia="Times New Roman" w:hAnsiTheme="minorHAnsi"/>
        </w:rPr>
        <w:t>, most qualitative researchers find that after questioning about 20 individuals who fall into one participant "category" that is analytically significant, not much new material is produced for a study that is interview-based and addresses a reasonably focused research issue</w:t>
      </w:r>
      <w:r w:rsidR="00CF6719" w:rsidRPr="00FE2089">
        <w:rPr>
          <w:rFonts w:asciiTheme="minorHAnsi" w:eastAsia="Times New Roman" w:hAnsiTheme="minorHAnsi"/>
        </w:rPr>
        <w:t xml:space="preserve"> (Green and </w:t>
      </w:r>
      <w:proofErr w:type="spellStart"/>
      <w:r w:rsidR="00CF6719" w:rsidRPr="00FE2089">
        <w:rPr>
          <w:rFonts w:asciiTheme="minorHAnsi" w:eastAsia="Times New Roman" w:hAnsiTheme="minorHAnsi"/>
        </w:rPr>
        <w:t>Thorogood</w:t>
      </w:r>
      <w:proofErr w:type="spellEnd"/>
      <w:r w:rsidR="00CF6719" w:rsidRPr="00FE2089">
        <w:rPr>
          <w:rFonts w:asciiTheme="minorHAnsi" w:eastAsia="Times New Roman" w:hAnsiTheme="minorHAnsi"/>
        </w:rPr>
        <w:t>, 2018)</w:t>
      </w:r>
      <w:r w:rsidR="00871CFA" w:rsidRPr="00FE2089">
        <w:rPr>
          <w:rFonts w:asciiTheme="minorHAnsi" w:eastAsia="Times New Roman" w:hAnsiTheme="minorHAnsi"/>
        </w:rPr>
        <w:t>. Ritchie et al. advise studies using individual interviews to limit the number of interviews conducted to 50 in order to allow researchers to handle the intricacy of the analytical process</w:t>
      </w:r>
      <w:r w:rsidR="002A7FEA" w:rsidRPr="00FE2089">
        <w:rPr>
          <w:rFonts w:asciiTheme="minorHAnsi" w:eastAsia="Times New Roman" w:hAnsiTheme="minorHAnsi"/>
        </w:rPr>
        <w:t xml:space="preserve"> (Ritchie and Lewis, 2003)</w:t>
      </w:r>
      <w:r w:rsidR="00871CFA" w:rsidRPr="00FE2089">
        <w:rPr>
          <w:rFonts w:asciiTheme="minorHAnsi" w:eastAsia="Times New Roman" w:hAnsiTheme="minorHAnsi"/>
        </w:rPr>
        <w:t>. In a comparable manner, Britten points out that 50 to 60 participants are typic</w:t>
      </w:r>
      <w:r w:rsidR="00CC3DBC" w:rsidRPr="00FE2089">
        <w:rPr>
          <w:rFonts w:asciiTheme="minorHAnsi" w:eastAsia="Times New Roman" w:hAnsiTheme="minorHAnsi"/>
        </w:rPr>
        <w:t xml:space="preserve">al for major interview research (Britten, 1995). </w:t>
      </w:r>
      <w:r w:rsidR="00B65507" w:rsidRPr="00FE2089">
        <w:rPr>
          <w:rFonts w:asciiTheme="minorHAnsi" w:eastAsia="Times New Roman" w:hAnsiTheme="minorHAnsi"/>
        </w:rPr>
        <w:t xml:space="preserve">One benefit is that the interviewer has complete control over the setting and context of the interview. For example, the interviewer can ensure that the interview is conducted in an environment that is suitable to accurate responses and that the questions are asked and, consequently, answered in the appropriate sequence. </w:t>
      </w:r>
      <w:r w:rsidR="00A85A0B" w:rsidRPr="00FE2089">
        <w:rPr>
          <w:rFonts w:asciiTheme="minorHAnsi" w:eastAsia="Times New Roman" w:hAnsiTheme="minorHAnsi"/>
        </w:rPr>
        <w:t>Interviews may, however, introduce prejudice, which will compromise the validity of the responses. Such bias may result from the questions being asked, the interviewer's personality traits, or the respondents' desire to provide answers that are acceptable in society (Seale, 2012).</w:t>
      </w:r>
    </w:p>
    <w:p w14:paraId="2C50D551" w14:textId="3CCDCB3C" w:rsidR="00C6719C" w:rsidRPr="00FE2089" w:rsidRDefault="00B959BE" w:rsidP="00C6719C">
      <w:pPr>
        <w:rPr>
          <w:rFonts w:asciiTheme="minorHAnsi" w:eastAsia="Times New Roman" w:hAnsiTheme="minorHAnsi"/>
        </w:rPr>
      </w:pPr>
      <w:r w:rsidRPr="00FE2089">
        <w:rPr>
          <w:rFonts w:asciiTheme="minorHAnsi" w:eastAsia="Times New Roman" w:hAnsiTheme="minorHAnsi"/>
        </w:rPr>
        <w:t>It was thought that the best way to gain data from teachers from the school was by sending out an online questionnaire</w:t>
      </w:r>
      <w:r w:rsidR="00580DB8" w:rsidRPr="00FE2089">
        <w:rPr>
          <w:rFonts w:asciiTheme="minorHAnsi" w:eastAsia="Times New Roman" w:hAnsiTheme="minorHAnsi"/>
        </w:rPr>
        <w:t xml:space="preserve"> (blank questionnaire in appendix)</w:t>
      </w:r>
      <w:r w:rsidRPr="00FE2089">
        <w:rPr>
          <w:rFonts w:asciiTheme="minorHAnsi" w:eastAsia="Times New Roman" w:hAnsiTheme="minorHAnsi"/>
        </w:rPr>
        <w:t xml:space="preserve">. </w:t>
      </w:r>
      <w:r w:rsidR="00580DB8" w:rsidRPr="00FE2089">
        <w:rPr>
          <w:rFonts w:asciiTheme="minorHAnsi" w:eastAsia="Times New Roman" w:hAnsiTheme="minorHAnsi"/>
        </w:rPr>
        <w:t xml:space="preserve">One extremely practical method for gathering data quickly from a large number of respondents is the use of questionnaires. Therefore, it is crucial to ensure that the questionnaire is designed accurately in order to collect data that can be interpreted and generalised. </w:t>
      </w:r>
      <w:r w:rsidR="00C473AB" w:rsidRPr="00FE2089">
        <w:rPr>
          <w:rFonts w:asciiTheme="minorHAnsi" w:eastAsia="Times New Roman" w:hAnsiTheme="minorHAnsi"/>
        </w:rPr>
        <w:t xml:space="preserve">A research study was conducted to find the advantages and drawbacks of online surveys. Overall, the results of the online questionnaire were similar to those of the traditional paper and pencil questionnaire. Online questionnaires, on the other hand, were more severe and less socially desirable. Open-ended questions produced comparatively lengthy and revealing responses. Overall, it was discovered that answering questions online was less socially desirable, shorter and more pleasurable for responders, reduced data entry, and used complex branching and question prompting. Furthermore, compared to paper surveys, online questionnaires revealed less errors, blank items, and item refusals </w:t>
      </w:r>
      <w:r w:rsidR="00C6719C" w:rsidRPr="00FE2089">
        <w:rPr>
          <w:rFonts w:asciiTheme="minorHAnsi" w:eastAsia="Times New Roman" w:hAnsiTheme="minorHAnsi"/>
        </w:rPr>
        <w:t xml:space="preserve">(Siva et al., 2019). </w:t>
      </w:r>
    </w:p>
    <w:p w14:paraId="0A56CA23" w14:textId="7BCE2354" w:rsidR="001F3211" w:rsidRPr="00FE2089" w:rsidRDefault="00756B83" w:rsidP="001F3211">
      <w:pPr>
        <w:rPr>
          <w:rFonts w:asciiTheme="minorHAnsi" w:eastAsia="Times New Roman" w:hAnsiTheme="minorHAnsi"/>
        </w:rPr>
      </w:pPr>
      <w:r w:rsidRPr="00FE2089">
        <w:rPr>
          <w:rFonts w:asciiTheme="minorHAnsi" w:eastAsia="Times New Roman" w:hAnsiTheme="minorHAnsi"/>
        </w:rPr>
        <w:t xml:space="preserve">To see first-hand what strategies are place within the classroom to support children’s social and emotional well-being, </w:t>
      </w:r>
      <w:r w:rsidR="00235033" w:rsidRPr="00FE2089">
        <w:rPr>
          <w:rFonts w:asciiTheme="minorHAnsi" w:eastAsia="Times New Roman" w:hAnsiTheme="minorHAnsi"/>
        </w:rPr>
        <w:t xml:space="preserve">observations were planned to take place in each KS2 classroom. </w:t>
      </w:r>
      <w:proofErr w:type="gramStart"/>
      <w:r w:rsidR="000C24BE" w:rsidRPr="00FE2089">
        <w:rPr>
          <w:rFonts w:asciiTheme="minorHAnsi" w:eastAsia="Times New Roman" w:hAnsiTheme="minorHAnsi"/>
        </w:rPr>
        <w:t>A</w:t>
      </w:r>
      <w:proofErr w:type="gramEnd"/>
      <w:r w:rsidR="000C24BE" w:rsidRPr="00FE2089">
        <w:rPr>
          <w:rFonts w:asciiTheme="minorHAnsi" w:eastAsia="Times New Roman" w:hAnsiTheme="minorHAnsi"/>
        </w:rPr>
        <w:t xml:space="preserve"> observation structure (view Appendix) was created in order to make sure that all points were covered to help to answer the research question. </w:t>
      </w:r>
      <w:r w:rsidR="00604F0C" w:rsidRPr="00FE2089">
        <w:rPr>
          <w:rFonts w:asciiTheme="minorHAnsi" w:eastAsia="Times New Roman" w:hAnsiTheme="minorHAnsi"/>
        </w:rPr>
        <w:t xml:space="preserve">Among the methods for gathering qualitative data, direct observation has been considered the gold standard (Murphy &amp; </w:t>
      </w:r>
      <w:proofErr w:type="spellStart"/>
      <w:r w:rsidR="00604F0C" w:rsidRPr="00FE2089">
        <w:rPr>
          <w:rFonts w:asciiTheme="minorHAnsi" w:eastAsia="Times New Roman" w:hAnsiTheme="minorHAnsi"/>
        </w:rPr>
        <w:t>Dingwall</w:t>
      </w:r>
      <w:proofErr w:type="spellEnd"/>
      <w:r w:rsidR="00604F0C" w:rsidRPr="00FE2089">
        <w:rPr>
          <w:rFonts w:asciiTheme="minorHAnsi" w:eastAsia="Times New Roman" w:hAnsiTheme="minorHAnsi"/>
        </w:rPr>
        <w:t xml:space="preserve">, 2007). Not only can observation avoid the issues that arise from self-reported accounts (Mays &amp; Pope, 1995), but it can also provide insights that are not available from other methods of data collection, such as behaviours, processes, and structures that the interviewees may not even be aware of </w:t>
      </w:r>
      <w:r w:rsidR="001F3211" w:rsidRPr="00FE2089">
        <w:rPr>
          <w:rFonts w:asciiTheme="minorHAnsi" w:eastAsia="Times New Roman" w:hAnsiTheme="minorHAnsi"/>
        </w:rPr>
        <w:t xml:space="preserve">(Furlong and Lawn, 2010). </w:t>
      </w:r>
      <w:r w:rsidR="004D1963" w:rsidRPr="00FE2089">
        <w:rPr>
          <w:rFonts w:asciiTheme="minorHAnsi" w:eastAsia="Times New Roman" w:hAnsiTheme="minorHAnsi"/>
        </w:rPr>
        <w:t xml:space="preserve">An advantage of </w:t>
      </w:r>
      <w:r w:rsidR="000513A5" w:rsidRPr="00FE2089">
        <w:rPr>
          <w:rFonts w:asciiTheme="minorHAnsi" w:eastAsia="Times New Roman" w:hAnsiTheme="minorHAnsi"/>
        </w:rPr>
        <w:t xml:space="preserve">observations is that the researcher is able to see people in their natural environment and are able to see first-hand what strategies are in place rather than just taking someone’s word for it. However, a downfall to observations is the ‘Hawthorne effect’ </w:t>
      </w:r>
      <w:r w:rsidR="00A11DE4" w:rsidRPr="00FE2089">
        <w:rPr>
          <w:rFonts w:asciiTheme="minorHAnsi" w:eastAsia="Times New Roman" w:hAnsiTheme="minorHAnsi"/>
        </w:rPr>
        <w:t xml:space="preserve">or ‘observer bias’. </w:t>
      </w:r>
      <w:r w:rsidR="00F548C9" w:rsidRPr="00FE2089">
        <w:rPr>
          <w:rFonts w:asciiTheme="minorHAnsi" w:eastAsia="Times New Roman" w:hAnsiTheme="minorHAnsi"/>
        </w:rPr>
        <w:t xml:space="preserve">People will alter their behaviour only because they are being watched, an effect known as the Hawthorne Effect </w:t>
      </w:r>
      <w:r w:rsidR="00555109" w:rsidRPr="00FE2089">
        <w:rPr>
          <w:rFonts w:asciiTheme="minorHAnsi" w:eastAsia="Times New Roman" w:hAnsiTheme="minorHAnsi"/>
        </w:rPr>
        <w:t>(Kenton, 2022).</w:t>
      </w:r>
      <w:r w:rsidR="00B93D7F" w:rsidRPr="00FE2089">
        <w:rPr>
          <w:rFonts w:asciiTheme="minorHAnsi" w:eastAsia="Times New Roman" w:hAnsiTheme="minorHAnsi"/>
        </w:rPr>
        <w:t xml:space="preserve"> </w:t>
      </w:r>
    </w:p>
    <w:p w14:paraId="0F9100A4" w14:textId="61ED90B5" w:rsidR="007A4130" w:rsidRPr="00FE2089" w:rsidRDefault="005141B7" w:rsidP="007A4130">
      <w:pPr>
        <w:rPr>
          <w:rFonts w:asciiTheme="minorHAnsi" w:eastAsia="Times New Roman" w:hAnsiTheme="minorHAnsi"/>
        </w:rPr>
      </w:pPr>
      <w:r w:rsidRPr="00FE2089">
        <w:rPr>
          <w:rFonts w:asciiTheme="minorHAnsi" w:eastAsia="Times New Roman" w:hAnsiTheme="minorHAnsi"/>
        </w:rPr>
        <w:t xml:space="preserve">Because unstructured interviews tend to engage with analytic units to provide important information on individual experiences and viewpoints, they are also referred to as in-depth interviews. The unstructured interviews were best suited when talking to topic specialists </w:t>
      </w:r>
      <w:r w:rsidRPr="00FE2089">
        <w:rPr>
          <w:rFonts w:asciiTheme="minorHAnsi" w:eastAsia="Times New Roman" w:hAnsiTheme="minorHAnsi"/>
        </w:rPr>
        <w:lastRenderedPageBreak/>
        <w:t xml:space="preserve">such as the ‘Positive Play’ team within the school. As they discuss what their job roles entail and what procedures they put in place to support the children and families within the school, further questions were then able to be generated for the researcher to gain better knowledge and understanding. </w:t>
      </w:r>
      <w:r w:rsidR="00855E58" w:rsidRPr="00FE2089">
        <w:rPr>
          <w:rFonts w:asciiTheme="minorHAnsi" w:eastAsia="Times New Roman" w:hAnsiTheme="minorHAnsi"/>
        </w:rPr>
        <w:t>An advantage of unstructured interviews is that i</w:t>
      </w:r>
      <w:r w:rsidR="00A47446" w:rsidRPr="00FE2089">
        <w:rPr>
          <w:rFonts w:asciiTheme="minorHAnsi" w:eastAsia="Times New Roman" w:hAnsiTheme="minorHAnsi"/>
        </w:rPr>
        <w:t>t gives the research process flexibility to support the description of the knowledge produced and the investigation of any concepts related to the research issue. This flexibility extends to question modifications, allowing for the addition of thematic ideas that surface over time as the interviewer gains knowledge of the problem settings and allows for a thorough examination of the case. As a result, during the research process, questions are properly evaluated and refined. As an outcome, it is simple to examine the participant's surroundings of perceptions and any relevant related areas</w:t>
      </w:r>
      <w:r w:rsidR="00CA1DE3" w:rsidRPr="00FE2089">
        <w:rPr>
          <w:rFonts w:asciiTheme="minorHAnsi" w:eastAsia="Times New Roman" w:hAnsiTheme="minorHAnsi"/>
        </w:rPr>
        <w:t xml:space="preserve"> (</w:t>
      </w:r>
      <w:proofErr w:type="spellStart"/>
      <w:r w:rsidR="00CA1DE3" w:rsidRPr="00FE2089">
        <w:rPr>
          <w:rFonts w:asciiTheme="minorHAnsi" w:eastAsia="Times New Roman" w:hAnsiTheme="minorHAnsi"/>
        </w:rPr>
        <w:t>DiCicco</w:t>
      </w:r>
      <w:proofErr w:type="spellEnd"/>
      <w:r w:rsidR="00CA1DE3" w:rsidRPr="00FE2089">
        <w:rPr>
          <w:rFonts w:asciiTheme="minorHAnsi" w:eastAsia="Times New Roman" w:hAnsiTheme="minorHAnsi"/>
        </w:rPr>
        <w:t>-Bloom and Crabtree, 2006)</w:t>
      </w:r>
      <w:r w:rsidR="00A47446" w:rsidRPr="00FE2089">
        <w:rPr>
          <w:rFonts w:asciiTheme="minorHAnsi" w:eastAsia="Times New Roman" w:hAnsiTheme="minorHAnsi"/>
        </w:rPr>
        <w:t xml:space="preserve">. Since therefore, it provides researchers with the capacity to produce data by extracting meaning from various occurrences or situations related to the research topic </w:t>
      </w:r>
      <w:r w:rsidR="007A4130" w:rsidRPr="00FE2089">
        <w:rPr>
          <w:rFonts w:asciiTheme="minorHAnsi" w:eastAsia="Times New Roman" w:hAnsiTheme="minorHAnsi"/>
        </w:rPr>
        <w:t xml:space="preserve">(Rahman, 2016). </w:t>
      </w:r>
      <w:r w:rsidR="00855E58" w:rsidRPr="00FE2089">
        <w:rPr>
          <w:rFonts w:asciiTheme="minorHAnsi" w:eastAsia="Times New Roman" w:hAnsiTheme="minorHAnsi"/>
        </w:rPr>
        <w:t>However, a limitation of unstructured interviews is that the Hawthorne effect can always arise during an interview. This effect arises when the interviewee feels motivated to perform better because they are aware that they are being interviewed, which can lead to an e</w:t>
      </w:r>
      <w:r w:rsidR="00134642" w:rsidRPr="00FE2089">
        <w:rPr>
          <w:rFonts w:asciiTheme="minorHAnsi" w:eastAsia="Times New Roman" w:hAnsiTheme="minorHAnsi"/>
        </w:rPr>
        <w:t>xaggeration of information (</w:t>
      </w:r>
      <w:proofErr w:type="spellStart"/>
      <w:r w:rsidR="00134642" w:rsidRPr="00FE2089">
        <w:rPr>
          <w:rFonts w:asciiTheme="minorHAnsi" w:eastAsia="Times New Roman" w:hAnsiTheme="minorHAnsi"/>
        </w:rPr>
        <w:t>Mugenda</w:t>
      </w:r>
      <w:proofErr w:type="spellEnd"/>
      <w:r w:rsidR="00134642" w:rsidRPr="00FE2089">
        <w:rPr>
          <w:rFonts w:asciiTheme="minorHAnsi" w:eastAsia="Times New Roman" w:hAnsiTheme="minorHAnsi"/>
        </w:rPr>
        <w:t xml:space="preserve"> and </w:t>
      </w:r>
      <w:proofErr w:type="spellStart"/>
      <w:r w:rsidR="00134642" w:rsidRPr="00FE2089">
        <w:rPr>
          <w:rFonts w:asciiTheme="minorHAnsi" w:eastAsia="Times New Roman" w:hAnsiTheme="minorHAnsi"/>
        </w:rPr>
        <w:t>Mugenda</w:t>
      </w:r>
      <w:proofErr w:type="spellEnd"/>
      <w:r w:rsidR="00134642" w:rsidRPr="00FE2089">
        <w:rPr>
          <w:rFonts w:asciiTheme="minorHAnsi" w:eastAsia="Times New Roman" w:hAnsiTheme="minorHAnsi"/>
        </w:rPr>
        <w:t xml:space="preserve">, 2003). </w:t>
      </w:r>
    </w:p>
    <w:p w14:paraId="76CEEFB0" w14:textId="04CF8397" w:rsidR="00B93D7F" w:rsidRPr="00FE2089" w:rsidRDefault="00B93D7F" w:rsidP="001F3211">
      <w:pPr>
        <w:rPr>
          <w:rFonts w:asciiTheme="minorHAnsi" w:eastAsia="Times New Roman" w:hAnsiTheme="minorHAnsi"/>
        </w:rPr>
      </w:pPr>
    </w:p>
    <w:p w14:paraId="494616A4" w14:textId="77777777" w:rsidR="00AF2A9C" w:rsidRPr="00FE2089" w:rsidRDefault="00AF2A9C">
      <w:pPr>
        <w:rPr>
          <w:rFonts w:asciiTheme="minorHAnsi" w:hAnsiTheme="minorHAnsi"/>
          <w:b/>
          <w:sz w:val="28"/>
          <w:u w:val="single"/>
        </w:rPr>
      </w:pPr>
    </w:p>
    <w:p w14:paraId="20DF6008" w14:textId="11B9A8B9" w:rsidR="00AF2A9C" w:rsidRPr="00FE2089" w:rsidRDefault="00AF2A9C">
      <w:pPr>
        <w:rPr>
          <w:rFonts w:asciiTheme="minorHAnsi" w:hAnsiTheme="minorHAnsi"/>
          <w:b/>
          <w:sz w:val="28"/>
          <w:u w:val="single"/>
        </w:rPr>
      </w:pPr>
      <w:r w:rsidRPr="00FE2089">
        <w:rPr>
          <w:rFonts w:asciiTheme="minorHAnsi" w:hAnsiTheme="minorHAnsi"/>
          <w:b/>
          <w:sz w:val="28"/>
          <w:u w:val="single"/>
        </w:rPr>
        <w:t>Data Presentation and Analysis Method(s)</w:t>
      </w:r>
    </w:p>
    <w:p w14:paraId="7488019D" w14:textId="3894BF49" w:rsidR="001444FB" w:rsidRPr="00FE2089" w:rsidRDefault="00E748C6" w:rsidP="001444FB">
      <w:pPr>
        <w:rPr>
          <w:rFonts w:asciiTheme="minorHAnsi" w:eastAsia="Times New Roman" w:hAnsiTheme="minorHAnsi"/>
        </w:rPr>
      </w:pPr>
      <w:r w:rsidRPr="00FE2089">
        <w:rPr>
          <w:rFonts w:asciiTheme="minorHAnsi" w:hAnsiTheme="minorHAnsi"/>
        </w:rPr>
        <w:t>Data about real-life experiences, such as narratives or interviews, are a necessity for the analysis. The study generated themes that are data-driven, meaning they are based on both participant experience and data. The process of analysis starts with a meaning search and continues with the identification and correlation of several meanings. Rather than attempting to quantify their frequency, the study aims to try to grasp the complexity of meanings in the data. It entails data collection and analysis by researchers. Finding patterns of meanings to be further investigated and figuring out how to group such patterns into themes are both included in the analysis. Openness also has to serve as the analysis's guide.</w:t>
      </w:r>
      <w:r w:rsidR="002F2D7C" w:rsidRPr="00FE2089">
        <w:rPr>
          <w:rFonts w:asciiTheme="minorHAnsi" w:hAnsiTheme="minorHAnsi"/>
        </w:rPr>
        <w:t xml:space="preserve"> As a result, the analysis is a reflective process meant to shed light on meaning. There are significant distinctions between the analytical process and descriptive experiential techniques that concentrate on comprehending and chara</w:t>
      </w:r>
      <w:r w:rsidR="001444FB" w:rsidRPr="00FE2089">
        <w:rPr>
          <w:rFonts w:asciiTheme="minorHAnsi" w:hAnsiTheme="minorHAnsi"/>
        </w:rPr>
        <w:t xml:space="preserve">cterising themes with a meaning </w:t>
      </w:r>
      <w:r w:rsidR="001444FB" w:rsidRPr="00FE2089">
        <w:rPr>
          <w:rFonts w:asciiTheme="minorHAnsi" w:eastAsia="Times New Roman" w:hAnsiTheme="minorHAnsi"/>
        </w:rPr>
        <w:t xml:space="preserve">(Beck et al., 2023). </w:t>
      </w:r>
    </w:p>
    <w:p w14:paraId="030FC8D0" w14:textId="77777777" w:rsidR="00E01755" w:rsidRPr="00FE2089" w:rsidRDefault="006C1CC0" w:rsidP="00E01755">
      <w:pPr>
        <w:rPr>
          <w:rFonts w:asciiTheme="minorHAnsi" w:eastAsia="Times New Roman" w:hAnsiTheme="minorHAnsi"/>
        </w:rPr>
      </w:pPr>
      <w:r w:rsidRPr="00FE2089">
        <w:rPr>
          <w:rFonts w:asciiTheme="minorHAnsi" w:hAnsiTheme="minorHAnsi"/>
        </w:rPr>
        <w:t>Four standards are outlined by Lincoln and Guba for determining the general reliability of qualitative research findings: credibility, the researcher guarantees and provides the reader with proof that the findings fairly depict the subject matter of the study; transferability, the researcher gives readers comprehensive background information so they may assess if the findings apply to their own circumstances or not; reliability, the researcher provides enough information on the study procedure to allow the work to be replicated; In order to assure confirmability, the researcher makes sure that the information received from the participants is the basis for the results, and not the researcher</w:t>
      </w:r>
      <w:r w:rsidR="00E01755" w:rsidRPr="00FE2089">
        <w:rPr>
          <w:rFonts w:asciiTheme="minorHAnsi" w:hAnsiTheme="minorHAnsi"/>
        </w:rPr>
        <w:t xml:space="preserve">'s interpretations or prejudice </w:t>
      </w:r>
      <w:r w:rsidR="00E01755" w:rsidRPr="00FE2089">
        <w:rPr>
          <w:rFonts w:asciiTheme="minorHAnsi" w:eastAsia="Times New Roman" w:hAnsiTheme="minorHAnsi"/>
        </w:rPr>
        <w:t>(Denzin (</w:t>
      </w:r>
      <w:proofErr w:type="spellStart"/>
      <w:r w:rsidR="00E01755" w:rsidRPr="00FE2089">
        <w:rPr>
          <w:rFonts w:asciiTheme="minorHAnsi" w:eastAsia="Times New Roman" w:hAnsiTheme="minorHAnsi"/>
        </w:rPr>
        <w:t>ed</w:t>
      </w:r>
      <w:proofErr w:type="spellEnd"/>
      <w:r w:rsidR="00E01755" w:rsidRPr="00FE2089">
        <w:rPr>
          <w:rFonts w:asciiTheme="minorHAnsi" w:eastAsia="Times New Roman" w:hAnsiTheme="minorHAnsi"/>
        </w:rPr>
        <w:t>) and Lincoln, 2005)</w:t>
      </w:r>
    </w:p>
    <w:p w14:paraId="2F716A41" w14:textId="2D0608E5" w:rsidR="000A019B" w:rsidRPr="00FE2089" w:rsidRDefault="00376E4B" w:rsidP="000A019B">
      <w:pPr>
        <w:rPr>
          <w:rFonts w:asciiTheme="minorHAnsi" w:eastAsia="Times New Roman" w:hAnsiTheme="minorHAnsi"/>
        </w:rPr>
      </w:pPr>
      <w:r w:rsidRPr="00FE2089">
        <w:rPr>
          <w:rFonts w:asciiTheme="minorHAnsi" w:hAnsiTheme="minorHAnsi"/>
        </w:rPr>
        <w:t>As the term "triangulation" may also refer to the process of using numerous data sources to support or contradict interpretations, claims, themes, and research results, it also has an impact on data analysis. A theme or idea has more credibility and confirmability when it can be developed and verified utilising evidence fro</w:t>
      </w:r>
      <w:r w:rsidR="000A019B" w:rsidRPr="00FE2089">
        <w:rPr>
          <w:rFonts w:asciiTheme="minorHAnsi" w:hAnsiTheme="minorHAnsi"/>
        </w:rPr>
        <w:t xml:space="preserve">m several sources </w:t>
      </w:r>
      <w:r w:rsidR="000A019B" w:rsidRPr="00FE2089">
        <w:rPr>
          <w:rFonts w:asciiTheme="minorHAnsi" w:eastAsia="Times New Roman" w:hAnsiTheme="minorHAnsi"/>
        </w:rPr>
        <w:t xml:space="preserve">(Creswell, 2014). </w:t>
      </w:r>
    </w:p>
    <w:p w14:paraId="2FE306C3" w14:textId="385BD6CD" w:rsidR="00E748C6" w:rsidRPr="00FE2089" w:rsidRDefault="00E748C6">
      <w:pPr>
        <w:rPr>
          <w:rFonts w:asciiTheme="minorHAnsi" w:hAnsiTheme="minorHAnsi"/>
        </w:rPr>
      </w:pPr>
    </w:p>
    <w:p w14:paraId="33872BED" w14:textId="77777777" w:rsidR="00E748C6" w:rsidRPr="00FE2089" w:rsidRDefault="00E748C6">
      <w:pPr>
        <w:rPr>
          <w:rFonts w:asciiTheme="minorHAnsi" w:hAnsiTheme="minorHAnsi"/>
        </w:rPr>
      </w:pPr>
    </w:p>
    <w:p w14:paraId="1E574DDF" w14:textId="77777777" w:rsidR="00AF2A9C" w:rsidRPr="00FE2089" w:rsidRDefault="00AF2A9C">
      <w:pPr>
        <w:rPr>
          <w:rFonts w:asciiTheme="minorHAnsi" w:hAnsiTheme="minorHAnsi"/>
          <w:b/>
          <w:sz w:val="28"/>
          <w:u w:val="single"/>
        </w:rPr>
      </w:pPr>
      <w:r w:rsidRPr="00FE2089">
        <w:rPr>
          <w:rFonts w:asciiTheme="minorHAnsi" w:hAnsiTheme="minorHAnsi"/>
          <w:b/>
          <w:sz w:val="28"/>
          <w:u w:val="single"/>
        </w:rPr>
        <w:lastRenderedPageBreak/>
        <w:t xml:space="preserve">Ethical considerations </w:t>
      </w:r>
    </w:p>
    <w:p w14:paraId="352A6E56" w14:textId="2A4EEF4B" w:rsidR="006C2D18" w:rsidRPr="00FE2089" w:rsidRDefault="00EB2DBC" w:rsidP="00EB2DBC">
      <w:pPr>
        <w:rPr>
          <w:rFonts w:asciiTheme="minorHAnsi" w:hAnsiTheme="minorHAnsi"/>
        </w:rPr>
      </w:pPr>
      <w:r w:rsidRPr="00FE2089">
        <w:rPr>
          <w:rFonts w:asciiTheme="minorHAnsi" w:hAnsiTheme="minorHAnsi"/>
        </w:rPr>
        <w:t>Since ethics were of the utmost importance, the British Educational Research Association's (BERA) guidelines were closely adhered to throughout the course of this research. In order to get "voluntary informed consent to be involved in a study will be obtained at the start of the study," the head teacher was initially requested to read and sign a consent form as well as an ethics form (see appendix) (BERA, 2018</w:t>
      </w:r>
      <w:r w:rsidR="00B466E1" w:rsidRPr="00FE2089">
        <w:rPr>
          <w:rFonts w:asciiTheme="minorHAnsi" w:hAnsiTheme="minorHAnsi"/>
        </w:rPr>
        <w:t>A</w:t>
      </w:r>
      <w:r w:rsidRPr="00FE2089">
        <w:rPr>
          <w:rFonts w:asciiTheme="minorHAnsi" w:hAnsiTheme="minorHAnsi"/>
        </w:rPr>
        <w:t>, p15). An email was sent out in advance to the research week, in</w:t>
      </w:r>
      <w:r w:rsidR="00E87248" w:rsidRPr="00FE2089">
        <w:rPr>
          <w:rFonts w:asciiTheme="minorHAnsi" w:hAnsiTheme="minorHAnsi"/>
        </w:rPr>
        <w:t xml:space="preserve"> </w:t>
      </w:r>
      <w:r w:rsidRPr="00FE2089">
        <w:rPr>
          <w:rFonts w:asciiTheme="minorHAnsi" w:hAnsiTheme="minorHAnsi"/>
        </w:rPr>
        <w:t xml:space="preserve">which it indicated that staff members had the "right to withdraw from the research for any reason, and at any time" (BERA, 2018b, p24). </w:t>
      </w:r>
      <w:r w:rsidR="003E6824" w:rsidRPr="00FE2089">
        <w:rPr>
          <w:rFonts w:asciiTheme="minorHAnsi" w:hAnsiTheme="minorHAnsi"/>
        </w:rPr>
        <w:t>A consent form was also attached to the email that was sent to the school. The consent form was to be distributed to the children prior to the research week in order for them to take part in any observations and interviews.</w:t>
      </w:r>
    </w:p>
    <w:p w14:paraId="41A3C5BD" w14:textId="37D799FB" w:rsidR="00071D9A" w:rsidRPr="00FE2089" w:rsidRDefault="008741F9" w:rsidP="00EB2DBC">
      <w:pPr>
        <w:rPr>
          <w:rFonts w:asciiTheme="minorHAnsi" w:hAnsiTheme="minorHAnsi"/>
        </w:rPr>
      </w:pPr>
      <w:r w:rsidRPr="00FE2089">
        <w:rPr>
          <w:rFonts w:asciiTheme="minorHAnsi" w:hAnsiTheme="minorHAnsi"/>
        </w:rPr>
        <w:t xml:space="preserve">Throughout the research anonymity and confidentiality was used. </w:t>
      </w:r>
      <w:r w:rsidR="00071D9A" w:rsidRPr="00FE2089">
        <w:rPr>
          <w:rFonts w:asciiTheme="minorHAnsi" w:hAnsiTheme="minorHAnsi"/>
        </w:rPr>
        <w:t>One type of confidentiality is anonymity, which involves keeping individuals' identities unknown. Confidentiality, however, also means maintaining the privacy of participant feedback, which can only be done when researchers decide not to disclose particular pieces of information.</w:t>
      </w:r>
      <w:r w:rsidR="005925E3" w:rsidRPr="00FE2089">
        <w:rPr>
          <w:rFonts w:asciiTheme="minorHAnsi" w:hAnsiTheme="minorHAnsi"/>
        </w:rPr>
        <w:t xml:space="preserve"> As a default, many official ethics guidelines. Such as the Economic and Social Research Council's Framework for Research Ethics and the British Sociological Association's Statement of Ethical Practice (BSA, 2002), recommend hiding research participants' personal identities. </w:t>
      </w:r>
      <w:r w:rsidR="0002227C" w:rsidRPr="00FE2089">
        <w:rPr>
          <w:rFonts w:asciiTheme="minorHAnsi" w:hAnsiTheme="minorHAnsi"/>
        </w:rPr>
        <w:t xml:space="preserve">When observing and interviewing children </w:t>
      </w:r>
      <w:r w:rsidR="00163507" w:rsidRPr="00FE2089">
        <w:rPr>
          <w:rFonts w:asciiTheme="minorHAnsi" w:hAnsiTheme="minorHAnsi"/>
        </w:rPr>
        <w:t>no information about the child was disclosed apart from the year group the child was in. whilst referencing th</w:t>
      </w:r>
      <w:r w:rsidR="00EE3FAD" w:rsidRPr="00FE2089">
        <w:rPr>
          <w:rFonts w:asciiTheme="minorHAnsi" w:hAnsiTheme="minorHAnsi"/>
        </w:rPr>
        <w:t xml:space="preserve">e child, they will be known as ‘Child A’, ‘Child B’, etc. </w:t>
      </w:r>
    </w:p>
    <w:p w14:paraId="07D5F0AE" w14:textId="2CD7C665" w:rsidR="00FC27FC" w:rsidRPr="00FE2089" w:rsidRDefault="00FC27FC" w:rsidP="00EB2DBC">
      <w:pPr>
        <w:rPr>
          <w:rFonts w:asciiTheme="minorHAnsi" w:hAnsiTheme="minorHAnsi"/>
        </w:rPr>
      </w:pPr>
      <w:r w:rsidRPr="00FE2089">
        <w:rPr>
          <w:rFonts w:asciiTheme="minorHAnsi" w:hAnsiTheme="minorHAnsi"/>
        </w:rPr>
        <w:t>Prior to interviewing the children w</w:t>
      </w:r>
      <w:r w:rsidR="0094757B" w:rsidRPr="00FE2089">
        <w:rPr>
          <w:rFonts w:asciiTheme="minorHAnsi" w:hAnsiTheme="minorHAnsi"/>
        </w:rPr>
        <w:t xml:space="preserve">ere made aware that they have the right to withdraw. The children were made aware before starting the interview that at </w:t>
      </w:r>
      <w:proofErr w:type="spellStart"/>
      <w:r w:rsidR="0094757B" w:rsidRPr="00FE2089">
        <w:rPr>
          <w:rFonts w:asciiTheme="minorHAnsi" w:hAnsiTheme="minorHAnsi"/>
        </w:rPr>
        <w:t>anytime</w:t>
      </w:r>
      <w:proofErr w:type="spellEnd"/>
      <w:r w:rsidR="0094757B" w:rsidRPr="00FE2089">
        <w:rPr>
          <w:rFonts w:asciiTheme="minorHAnsi" w:hAnsiTheme="minorHAnsi"/>
        </w:rPr>
        <w:t xml:space="preserve"> the interview could be conclude if they wanted to stop. They were told to just raise their hand. The children were also told that there was no right or wrong answers and it was all just their own views and opinions. </w:t>
      </w:r>
    </w:p>
    <w:p w14:paraId="1017414A" w14:textId="77777777" w:rsidR="00AF2A9C" w:rsidRPr="00FE2089" w:rsidRDefault="00AF2A9C">
      <w:pPr>
        <w:rPr>
          <w:rFonts w:asciiTheme="minorHAnsi" w:hAnsiTheme="minorHAnsi"/>
        </w:rPr>
      </w:pPr>
    </w:p>
    <w:p w14:paraId="67305E37" w14:textId="70D8264D" w:rsidR="00AF2A9C" w:rsidRPr="00FE2089" w:rsidRDefault="00AF2A9C">
      <w:pPr>
        <w:rPr>
          <w:rFonts w:asciiTheme="minorHAnsi" w:hAnsiTheme="minorHAnsi"/>
          <w:b/>
          <w:sz w:val="28"/>
          <w:u w:val="single"/>
        </w:rPr>
      </w:pPr>
      <w:r w:rsidRPr="00FE2089">
        <w:rPr>
          <w:rFonts w:asciiTheme="minorHAnsi" w:hAnsiTheme="minorHAnsi"/>
          <w:b/>
          <w:sz w:val="28"/>
          <w:u w:val="single"/>
        </w:rPr>
        <w:t xml:space="preserve">Results / Analysis of results / Discussion </w:t>
      </w:r>
    </w:p>
    <w:p w14:paraId="3C27C1EE" w14:textId="06F36E49" w:rsidR="00246D80" w:rsidRPr="00FE2089" w:rsidRDefault="006D4960" w:rsidP="00246D80">
      <w:pPr>
        <w:rPr>
          <w:rFonts w:asciiTheme="minorHAnsi" w:eastAsia="Times New Roman" w:hAnsiTheme="minorHAnsi"/>
          <w:color w:val="000000" w:themeColor="text1"/>
        </w:rPr>
      </w:pPr>
      <w:r w:rsidRPr="00FE2089">
        <w:rPr>
          <w:rFonts w:asciiTheme="minorHAnsi" w:hAnsiTheme="minorHAnsi"/>
        </w:rPr>
        <w:t>Fro</w:t>
      </w:r>
      <w:r w:rsidR="004C2801" w:rsidRPr="00FE2089">
        <w:rPr>
          <w:rFonts w:asciiTheme="minorHAnsi" w:hAnsiTheme="minorHAnsi"/>
        </w:rPr>
        <w:t>m analysing the</w:t>
      </w:r>
      <w:r w:rsidR="00B101DD" w:rsidRPr="00FE2089">
        <w:rPr>
          <w:rFonts w:asciiTheme="minorHAnsi" w:hAnsiTheme="minorHAnsi"/>
        </w:rPr>
        <w:t xml:space="preserve"> data, there was a mix of responses. </w:t>
      </w:r>
      <w:r w:rsidR="00905711" w:rsidRPr="00FE2089">
        <w:rPr>
          <w:rFonts w:asciiTheme="minorHAnsi" w:hAnsiTheme="minorHAnsi"/>
        </w:rPr>
        <w:t xml:space="preserve">Questionnaires </w:t>
      </w:r>
      <w:r w:rsidR="000A321B" w:rsidRPr="00FE2089">
        <w:rPr>
          <w:rFonts w:asciiTheme="minorHAnsi" w:hAnsiTheme="minorHAnsi"/>
        </w:rPr>
        <w:t xml:space="preserve">(see appendix) </w:t>
      </w:r>
      <w:r w:rsidR="00905711" w:rsidRPr="00FE2089">
        <w:rPr>
          <w:rFonts w:asciiTheme="minorHAnsi" w:hAnsiTheme="minorHAnsi"/>
        </w:rPr>
        <w:t>were sent out to all KS2 teachers (9 teacher), however, there was only five responses back. All five teachers stated that there are strategies in place in their classroom to support pupils social well-being</w:t>
      </w:r>
      <w:r w:rsidR="000A321B" w:rsidRPr="00FE2089">
        <w:rPr>
          <w:rFonts w:asciiTheme="minorHAnsi" w:hAnsiTheme="minorHAnsi"/>
        </w:rPr>
        <w:t xml:space="preserve">. Teachers were also asked the same question but it was related to emotional well-being rather than social. Four out of the five teachers said that they do every day, one however said that they hardly ever put strategies in place. </w:t>
      </w:r>
      <w:r w:rsidR="00394B10" w:rsidRPr="00FE2089">
        <w:rPr>
          <w:rFonts w:asciiTheme="minorHAnsi" w:hAnsiTheme="minorHAnsi"/>
        </w:rPr>
        <w:t xml:space="preserve">Following the responses from the questionnaire the children were able to give their perspective during individual interviews. It was planned that 5 children from each KS2 class was going to be interviewed (35 in total). However, consent forms were only sent to one class which led to only receiving three back. This caused issues as it meant </w:t>
      </w:r>
      <w:r w:rsidR="009219D3" w:rsidRPr="00FE2089">
        <w:rPr>
          <w:rFonts w:asciiTheme="minorHAnsi" w:hAnsiTheme="minorHAnsi"/>
        </w:rPr>
        <w:t>that the data generated ma</w:t>
      </w:r>
      <w:r w:rsidR="00124F66" w:rsidRPr="00FE2089">
        <w:rPr>
          <w:rFonts w:asciiTheme="minorHAnsi" w:hAnsiTheme="minorHAnsi"/>
        </w:rPr>
        <w:t>y not be reliable. Small sample sizes compromise a study's</w:t>
      </w:r>
      <w:r w:rsidR="00246D80" w:rsidRPr="00FE2089">
        <w:rPr>
          <w:rFonts w:asciiTheme="minorHAnsi" w:hAnsiTheme="minorHAnsi"/>
        </w:rPr>
        <w:t xml:space="preserve"> external and internal validity </w:t>
      </w:r>
      <w:r w:rsidR="00246D80" w:rsidRPr="00FE2089">
        <w:rPr>
          <w:rFonts w:asciiTheme="minorHAnsi" w:eastAsia="Times New Roman" w:hAnsiTheme="minorHAnsi"/>
        </w:rPr>
        <w:t xml:space="preserve">(Faber and Fonseca, 2014). </w:t>
      </w:r>
      <w:r w:rsidR="00E60069" w:rsidRPr="00FE2089">
        <w:rPr>
          <w:rFonts w:asciiTheme="minorHAnsi" w:eastAsia="Times New Roman" w:hAnsiTheme="minorHAnsi"/>
        </w:rPr>
        <w:t>The children that were interviewed relayed that every morning they do a daily check-in and they also sometimes do it again after lunch</w:t>
      </w:r>
      <w:r w:rsidR="00B846EB" w:rsidRPr="00FE2089">
        <w:rPr>
          <w:rFonts w:asciiTheme="minorHAnsi" w:eastAsia="Times New Roman" w:hAnsiTheme="minorHAnsi"/>
        </w:rPr>
        <w:t xml:space="preserve">. </w:t>
      </w:r>
      <w:r w:rsidR="00B846EB" w:rsidRPr="00FE2089">
        <w:rPr>
          <w:rFonts w:asciiTheme="minorHAnsi" w:eastAsia="Times New Roman" w:hAnsiTheme="minorHAnsi"/>
          <w:color w:val="000000" w:themeColor="text1"/>
        </w:rPr>
        <w:t xml:space="preserve">During the daily check-in the children are able to express their how they are feeling, if the teacher then feels a need they will follow up with the child why they may be feeling that way. </w:t>
      </w:r>
      <w:r w:rsidR="00722B25" w:rsidRPr="00FE2089">
        <w:rPr>
          <w:rFonts w:asciiTheme="minorHAnsi" w:eastAsia="Times New Roman" w:hAnsiTheme="minorHAnsi"/>
          <w:color w:val="000000" w:themeColor="text1"/>
        </w:rPr>
        <w:t xml:space="preserve">The questions led onto ask about whether the children knew what mindfulness was and whether they practice it in school. All children weren’t aware of what mindfulness was and they all said that it is not practiced in their classroom. </w:t>
      </w:r>
      <w:r w:rsidR="003E753D" w:rsidRPr="00FE2089">
        <w:rPr>
          <w:rFonts w:asciiTheme="minorHAnsi" w:eastAsia="Times New Roman" w:hAnsiTheme="minorHAnsi"/>
          <w:color w:val="000000" w:themeColor="text1"/>
        </w:rPr>
        <w:t xml:space="preserve">It is very important for children to understand the purpose of mindfulness as it helps them to regulate their emotions. </w:t>
      </w:r>
      <w:r w:rsidR="00E82E07" w:rsidRPr="00FE2089">
        <w:rPr>
          <w:rFonts w:asciiTheme="minorHAnsi" w:eastAsia="Times New Roman" w:hAnsiTheme="minorHAnsi"/>
          <w:color w:val="000000" w:themeColor="text1"/>
        </w:rPr>
        <w:t xml:space="preserve">It has been shown that mindfulness meditation </w:t>
      </w:r>
      <w:r w:rsidR="00E82E07" w:rsidRPr="00FE2089">
        <w:rPr>
          <w:rFonts w:asciiTheme="minorHAnsi" w:eastAsia="Times New Roman" w:hAnsiTheme="minorHAnsi"/>
          <w:color w:val="000000" w:themeColor="text1"/>
        </w:rPr>
        <w:lastRenderedPageBreak/>
        <w:t xml:space="preserve">improves emotional balance and well-being, lowers stress reactivity, and lessens depressive and anxious feelings </w:t>
      </w:r>
      <w:r w:rsidR="00036072" w:rsidRPr="00FE2089">
        <w:rPr>
          <w:rFonts w:asciiTheme="minorHAnsi" w:eastAsia="Times New Roman" w:hAnsiTheme="minorHAnsi"/>
          <w:color w:val="000000" w:themeColor="text1"/>
        </w:rPr>
        <w:t xml:space="preserve">(JHA, KROMPINGER and BAIME, 2007). </w:t>
      </w:r>
    </w:p>
    <w:p w14:paraId="3A75AB1A" w14:textId="69ADA01C" w:rsidR="00CC704E" w:rsidRPr="00FE2089" w:rsidRDefault="007F23FB" w:rsidP="00CC704E">
      <w:pPr>
        <w:rPr>
          <w:rFonts w:asciiTheme="minorHAnsi" w:eastAsia="Times New Roman" w:hAnsiTheme="minorHAnsi"/>
          <w:color w:val="000000" w:themeColor="text1"/>
        </w:rPr>
      </w:pPr>
      <w:r w:rsidRPr="00FE2089">
        <w:rPr>
          <w:rFonts w:asciiTheme="minorHAnsi" w:eastAsia="Times New Roman" w:hAnsiTheme="minorHAnsi"/>
          <w:color w:val="000000" w:themeColor="text1"/>
        </w:rPr>
        <w:t>After the unstructured interview with the pastoral team, it was clear to see that a strategy that is promoted heavily throughout the school was ‘Emotion Coaching’</w:t>
      </w:r>
      <w:r w:rsidR="002247C8" w:rsidRPr="00FE2089">
        <w:rPr>
          <w:rFonts w:asciiTheme="minorHAnsi" w:eastAsia="Times New Roman" w:hAnsiTheme="minorHAnsi"/>
          <w:color w:val="000000" w:themeColor="text1"/>
        </w:rPr>
        <w:t>.</w:t>
      </w:r>
      <w:r w:rsidR="006B00E6" w:rsidRPr="00FE2089">
        <w:rPr>
          <w:rFonts w:asciiTheme="minorHAnsi" w:eastAsia="Times New Roman" w:hAnsiTheme="minorHAnsi"/>
          <w:color w:val="000000" w:themeColor="text1"/>
        </w:rPr>
        <w:t xml:space="preserve"> Most of the teachers stated, in the questionnaire, that emotion coaching is a strategy they use in their class. </w:t>
      </w:r>
      <w:r w:rsidR="0067037C" w:rsidRPr="00FE2089">
        <w:rPr>
          <w:rFonts w:asciiTheme="minorHAnsi" w:eastAsia="Times New Roman" w:hAnsiTheme="minorHAnsi"/>
          <w:color w:val="000000" w:themeColor="text1"/>
        </w:rPr>
        <w:t xml:space="preserve">Emotion coaching guides and teaches the child about more appropriate reactions by using moments of heightened emotion and their behaviour that follows. The child's emotional condition is vocally addressed and confirmed through sympathetic interaction, which fosters a sense of security and being "felt."  The child's nervous system is altered as a result, resulting in a physiological and psychological calm down </w:t>
      </w:r>
      <w:r w:rsidR="00CC704E" w:rsidRPr="00FE2089">
        <w:rPr>
          <w:rFonts w:asciiTheme="minorHAnsi" w:eastAsia="Times New Roman" w:hAnsiTheme="minorHAnsi"/>
          <w:color w:val="000000" w:themeColor="text1"/>
        </w:rPr>
        <w:t xml:space="preserve">(Emotion </w:t>
      </w:r>
      <w:proofErr w:type="gramStart"/>
      <w:r w:rsidR="00CC704E" w:rsidRPr="00FE2089">
        <w:rPr>
          <w:rFonts w:asciiTheme="minorHAnsi" w:eastAsia="Times New Roman" w:hAnsiTheme="minorHAnsi"/>
          <w:color w:val="000000" w:themeColor="text1"/>
        </w:rPr>
        <w:t>Coaching ,</w:t>
      </w:r>
      <w:proofErr w:type="gramEnd"/>
      <w:r w:rsidR="00CC704E" w:rsidRPr="00FE2089">
        <w:rPr>
          <w:rFonts w:asciiTheme="minorHAnsi" w:eastAsia="Times New Roman" w:hAnsiTheme="minorHAnsi"/>
          <w:color w:val="000000" w:themeColor="text1"/>
        </w:rPr>
        <w:t xml:space="preserve"> 2015). </w:t>
      </w:r>
      <w:r w:rsidR="007D2076" w:rsidRPr="00FE2089">
        <w:rPr>
          <w:rFonts w:asciiTheme="minorHAnsi" w:eastAsia="Times New Roman" w:hAnsiTheme="minorHAnsi"/>
          <w:color w:val="000000" w:themeColor="text1"/>
        </w:rPr>
        <w:t>The children were also asked about emotion coaching. All children were aware of it but weren’t s</w:t>
      </w:r>
      <w:r w:rsidR="00E958A4" w:rsidRPr="00FE2089">
        <w:rPr>
          <w:rFonts w:asciiTheme="minorHAnsi" w:eastAsia="Times New Roman" w:hAnsiTheme="minorHAnsi"/>
          <w:color w:val="000000" w:themeColor="text1"/>
        </w:rPr>
        <w:t xml:space="preserve">ure how to put it into practice. </w:t>
      </w:r>
    </w:p>
    <w:p w14:paraId="6FA8A3B3" w14:textId="7F99AB03" w:rsidR="008A73B6" w:rsidRPr="00FE2089" w:rsidRDefault="00EF6B78" w:rsidP="00CC704E">
      <w:pPr>
        <w:rPr>
          <w:rFonts w:asciiTheme="minorHAnsi" w:eastAsia="Times New Roman" w:hAnsiTheme="minorHAnsi"/>
          <w:color w:val="000000" w:themeColor="text1"/>
        </w:rPr>
      </w:pPr>
      <w:r w:rsidRPr="00FE2089">
        <w:rPr>
          <w:rFonts w:asciiTheme="minorHAnsi" w:eastAsia="Times New Roman" w:hAnsiTheme="minorHAnsi"/>
          <w:color w:val="000000" w:themeColor="text1"/>
        </w:rPr>
        <w:t xml:space="preserve">A key component of the research week was to observe a whole class mindfulness session take place throughout KS2, this however was unable to happen. When teachers were asked </w:t>
      </w:r>
      <w:r w:rsidR="00450BB9" w:rsidRPr="00FE2089">
        <w:rPr>
          <w:rFonts w:asciiTheme="minorHAnsi" w:eastAsia="Times New Roman" w:hAnsiTheme="minorHAnsi"/>
          <w:color w:val="000000" w:themeColor="text1"/>
        </w:rPr>
        <w:t xml:space="preserve">if the observations are able to take place they stated that they don’t do mindfulness sessions as they don’t have time for it. </w:t>
      </w:r>
      <w:r w:rsidR="004A147A" w:rsidRPr="00FE2089">
        <w:rPr>
          <w:rFonts w:asciiTheme="minorHAnsi" w:eastAsia="Times New Roman" w:hAnsiTheme="minorHAnsi"/>
          <w:color w:val="000000" w:themeColor="text1"/>
        </w:rPr>
        <w:t xml:space="preserve">The NHS </w:t>
      </w:r>
      <w:r w:rsidR="00227E15" w:rsidRPr="00FE2089">
        <w:rPr>
          <w:rFonts w:asciiTheme="minorHAnsi" w:eastAsia="Times New Roman" w:hAnsiTheme="minorHAnsi"/>
          <w:color w:val="000000" w:themeColor="text1"/>
        </w:rPr>
        <w:t>recommends that mindfulness should be done dail</w:t>
      </w:r>
      <w:r w:rsidR="004A147A" w:rsidRPr="00FE2089">
        <w:rPr>
          <w:rFonts w:asciiTheme="minorHAnsi" w:eastAsia="Times New Roman" w:hAnsiTheme="minorHAnsi"/>
          <w:color w:val="000000" w:themeColor="text1"/>
        </w:rPr>
        <w:t xml:space="preserve">y for at least 5 minutes a day </w:t>
      </w:r>
      <w:r w:rsidR="004A147A" w:rsidRPr="00FE2089">
        <w:rPr>
          <w:rFonts w:asciiTheme="minorHAnsi" w:eastAsia="Times New Roman" w:hAnsiTheme="minorHAnsi"/>
        </w:rPr>
        <w:t xml:space="preserve">(NHS, 2022). </w:t>
      </w:r>
      <w:r w:rsidR="00450BB9" w:rsidRPr="00FE2089">
        <w:rPr>
          <w:rFonts w:asciiTheme="minorHAnsi" w:eastAsia="Times New Roman" w:hAnsiTheme="minorHAnsi"/>
          <w:color w:val="000000" w:themeColor="text1"/>
        </w:rPr>
        <w:t xml:space="preserve">It was suggested to view sessions in foundation phase, where mindfulness is done daily. </w:t>
      </w:r>
      <w:r w:rsidR="00491F56" w:rsidRPr="00FE2089">
        <w:rPr>
          <w:rFonts w:asciiTheme="minorHAnsi" w:eastAsia="Times New Roman" w:hAnsiTheme="minorHAnsi"/>
          <w:color w:val="000000" w:themeColor="text1"/>
        </w:rPr>
        <w:t>When observing mindfulness sessions in foundation phase</w:t>
      </w:r>
      <w:r w:rsidR="00E13F05" w:rsidRPr="00FE2089">
        <w:rPr>
          <w:rFonts w:asciiTheme="minorHAnsi" w:eastAsia="Times New Roman" w:hAnsiTheme="minorHAnsi"/>
          <w:color w:val="000000" w:themeColor="text1"/>
        </w:rPr>
        <w:t>,</w:t>
      </w:r>
      <w:r w:rsidR="00491F56" w:rsidRPr="00FE2089">
        <w:rPr>
          <w:rFonts w:asciiTheme="minorHAnsi" w:eastAsia="Times New Roman" w:hAnsiTheme="minorHAnsi"/>
          <w:color w:val="000000" w:themeColor="text1"/>
        </w:rPr>
        <w:t xml:space="preserve"> each class would make sure that there was </w:t>
      </w:r>
      <w:r w:rsidR="00E13F05" w:rsidRPr="00FE2089">
        <w:rPr>
          <w:rFonts w:asciiTheme="minorHAnsi" w:eastAsia="Times New Roman" w:hAnsiTheme="minorHAnsi"/>
          <w:color w:val="000000" w:themeColor="text1"/>
        </w:rPr>
        <w:t xml:space="preserve">at least </w:t>
      </w:r>
      <w:r w:rsidR="00491F56" w:rsidRPr="00FE2089">
        <w:rPr>
          <w:rFonts w:asciiTheme="minorHAnsi" w:eastAsia="Times New Roman" w:hAnsiTheme="minorHAnsi"/>
          <w:color w:val="000000" w:themeColor="text1"/>
        </w:rPr>
        <w:t xml:space="preserve">five/ten minutes after </w:t>
      </w:r>
      <w:r w:rsidR="00E13F05" w:rsidRPr="00FE2089">
        <w:rPr>
          <w:rFonts w:asciiTheme="minorHAnsi" w:eastAsia="Times New Roman" w:hAnsiTheme="minorHAnsi"/>
          <w:color w:val="000000" w:themeColor="text1"/>
        </w:rPr>
        <w:t xml:space="preserve">every </w:t>
      </w:r>
      <w:r w:rsidR="00491F56" w:rsidRPr="00FE2089">
        <w:rPr>
          <w:rFonts w:asciiTheme="minorHAnsi" w:eastAsia="Times New Roman" w:hAnsiTheme="minorHAnsi"/>
          <w:color w:val="000000" w:themeColor="text1"/>
        </w:rPr>
        <w:t xml:space="preserve">lunch time </w:t>
      </w:r>
      <w:r w:rsidR="00B83268" w:rsidRPr="00FE2089">
        <w:rPr>
          <w:rFonts w:asciiTheme="minorHAnsi" w:eastAsia="Times New Roman" w:hAnsiTheme="minorHAnsi"/>
          <w:color w:val="000000" w:themeColor="text1"/>
        </w:rPr>
        <w:t xml:space="preserve">for the children to take part in mindfulness. </w:t>
      </w:r>
      <w:r w:rsidR="005D5D0E" w:rsidRPr="00FE2089">
        <w:rPr>
          <w:rFonts w:asciiTheme="minorHAnsi" w:eastAsia="Times New Roman" w:hAnsiTheme="minorHAnsi"/>
          <w:color w:val="000000" w:themeColor="text1"/>
        </w:rPr>
        <w:t xml:space="preserve">The program the school use for mindfulness is ‘Zen Den’. Zen Den is a program with a range of different videos that can be as simple as breathing exercises and progressing onto a short yoga session. The teachers decide what type of exercise the children will do depending on their needs. For example, after lunch one class was very excited and were finding it very difficult to calm themselves down. Therefore, the teacher put a breathing exercise video on. After the short session the children were calm and ready to learn. </w:t>
      </w:r>
    </w:p>
    <w:p w14:paraId="4E65BE23" w14:textId="5047B3E0" w:rsidR="003B3CC3" w:rsidRPr="00FE2089" w:rsidRDefault="00511276" w:rsidP="00CC704E">
      <w:pPr>
        <w:rPr>
          <w:rFonts w:asciiTheme="minorHAnsi" w:eastAsia="Times New Roman" w:hAnsiTheme="minorHAnsi"/>
        </w:rPr>
      </w:pPr>
      <w:r w:rsidRPr="00FE2089">
        <w:rPr>
          <w:rFonts w:asciiTheme="minorHAnsi" w:eastAsia="Times New Roman" w:hAnsiTheme="minorHAnsi"/>
          <w:color w:val="000000" w:themeColor="text1"/>
        </w:rPr>
        <w:t xml:space="preserve">Not only is it important to incorporate mindfulness into the everyday time table to help children to understand and control their emotions. It also </w:t>
      </w:r>
      <w:r w:rsidR="00402ADC" w:rsidRPr="00FE2089">
        <w:rPr>
          <w:rFonts w:asciiTheme="minorHAnsi" w:eastAsia="Times New Roman" w:hAnsiTheme="minorHAnsi"/>
          <w:color w:val="000000" w:themeColor="text1"/>
        </w:rPr>
        <w:t xml:space="preserve">means that </w:t>
      </w:r>
      <w:r w:rsidR="00715D30" w:rsidRPr="00FE2089">
        <w:rPr>
          <w:rFonts w:asciiTheme="minorHAnsi" w:eastAsia="Times New Roman" w:hAnsiTheme="minorHAnsi"/>
          <w:color w:val="000000" w:themeColor="text1"/>
        </w:rPr>
        <w:t>the fou</w:t>
      </w:r>
      <w:r w:rsidR="00402ADC" w:rsidRPr="00FE2089">
        <w:rPr>
          <w:rFonts w:asciiTheme="minorHAnsi" w:eastAsia="Times New Roman" w:hAnsiTheme="minorHAnsi"/>
          <w:color w:val="000000" w:themeColor="text1"/>
        </w:rPr>
        <w:t>r purposes will be strengthened, as previously mentioned</w:t>
      </w:r>
      <w:r w:rsidR="00715D30" w:rsidRPr="00FE2089">
        <w:rPr>
          <w:rFonts w:asciiTheme="minorHAnsi" w:eastAsia="Times New Roman" w:hAnsiTheme="minorHAnsi"/>
          <w:color w:val="000000" w:themeColor="text1"/>
        </w:rPr>
        <w:t>. It is evident that mindfulness practice may help young people who are "ambitious, capable learners, ready to learn throughout their lives" and "enterprising, creative contributors, ready to play a full part in life and work". Additionally, mindfulness fosters the development of "ethical, informed citizens."</w:t>
      </w:r>
    </w:p>
    <w:p w14:paraId="60D3A878" w14:textId="77777777" w:rsidR="000E4AA8" w:rsidRPr="00FE2089" w:rsidRDefault="000E4AA8" w:rsidP="00CC704E">
      <w:pPr>
        <w:rPr>
          <w:rFonts w:asciiTheme="minorHAnsi" w:eastAsia="Times New Roman" w:hAnsiTheme="minorHAnsi"/>
          <w:color w:val="000000" w:themeColor="text1"/>
        </w:rPr>
      </w:pPr>
    </w:p>
    <w:p w14:paraId="43DAAA7B" w14:textId="2B6E1E94" w:rsidR="007F23FB" w:rsidRPr="00FE2089" w:rsidRDefault="007F23FB" w:rsidP="00246D80">
      <w:pPr>
        <w:rPr>
          <w:rFonts w:asciiTheme="minorHAnsi" w:eastAsia="Times New Roman" w:hAnsiTheme="minorHAnsi"/>
          <w:color w:val="000000" w:themeColor="text1"/>
        </w:rPr>
      </w:pPr>
    </w:p>
    <w:p w14:paraId="1954E7AA" w14:textId="28F78CD7" w:rsidR="00AF2A9C" w:rsidRPr="00FE2089" w:rsidRDefault="00AF2A9C">
      <w:pPr>
        <w:rPr>
          <w:rFonts w:asciiTheme="minorHAnsi" w:hAnsiTheme="minorHAnsi"/>
          <w:b/>
          <w:sz w:val="28"/>
          <w:u w:val="single"/>
        </w:rPr>
      </w:pPr>
      <w:r w:rsidRPr="00FE2089">
        <w:rPr>
          <w:rFonts w:asciiTheme="minorHAnsi" w:hAnsiTheme="minorHAnsi"/>
          <w:b/>
          <w:sz w:val="28"/>
          <w:u w:val="single"/>
        </w:rPr>
        <w:t>Conclusion</w:t>
      </w:r>
    </w:p>
    <w:p w14:paraId="0CE51256" w14:textId="32D2DA65" w:rsidR="00AF2A9C" w:rsidRPr="00FE2089" w:rsidRDefault="00217B9D">
      <w:pPr>
        <w:rPr>
          <w:rFonts w:asciiTheme="minorHAnsi" w:hAnsiTheme="minorHAnsi"/>
        </w:rPr>
      </w:pPr>
      <w:r w:rsidRPr="00FE2089">
        <w:rPr>
          <w:rFonts w:asciiTheme="minorHAnsi" w:hAnsiTheme="minorHAnsi"/>
        </w:rPr>
        <w:t>To conclude, it is</w:t>
      </w:r>
      <w:r w:rsidR="00AA72E6" w:rsidRPr="00FE2089">
        <w:rPr>
          <w:rFonts w:asciiTheme="minorHAnsi" w:hAnsiTheme="minorHAnsi"/>
        </w:rPr>
        <w:t xml:space="preserve"> believed that the methods used, qualitative data. </w:t>
      </w:r>
      <w:r w:rsidRPr="00FE2089">
        <w:rPr>
          <w:rFonts w:asciiTheme="minorHAnsi" w:hAnsiTheme="minorHAnsi"/>
        </w:rPr>
        <w:t xml:space="preserve">within this research project are the best methods in order to collect the most reliable data. </w:t>
      </w:r>
      <w:r w:rsidR="00226865" w:rsidRPr="00FE2089">
        <w:rPr>
          <w:rFonts w:asciiTheme="minorHAnsi" w:hAnsiTheme="minorHAnsi"/>
        </w:rPr>
        <w:t xml:space="preserve">It has meant that a range of data was able to be collected from multiple points of view. </w:t>
      </w:r>
    </w:p>
    <w:p w14:paraId="4459FF18" w14:textId="68167CB2" w:rsidR="00503635" w:rsidRPr="00FE2089" w:rsidRDefault="00503635">
      <w:pPr>
        <w:rPr>
          <w:rFonts w:asciiTheme="minorHAnsi" w:hAnsiTheme="minorHAnsi"/>
        </w:rPr>
      </w:pPr>
      <w:r w:rsidRPr="00FE2089">
        <w:rPr>
          <w:rFonts w:asciiTheme="minorHAnsi" w:hAnsiTheme="minorHAnsi"/>
        </w:rPr>
        <w:t xml:space="preserve">The main objective of this investigation was to find out what approaches are used to promote the emotional and social well-being of children. The study's research question was, </w:t>
      </w:r>
      <w:r w:rsidR="002B55DB" w:rsidRPr="00FE2089">
        <w:rPr>
          <w:rFonts w:asciiTheme="minorHAnsi" w:hAnsiTheme="minorHAnsi"/>
        </w:rPr>
        <w:t>‘</w:t>
      </w:r>
      <w:r w:rsidR="002B55DB" w:rsidRPr="00FE2089">
        <w:rPr>
          <w:rFonts w:asciiTheme="minorHAnsi" w:hAnsiTheme="minorHAnsi" w:cs="Arial"/>
          <w:color w:val="000000" w:themeColor="text1"/>
          <w:sz w:val="22"/>
          <w:szCs w:val="22"/>
        </w:rPr>
        <w:t xml:space="preserve">In light of the coronavirus pandemic, what strategies are key stage two teachers putting in place to support social and emotional well-being?’. </w:t>
      </w:r>
      <w:r w:rsidRPr="00FE2089">
        <w:rPr>
          <w:rFonts w:asciiTheme="minorHAnsi" w:hAnsiTheme="minorHAnsi"/>
        </w:rPr>
        <w:t>By the use of a variety of research techniques, it is possible to conclude that the research question has been answered.</w:t>
      </w:r>
      <w:r w:rsidR="00D471E9" w:rsidRPr="00FE2089">
        <w:rPr>
          <w:rFonts w:asciiTheme="minorHAnsi" w:hAnsiTheme="minorHAnsi"/>
        </w:rPr>
        <w:t xml:space="preserve"> From the data from the questionnaires and unstructured interviews with staff it was said that there are strategies out in place to support the social and emotional well-being of children. However, from observing and interviewing the children it was very clear that there were no whole class strategies in place. There could however be a number of reasons as to why there is no </w:t>
      </w:r>
      <w:r w:rsidR="00D471E9" w:rsidRPr="00FE2089">
        <w:rPr>
          <w:rFonts w:asciiTheme="minorHAnsi" w:hAnsiTheme="minorHAnsi"/>
        </w:rPr>
        <w:lastRenderedPageBreak/>
        <w:t>strategies put in place at the moment within that school, one being the time of ye</w:t>
      </w:r>
      <w:r w:rsidR="00FF6291" w:rsidRPr="00FE2089">
        <w:rPr>
          <w:rFonts w:asciiTheme="minorHAnsi" w:hAnsiTheme="minorHAnsi"/>
        </w:rPr>
        <w:t xml:space="preserve">ar that the research took place. </w:t>
      </w:r>
    </w:p>
    <w:p w14:paraId="268FFEDF" w14:textId="77777777" w:rsidR="00DD7A89" w:rsidRPr="00FE2089" w:rsidRDefault="00DD7A89">
      <w:pPr>
        <w:rPr>
          <w:rFonts w:asciiTheme="minorHAnsi" w:hAnsiTheme="minorHAnsi"/>
        </w:rPr>
      </w:pPr>
    </w:p>
    <w:p w14:paraId="7D316BFA" w14:textId="18120EFE" w:rsidR="00DD7A89" w:rsidRPr="00FE2089" w:rsidRDefault="00DD7A89">
      <w:pPr>
        <w:rPr>
          <w:rFonts w:asciiTheme="minorHAnsi" w:hAnsiTheme="minorHAnsi"/>
        </w:rPr>
      </w:pPr>
      <w:r w:rsidRPr="00FE2089">
        <w:rPr>
          <w:rFonts w:asciiTheme="minorHAnsi" w:hAnsiTheme="minorHAnsi"/>
        </w:rPr>
        <w:t xml:space="preserve">When reflecting on my own professional development I believe that there are four main standards that were achieved. the first one being </w:t>
      </w:r>
      <w:r w:rsidR="009E02A3" w:rsidRPr="00FE2089">
        <w:rPr>
          <w:rFonts w:asciiTheme="minorHAnsi" w:hAnsiTheme="minorHAnsi"/>
        </w:rPr>
        <w:t xml:space="preserve">working with in school colleagues, prior and throughout the research week I worked with colleagues to organise meeting times </w:t>
      </w:r>
      <w:r w:rsidR="007F12CB" w:rsidRPr="00FE2089">
        <w:rPr>
          <w:rFonts w:asciiTheme="minorHAnsi" w:hAnsiTheme="minorHAnsi"/>
        </w:rPr>
        <w:t xml:space="preserve">as well as making sure that everything was set in place to interview and observe the children. </w:t>
      </w:r>
      <w:r w:rsidR="00011A44" w:rsidRPr="00FE2089">
        <w:rPr>
          <w:rFonts w:asciiTheme="minorHAnsi" w:hAnsiTheme="minorHAnsi"/>
        </w:rPr>
        <w:t xml:space="preserve">Another standard I believe it achieved was wider reading and research findings, prior to the research week I gained some knowledge on the subject to be able to fully understand what and the importance of the subject within the study. </w:t>
      </w:r>
      <w:r w:rsidR="006A3BEC" w:rsidRPr="00FE2089">
        <w:rPr>
          <w:rFonts w:asciiTheme="minorHAnsi" w:hAnsiTheme="minorHAnsi"/>
        </w:rPr>
        <w:t xml:space="preserve">The third standard I believe it achieved was listening to learners, I did this when interviewing. I listened to what the children’s perspectives were on the topic. I also listened to the children before the interview to ensure that they were comfortable to take part. Finally, I developed new techniques, I </w:t>
      </w:r>
      <w:r w:rsidR="00FC27FC" w:rsidRPr="00FE2089">
        <w:rPr>
          <w:rFonts w:asciiTheme="minorHAnsi" w:hAnsiTheme="minorHAnsi"/>
        </w:rPr>
        <w:t xml:space="preserve">did this throughout. I was able to develop new ways when collecting data to answer my research question. </w:t>
      </w:r>
    </w:p>
    <w:p w14:paraId="06D11BAE" w14:textId="77777777" w:rsidR="007D1F81" w:rsidRPr="00FE2089" w:rsidRDefault="007D1F81">
      <w:pPr>
        <w:rPr>
          <w:rFonts w:asciiTheme="minorHAnsi" w:hAnsiTheme="minorHAnsi"/>
          <w:b/>
          <w:sz w:val="28"/>
          <w:u w:val="single"/>
        </w:rPr>
      </w:pPr>
    </w:p>
    <w:p w14:paraId="1F1F8594" w14:textId="77777777" w:rsidR="007D1F81" w:rsidRPr="00FE2089" w:rsidRDefault="007D1F81">
      <w:pPr>
        <w:rPr>
          <w:rFonts w:asciiTheme="minorHAnsi" w:hAnsiTheme="minorHAnsi"/>
          <w:b/>
          <w:sz w:val="28"/>
          <w:u w:val="single"/>
        </w:rPr>
      </w:pPr>
    </w:p>
    <w:p w14:paraId="4AFD212B" w14:textId="38CFDDA9" w:rsidR="00AF2A9C" w:rsidRPr="00FE2089" w:rsidRDefault="00AF2A9C">
      <w:pPr>
        <w:rPr>
          <w:rFonts w:asciiTheme="minorHAnsi" w:hAnsiTheme="minorHAnsi"/>
        </w:rPr>
      </w:pPr>
      <w:r w:rsidRPr="00FE2089">
        <w:rPr>
          <w:rFonts w:asciiTheme="minorHAnsi" w:hAnsiTheme="minorHAnsi"/>
          <w:b/>
          <w:sz w:val="28"/>
          <w:u w:val="single"/>
        </w:rPr>
        <w:t xml:space="preserve">Recommendations </w:t>
      </w:r>
    </w:p>
    <w:p w14:paraId="0B1D858C" w14:textId="06990E8D" w:rsidR="002276B3" w:rsidRPr="00FE2089" w:rsidRDefault="00CF38DF" w:rsidP="002276B3">
      <w:pPr>
        <w:rPr>
          <w:rFonts w:asciiTheme="minorHAnsi" w:eastAsia="Times New Roman" w:hAnsiTheme="minorHAnsi"/>
        </w:rPr>
      </w:pPr>
      <w:r w:rsidRPr="00FE2089">
        <w:rPr>
          <w:rFonts w:asciiTheme="minorHAnsi" w:hAnsiTheme="minorHAnsi"/>
        </w:rPr>
        <w:t>An intervention that would help to support social and emotional well-being within a school environment would be ‘Mindfulness’</w:t>
      </w:r>
      <w:r w:rsidR="0008441F" w:rsidRPr="00FE2089">
        <w:rPr>
          <w:rFonts w:asciiTheme="minorHAnsi" w:hAnsiTheme="minorHAnsi"/>
        </w:rPr>
        <w:t>. There are several areas in mental and physical health where mindfulness techniques have been shown to be beneficial. Overall, mindfulness helps to promote health. There's evidence that mindfulness courses cannot only improve emotional well-being but also directly improve physical health by enhancing immune system response, hastening healing, and fostering a sense of physical well-being. They've also been shown to significantly reduce symptoms and rec</w:t>
      </w:r>
      <w:r w:rsidR="006C4F66" w:rsidRPr="00FE2089">
        <w:rPr>
          <w:rFonts w:asciiTheme="minorHAnsi" w:hAnsiTheme="minorHAnsi"/>
        </w:rPr>
        <w:t xml:space="preserve">urrence rates in mental illness </w:t>
      </w:r>
      <w:r w:rsidR="006C4F66" w:rsidRPr="00FE2089">
        <w:rPr>
          <w:rFonts w:asciiTheme="minorHAnsi" w:eastAsia="Times New Roman" w:hAnsiTheme="minorHAnsi"/>
        </w:rPr>
        <w:t>(</w:t>
      </w:r>
      <w:proofErr w:type="spellStart"/>
      <w:r w:rsidR="006C4F66" w:rsidRPr="00FE2089">
        <w:rPr>
          <w:rFonts w:asciiTheme="minorHAnsi" w:eastAsia="Times New Roman" w:hAnsiTheme="minorHAnsi"/>
        </w:rPr>
        <w:t>Savarese</w:t>
      </w:r>
      <w:proofErr w:type="spellEnd"/>
      <w:r w:rsidR="006C4F66" w:rsidRPr="00FE2089">
        <w:rPr>
          <w:rFonts w:asciiTheme="minorHAnsi" w:eastAsia="Times New Roman" w:hAnsiTheme="minorHAnsi"/>
        </w:rPr>
        <w:t xml:space="preserve"> and </w:t>
      </w:r>
      <w:proofErr w:type="spellStart"/>
      <w:r w:rsidR="006C4F66" w:rsidRPr="00FE2089">
        <w:rPr>
          <w:rFonts w:asciiTheme="minorHAnsi" w:eastAsia="Times New Roman" w:hAnsiTheme="minorHAnsi"/>
        </w:rPr>
        <w:t>Ingino</w:t>
      </w:r>
      <w:proofErr w:type="spellEnd"/>
      <w:r w:rsidR="006C4F66" w:rsidRPr="00FE2089">
        <w:rPr>
          <w:rFonts w:asciiTheme="minorHAnsi" w:eastAsia="Times New Roman" w:hAnsiTheme="minorHAnsi"/>
        </w:rPr>
        <w:t xml:space="preserve">, 2018). </w:t>
      </w:r>
      <w:r w:rsidR="00741A39" w:rsidRPr="00FE2089">
        <w:rPr>
          <w:rFonts w:asciiTheme="minorHAnsi" w:eastAsia="Times New Roman" w:hAnsiTheme="minorHAnsi"/>
        </w:rPr>
        <w:t xml:space="preserve">The findings from combined mindfulness and relaxation training with 225 high-anxiety children, ages 5 to 8, were published by Napoli, </w:t>
      </w:r>
      <w:proofErr w:type="spellStart"/>
      <w:r w:rsidR="00741A39" w:rsidRPr="00FE2089">
        <w:rPr>
          <w:rFonts w:asciiTheme="minorHAnsi" w:eastAsia="Times New Roman" w:hAnsiTheme="minorHAnsi"/>
        </w:rPr>
        <w:t>Krech</w:t>
      </w:r>
      <w:proofErr w:type="spellEnd"/>
      <w:r w:rsidR="00741A39" w:rsidRPr="00FE2089">
        <w:rPr>
          <w:rFonts w:asciiTheme="minorHAnsi" w:eastAsia="Times New Roman" w:hAnsiTheme="minorHAnsi"/>
        </w:rPr>
        <w:t xml:space="preserve">, and Holley (2005). 12 45-minute sessions made up the intervention. The children's ability to pay attention increased along with significant decreases in anxiety and ADHD behaviours </w:t>
      </w:r>
      <w:r w:rsidR="00050776" w:rsidRPr="00FE2089">
        <w:rPr>
          <w:rFonts w:asciiTheme="minorHAnsi" w:eastAsia="Times New Roman" w:hAnsiTheme="minorHAnsi"/>
        </w:rPr>
        <w:t xml:space="preserve">(Napoli, </w:t>
      </w:r>
      <w:proofErr w:type="spellStart"/>
      <w:r w:rsidR="00050776" w:rsidRPr="00FE2089">
        <w:rPr>
          <w:rFonts w:asciiTheme="minorHAnsi" w:eastAsia="Times New Roman" w:hAnsiTheme="minorHAnsi"/>
        </w:rPr>
        <w:t>Krech</w:t>
      </w:r>
      <w:proofErr w:type="spellEnd"/>
      <w:r w:rsidR="00050776" w:rsidRPr="00FE2089">
        <w:rPr>
          <w:rFonts w:asciiTheme="minorHAnsi" w:eastAsia="Times New Roman" w:hAnsiTheme="minorHAnsi"/>
        </w:rPr>
        <w:t xml:space="preserve"> and Holley, 2005). </w:t>
      </w:r>
      <w:proofErr w:type="spellStart"/>
      <w:r w:rsidR="004C4DFB" w:rsidRPr="00FE2089">
        <w:rPr>
          <w:rFonts w:asciiTheme="minorHAnsi" w:eastAsia="Times New Roman" w:hAnsiTheme="minorHAnsi"/>
        </w:rPr>
        <w:t>Schonert-Reichl</w:t>
      </w:r>
      <w:proofErr w:type="spellEnd"/>
      <w:r w:rsidR="004C4DFB" w:rsidRPr="00FE2089">
        <w:rPr>
          <w:rFonts w:asciiTheme="minorHAnsi" w:eastAsia="Times New Roman" w:hAnsiTheme="minorHAnsi"/>
        </w:rPr>
        <w:t xml:space="preserve"> and Lawlor (2010) studied a teacher-led mindfulness-based programme consisting of ten lessons and three mindfulness meditation sessions each day. The results of self-report measures of optimism and positive emotions showed an overall substantial rise. According to teacher evaluations, children in the intervention group had increased emotional and social skills along with a decline in antago</w:t>
      </w:r>
      <w:r w:rsidR="002276B3" w:rsidRPr="00FE2089">
        <w:rPr>
          <w:rFonts w:asciiTheme="minorHAnsi" w:eastAsia="Times New Roman" w:hAnsiTheme="minorHAnsi"/>
        </w:rPr>
        <w:t>nistic behaviours and hostility (</w:t>
      </w:r>
      <w:proofErr w:type="spellStart"/>
      <w:r w:rsidR="002276B3" w:rsidRPr="00FE2089">
        <w:rPr>
          <w:rFonts w:asciiTheme="minorHAnsi" w:eastAsia="Times New Roman" w:hAnsiTheme="minorHAnsi"/>
        </w:rPr>
        <w:t>Schonert-Reichl</w:t>
      </w:r>
      <w:proofErr w:type="spellEnd"/>
      <w:r w:rsidR="002276B3" w:rsidRPr="00FE2089">
        <w:rPr>
          <w:rFonts w:asciiTheme="minorHAnsi" w:eastAsia="Times New Roman" w:hAnsiTheme="minorHAnsi"/>
        </w:rPr>
        <w:t xml:space="preserve"> and Lawlor, 2010). </w:t>
      </w:r>
    </w:p>
    <w:p w14:paraId="6BEE43BD" w14:textId="56055BB5" w:rsidR="00AF2A9C" w:rsidRPr="00FE2089" w:rsidRDefault="00AF2A9C">
      <w:pPr>
        <w:rPr>
          <w:rFonts w:asciiTheme="minorHAnsi" w:eastAsia="Times New Roman" w:hAnsiTheme="minorHAnsi"/>
        </w:rPr>
      </w:pPr>
    </w:p>
    <w:p w14:paraId="53AE21B6" w14:textId="77777777" w:rsidR="00C74E6C" w:rsidRPr="00FE2089" w:rsidRDefault="00C74E6C">
      <w:pPr>
        <w:rPr>
          <w:rFonts w:asciiTheme="minorHAnsi" w:eastAsia="Times New Roman" w:hAnsiTheme="minorHAnsi"/>
        </w:rPr>
      </w:pPr>
    </w:p>
    <w:p w14:paraId="5A50371B" w14:textId="77777777" w:rsidR="00C74E6C" w:rsidRPr="00FE2089" w:rsidRDefault="00C74E6C">
      <w:pPr>
        <w:rPr>
          <w:rFonts w:asciiTheme="minorHAnsi" w:eastAsia="Times New Roman" w:hAnsiTheme="minorHAnsi"/>
        </w:rPr>
      </w:pPr>
    </w:p>
    <w:bookmarkEnd w:id="0"/>
    <w:p w14:paraId="525EE78A" w14:textId="77777777" w:rsidR="00C74E6C" w:rsidRDefault="00C74E6C">
      <w:pPr>
        <w:rPr>
          <w:rFonts w:eastAsia="Times New Roman"/>
        </w:rPr>
      </w:pPr>
    </w:p>
    <w:p w14:paraId="1DE58615" w14:textId="77777777" w:rsidR="00C74E6C" w:rsidRDefault="00C74E6C">
      <w:pPr>
        <w:rPr>
          <w:rFonts w:eastAsia="Times New Roman"/>
        </w:rPr>
      </w:pPr>
    </w:p>
    <w:p w14:paraId="09558B28" w14:textId="77777777" w:rsidR="00C74E6C" w:rsidRDefault="00C74E6C">
      <w:pPr>
        <w:rPr>
          <w:rFonts w:eastAsia="Times New Roman"/>
        </w:rPr>
      </w:pPr>
    </w:p>
    <w:p w14:paraId="31C8217F" w14:textId="36BB996E" w:rsidR="001418DE" w:rsidRDefault="001418DE">
      <w:pPr>
        <w:rPr>
          <w:rFonts w:eastAsia="Times New Roman"/>
        </w:rPr>
      </w:pPr>
    </w:p>
    <w:p w14:paraId="55F9E554" w14:textId="77777777" w:rsidR="001418DE" w:rsidRDefault="001418DE">
      <w:pPr>
        <w:rPr>
          <w:rFonts w:eastAsia="Times New Roman"/>
        </w:rPr>
      </w:pPr>
      <w:r>
        <w:rPr>
          <w:rFonts w:eastAsia="Times New Roman"/>
        </w:rPr>
        <w:br w:type="page"/>
      </w:r>
    </w:p>
    <w:p w14:paraId="243F981F" w14:textId="77777777" w:rsidR="00C74E6C" w:rsidRDefault="00C74E6C">
      <w:pPr>
        <w:rPr>
          <w:rFonts w:eastAsia="Times New Roman"/>
        </w:rPr>
      </w:pPr>
    </w:p>
    <w:p w14:paraId="0BF2551E" w14:textId="77777777" w:rsidR="00DE1745" w:rsidRDefault="00DE1745" w:rsidP="00DE1745">
      <w:pPr>
        <w:pStyle w:val="Heading1"/>
        <w:spacing w:after="240" w:line="360" w:lineRule="auto"/>
        <w:rPr>
          <w:rFonts w:ascii="Times New Roman" w:hAnsi="Times New Roman"/>
          <w:sz w:val="36"/>
          <w:szCs w:val="36"/>
        </w:rPr>
      </w:pPr>
      <w:r>
        <w:rPr>
          <w:sz w:val="36"/>
          <w:szCs w:val="36"/>
        </w:rPr>
        <w:t>Reference list</w:t>
      </w:r>
    </w:p>
    <w:p w14:paraId="6AB82342" w14:textId="77777777" w:rsidR="00DE1745" w:rsidRDefault="00DE1745" w:rsidP="00DE1745">
      <w:pPr>
        <w:pStyle w:val="NormalWeb"/>
        <w:spacing w:before="0" w:beforeAutospacing="0" w:after="240" w:afterAutospacing="0" w:line="360" w:lineRule="auto"/>
        <w:rPr>
          <w:rFonts w:eastAsiaTheme="minorHAnsi"/>
        </w:rPr>
      </w:pPr>
      <w:proofErr w:type="spellStart"/>
      <w:r>
        <w:t>Adegboye</w:t>
      </w:r>
      <w:proofErr w:type="spellEnd"/>
      <w:r>
        <w:t xml:space="preserve">, D., Williams, F., </w:t>
      </w:r>
      <w:proofErr w:type="spellStart"/>
      <w:r>
        <w:t>Collishaw</w:t>
      </w:r>
      <w:proofErr w:type="spellEnd"/>
      <w:r>
        <w:t xml:space="preserve">, S., Shelton, K., Langley, K., Hobson, C., Burley, D. and van </w:t>
      </w:r>
      <w:proofErr w:type="spellStart"/>
      <w:r>
        <w:t>Goozen</w:t>
      </w:r>
      <w:proofErr w:type="spellEnd"/>
      <w:r>
        <w:t xml:space="preserve">, S. (2021). Understanding why the COVID‐19 pandemic‐related lockdown increases mental health difficulties in vulnerable young children. </w:t>
      </w:r>
      <w:r>
        <w:rPr>
          <w:i/>
          <w:iCs/>
        </w:rPr>
        <w:t>JCPP Advances</w:t>
      </w:r>
      <w:r>
        <w:t xml:space="preserve">, [online] 1(1). </w:t>
      </w:r>
      <w:proofErr w:type="spellStart"/>
      <w:r>
        <w:t>doi:https</w:t>
      </w:r>
      <w:proofErr w:type="spellEnd"/>
      <w:r>
        <w:t>://doi.org/10.1111/jcv2.12005.</w:t>
      </w:r>
    </w:p>
    <w:p w14:paraId="352D8021" w14:textId="77777777" w:rsidR="00DE1745" w:rsidRDefault="00DE1745" w:rsidP="00DE1745">
      <w:pPr>
        <w:pStyle w:val="NormalWeb"/>
        <w:spacing w:before="0" w:beforeAutospacing="0" w:after="240" w:afterAutospacing="0" w:line="360" w:lineRule="auto"/>
      </w:pPr>
      <w:r>
        <w:t xml:space="preserve">Ahmed, V., </w:t>
      </w:r>
      <w:proofErr w:type="spellStart"/>
      <w:r>
        <w:t>Opoku</w:t>
      </w:r>
      <w:proofErr w:type="spellEnd"/>
      <w:r>
        <w:t xml:space="preserve">, A. and Aziz, Z. (2016). </w:t>
      </w:r>
      <w:r>
        <w:rPr>
          <w:i/>
          <w:iCs/>
        </w:rPr>
        <w:t>Research Methodology in the Built Environment: A Selection of Case Studies</w:t>
      </w:r>
      <w:r>
        <w:t xml:space="preserve">. [online] </w:t>
      </w:r>
      <w:r>
        <w:rPr>
          <w:i/>
          <w:iCs/>
        </w:rPr>
        <w:t>Google Books</w:t>
      </w:r>
      <w:r>
        <w:t>. Routledge. Available at: https://www.google.co.uk/books/edition/Research_Methodology_in_the_Built_Enviro/yBq4CwAAQBAJ?hl=en&amp;gbpv=1&amp;dq=meredith+1998+case+study&amp;pg=PA111&amp;printsec=frontcover [Accessed 30 Dec. 2023].</w:t>
      </w:r>
    </w:p>
    <w:p w14:paraId="2D995412" w14:textId="77777777" w:rsidR="00DE1745" w:rsidRDefault="00DE1745" w:rsidP="00DE1745">
      <w:pPr>
        <w:pStyle w:val="NormalWeb"/>
        <w:spacing w:before="0" w:beforeAutospacing="0" w:after="240" w:afterAutospacing="0" w:line="360" w:lineRule="auto"/>
      </w:pPr>
      <w:r>
        <w:t xml:space="preserve">Baron, A., </w:t>
      </w:r>
      <w:proofErr w:type="spellStart"/>
      <w:r>
        <w:t>Mcneal</w:t>
      </w:r>
      <w:proofErr w:type="spellEnd"/>
      <w:r>
        <w:t xml:space="preserve">, K. and </w:t>
      </w:r>
      <w:proofErr w:type="spellStart"/>
      <w:r>
        <w:t>Igi</w:t>
      </w:r>
      <w:proofErr w:type="spellEnd"/>
      <w:r>
        <w:t xml:space="preserve"> Global (2020). </w:t>
      </w:r>
      <w:r>
        <w:rPr>
          <w:i/>
          <w:iCs/>
        </w:rPr>
        <w:t>Case study methodology in higher education</w:t>
      </w:r>
      <w:r>
        <w:t xml:space="preserve">. Hershey, Pennsylvania (701 E. Chocolate Avenue, Hershey, Pennsylvania, 17033, </w:t>
      </w:r>
      <w:proofErr w:type="spellStart"/>
      <w:r>
        <w:t>Usa</w:t>
      </w:r>
      <w:proofErr w:type="spellEnd"/>
      <w:r>
        <w:t xml:space="preserve">): </w:t>
      </w:r>
      <w:proofErr w:type="spellStart"/>
      <w:r>
        <w:t>Igi</w:t>
      </w:r>
      <w:proofErr w:type="spellEnd"/>
      <w:r>
        <w:t xml:space="preserve"> Global.</w:t>
      </w:r>
    </w:p>
    <w:p w14:paraId="6E3B0776" w14:textId="77777777" w:rsidR="00DE1745" w:rsidRDefault="00DE1745" w:rsidP="00DE1745">
      <w:pPr>
        <w:pStyle w:val="NormalWeb"/>
        <w:spacing w:before="0" w:beforeAutospacing="0" w:after="240" w:afterAutospacing="0" w:line="360" w:lineRule="auto"/>
      </w:pPr>
      <w:r>
        <w:t xml:space="preserve">Beck, M., </w:t>
      </w:r>
      <w:proofErr w:type="spellStart"/>
      <w:r>
        <w:t>Martinsen</w:t>
      </w:r>
      <w:proofErr w:type="spellEnd"/>
      <w:r>
        <w:t xml:space="preserve">, B., </w:t>
      </w:r>
      <w:proofErr w:type="spellStart"/>
      <w:r>
        <w:t>Missel</w:t>
      </w:r>
      <w:proofErr w:type="spellEnd"/>
      <w:r>
        <w:t xml:space="preserve">, M., Simony, C., </w:t>
      </w:r>
      <w:proofErr w:type="spellStart"/>
      <w:r>
        <w:t>Engelke</w:t>
      </w:r>
      <w:proofErr w:type="spellEnd"/>
      <w:r>
        <w:t xml:space="preserve">, E. and van </w:t>
      </w:r>
      <w:proofErr w:type="spellStart"/>
      <w:r>
        <w:t>Manen</w:t>
      </w:r>
      <w:proofErr w:type="spellEnd"/>
      <w:r>
        <w:t xml:space="preserve">, M. (2023). Alongside: Exploring the Meaningfulness of Significant Moments in Others’ Lives Through Observation and Interview. </w:t>
      </w:r>
      <w:r>
        <w:rPr>
          <w:i/>
          <w:iCs/>
        </w:rPr>
        <w:t>Qualitative Health Research</w:t>
      </w:r>
      <w:r>
        <w:t xml:space="preserve">. </w:t>
      </w:r>
      <w:proofErr w:type="spellStart"/>
      <w:r>
        <w:t>doi:https</w:t>
      </w:r>
      <w:proofErr w:type="spellEnd"/>
      <w:r>
        <w:t>://doi.org/10.1177/10497323231210495.</w:t>
      </w:r>
    </w:p>
    <w:p w14:paraId="699A1A4C" w14:textId="77777777" w:rsidR="00DE1745" w:rsidRDefault="00DE1745" w:rsidP="00DE1745">
      <w:pPr>
        <w:pStyle w:val="NormalWeb"/>
        <w:spacing w:before="0" w:beforeAutospacing="0" w:after="240" w:afterAutospacing="0" w:line="360" w:lineRule="auto"/>
      </w:pPr>
      <w:r>
        <w:t xml:space="preserve">Becker, B., Dawson, P. and Devine, K. (1994). </w:t>
      </w:r>
      <w:r>
        <w:rPr>
          <w:i/>
          <w:iCs/>
        </w:rPr>
        <w:t>Writing Guides - The WAC Clearinghouse</w:t>
      </w:r>
      <w:r>
        <w:t>. [online] wac.colostate.edu. Available at: https://wac.colostate.edu/repository/resources/writing/guides/.</w:t>
      </w:r>
    </w:p>
    <w:p w14:paraId="57EFCD1E" w14:textId="77777777" w:rsidR="00DE1745" w:rsidRDefault="00DE1745" w:rsidP="00DE1745">
      <w:pPr>
        <w:pStyle w:val="NormalWeb"/>
        <w:spacing w:before="0" w:beforeAutospacing="0" w:after="240" w:afterAutospacing="0" w:line="360" w:lineRule="auto"/>
      </w:pPr>
      <w:r>
        <w:t xml:space="preserve">BERA (2018a). </w:t>
      </w:r>
      <w:r>
        <w:rPr>
          <w:i/>
          <w:iCs/>
        </w:rPr>
        <w:t>ETHICAL GUIDELINES FOR EDUCATIONAL RESEARCH</w:t>
      </w:r>
      <w:r>
        <w:t>. p.15.</w:t>
      </w:r>
    </w:p>
    <w:p w14:paraId="259CED3D" w14:textId="77777777" w:rsidR="00DE1745" w:rsidRDefault="00DE1745" w:rsidP="00DE1745">
      <w:pPr>
        <w:pStyle w:val="NormalWeb"/>
        <w:spacing w:before="0" w:beforeAutospacing="0" w:after="240" w:afterAutospacing="0" w:line="360" w:lineRule="auto"/>
      </w:pPr>
      <w:r>
        <w:t xml:space="preserve">BERA (2018b). </w:t>
      </w:r>
      <w:r>
        <w:rPr>
          <w:i/>
          <w:iCs/>
        </w:rPr>
        <w:t>ETHICAL GUIDELINES FOR EDUCATIONAL RESEARCH</w:t>
      </w:r>
      <w:r>
        <w:t>.</w:t>
      </w:r>
    </w:p>
    <w:p w14:paraId="104601DF" w14:textId="77777777" w:rsidR="00DE1745" w:rsidRDefault="00DE1745" w:rsidP="00DE1745">
      <w:pPr>
        <w:pStyle w:val="NormalWeb"/>
        <w:spacing w:before="0" w:beforeAutospacing="0" w:after="240" w:afterAutospacing="0" w:line="360" w:lineRule="auto"/>
      </w:pPr>
      <w:r>
        <w:t xml:space="preserve">Britten, N. (1995). Qualitative Research: Qualitative interviews in medical research. </w:t>
      </w:r>
      <w:r>
        <w:rPr>
          <w:i/>
          <w:iCs/>
        </w:rPr>
        <w:t>BMJ</w:t>
      </w:r>
      <w:r>
        <w:t xml:space="preserve">, 311(6999), pp.251–253. </w:t>
      </w:r>
      <w:proofErr w:type="spellStart"/>
      <w:r>
        <w:t>doi:https</w:t>
      </w:r>
      <w:proofErr w:type="spellEnd"/>
      <w:r>
        <w:t>://doi.org/10.1136/bmj.311.6999.251.</w:t>
      </w:r>
    </w:p>
    <w:p w14:paraId="68C29124" w14:textId="77777777" w:rsidR="00DE1745" w:rsidRDefault="00DE1745" w:rsidP="00DE1745">
      <w:pPr>
        <w:pStyle w:val="NormalWeb"/>
        <w:spacing w:before="0" w:beforeAutospacing="0" w:after="240" w:afterAutospacing="0" w:line="360" w:lineRule="auto"/>
      </w:pPr>
      <w:r>
        <w:t xml:space="preserve">Cardiff University (2023). </w:t>
      </w:r>
      <w:r>
        <w:rPr>
          <w:i/>
          <w:iCs/>
        </w:rPr>
        <w:t>Nearly a quarter of young people in Wales are reporting very high levels of mental health symptoms following the pandemic</w:t>
      </w:r>
      <w:r>
        <w:t>. [online] Cardiff University. Available at: https://www.cardiff.ac.uk/news/view/2713528-nearly-a-quarter-of-young-</w:t>
      </w:r>
      <w:r>
        <w:lastRenderedPageBreak/>
        <w:t>people-in-wales-are-reporting-very-high-levels-of-mental-health-symptoms-following-the-pandemic.</w:t>
      </w:r>
    </w:p>
    <w:p w14:paraId="0B46F6B6" w14:textId="77777777" w:rsidR="00DE1745" w:rsidRDefault="00DE1745" w:rsidP="00DE1745">
      <w:pPr>
        <w:pStyle w:val="NormalWeb"/>
        <w:spacing w:before="0" w:beforeAutospacing="0" w:after="240" w:afterAutospacing="0" w:line="360" w:lineRule="auto"/>
      </w:pPr>
      <w:proofErr w:type="spellStart"/>
      <w:r>
        <w:t>Cattan</w:t>
      </w:r>
      <w:proofErr w:type="spellEnd"/>
      <w:r>
        <w:t xml:space="preserve">, S. (2023). </w:t>
      </w:r>
      <w:r>
        <w:rPr>
          <w:i/>
          <w:iCs/>
        </w:rPr>
        <w:t>Almost half of children saw their social and emotional skills worsen during the pandemic – and economic turbulence played a role</w:t>
      </w:r>
      <w:r>
        <w:t>. [online] Institute for Fiscal Studies. Available at: https://ifs.org.uk/news/almost-half-children-saw-their-social-and-emotional-skills-worsen-during-pandemic-and-economic#:~:text=Nearly%20half%20of%20parents%20(47.</w:t>
      </w:r>
    </w:p>
    <w:p w14:paraId="3C73556C" w14:textId="77777777" w:rsidR="00DE1745" w:rsidRDefault="00DE1745" w:rsidP="00DE1745">
      <w:pPr>
        <w:pStyle w:val="NormalWeb"/>
        <w:spacing w:before="0" w:beforeAutospacing="0" w:after="240" w:afterAutospacing="0" w:line="360" w:lineRule="auto"/>
      </w:pPr>
      <w:r>
        <w:t xml:space="preserve">Creswell, J.W. (2014). </w:t>
      </w:r>
      <w:r>
        <w:rPr>
          <w:i/>
          <w:iCs/>
        </w:rPr>
        <w:t>Research Design: Qualitative, Quantitative, and Mixed Methods Approaches</w:t>
      </w:r>
      <w:r>
        <w:t xml:space="preserve">. [online] </w:t>
      </w:r>
      <w:r>
        <w:rPr>
          <w:i/>
          <w:iCs/>
        </w:rPr>
        <w:t>Google Books</w:t>
      </w:r>
      <w:r>
        <w:t>. SAGE. Available at: https://www.google.co.uk/books/edition/Research_Design/4uB76IC_pOQC?hl=en&amp;gbpv=1&amp;dq=Research+design:+Qualitative [Accessed 5 Jan. 2024].</w:t>
      </w:r>
    </w:p>
    <w:p w14:paraId="2FA0D7A4" w14:textId="77777777" w:rsidR="00DE1745" w:rsidRDefault="00DE1745" w:rsidP="00DE1745">
      <w:pPr>
        <w:pStyle w:val="NormalWeb"/>
        <w:spacing w:before="0" w:beforeAutospacing="0" w:after="240" w:afterAutospacing="0" w:line="360" w:lineRule="auto"/>
      </w:pPr>
      <w:r>
        <w:t xml:space="preserve">Crowe, S., </w:t>
      </w:r>
      <w:proofErr w:type="spellStart"/>
      <w:r>
        <w:t>Cresswell</w:t>
      </w:r>
      <w:proofErr w:type="spellEnd"/>
      <w:r>
        <w:t xml:space="preserve">, K., Robertson, A., </w:t>
      </w:r>
      <w:proofErr w:type="spellStart"/>
      <w:r>
        <w:t>Huby</w:t>
      </w:r>
      <w:proofErr w:type="spellEnd"/>
      <w:r>
        <w:t xml:space="preserve">, G., Avery, A. and Sheikh, A. (2011). The case study approach. </w:t>
      </w:r>
      <w:r>
        <w:rPr>
          <w:i/>
          <w:iCs/>
        </w:rPr>
        <w:t>BMC Medical Research Methodology</w:t>
      </w:r>
      <w:r>
        <w:t xml:space="preserve">, [online] 11(1). </w:t>
      </w:r>
      <w:proofErr w:type="spellStart"/>
      <w:r>
        <w:t>doi:https</w:t>
      </w:r>
      <w:proofErr w:type="spellEnd"/>
      <w:r>
        <w:t>://doi.org/10.1186/1471-2288-11-100.</w:t>
      </w:r>
    </w:p>
    <w:p w14:paraId="487D8C63" w14:textId="77777777" w:rsidR="00DE1745" w:rsidRDefault="00DE1745" w:rsidP="00DE1745">
      <w:pPr>
        <w:pStyle w:val="NormalWeb"/>
        <w:spacing w:before="0" w:beforeAutospacing="0" w:after="240" w:afterAutospacing="0" w:line="360" w:lineRule="auto"/>
      </w:pPr>
      <w:r>
        <w:t>Denzin (</w:t>
      </w:r>
      <w:proofErr w:type="spellStart"/>
      <w:r>
        <w:t>ed</w:t>
      </w:r>
      <w:proofErr w:type="spellEnd"/>
      <w:r>
        <w:t xml:space="preserve">), N.K. and Lincoln, Y.S. (2005). </w:t>
      </w:r>
      <w:r>
        <w:rPr>
          <w:i/>
          <w:iCs/>
        </w:rPr>
        <w:t>The SAGE Handbook of Qualitative Research</w:t>
      </w:r>
      <w:r>
        <w:t xml:space="preserve">. [online] </w:t>
      </w:r>
      <w:r>
        <w:rPr>
          <w:i/>
          <w:iCs/>
        </w:rPr>
        <w:t>Google Books</w:t>
      </w:r>
      <w:r>
        <w:t>. SAGE. Available at: https://books.google.co.uk/books?hl=en&amp;lr=&amp;id=X85J8ipMpZEC&amp;oi=fnd&amp;pg=PR9&amp;ots=D5J9M5S1dk&amp;sig=UpyyPIdsKlBKZb9ArWJAf6SaF9s&amp;redir_esc=y#v=onepage&amp;q&amp;f=false [Accessed 5 Jan. 2024].</w:t>
      </w:r>
    </w:p>
    <w:p w14:paraId="137F9BB1" w14:textId="77777777" w:rsidR="00DE1745" w:rsidRDefault="00DE1745" w:rsidP="00DE1745">
      <w:pPr>
        <w:pStyle w:val="NormalWeb"/>
        <w:spacing w:before="0" w:beforeAutospacing="0" w:after="240" w:afterAutospacing="0" w:line="360" w:lineRule="auto"/>
      </w:pPr>
      <w:proofErr w:type="spellStart"/>
      <w:r>
        <w:t>DiCicco</w:t>
      </w:r>
      <w:proofErr w:type="spellEnd"/>
      <w:r>
        <w:t xml:space="preserve">-Bloom, B. and Crabtree, B.F. (2006). The qualitative research interview. </w:t>
      </w:r>
      <w:r>
        <w:rPr>
          <w:i/>
          <w:iCs/>
        </w:rPr>
        <w:t>Medical Education</w:t>
      </w:r>
      <w:r>
        <w:t xml:space="preserve">, 40(4), pp.314–321. </w:t>
      </w:r>
      <w:proofErr w:type="spellStart"/>
      <w:r>
        <w:t>doi:https</w:t>
      </w:r>
      <w:proofErr w:type="spellEnd"/>
      <w:r>
        <w:t>://doi.org/10.1111/j.1365-2929.2006.</w:t>
      </w:r>
      <w:proofErr w:type="gramStart"/>
      <w:r>
        <w:t>02418.x.</w:t>
      </w:r>
      <w:proofErr w:type="gramEnd"/>
    </w:p>
    <w:p w14:paraId="21849418" w14:textId="77777777" w:rsidR="00DE1745" w:rsidRDefault="00DE1745" w:rsidP="00DE1745">
      <w:pPr>
        <w:pStyle w:val="NormalWeb"/>
        <w:spacing w:before="0" w:beforeAutospacing="0" w:after="240" w:afterAutospacing="0" w:line="360" w:lineRule="auto"/>
      </w:pPr>
      <w:proofErr w:type="spellStart"/>
      <w:r>
        <w:t>Doolin</w:t>
      </w:r>
      <w:proofErr w:type="spellEnd"/>
      <w:r>
        <w:t xml:space="preserve">, B. (1998). Information technology as disciplinary technology: being critical in interpretive research on information systems. </w:t>
      </w:r>
      <w:r>
        <w:rPr>
          <w:i/>
          <w:iCs/>
        </w:rPr>
        <w:t>Journal of Information Technology</w:t>
      </w:r>
      <w:r>
        <w:t xml:space="preserve">, 13(4), pp.301–311. </w:t>
      </w:r>
      <w:proofErr w:type="spellStart"/>
      <w:r>
        <w:t>doi:https</w:t>
      </w:r>
      <w:proofErr w:type="spellEnd"/>
      <w:r>
        <w:t>://doi.org/10.1057/jit.1998.8.</w:t>
      </w:r>
    </w:p>
    <w:p w14:paraId="7632186F" w14:textId="77777777" w:rsidR="00DE1745" w:rsidRDefault="00DE1745" w:rsidP="00DE1745">
      <w:pPr>
        <w:pStyle w:val="NormalWeb"/>
        <w:spacing w:before="0" w:beforeAutospacing="0" w:after="240" w:afterAutospacing="0" w:line="360" w:lineRule="auto"/>
      </w:pPr>
      <w:r>
        <w:t xml:space="preserve">Elliott, J. and </w:t>
      </w:r>
      <w:proofErr w:type="spellStart"/>
      <w:r>
        <w:t>Lukes</w:t>
      </w:r>
      <w:proofErr w:type="spellEnd"/>
      <w:r>
        <w:t xml:space="preserve"> (2008). </w:t>
      </w:r>
      <w:r>
        <w:rPr>
          <w:i/>
          <w:iCs/>
        </w:rPr>
        <w:t>Action research for educational change</w:t>
      </w:r>
      <w:r>
        <w:t xml:space="preserve">. Milton Keynes </w:t>
      </w:r>
      <w:proofErr w:type="gramStart"/>
      <w:r>
        <w:t>England ;</w:t>
      </w:r>
      <w:proofErr w:type="gramEnd"/>
      <w:r>
        <w:t xml:space="preserve"> Philadelphia: Open University Press.</w:t>
      </w:r>
    </w:p>
    <w:p w14:paraId="7AE0519B" w14:textId="77777777" w:rsidR="00DE1745" w:rsidRDefault="00DE1745" w:rsidP="00DE1745">
      <w:pPr>
        <w:pStyle w:val="NormalWeb"/>
        <w:spacing w:before="0" w:beforeAutospacing="0" w:after="240" w:afterAutospacing="0" w:line="360" w:lineRule="auto"/>
      </w:pPr>
      <w:r>
        <w:t xml:space="preserve">Emotion Coaching (2015). </w:t>
      </w:r>
      <w:r>
        <w:rPr>
          <w:i/>
          <w:iCs/>
        </w:rPr>
        <w:t>Emotion Coaching</w:t>
      </w:r>
      <w:r>
        <w:t xml:space="preserve">. [online] </w:t>
      </w:r>
      <w:proofErr w:type="spellStart"/>
      <w:r>
        <w:t>emotioncoaching</w:t>
      </w:r>
      <w:proofErr w:type="spellEnd"/>
      <w:r>
        <w:t>. Available at: https://www.emotioncoachinguk.com/.</w:t>
      </w:r>
    </w:p>
    <w:p w14:paraId="0AA7AE1C" w14:textId="77777777" w:rsidR="00DE1745" w:rsidRDefault="00DE1745" w:rsidP="00DE1745">
      <w:pPr>
        <w:pStyle w:val="NormalWeb"/>
        <w:spacing w:before="0" w:beforeAutospacing="0" w:after="240" w:afterAutospacing="0" w:line="360" w:lineRule="auto"/>
      </w:pPr>
      <w:r>
        <w:lastRenderedPageBreak/>
        <w:t xml:space="preserve">Faber, J. and Fonseca, L.M. (2014). How Sample Size Influences Research Outcomes. </w:t>
      </w:r>
      <w:r>
        <w:rPr>
          <w:i/>
          <w:iCs/>
        </w:rPr>
        <w:t>Dental Press Journal of Orthodontics</w:t>
      </w:r>
      <w:r>
        <w:t xml:space="preserve">, [online] 19(4), pp.27–29. </w:t>
      </w:r>
      <w:proofErr w:type="spellStart"/>
      <w:r>
        <w:t>doi:https</w:t>
      </w:r>
      <w:proofErr w:type="spellEnd"/>
      <w:r>
        <w:t>://doi.org/10.1590/2176-9451.19.4.027-029.ebo.</w:t>
      </w:r>
    </w:p>
    <w:p w14:paraId="5DCF12F4" w14:textId="77777777" w:rsidR="00DE1745" w:rsidRDefault="00DE1745" w:rsidP="00DE1745">
      <w:pPr>
        <w:pStyle w:val="NormalWeb"/>
        <w:spacing w:before="0" w:beforeAutospacing="0" w:after="240" w:afterAutospacing="0" w:line="360" w:lineRule="auto"/>
      </w:pPr>
      <w:r>
        <w:t xml:space="preserve">Furlong, J. and Lawn, M. (2010). </w:t>
      </w:r>
      <w:r>
        <w:rPr>
          <w:i/>
          <w:iCs/>
        </w:rPr>
        <w:t>Disciplines of Education: Their Role in the Future of Education Research</w:t>
      </w:r>
      <w:r>
        <w:t xml:space="preserve">. [online] </w:t>
      </w:r>
      <w:r>
        <w:rPr>
          <w:i/>
          <w:iCs/>
        </w:rPr>
        <w:t>Google Books</w:t>
      </w:r>
      <w:r>
        <w:t>. Routledge. Available at: https://www.google.co.uk/books/edition/Disciplines_of_Education/PC4vCgAAQBAJ?hl=en&amp;gbpv=1&amp;dq=Furlong [Accessed 4 Jan. 2024].</w:t>
      </w:r>
    </w:p>
    <w:p w14:paraId="6C170FFA" w14:textId="77777777" w:rsidR="00DE1745" w:rsidRDefault="00DE1745" w:rsidP="00DE1745">
      <w:pPr>
        <w:pStyle w:val="NormalWeb"/>
        <w:spacing w:before="0" w:beforeAutospacing="0" w:after="240" w:afterAutospacing="0" w:line="360" w:lineRule="auto"/>
      </w:pPr>
      <w:r>
        <w:t xml:space="preserve">George, A.L. and Bennett, A. (2005). </w:t>
      </w:r>
      <w:r>
        <w:rPr>
          <w:i/>
          <w:iCs/>
        </w:rPr>
        <w:t>Case Studies and Theory Development in the Social Sciences</w:t>
      </w:r>
      <w:r>
        <w:t xml:space="preserve">. [online] </w:t>
      </w:r>
      <w:r>
        <w:rPr>
          <w:i/>
          <w:iCs/>
        </w:rPr>
        <w:t>Google Books</w:t>
      </w:r>
      <w:r>
        <w:t>. MIT Press. Available at: https://www.google.co.uk/books/edition/Case_Studies_and_Theory_Development_in_t/JEGzE6ExN-gC?hl=en&amp;gbpv=1&amp;dq=george+and+bennett+case+studies&amp;printsec=frontcover [Accessed 31 Dec. 2023].</w:t>
      </w:r>
    </w:p>
    <w:p w14:paraId="4BCCD4E4" w14:textId="77777777" w:rsidR="00DE1745" w:rsidRDefault="00DE1745" w:rsidP="00DE1745">
      <w:pPr>
        <w:pStyle w:val="NormalWeb"/>
        <w:spacing w:before="0" w:beforeAutospacing="0" w:after="240" w:afterAutospacing="0" w:line="360" w:lineRule="auto"/>
      </w:pPr>
      <w:r>
        <w:t xml:space="preserve">GOV.UK (2020). </w:t>
      </w:r>
      <w:r>
        <w:rPr>
          <w:i/>
          <w:iCs/>
        </w:rPr>
        <w:t>Mixed methods study</w:t>
      </w:r>
      <w:r>
        <w:t>. [online] GOV.UK. Available at: https://www.gov.uk/guidance/mixed-methods-study#:~:text=A%20mixed%20methods%20study%20combines.</w:t>
      </w:r>
    </w:p>
    <w:p w14:paraId="0C101E66" w14:textId="77777777" w:rsidR="00DE1745" w:rsidRDefault="00DE1745" w:rsidP="00DE1745">
      <w:pPr>
        <w:pStyle w:val="NormalWeb"/>
        <w:spacing w:before="0" w:beforeAutospacing="0" w:after="240" w:afterAutospacing="0" w:line="360" w:lineRule="auto"/>
      </w:pPr>
      <w:r>
        <w:t xml:space="preserve">Green, J. and </w:t>
      </w:r>
      <w:proofErr w:type="spellStart"/>
      <w:r>
        <w:t>Thorogood</w:t>
      </w:r>
      <w:proofErr w:type="spellEnd"/>
      <w:r>
        <w:t xml:space="preserve">, N. (2018). </w:t>
      </w:r>
      <w:r>
        <w:rPr>
          <w:i/>
          <w:iCs/>
        </w:rPr>
        <w:t>Qualitative Methods for Health Research</w:t>
      </w:r>
      <w:r>
        <w:t xml:space="preserve">. [online] </w:t>
      </w:r>
      <w:r>
        <w:rPr>
          <w:i/>
          <w:iCs/>
        </w:rPr>
        <w:t>Google Books</w:t>
      </w:r>
      <w:r>
        <w:t>. SAGE Publications. Available at: https://books.google.co.uk/books?id=HUhLDwAAQBAJ&amp;printsec=frontcover#v=onepage&amp;q&amp;f=false [Accessed 22 Nov. 2023].</w:t>
      </w:r>
    </w:p>
    <w:p w14:paraId="616AF449" w14:textId="77777777" w:rsidR="00DE1745" w:rsidRDefault="00DE1745" w:rsidP="00DE1745">
      <w:pPr>
        <w:pStyle w:val="NormalWeb"/>
        <w:spacing w:before="0" w:beforeAutospacing="0" w:after="240" w:afterAutospacing="0" w:line="360" w:lineRule="auto"/>
      </w:pPr>
      <w:r>
        <w:t xml:space="preserve">Hamilton, L. and Corbett-Whittier, C. (2012). </w:t>
      </w:r>
      <w:r>
        <w:rPr>
          <w:i/>
          <w:iCs/>
        </w:rPr>
        <w:t>Using Case Study in Education Research</w:t>
      </w:r>
      <w:r>
        <w:t xml:space="preserve">. [online] </w:t>
      </w:r>
      <w:r>
        <w:rPr>
          <w:i/>
          <w:iCs/>
        </w:rPr>
        <w:t>Google Books</w:t>
      </w:r>
      <w:r>
        <w:t>. SAGE. Available at: https://books.google.co.uk/books?hl=en&amp;lr=&amp;id=h5tzhDcQ0CoC&amp;oi=fnd&amp;pg=PP1&amp;dq=purpose+of+using+case+study+in+research&amp;ots=8Jtf8BMUlB&amp;sig=cWdpfsRVqLs7RUld3fRP6fQ0AF0&amp;redir_esc=y#v=onepage&amp;q=purpose%20of%20using%20case%20study%20in%20research&amp;f=false [Accessed 28 Dec. 2023].</w:t>
      </w:r>
    </w:p>
    <w:p w14:paraId="5F2A8E6D" w14:textId="77777777" w:rsidR="00DE1745" w:rsidRDefault="00DE1745" w:rsidP="00DE1745">
      <w:pPr>
        <w:pStyle w:val="NormalWeb"/>
        <w:spacing w:before="0" w:beforeAutospacing="0" w:after="240" w:afterAutospacing="0" w:line="360" w:lineRule="auto"/>
      </w:pPr>
      <w:r>
        <w:t xml:space="preserve">JHA, A.P., KROMPINGER, J. and BAIME, M.J. (2007). Mindfulness training modifies subsystems of attention. </w:t>
      </w:r>
      <w:r>
        <w:rPr>
          <w:i/>
          <w:iCs/>
        </w:rPr>
        <w:t xml:space="preserve">Cognitive, Affective, &amp; </w:t>
      </w:r>
      <w:proofErr w:type="spellStart"/>
      <w:r>
        <w:rPr>
          <w:i/>
          <w:iCs/>
        </w:rPr>
        <w:t>Behavioral</w:t>
      </w:r>
      <w:proofErr w:type="spellEnd"/>
      <w:r>
        <w:rPr>
          <w:i/>
          <w:iCs/>
        </w:rPr>
        <w:t xml:space="preserve"> Neuroscience</w:t>
      </w:r>
      <w:r>
        <w:t xml:space="preserve">, 7(2), pp.109–119. </w:t>
      </w:r>
      <w:proofErr w:type="spellStart"/>
      <w:r>
        <w:t>doi:https</w:t>
      </w:r>
      <w:proofErr w:type="spellEnd"/>
      <w:r>
        <w:t>://doi.org/10.3758/cabn.7.2.109.</w:t>
      </w:r>
    </w:p>
    <w:p w14:paraId="7EA6D9BD" w14:textId="77777777" w:rsidR="00DE1745" w:rsidRDefault="00DE1745" w:rsidP="00DE1745">
      <w:pPr>
        <w:pStyle w:val="NormalWeb"/>
        <w:spacing w:before="0" w:beforeAutospacing="0" w:after="240" w:afterAutospacing="0" w:line="360" w:lineRule="auto"/>
      </w:pPr>
      <w:r>
        <w:lastRenderedPageBreak/>
        <w:t xml:space="preserve">Kenton, W. (2022). </w:t>
      </w:r>
      <w:r>
        <w:rPr>
          <w:i/>
          <w:iCs/>
        </w:rPr>
        <w:t>Hawthorne Effect Definition: How It Works and Is It Real</w:t>
      </w:r>
      <w:r>
        <w:t>. [online] Investopedia. Available at: https://www.investopedia.com/terms/h/hawthorne-effect.asp#:~:text=Investopedia%20%2F%20Ellen%20Lindner-.</w:t>
      </w:r>
    </w:p>
    <w:p w14:paraId="61FC284F" w14:textId="77777777" w:rsidR="00DE1745" w:rsidRDefault="00DE1745" w:rsidP="00DE1745">
      <w:pPr>
        <w:pStyle w:val="NormalWeb"/>
        <w:spacing w:before="0" w:beforeAutospacing="0" w:after="240" w:afterAutospacing="0" w:line="360" w:lineRule="auto"/>
      </w:pPr>
      <w:r>
        <w:t xml:space="preserve">Mays, N. and Pope, C. (1995). Qualitative Research: Rigour and qualitative research. </w:t>
      </w:r>
      <w:r>
        <w:rPr>
          <w:i/>
          <w:iCs/>
        </w:rPr>
        <w:t>BMJ</w:t>
      </w:r>
      <w:r>
        <w:t xml:space="preserve">, 311(6997), pp.109–112. </w:t>
      </w:r>
      <w:proofErr w:type="spellStart"/>
      <w:r>
        <w:t>doi:https</w:t>
      </w:r>
      <w:proofErr w:type="spellEnd"/>
      <w:r>
        <w:t>://doi.org/10.1136/bmj.311.6997.109.</w:t>
      </w:r>
    </w:p>
    <w:p w14:paraId="21A35A42" w14:textId="77777777" w:rsidR="00DE1745" w:rsidRDefault="00DE1745" w:rsidP="00DE1745">
      <w:pPr>
        <w:pStyle w:val="NormalWeb"/>
        <w:spacing w:before="0" w:beforeAutospacing="0" w:after="240" w:afterAutospacing="0" w:line="360" w:lineRule="auto"/>
      </w:pPr>
      <w:proofErr w:type="spellStart"/>
      <w:r>
        <w:t>Mugenda</w:t>
      </w:r>
      <w:proofErr w:type="spellEnd"/>
      <w:r>
        <w:t xml:space="preserve">, O.M. and </w:t>
      </w:r>
      <w:proofErr w:type="spellStart"/>
      <w:r>
        <w:t>Mugenda</w:t>
      </w:r>
      <w:proofErr w:type="spellEnd"/>
      <w:r>
        <w:t xml:space="preserve">, A.G. (2003). </w:t>
      </w:r>
      <w:r>
        <w:rPr>
          <w:i/>
          <w:iCs/>
        </w:rPr>
        <w:t xml:space="preserve">Research methods quantitative &amp; qualitative </w:t>
      </w:r>
      <w:proofErr w:type="spellStart"/>
      <w:r>
        <w:rPr>
          <w:i/>
          <w:iCs/>
        </w:rPr>
        <w:t>apporaches</w:t>
      </w:r>
      <w:proofErr w:type="spellEnd"/>
      <w:r>
        <w:t>. Nairobi Acts Press.</w:t>
      </w:r>
    </w:p>
    <w:p w14:paraId="12CA5D9C" w14:textId="77777777" w:rsidR="00DE1745" w:rsidRDefault="00DE1745" w:rsidP="00DE1745">
      <w:pPr>
        <w:pStyle w:val="NormalWeb"/>
        <w:spacing w:before="0" w:beforeAutospacing="0" w:after="240" w:afterAutospacing="0" w:line="360" w:lineRule="auto"/>
      </w:pPr>
      <w:r>
        <w:t xml:space="preserve">Murphy, E. and </w:t>
      </w:r>
      <w:proofErr w:type="spellStart"/>
      <w:r>
        <w:t>Dingwall</w:t>
      </w:r>
      <w:proofErr w:type="spellEnd"/>
      <w:r>
        <w:t xml:space="preserve">, R. (2007). Informed consent, anticipatory regulation and ethnographic practice. </w:t>
      </w:r>
      <w:r>
        <w:rPr>
          <w:i/>
          <w:iCs/>
        </w:rPr>
        <w:t>Social Science &amp; Medicine</w:t>
      </w:r>
      <w:r>
        <w:t xml:space="preserve">, [online] 65(11), pp.2223–2234. </w:t>
      </w:r>
      <w:proofErr w:type="spellStart"/>
      <w:r>
        <w:t>doi:https</w:t>
      </w:r>
      <w:proofErr w:type="spellEnd"/>
      <w:r>
        <w:t>://doi.org/10.1016/j.socscimed.2007.08.008.</w:t>
      </w:r>
    </w:p>
    <w:p w14:paraId="7875F605" w14:textId="77777777" w:rsidR="00DE1745" w:rsidRDefault="00DE1745" w:rsidP="00DE1745">
      <w:pPr>
        <w:pStyle w:val="NormalWeb"/>
        <w:spacing w:before="0" w:beforeAutospacing="0" w:after="240" w:afterAutospacing="0" w:line="360" w:lineRule="auto"/>
      </w:pPr>
      <w:r>
        <w:t xml:space="preserve">Napoli, M., </w:t>
      </w:r>
      <w:proofErr w:type="spellStart"/>
      <w:r>
        <w:t>Krech</w:t>
      </w:r>
      <w:proofErr w:type="spellEnd"/>
      <w:r>
        <w:t xml:space="preserve">, P. and Holley, L. (2005). </w:t>
      </w:r>
      <w:r>
        <w:rPr>
          <w:i/>
          <w:iCs/>
        </w:rPr>
        <w:t xml:space="preserve">APA </w:t>
      </w:r>
      <w:proofErr w:type="spellStart"/>
      <w:r>
        <w:rPr>
          <w:i/>
          <w:iCs/>
        </w:rPr>
        <w:t>PsycNet</w:t>
      </w:r>
      <w:proofErr w:type="spellEnd"/>
      <w:r>
        <w:t>. [online] psycnet.apa.org. Available at: https://psycnet.apa.org/record/2005-11008-005.</w:t>
      </w:r>
    </w:p>
    <w:p w14:paraId="606C218A" w14:textId="77777777" w:rsidR="00DE1745" w:rsidRDefault="00DE1745" w:rsidP="00DE1745">
      <w:pPr>
        <w:pStyle w:val="NormalWeb"/>
        <w:spacing w:before="0" w:beforeAutospacing="0" w:after="240" w:afterAutospacing="0" w:line="360" w:lineRule="auto"/>
      </w:pPr>
      <w:r>
        <w:t xml:space="preserve">NHS (2022). </w:t>
      </w:r>
      <w:r>
        <w:rPr>
          <w:i/>
          <w:iCs/>
        </w:rPr>
        <w:t>Mindfulness</w:t>
      </w:r>
      <w:r>
        <w:t>. [online] nhs.uk. Available at: https://www.nhs.uk/mental-health/self-help/tips-and-support/mindfulness/.</w:t>
      </w:r>
    </w:p>
    <w:p w14:paraId="2F4F9190" w14:textId="77777777" w:rsidR="00DE1745" w:rsidRDefault="00DE1745" w:rsidP="00DE1745">
      <w:pPr>
        <w:pStyle w:val="NormalWeb"/>
        <w:spacing w:before="0" w:beforeAutospacing="0" w:after="240" w:afterAutospacing="0" w:line="360" w:lineRule="auto"/>
      </w:pPr>
      <w:r>
        <w:t xml:space="preserve">OANCEA, A. and PRING, R. (2008). The Importance of Being Thorough: On Systematic Accumulations of ‘What Works’ in Education Research. </w:t>
      </w:r>
      <w:r>
        <w:rPr>
          <w:i/>
          <w:iCs/>
        </w:rPr>
        <w:t>Journal of Philosophy of Education</w:t>
      </w:r>
      <w:r>
        <w:t xml:space="preserve">, 42, pp.15–39. </w:t>
      </w:r>
      <w:proofErr w:type="spellStart"/>
      <w:r>
        <w:t>doi:https</w:t>
      </w:r>
      <w:proofErr w:type="spellEnd"/>
      <w:r>
        <w:t>://doi.org/10.1111/j.1467-9752.2008.</w:t>
      </w:r>
      <w:proofErr w:type="gramStart"/>
      <w:r>
        <w:t>00633.x.</w:t>
      </w:r>
      <w:proofErr w:type="gramEnd"/>
    </w:p>
    <w:p w14:paraId="1A900068" w14:textId="77777777" w:rsidR="00DE1745" w:rsidRDefault="00DE1745" w:rsidP="00DE1745">
      <w:pPr>
        <w:pStyle w:val="NormalWeb"/>
        <w:spacing w:before="0" w:beforeAutospacing="0" w:after="240" w:afterAutospacing="0" w:line="360" w:lineRule="auto"/>
      </w:pPr>
      <w:r>
        <w:t xml:space="preserve">Parsons, C.E., Crane, C., Parsons, L.J., </w:t>
      </w:r>
      <w:proofErr w:type="spellStart"/>
      <w:r>
        <w:t>Fjorback</w:t>
      </w:r>
      <w:proofErr w:type="spellEnd"/>
      <w:r>
        <w:t xml:space="preserve">, L.O. and </w:t>
      </w:r>
      <w:proofErr w:type="spellStart"/>
      <w:r>
        <w:t>Kuyken</w:t>
      </w:r>
      <w:proofErr w:type="spellEnd"/>
      <w:r>
        <w:t xml:space="preserve">, W. (2017). Home practice in Mindfulness-Based Cognitive Therapy and Mindfulness-Based Stress Reduction: A systematic review and meta-analysis of participants’ mindfulness practice and its association with outcomes. </w:t>
      </w:r>
      <w:r>
        <w:rPr>
          <w:i/>
          <w:iCs/>
        </w:rPr>
        <w:t>Behaviour Research and Therapy</w:t>
      </w:r>
      <w:r>
        <w:t xml:space="preserve">, 95, pp.29–41. </w:t>
      </w:r>
      <w:proofErr w:type="spellStart"/>
      <w:r>
        <w:t>doi:https</w:t>
      </w:r>
      <w:proofErr w:type="spellEnd"/>
      <w:r>
        <w:t>://doi.org/10.1016/j.brat.2017.05.004.</w:t>
      </w:r>
    </w:p>
    <w:p w14:paraId="216C4703" w14:textId="77777777" w:rsidR="00DE1745" w:rsidRDefault="00DE1745" w:rsidP="00DE1745">
      <w:pPr>
        <w:pStyle w:val="NormalWeb"/>
        <w:spacing w:before="0" w:beforeAutospacing="0" w:after="240" w:afterAutospacing="0" w:line="360" w:lineRule="auto"/>
      </w:pPr>
      <w:r>
        <w:t xml:space="preserve">Rahman, M.S. (2016). The Advantages and Disadvantages of Using Qualitative and Quantitative Approaches and Methods in Language ‘Testing and Assessment’ Research: A Literature Review. </w:t>
      </w:r>
      <w:r>
        <w:rPr>
          <w:i/>
          <w:iCs/>
        </w:rPr>
        <w:t>Journal of Education and Learning</w:t>
      </w:r>
      <w:r>
        <w:t xml:space="preserve">, 6(1), p.102. </w:t>
      </w:r>
      <w:proofErr w:type="spellStart"/>
      <w:r>
        <w:t>doi:https</w:t>
      </w:r>
      <w:proofErr w:type="spellEnd"/>
      <w:r>
        <w:t>://doi.org/10.5539/</w:t>
      </w:r>
      <w:proofErr w:type="gramStart"/>
      <w:r>
        <w:t>jel.v</w:t>
      </w:r>
      <w:proofErr w:type="gramEnd"/>
      <w:r>
        <w:t>6n1p102.</w:t>
      </w:r>
    </w:p>
    <w:p w14:paraId="51ECFE87" w14:textId="77777777" w:rsidR="00DE1745" w:rsidRDefault="00DE1745" w:rsidP="00DE1745">
      <w:pPr>
        <w:pStyle w:val="NormalWeb"/>
        <w:spacing w:before="0" w:beforeAutospacing="0" w:after="240" w:afterAutospacing="0" w:line="360" w:lineRule="auto"/>
      </w:pPr>
      <w:r>
        <w:lastRenderedPageBreak/>
        <w:t xml:space="preserve">Ritchie, J. and Lewis, J. (2003). </w:t>
      </w:r>
      <w:r>
        <w:rPr>
          <w:i/>
          <w:iCs/>
        </w:rPr>
        <w:t>QUALITATIVE RESEARCH PRACTICE A Guide for Social Science Students and Researchers Edited by SAGE Publications London • Thousand Oaks • New Delhi</w:t>
      </w:r>
      <w:r>
        <w:t>.</w:t>
      </w:r>
    </w:p>
    <w:p w14:paraId="0BED62FA" w14:textId="77777777" w:rsidR="00DE1745" w:rsidRDefault="00DE1745" w:rsidP="00DE1745">
      <w:pPr>
        <w:pStyle w:val="NormalWeb"/>
        <w:spacing w:before="0" w:beforeAutospacing="0" w:after="240" w:afterAutospacing="0" w:line="360" w:lineRule="auto"/>
      </w:pPr>
      <w:proofErr w:type="spellStart"/>
      <w:r>
        <w:t>Sandelowski</w:t>
      </w:r>
      <w:proofErr w:type="spellEnd"/>
      <w:r>
        <w:t xml:space="preserve">, M. (1995). Sample size in qualitative research. </w:t>
      </w:r>
      <w:r>
        <w:rPr>
          <w:i/>
          <w:iCs/>
        </w:rPr>
        <w:t>Research in Nursing &amp; Health</w:t>
      </w:r>
      <w:r>
        <w:t xml:space="preserve">, [online] 18(2), pp.179–183. </w:t>
      </w:r>
      <w:proofErr w:type="spellStart"/>
      <w:r>
        <w:t>doi:https</w:t>
      </w:r>
      <w:proofErr w:type="spellEnd"/>
      <w:r>
        <w:t>://doi.org/10.1002/nur.4770180211.</w:t>
      </w:r>
    </w:p>
    <w:p w14:paraId="2CFAD3CF" w14:textId="77777777" w:rsidR="00DE1745" w:rsidRDefault="00DE1745" w:rsidP="00DE1745">
      <w:pPr>
        <w:pStyle w:val="NormalWeb"/>
        <w:spacing w:before="0" w:beforeAutospacing="0" w:after="240" w:afterAutospacing="0" w:line="360" w:lineRule="auto"/>
      </w:pPr>
      <w:proofErr w:type="spellStart"/>
      <w:r>
        <w:t>Savarese</w:t>
      </w:r>
      <w:proofErr w:type="spellEnd"/>
      <w:r>
        <w:t xml:space="preserve">, G. and </w:t>
      </w:r>
      <w:proofErr w:type="spellStart"/>
      <w:r>
        <w:t>Ingino</w:t>
      </w:r>
      <w:proofErr w:type="spellEnd"/>
      <w:r>
        <w:t xml:space="preserve">, M.T. (2018). Mindfulness for Disabled University Students—A Sporting-Motor Activity and Meditative Workshop Aimed at Reducing Stress and Increasing Coping Resources. </w:t>
      </w:r>
      <w:r>
        <w:rPr>
          <w:i/>
          <w:iCs/>
        </w:rPr>
        <w:t>Psychology</w:t>
      </w:r>
      <w:r>
        <w:t xml:space="preserve">, 09(14), pp.2851–2858. </w:t>
      </w:r>
      <w:proofErr w:type="spellStart"/>
      <w:r>
        <w:t>doi:https</w:t>
      </w:r>
      <w:proofErr w:type="spellEnd"/>
      <w:r>
        <w:t>://doi.org/10.4236/psych.2018.914164.</w:t>
      </w:r>
    </w:p>
    <w:p w14:paraId="2D9C6E83" w14:textId="77777777" w:rsidR="00DE1745" w:rsidRDefault="00DE1745" w:rsidP="00DE1745">
      <w:pPr>
        <w:pStyle w:val="NormalWeb"/>
        <w:spacing w:before="0" w:beforeAutospacing="0" w:after="240" w:afterAutospacing="0" w:line="360" w:lineRule="auto"/>
      </w:pPr>
      <w:proofErr w:type="spellStart"/>
      <w:r>
        <w:t>Schonert-Reichl</w:t>
      </w:r>
      <w:proofErr w:type="spellEnd"/>
      <w:r>
        <w:t xml:space="preserve">, K.A. and Lawlor, M.S. (2010). The Effects of a Mindfulness-Based Education Program on Pre- and Early Adolescents’ Well-Being and Social and Emotional Competence. </w:t>
      </w:r>
      <w:r>
        <w:rPr>
          <w:i/>
          <w:iCs/>
        </w:rPr>
        <w:t>Mindfulness</w:t>
      </w:r>
      <w:r>
        <w:t xml:space="preserve">, 1(3), pp.137–151. </w:t>
      </w:r>
      <w:proofErr w:type="spellStart"/>
      <w:r>
        <w:t>doi:https</w:t>
      </w:r>
      <w:proofErr w:type="spellEnd"/>
      <w:r>
        <w:t>://doi.org/10.1007/s12671-010-0011-8.</w:t>
      </w:r>
    </w:p>
    <w:p w14:paraId="654867E9" w14:textId="77777777" w:rsidR="00DE1745" w:rsidRDefault="00DE1745" w:rsidP="00DE1745">
      <w:pPr>
        <w:pStyle w:val="NormalWeb"/>
        <w:spacing w:before="0" w:beforeAutospacing="0" w:after="240" w:afterAutospacing="0" w:line="360" w:lineRule="auto"/>
      </w:pPr>
      <w:r>
        <w:t xml:space="preserve">Seale, C. (2012). </w:t>
      </w:r>
      <w:r>
        <w:rPr>
          <w:i/>
          <w:iCs/>
        </w:rPr>
        <w:t>Researching Society and Culture</w:t>
      </w:r>
      <w:r>
        <w:t xml:space="preserve">. [online] </w:t>
      </w:r>
      <w:r>
        <w:rPr>
          <w:i/>
          <w:iCs/>
        </w:rPr>
        <w:t>Google Books</w:t>
      </w:r>
      <w:r>
        <w:t>. SAGE Publications. Available at: https://books.google.co.uk/books?hl=en&amp;lr=&amp;id=jLAjZJGNGgAC&amp;oi=fnd&amp;pg=PA181&amp;dq=advantages+and+disadvantages+of+individual+interviews&amp;ots=v_8fKzVbQl&amp;sig=wfisqAbAEau5cruhxXufrFGTFC0#v=onepage&amp;q=advantages%20and%20disadvantages%20of%20individual%20interviews&amp;f=false [Accessed 4 Jan. 2024].</w:t>
      </w:r>
    </w:p>
    <w:p w14:paraId="25C74B0F" w14:textId="77777777" w:rsidR="00DE1745" w:rsidRDefault="00DE1745" w:rsidP="00DE1745">
      <w:pPr>
        <w:pStyle w:val="NormalWeb"/>
        <w:spacing w:before="0" w:beforeAutospacing="0" w:after="240" w:afterAutospacing="0" w:line="360" w:lineRule="auto"/>
      </w:pPr>
      <w:r>
        <w:t xml:space="preserve">Seidman, I. (2013). </w:t>
      </w:r>
      <w:r>
        <w:rPr>
          <w:i/>
          <w:iCs/>
        </w:rPr>
        <w:t>Interviewing as Qualitative Research: A Guide for Researchers in Education and the Social Sciences</w:t>
      </w:r>
      <w:r>
        <w:t xml:space="preserve">. [online] </w:t>
      </w:r>
      <w:r>
        <w:rPr>
          <w:i/>
          <w:iCs/>
        </w:rPr>
        <w:t>Google Books</w:t>
      </w:r>
      <w:r>
        <w:t>. Teachers College Press. Available at: https://www.google.co.uk/books/edition/Interviewing_as_Qualitative_Research/OE46HtiW-asC?hl=en&amp;gbpv=1&amp;dq=recommended+length+of+time+to+interview&amp;pg=PA24&amp;printsec=frontcover [Accessed 5 Jan. 2024].</w:t>
      </w:r>
    </w:p>
    <w:p w14:paraId="69974A20" w14:textId="77777777" w:rsidR="00DE1745" w:rsidRDefault="00DE1745" w:rsidP="00DE1745">
      <w:pPr>
        <w:pStyle w:val="NormalWeb"/>
        <w:spacing w:before="0" w:beforeAutospacing="0" w:after="240" w:afterAutospacing="0" w:line="360" w:lineRule="auto"/>
      </w:pPr>
      <w:r>
        <w:t xml:space="preserve">Siva, M., </w:t>
      </w:r>
      <w:proofErr w:type="spellStart"/>
      <w:r>
        <w:t>Nayak</w:t>
      </w:r>
      <w:proofErr w:type="spellEnd"/>
      <w:r>
        <w:t xml:space="preserve">, D., Siva, M. and Narayan, K. (2019). Strengths and Weakness of Online Surveys Strengths and weaknesses of online surveys. </w:t>
      </w:r>
      <w:r>
        <w:rPr>
          <w:i/>
          <w:iCs/>
        </w:rPr>
        <w:t>IOSR Journal of Humanities and Social Sciences (IOSR-JHSS</w:t>
      </w:r>
      <w:r>
        <w:t xml:space="preserve">, 24, pp.31–38. </w:t>
      </w:r>
      <w:proofErr w:type="spellStart"/>
      <w:r>
        <w:t>doi:https</w:t>
      </w:r>
      <w:proofErr w:type="spellEnd"/>
      <w:r>
        <w:t>://doi.org/10.9790/0837-2405053138.</w:t>
      </w:r>
    </w:p>
    <w:p w14:paraId="364C6C5C" w14:textId="77777777" w:rsidR="00DE1745" w:rsidRDefault="00DE1745" w:rsidP="00DE1745">
      <w:pPr>
        <w:pStyle w:val="NormalWeb"/>
        <w:spacing w:before="0" w:beforeAutospacing="0" w:after="240" w:afterAutospacing="0" w:line="360" w:lineRule="auto"/>
        <w:rPr>
          <w:rFonts w:eastAsiaTheme="minorHAnsi"/>
        </w:rPr>
      </w:pPr>
      <w:r>
        <w:lastRenderedPageBreak/>
        <w:t xml:space="preserve">Britton, W.B. (2019). Can mindfulness be too much of a good thing? The value of a middle way. </w:t>
      </w:r>
      <w:r>
        <w:rPr>
          <w:i/>
          <w:iCs/>
        </w:rPr>
        <w:t>Current Opinion in Psychology</w:t>
      </w:r>
      <w:r>
        <w:t xml:space="preserve">, [online] 28(28), pp.159–165. </w:t>
      </w:r>
      <w:proofErr w:type="spellStart"/>
      <w:r>
        <w:t>doi:https</w:t>
      </w:r>
      <w:proofErr w:type="spellEnd"/>
      <w:r>
        <w:t>://doi.org/10.1016/j.copsyc.2018.12.011.</w:t>
      </w:r>
    </w:p>
    <w:p w14:paraId="2CE5C543" w14:textId="77777777" w:rsidR="00DE1745" w:rsidRDefault="00DE1745" w:rsidP="00DE1745">
      <w:pPr>
        <w:pStyle w:val="NormalWeb"/>
        <w:spacing w:before="0" w:beforeAutospacing="0" w:after="240" w:afterAutospacing="0" w:line="360" w:lineRule="auto"/>
      </w:pPr>
      <w:r>
        <w:t xml:space="preserve">Emotion Coaching (2015). </w:t>
      </w:r>
      <w:r>
        <w:rPr>
          <w:i/>
          <w:iCs/>
        </w:rPr>
        <w:t>Emotion Coaching</w:t>
      </w:r>
      <w:r>
        <w:t xml:space="preserve">. [online] </w:t>
      </w:r>
      <w:proofErr w:type="spellStart"/>
      <w:r>
        <w:t>emotioncoaching</w:t>
      </w:r>
      <w:proofErr w:type="spellEnd"/>
      <w:r>
        <w:t>. Available at: https://www.emotioncoachinguk.com/.</w:t>
      </w:r>
    </w:p>
    <w:p w14:paraId="05CD6BE4" w14:textId="77777777" w:rsidR="00DE1745" w:rsidRDefault="00DE1745" w:rsidP="00DE1745">
      <w:pPr>
        <w:pStyle w:val="NormalWeb"/>
        <w:spacing w:before="0" w:beforeAutospacing="0" w:after="240" w:afterAutospacing="0" w:line="360" w:lineRule="auto"/>
      </w:pPr>
      <w:r>
        <w:t xml:space="preserve">Mindfulness in Schools Project (2019). </w:t>
      </w:r>
      <w:r>
        <w:rPr>
          <w:i/>
          <w:iCs/>
        </w:rPr>
        <w:t>Mindfulness as part of the Curriculum for Wales 2022</w:t>
      </w:r>
      <w:r>
        <w:t>. [online] Mindfulness in Schools Project. Available at: https://mindfulnessinschools.org/mindfulness-as-part-of-the-curriculum-for-wales-2022/.</w:t>
      </w:r>
    </w:p>
    <w:p w14:paraId="65B9E62B" w14:textId="77777777" w:rsidR="00C74E6C" w:rsidRDefault="00C74E6C">
      <w:pPr>
        <w:rPr>
          <w:rFonts w:eastAsia="Times New Roman"/>
        </w:rPr>
      </w:pPr>
    </w:p>
    <w:p w14:paraId="27BFE214" w14:textId="3E5AB239" w:rsidR="00C74E6C" w:rsidRDefault="00C74E6C">
      <w:pPr>
        <w:rPr>
          <w:rFonts w:eastAsia="Times New Roman"/>
        </w:rPr>
      </w:pPr>
    </w:p>
    <w:p w14:paraId="38741178" w14:textId="24AE0A92" w:rsidR="00C74E6C" w:rsidRDefault="00C74E6C" w:rsidP="00FE2089">
      <w:pPr>
        <w:rPr>
          <w:rFonts w:eastAsia="Times New Roman"/>
        </w:rPr>
      </w:pPr>
    </w:p>
    <w:sectPr w:rsidR="00C74E6C" w:rsidSect="00DC125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altName w:val="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C90F27"/>
    <w:multiLevelType w:val="hybridMultilevel"/>
    <w:tmpl w:val="F4D419BA"/>
    <w:lvl w:ilvl="0" w:tplc="78A270E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B01C88"/>
    <w:multiLevelType w:val="hybridMultilevel"/>
    <w:tmpl w:val="A106EF2A"/>
    <w:lvl w:ilvl="0" w:tplc="D3586E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3D656A"/>
    <w:multiLevelType w:val="hybridMultilevel"/>
    <w:tmpl w:val="DD280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2E3166"/>
    <w:multiLevelType w:val="hybridMultilevel"/>
    <w:tmpl w:val="B40A82A8"/>
    <w:lvl w:ilvl="0" w:tplc="D3586E98">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nsid w:val="265C4C83"/>
    <w:multiLevelType w:val="hybridMultilevel"/>
    <w:tmpl w:val="33D286E2"/>
    <w:lvl w:ilvl="0" w:tplc="D3586E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A246346"/>
    <w:multiLevelType w:val="hybridMultilevel"/>
    <w:tmpl w:val="6382F11A"/>
    <w:lvl w:ilvl="0" w:tplc="35EAE132">
      <w:start w:val="1"/>
      <w:numFmt w:val="bullet"/>
      <w:lvlText w:val="•"/>
      <w:lvlJc w:val="left"/>
      <w:pPr>
        <w:tabs>
          <w:tab w:val="num" w:pos="720"/>
        </w:tabs>
        <w:ind w:left="720" w:hanging="360"/>
      </w:pPr>
      <w:rPr>
        <w:rFonts w:ascii="Arial" w:hAnsi="Arial" w:hint="default"/>
      </w:rPr>
    </w:lvl>
    <w:lvl w:ilvl="1" w:tplc="CF2665CC" w:tentative="1">
      <w:start w:val="1"/>
      <w:numFmt w:val="bullet"/>
      <w:lvlText w:val="•"/>
      <w:lvlJc w:val="left"/>
      <w:pPr>
        <w:tabs>
          <w:tab w:val="num" w:pos="1440"/>
        </w:tabs>
        <w:ind w:left="1440" w:hanging="360"/>
      </w:pPr>
      <w:rPr>
        <w:rFonts w:ascii="Arial" w:hAnsi="Arial" w:hint="default"/>
      </w:rPr>
    </w:lvl>
    <w:lvl w:ilvl="2" w:tplc="DA7A2614" w:tentative="1">
      <w:start w:val="1"/>
      <w:numFmt w:val="bullet"/>
      <w:lvlText w:val="•"/>
      <w:lvlJc w:val="left"/>
      <w:pPr>
        <w:tabs>
          <w:tab w:val="num" w:pos="2160"/>
        </w:tabs>
        <w:ind w:left="2160" w:hanging="360"/>
      </w:pPr>
      <w:rPr>
        <w:rFonts w:ascii="Arial" w:hAnsi="Arial" w:hint="default"/>
      </w:rPr>
    </w:lvl>
    <w:lvl w:ilvl="3" w:tplc="25D83374" w:tentative="1">
      <w:start w:val="1"/>
      <w:numFmt w:val="bullet"/>
      <w:lvlText w:val="•"/>
      <w:lvlJc w:val="left"/>
      <w:pPr>
        <w:tabs>
          <w:tab w:val="num" w:pos="2880"/>
        </w:tabs>
        <w:ind w:left="2880" w:hanging="360"/>
      </w:pPr>
      <w:rPr>
        <w:rFonts w:ascii="Arial" w:hAnsi="Arial" w:hint="default"/>
      </w:rPr>
    </w:lvl>
    <w:lvl w:ilvl="4" w:tplc="46A0B7A6" w:tentative="1">
      <w:start w:val="1"/>
      <w:numFmt w:val="bullet"/>
      <w:lvlText w:val="•"/>
      <w:lvlJc w:val="left"/>
      <w:pPr>
        <w:tabs>
          <w:tab w:val="num" w:pos="3600"/>
        </w:tabs>
        <w:ind w:left="3600" w:hanging="360"/>
      </w:pPr>
      <w:rPr>
        <w:rFonts w:ascii="Arial" w:hAnsi="Arial" w:hint="default"/>
      </w:rPr>
    </w:lvl>
    <w:lvl w:ilvl="5" w:tplc="CEAAD058" w:tentative="1">
      <w:start w:val="1"/>
      <w:numFmt w:val="bullet"/>
      <w:lvlText w:val="•"/>
      <w:lvlJc w:val="left"/>
      <w:pPr>
        <w:tabs>
          <w:tab w:val="num" w:pos="4320"/>
        </w:tabs>
        <w:ind w:left="4320" w:hanging="360"/>
      </w:pPr>
      <w:rPr>
        <w:rFonts w:ascii="Arial" w:hAnsi="Arial" w:hint="default"/>
      </w:rPr>
    </w:lvl>
    <w:lvl w:ilvl="6" w:tplc="7542E6D0" w:tentative="1">
      <w:start w:val="1"/>
      <w:numFmt w:val="bullet"/>
      <w:lvlText w:val="•"/>
      <w:lvlJc w:val="left"/>
      <w:pPr>
        <w:tabs>
          <w:tab w:val="num" w:pos="5040"/>
        </w:tabs>
        <w:ind w:left="5040" w:hanging="360"/>
      </w:pPr>
      <w:rPr>
        <w:rFonts w:ascii="Arial" w:hAnsi="Arial" w:hint="default"/>
      </w:rPr>
    </w:lvl>
    <w:lvl w:ilvl="7" w:tplc="727EA7F0" w:tentative="1">
      <w:start w:val="1"/>
      <w:numFmt w:val="bullet"/>
      <w:lvlText w:val="•"/>
      <w:lvlJc w:val="left"/>
      <w:pPr>
        <w:tabs>
          <w:tab w:val="num" w:pos="5760"/>
        </w:tabs>
        <w:ind w:left="5760" w:hanging="360"/>
      </w:pPr>
      <w:rPr>
        <w:rFonts w:ascii="Arial" w:hAnsi="Arial" w:hint="default"/>
      </w:rPr>
    </w:lvl>
    <w:lvl w:ilvl="8" w:tplc="242E83B0" w:tentative="1">
      <w:start w:val="1"/>
      <w:numFmt w:val="bullet"/>
      <w:lvlText w:val="•"/>
      <w:lvlJc w:val="left"/>
      <w:pPr>
        <w:tabs>
          <w:tab w:val="num" w:pos="6480"/>
        </w:tabs>
        <w:ind w:left="6480" w:hanging="360"/>
      </w:pPr>
      <w:rPr>
        <w:rFonts w:ascii="Arial" w:hAnsi="Arial" w:hint="default"/>
      </w:r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nsid w:val="5CAC7550"/>
    <w:multiLevelType w:val="hybridMultilevel"/>
    <w:tmpl w:val="9DCC0B5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12A5349"/>
    <w:multiLevelType w:val="hybridMultilevel"/>
    <w:tmpl w:val="BDE811F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9FC477C"/>
    <w:multiLevelType w:val="hybridMultilevel"/>
    <w:tmpl w:val="2CECCDE6"/>
    <w:lvl w:ilvl="0" w:tplc="D3586E98">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nsid w:val="6CCF1267"/>
    <w:multiLevelType w:val="hybridMultilevel"/>
    <w:tmpl w:val="6EE849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1C43352"/>
    <w:multiLevelType w:val="hybridMultilevel"/>
    <w:tmpl w:val="052819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35"/>
  </w:num>
  <w:num w:numId="3">
    <w:abstractNumId w:val="0"/>
  </w:num>
  <w:num w:numId="4">
    <w:abstractNumId w:val="15"/>
  </w:num>
  <w:num w:numId="5">
    <w:abstractNumId w:val="28"/>
  </w:num>
  <w:num w:numId="6">
    <w:abstractNumId w:val="6"/>
  </w:num>
  <w:num w:numId="7">
    <w:abstractNumId w:val="36"/>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12"/>
  </w:num>
  <w:num w:numId="13">
    <w:abstractNumId w:val="13"/>
  </w:num>
  <w:num w:numId="14">
    <w:abstractNumId w:val="32"/>
  </w:num>
  <w:num w:numId="15">
    <w:abstractNumId w:val="29"/>
  </w:num>
  <w:num w:numId="16">
    <w:abstractNumId w:val="31"/>
  </w:num>
  <w:num w:numId="17">
    <w:abstractNumId w:val="3"/>
  </w:num>
  <w:num w:numId="18">
    <w:abstractNumId w:val="10"/>
  </w:num>
  <w:num w:numId="19">
    <w:abstractNumId w:val="11"/>
  </w:num>
  <w:num w:numId="20">
    <w:abstractNumId w:val="16"/>
  </w:num>
  <w:num w:numId="21">
    <w:abstractNumId w:val="18"/>
  </w:num>
  <w:num w:numId="22">
    <w:abstractNumId w:val="34"/>
  </w:num>
  <w:num w:numId="23">
    <w:abstractNumId w:val="9"/>
  </w:num>
  <w:num w:numId="24">
    <w:abstractNumId w:val="19"/>
  </w:num>
  <w:num w:numId="25">
    <w:abstractNumId w:val="26"/>
  </w:num>
  <w:num w:numId="26">
    <w:abstractNumId w:val="4"/>
  </w:num>
  <w:num w:numId="27">
    <w:abstractNumId w:val="14"/>
  </w:num>
  <w:num w:numId="28">
    <w:abstractNumId w:val="17"/>
  </w:num>
  <w:num w:numId="29">
    <w:abstractNumId w:val="37"/>
  </w:num>
  <w:num w:numId="30">
    <w:abstractNumId w:val="23"/>
  </w:num>
  <w:num w:numId="31">
    <w:abstractNumId w:val="8"/>
  </w:num>
  <w:num w:numId="32">
    <w:abstractNumId w:val="25"/>
  </w:num>
  <w:num w:numId="33">
    <w:abstractNumId w:val="33"/>
  </w:num>
  <w:num w:numId="34">
    <w:abstractNumId w:val="27"/>
  </w:num>
  <w:num w:numId="35">
    <w:abstractNumId w:val="24"/>
  </w:num>
  <w:num w:numId="36">
    <w:abstractNumId w:val="2"/>
  </w:num>
  <w:num w:numId="37">
    <w:abstractNumId w:val="30"/>
  </w:num>
  <w:num w:numId="38">
    <w:abstractNumId w:val="5"/>
  </w:num>
  <w:num w:numId="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2A9C"/>
    <w:rsid w:val="00000869"/>
    <w:rsid w:val="00002F92"/>
    <w:rsid w:val="00005591"/>
    <w:rsid w:val="00011A44"/>
    <w:rsid w:val="0002227C"/>
    <w:rsid w:val="00036072"/>
    <w:rsid w:val="00050776"/>
    <w:rsid w:val="000513A5"/>
    <w:rsid w:val="00071D9A"/>
    <w:rsid w:val="0008441F"/>
    <w:rsid w:val="000A019B"/>
    <w:rsid w:val="000A321B"/>
    <w:rsid w:val="000C24BE"/>
    <w:rsid w:val="000E4AA8"/>
    <w:rsid w:val="001144F6"/>
    <w:rsid w:val="00124F66"/>
    <w:rsid w:val="00131C4C"/>
    <w:rsid w:val="00134642"/>
    <w:rsid w:val="001418DE"/>
    <w:rsid w:val="001444FB"/>
    <w:rsid w:val="00163507"/>
    <w:rsid w:val="00175816"/>
    <w:rsid w:val="001A76C4"/>
    <w:rsid w:val="001D0EDF"/>
    <w:rsid w:val="001F3211"/>
    <w:rsid w:val="00217B9D"/>
    <w:rsid w:val="00223A4F"/>
    <w:rsid w:val="002247C8"/>
    <w:rsid w:val="00226865"/>
    <w:rsid w:val="002276B3"/>
    <w:rsid w:val="00227E15"/>
    <w:rsid w:val="00235033"/>
    <w:rsid w:val="00246D80"/>
    <w:rsid w:val="00297069"/>
    <w:rsid w:val="00297949"/>
    <w:rsid w:val="002A7FEA"/>
    <w:rsid w:val="002B55DB"/>
    <w:rsid w:val="002F2D7C"/>
    <w:rsid w:val="003063B2"/>
    <w:rsid w:val="003212A1"/>
    <w:rsid w:val="003336B3"/>
    <w:rsid w:val="00333E14"/>
    <w:rsid w:val="00362BFA"/>
    <w:rsid w:val="00376E4B"/>
    <w:rsid w:val="00394B10"/>
    <w:rsid w:val="003B3CC3"/>
    <w:rsid w:val="003E3590"/>
    <w:rsid w:val="003E6824"/>
    <w:rsid w:val="003E753D"/>
    <w:rsid w:val="003F0F4D"/>
    <w:rsid w:val="00402ADC"/>
    <w:rsid w:val="00406E3F"/>
    <w:rsid w:val="0042200E"/>
    <w:rsid w:val="004418AC"/>
    <w:rsid w:val="00450BB9"/>
    <w:rsid w:val="00491F56"/>
    <w:rsid w:val="004A147A"/>
    <w:rsid w:val="004C2801"/>
    <w:rsid w:val="004C4DFB"/>
    <w:rsid w:val="004D1963"/>
    <w:rsid w:val="004D35EA"/>
    <w:rsid w:val="004E3988"/>
    <w:rsid w:val="00503635"/>
    <w:rsid w:val="00503E2D"/>
    <w:rsid w:val="00511276"/>
    <w:rsid w:val="005141B7"/>
    <w:rsid w:val="00551420"/>
    <w:rsid w:val="00555109"/>
    <w:rsid w:val="00580DB8"/>
    <w:rsid w:val="005925E3"/>
    <w:rsid w:val="005B711E"/>
    <w:rsid w:val="005D5D0E"/>
    <w:rsid w:val="00604F0C"/>
    <w:rsid w:val="006351E2"/>
    <w:rsid w:val="00641181"/>
    <w:rsid w:val="0067037C"/>
    <w:rsid w:val="00687F9B"/>
    <w:rsid w:val="00690965"/>
    <w:rsid w:val="006A3BEC"/>
    <w:rsid w:val="006B00E6"/>
    <w:rsid w:val="006B621D"/>
    <w:rsid w:val="006C1CC0"/>
    <w:rsid w:val="006C1FF6"/>
    <w:rsid w:val="006C2D18"/>
    <w:rsid w:val="006C4DD8"/>
    <w:rsid w:val="006C4F66"/>
    <w:rsid w:val="006C75CB"/>
    <w:rsid w:val="006D4960"/>
    <w:rsid w:val="006F18FF"/>
    <w:rsid w:val="00711AD1"/>
    <w:rsid w:val="00715D30"/>
    <w:rsid w:val="00722B25"/>
    <w:rsid w:val="007274B5"/>
    <w:rsid w:val="00741A39"/>
    <w:rsid w:val="00745869"/>
    <w:rsid w:val="00756B83"/>
    <w:rsid w:val="007841E9"/>
    <w:rsid w:val="00790439"/>
    <w:rsid w:val="007A25C7"/>
    <w:rsid w:val="007A4130"/>
    <w:rsid w:val="007B5774"/>
    <w:rsid w:val="007D1F81"/>
    <w:rsid w:val="007D2076"/>
    <w:rsid w:val="007F12CB"/>
    <w:rsid w:val="007F23FB"/>
    <w:rsid w:val="007F7E8B"/>
    <w:rsid w:val="0082598E"/>
    <w:rsid w:val="00855E58"/>
    <w:rsid w:val="00871CFA"/>
    <w:rsid w:val="008741F9"/>
    <w:rsid w:val="008A73B6"/>
    <w:rsid w:val="008B528F"/>
    <w:rsid w:val="008E0527"/>
    <w:rsid w:val="008F77A1"/>
    <w:rsid w:val="0090013D"/>
    <w:rsid w:val="00905711"/>
    <w:rsid w:val="009219D3"/>
    <w:rsid w:val="0094757B"/>
    <w:rsid w:val="00972B54"/>
    <w:rsid w:val="009D181A"/>
    <w:rsid w:val="009E02A3"/>
    <w:rsid w:val="00A1113C"/>
    <w:rsid w:val="00A11DE4"/>
    <w:rsid w:val="00A373F4"/>
    <w:rsid w:val="00A4158B"/>
    <w:rsid w:val="00A47446"/>
    <w:rsid w:val="00A50760"/>
    <w:rsid w:val="00A65AC3"/>
    <w:rsid w:val="00A85A0B"/>
    <w:rsid w:val="00AA08C7"/>
    <w:rsid w:val="00AA72E6"/>
    <w:rsid w:val="00AB002E"/>
    <w:rsid w:val="00AB008A"/>
    <w:rsid w:val="00AE24C8"/>
    <w:rsid w:val="00AF2A9C"/>
    <w:rsid w:val="00B101DD"/>
    <w:rsid w:val="00B37A8D"/>
    <w:rsid w:val="00B43B41"/>
    <w:rsid w:val="00B44BDC"/>
    <w:rsid w:val="00B466E1"/>
    <w:rsid w:val="00B65507"/>
    <w:rsid w:val="00B83268"/>
    <w:rsid w:val="00B846EB"/>
    <w:rsid w:val="00B93D7F"/>
    <w:rsid w:val="00B959BE"/>
    <w:rsid w:val="00BA7B52"/>
    <w:rsid w:val="00BC7095"/>
    <w:rsid w:val="00BC76E5"/>
    <w:rsid w:val="00C11DE7"/>
    <w:rsid w:val="00C4575D"/>
    <w:rsid w:val="00C473AB"/>
    <w:rsid w:val="00C6719C"/>
    <w:rsid w:val="00C74E6C"/>
    <w:rsid w:val="00C8223D"/>
    <w:rsid w:val="00CA1DE3"/>
    <w:rsid w:val="00CC3DBC"/>
    <w:rsid w:val="00CC704E"/>
    <w:rsid w:val="00CF38DF"/>
    <w:rsid w:val="00CF44C9"/>
    <w:rsid w:val="00CF6719"/>
    <w:rsid w:val="00D35A0F"/>
    <w:rsid w:val="00D471E9"/>
    <w:rsid w:val="00D57107"/>
    <w:rsid w:val="00D84DB0"/>
    <w:rsid w:val="00DA7EFE"/>
    <w:rsid w:val="00DC1252"/>
    <w:rsid w:val="00DC266F"/>
    <w:rsid w:val="00DD20AC"/>
    <w:rsid w:val="00DD7A89"/>
    <w:rsid w:val="00DE1745"/>
    <w:rsid w:val="00DE4D77"/>
    <w:rsid w:val="00DF1926"/>
    <w:rsid w:val="00E01755"/>
    <w:rsid w:val="00E13F05"/>
    <w:rsid w:val="00E158C5"/>
    <w:rsid w:val="00E34BBE"/>
    <w:rsid w:val="00E60069"/>
    <w:rsid w:val="00E748C6"/>
    <w:rsid w:val="00E82E07"/>
    <w:rsid w:val="00E87248"/>
    <w:rsid w:val="00E958A4"/>
    <w:rsid w:val="00E96632"/>
    <w:rsid w:val="00EA0CD7"/>
    <w:rsid w:val="00EB2DBC"/>
    <w:rsid w:val="00EC68B9"/>
    <w:rsid w:val="00EE3FAD"/>
    <w:rsid w:val="00EF6B78"/>
    <w:rsid w:val="00F05B81"/>
    <w:rsid w:val="00F07873"/>
    <w:rsid w:val="00F548C9"/>
    <w:rsid w:val="00F66B7D"/>
    <w:rsid w:val="00F95CED"/>
    <w:rsid w:val="00FC27FC"/>
    <w:rsid w:val="00FE2089"/>
    <w:rsid w:val="00FF4A2A"/>
    <w:rsid w:val="00FF6291"/>
    <w:rsid w:val="00FF64F2"/>
    <w:rsid w:val="00FF6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467A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C4F66"/>
    <w:rPr>
      <w:rFonts w:ascii="Times New Roman" w:hAnsi="Times New Roman" w:cs="Times New Roman"/>
      <w:lang w:eastAsia="en-GB"/>
    </w:rPr>
  </w:style>
  <w:style w:type="paragraph" w:styleId="Heading1">
    <w:name w:val="heading 1"/>
    <w:basedOn w:val="Normal"/>
    <w:next w:val="Normal"/>
    <w:link w:val="Heading1Char"/>
    <w:uiPriority w:val="99"/>
    <w:qFormat/>
    <w:rsid w:val="001418DE"/>
    <w:pPr>
      <w:keepNext/>
      <w:outlineLvl w:val="0"/>
    </w:pPr>
    <w:rPr>
      <w:rFonts w:ascii="Cambria" w:eastAsia="Times New Roman" w:hAnsi="Cambria"/>
      <w:b/>
      <w:bCs/>
      <w:sz w:val="28"/>
      <w:lang w:eastAsia="x-none"/>
    </w:rPr>
  </w:style>
  <w:style w:type="paragraph" w:styleId="Heading4">
    <w:name w:val="heading 4"/>
    <w:basedOn w:val="Normal"/>
    <w:next w:val="Normal"/>
    <w:link w:val="Heading4Char"/>
    <w:uiPriority w:val="99"/>
    <w:qFormat/>
    <w:rsid w:val="001418DE"/>
    <w:pPr>
      <w:keepNext/>
      <w:spacing w:before="240" w:after="60"/>
      <w:outlineLvl w:val="3"/>
    </w:pPr>
    <w:rPr>
      <w:rFonts w:eastAsia="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418DE"/>
    <w:rPr>
      <w:rFonts w:ascii="Cambria" w:eastAsia="Times New Roman" w:hAnsi="Cambria" w:cs="Times New Roman"/>
      <w:b/>
      <w:bCs/>
      <w:sz w:val="28"/>
      <w:lang w:eastAsia="x-none"/>
    </w:rPr>
  </w:style>
  <w:style w:type="character" w:customStyle="1" w:styleId="Heading4Char">
    <w:name w:val="Heading 4 Char"/>
    <w:basedOn w:val="DefaultParagraphFont"/>
    <w:link w:val="Heading4"/>
    <w:uiPriority w:val="99"/>
    <w:rsid w:val="001418DE"/>
    <w:rPr>
      <w:rFonts w:ascii="Times New Roman" w:eastAsia="Times New Roman" w:hAnsi="Times New Roman" w:cs="Times New Roman"/>
      <w:b/>
      <w:bCs/>
      <w:sz w:val="28"/>
      <w:szCs w:val="28"/>
    </w:rPr>
  </w:style>
  <w:style w:type="paragraph" w:customStyle="1" w:styleId="paragraph">
    <w:name w:val="paragraph"/>
    <w:basedOn w:val="Normal"/>
    <w:rsid w:val="00BC76E5"/>
    <w:pPr>
      <w:spacing w:before="100" w:beforeAutospacing="1" w:after="100" w:afterAutospacing="1"/>
    </w:pPr>
  </w:style>
  <w:style w:type="character" w:customStyle="1" w:styleId="normaltextrun">
    <w:name w:val="normaltextrun"/>
    <w:basedOn w:val="DefaultParagraphFont"/>
    <w:rsid w:val="00BC76E5"/>
  </w:style>
  <w:style w:type="character" w:customStyle="1" w:styleId="eop">
    <w:name w:val="eop"/>
    <w:basedOn w:val="DefaultParagraphFont"/>
    <w:rsid w:val="00BC76E5"/>
  </w:style>
  <w:style w:type="paragraph" w:styleId="ListParagraph">
    <w:name w:val="List Paragraph"/>
    <w:basedOn w:val="Normal"/>
    <w:uiPriority w:val="34"/>
    <w:qFormat/>
    <w:rsid w:val="00B43B41"/>
    <w:pPr>
      <w:ind w:left="720"/>
      <w:contextualSpacing/>
    </w:pPr>
  </w:style>
  <w:style w:type="table" w:styleId="TableGrid">
    <w:name w:val="Table Grid"/>
    <w:basedOn w:val="TableNormal"/>
    <w:rsid w:val="001418D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rsid w:val="001418DE"/>
    <w:pPr>
      <w:tabs>
        <w:tab w:val="center" w:pos="4153"/>
        <w:tab w:val="right" w:pos="8306"/>
      </w:tabs>
    </w:pPr>
    <w:rPr>
      <w:rFonts w:eastAsia="Times New Roman"/>
      <w:lang w:val="x-none" w:eastAsia="x-none"/>
    </w:rPr>
  </w:style>
  <w:style w:type="character" w:customStyle="1" w:styleId="FooterChar">
    <w:name w:val="Footer Char"/>
    <w:basedOn w:val="DefaultParagraphFont"/>
    <w:link w:val="Footer"/>
    <w:uiPriority w:val="99"/>
    <w:rsid w:val="001418DE"/>
    <w:rPr>
      <w:rFonts w:ascii="Times New Roman" w:eastAsia="Times New Roman" w:hAnsi="Times New Roman" w:cs="Times New Roman"/>
      <w:lang w:val="x-none" w:eastAsia="x-none"/>
    </w:rPr>
  </w:style>
  <w:style w:type="character" w:customStyle="1" w:styleId="apple-style-span">
    <w:name w:val="apple-style-span"/>
    <w:rsid w:val="001418DE"/>
  </w:style>
  <w:style w:type="paragraph" w:customStyle="1" w:styleId="NormalWeb1">
    <w:name w:val="Normal (Web)1"/>
    <w:basedOn w:val="Normal"/>
    <w:uiPriority w:val="99"/>
    <w:rsid w:val="001418DE"/>
    <w:rPr>
      <w:rFonts w:eastAsia="Calibri"/>
    </w:rPr>
  </w:style>
  <w:style w:type="character" w:customStyle="1" w:styleId="nw1">
    <w:name w:val="nw1"/>
    <w:uiPriority w:val="99"/>
    <w:rsid w:val="001418DE"/>
  </w:style>
  <w:style w:type="paragraph" w:styleId="BodyText2">
    <w:name w:val="Body Text 2"/>
    <w:basedOn w:val="Normal"/>
    <w:link w:val="BodyText2Char"/>
    <w:uiPriority w:val="99"/>
    <w:rsid w:val="001418DE"/>
    <w:pPr>
      <w:ind w:left="720" w:hanging="720"/>
    </w:pPr>
    <w:rPr>
      <w:rFonts w:eastAsia="Times New Roman"/>
      <w:b/>
      <w:bCs/>
      <w:sz w:val="22"/>
      <w:szCs w:val="22"/>
      <w:lang w:eastAsia="en-US"/>
    </w:rPr>
  </w:style>
  <w:style w:type="character" w:customStyle="1" w:styleId="BodyText2Char">
    <w:name w:val="Body Text 2 Char"/>
    <w:basedOn w:val="DefaultParagraphFont"/>
    <w:link w:val="BodyText2"/>
    <w:uiPriority w:val="99"/>
    <w:rsid w:val="001418DE"/>
    <w:rPr>
      <w:rFonts w:ascii="Times New Roman" w:eastAsia="Times New Roman" w:hAnsi="Times New Roman" w:cs="Times New Roman"/>
      <w:b/>
      <w:bCs/>
      <w:sz w:val="22"/>
      <w:szCs w:val="22"/>
    </w:rPr>
  </w:style>
  <w:style w:type="paragraph" w:customStyle="1" w:styleId="deannah1">
    <w:name w:val="deannah1"/>
    <w:basedOn w:val="Normal"/>
    <w:uiPriority w:val="99"/>
    <w:rsid w:val="001418DE"/>
    <w:pPr>
      <w:keepNext/>
      <w:spacing w:after="240"/>
    </w:pPr>
    <w:rPr>
      <w:rFonts w:eastAsia="Times New Roman"/>
      <w:b/>
      <w:bCs/>
      <w:lang w:eastAsia="en-US"/>
    </w:rPr>
  </w:style>
  <w:style w:type="paragraph" w:styleId="BalloonText">
    <w:name w:val="Balloon Text"/>
    <w:basedOn w:val="Normal"/>
    <w:link w:val="BalloonTextChar"/>
    <w:uiPriority w:val="99"/>
    <w:semiHidden/>
    <w:rsid w:val="001418DE"/>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1418DE"/>
    <w:rPr>
      <w:rFonts w:ascii="Tahoma" w:eastAsia="Times New Roman" w:hAnsi="Tahoma" w:cs="Tahoma"/>
      <w:sz w:val="16"/>
      <w:szCs w:val="16"/>
    </w:rPr>
  </w:style>
  <w:style w:type="character" w:styleId="Hyperlink">
    <w:name w:val="Hyperlink"/>
    <w:rsid w:val="001418DE"/>
    <w:rPr>
      <w:color w:val="0000FF"/>
      <w:u w:val="single"/>
    </w:rPr>
  </w:style>
  <w:style w:type="character" w:customStyle="1" w:styleId="HeaderChar">
    <w:name w:val="Header Char"/>
    <w:basedOn w:val="DefaultParagraphFont"/>
    <w:link w:val="Header"/>
    <w:uiPriority w:val="99"/>
    <w:semiHidden/>
    <w:rsid w:val="001418DE"/>
    <w:rPr>
      <w:rFonts w:ascii="Times New Roman" w:eastAsia="Times New Roman" w:hAnsi="Times New Roman" w:cs="Times New Roman"/>
      <w:sz w:val="20"/>
      <w:szCs w:val="20"/>
    </w:rPr>
  </w:style>
  <w:style w:type="paragraph" w:styleId="Header">
    <w:name w:val="header"/>
    <w:basedOn w:val="Normal"/>
    <w:link w:val="HeaderChar"/>
    <w:uiPriority w:val="99"/>
    <w:semiHidden/>
    <w:rsid w:val="001418DE"/>
    <w:pPr>
      <w:tabs>
        <w:tab w:val="center" w:pos="4513"/>
        <w:tab w:val="right" w:pos="9026"/>
      </w:tabs>
    </w:pPr>
    <w:rPr>
      <w:rFonts w:eastAsia="Times New Roman"/>
      <w:sz w:val="20"/>
      <w:szCs w:val="20"/>
      <w:lang w:eastAsia="en-US"/>
    </w:rPr>
  </w:style>
  <w:style w:type="paragraph" w:styleId="NormalWeb">
    <w:name w:val="Normal (Web)"/>
    <w:basedOn w:val="Normal"/>
    <w:uiPriority w:val="99"/>
    <w:rsid w:val="001418DE"/>
    <w:pPr>
      <w:spacing w:before="100" w:beforeAutospacing="1" w:after="100" w:afterAutospacing="1"/>
    </w:pPr>
    <w:rPr>
      <w:rFonts w:eastAsia="Times New Roman"/>
    </w:rPr>
  </w:style>
  <w:style w:type="character" w:customStyle="1" w:styleId="Hyperlink1">
    <w:name w:val="Hyperlink1"/>
    <w:uiPriority w:val="99"/>
    <w:rsid w:val="001418DE"/>
    <w:rPr>
      <w:color w:val="535353"/>
      <w:u w:val="single"/>
      <w:effect w:val="none"/>
    </w:rPr>
  </w:style>
  <w:style w:type="character" w:styleId="PageNumber">
    <w:name w:val="page number"/>
    <w:basedOn w:val="DefaultParagraphFont"/>
    <w:uiPriority w:val="99"/>
    <w:rsid w:val="001418DE"/>
  </w:style>
  <w:style w:type="character" w:styleId="CommentReference">
    <w:name w:val="annotation reference"/>
    <w:uiPriority w:val="99"/>
    <w:semiHidden/>
    <w:unhideWhenUsed/>
    <w:rsid w:val="001418DE"/>
    <w:rPr>
      <w:sz w:val="16"/>
      <w:szCs w:val="16"/>
    </w:rPr>
  </w:style>
  <w:style w:type="paragraph" w:styleId="CommentText">
    <w:name w:val="annotation text"/>
    <w:basedOn w:val="Normal"/>
    <w:link w:val="CommentTextChar"/>
    <w:uiPriority w:val="99"/>
    <w:semiHidden/>
    <w:unhideWhenUsed/>
    <w:rsid w:val="001418DE"/>
    <w:rPr>
      <w:rFonts w:eastAsia="Times New Roman"/>
      <w:sz w:val="20"/>
      <w:szCs w:val="20"/>
      <w:lang w:eastAsia="en-US"/>
    </w:rPr>
  </w:style>
  <w:style w:type="character" w:customStyle="1" w:styleId="CommentTextChar">
    <w:name w:val="Comment Text Char"/>
    <w:basedOn w:val="DefaultParagraphFont"/>
    <w:link w:val="CommentText"/>
    <w:uiPriority w:val="99"/>
    <w:semiHidden/>
    <w:rsid w:val="001418D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418DE"/>
    <w:rPr>
      <w:b/>
      <w:bCs/>
    </w:rPr>
  </w:style>
  <w:style w:type="character" w:customStyle="1" w:styleId="CommentSubjectChar">
    <w:name w:val="Comment Subject Char"/>
    <w:basedOn w:val="CommentTextChar"/>
    <w:link w:val="CommentSubject"/>
    <w:uiPriority w:val="99"/>
    <w:semiHidden/>
    <w:rsid w:val="001418DE"/>
    <w:rPr>
      <w:rFonts w:ascii="Times New Roman" w:eastAsia="Times New Roman" w:hAnsi="Times New Roman" w:cs="Times New Roman"/>
      <w:b/>
      <w:bCs/>
      <w:sz w:val="20"/>
      <w:szCs w:val="20"/>
    </w:rPr>
  </w:style>
  <w:style w:type="character" w:styleId="Strong">
    <w:name w:val="Strong"/>
    <w:uiPriority w:val="22"/>
    <w:qFormat/>
    <w:rsid w:val="001418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581470">
      <w:bodyDiv w:val="1"/>
      <w:marLeft w:val="0"/>
      <w:marRight w:val="0"/>
      <w:marTop w:val="0"/>
      <w:marBottom w:val="0"/>
      <w:divBdr>
        <w:top w:val="none" w:sz="0" w:space="0" w:color="auto"/>
        <w:left w:val="none" w:sz="0" w:space="0" w:color="auto"/>
        <w:bottom w:val="none" w:sz="0" w:space="0" w:color="auto"/>
        <w:right w:val="none" w:sz="0" w:space="0" w:color="auto"/>
      </w:divBdr>
      <w:divsChild>
        <w:div w:id="1749961553">
          <w:marLeft w:val="0"/>
          <w:marRight w:val="0"/>
          <w:marTop w:val="0"/>
          <w:marBottom w:val="0"/>
          <w:divBdr>
            <w:top w:val="none" w:sz="0" w:space="0" w:color="auto"/>
            <w:left w:val="none" w:sz="0" w:space="0" w:color="auto"/>
            <w:bottom w:val="none" w:sz="0" w:space="0" w:color="auto"/>
            <w:right w:val="none" w:sz="0" w:space="0" w:color="auto"/>
          </w:divBdr>
        </w:div>
      </w:divsChild>
    </w:div>
    <w:div w:id="94442662">
      <w:bodyDiv w:val="1"/>
      <w:marLeft w:val="0"/>
      <w:marRight w:val="0"/>
      <w:marTop w:val="0"/>
      <w:marBottom w:val="0"/>
      <w:divBdr>
        <w:top w:val="none" w:sz="0" w:space="0" w:color="auto"/>
        <w:left w:val="none" w:sz="0" w:space="0" w:color="auto"/>
        <w:bottom w:val="none" w:sz="0" w:space="0" w:color="auto"/>
        <w:right w:val="none" w:sz="0" w:space="0" w:color="auto"/>
      </w:divBdr>
    </w:div>
    <w:div w:id="239953190">
      <w:bodyDiv w:val="1"/>
      <w:marLeft w:val="0"/>
      <w:marRight w:val="0"/>
      <w:marTop w:val="0"/>
      <w:marBottom w:val="0"/>
      <w:divBdr>
        <w:top w:val="none" w:sz="0" w:space="0" w:color="auto"/>
        <w:left w:val="none" w:sz="0" w:space="0" w:color="auto"/>
        <w:bottom w:val="none" w:sz="0" w:space="0" w:color="auto"/>
        <w:right w:val="none" w:sz="0" w:space="0" w:color="auto"/>
      </w:divBdr>
    </w:div>
    <w:div w:id="269776063">
      <w:bodyDiv w:val="1"/>
      <w:marLeft w:val="0"/>
      <w:marRight w:val="0"/>
      <w:marTop w:val="0"/>
      <w:marBottom w:val="0"/>
      <w:divBdr>
        <w:top w:val="none" w:sz="0" w:space="0" w:color="auto"/>
        <w:left w:val="none" w:sz="0" w:space="0" w:color="auto"/>
        <w:bottom w:val="none" w:sz="0" w:space="0" w:color="auto"/>
        <w:right w:val="none" w:sz="0" w:space="0" w:color="auto"/>
      </w:divBdr>
    </w:div>
    <w:div w:id="309749773">
      <w:bodyDiv w:val="1"/>
      <w:marLeft w:val="0"/>
      <w:marRight w:val="0"/>
      <w:marTop w:val="0"/>
      <w:marBottom w:val="0"/>
      <w:divBdr>
        <w:top w:val="none" w:sz="0" w:space="0" w:color="auto"/>
        <w:left w:val="none" w:sz="0" w:space="0" w:color="auto"/>
        <w:bottom w:val="none" w:sz="0" w:space="0" w:color="auto"/>
        <w:right w:val="none" w:sz="0" w:space="0" w:color="auto"/>
      </w:divBdr>
    </w:div>
    <w:div w:id="333384752">
      <w:bodyDiv w:val="1"/>
      <w:marLeft w:val="0"/>
      <w:marRight w:val="0"/>
      <w:marTop w:val="0"/>
      <w:marBottom w:val="0"/>
      <w:divBdr>
        <w:top w:val="none" w:sz="0" w:space="0" w:color="auto"/>
        <w:left w:val="none" w:sz="0" w:space="0" w:color="auto"/>
        <w:bottom w:val="none" w:sz="0" w:space="0" w:color="auto"/>
        <w:right w:val="none" w:sz="0" w:space="0" w:color="auto"/>
      </w:divBdr>
      <w:divsChild>
        <w:div w:id="1267497559">
          <w:marLeft w:val="446"/>
          <w:marRight w:val="0"/>
          <w:marTop w:val="0"/>
          <w:marBottom w:val="0"/>
          <w:divBdr>
            <w:top w:val="none" w:sz="0" w:space="0" w:color="auto"/>
            <w:left w:val="none" w:sz="0" w:space="0" w:color="auto"/>
            <w:bottom w:val="none" w:sz="0" w:space="0" w:color="auto"/>
            <w:right w:val="none" w:sz="0" w:space="0" w:color="auto"/>
          </w:divBdr>
        </w:div>
      </w:divsChild>
    </w:div>
    <w:div w:id="368920518">
      <w:bodyDiv w:val="1"/>
      <w:marLeft w:val="0"/>
      <w:marRight w:val="0"/>
      <w:marTop w:val="0"/>
      <w:marBottom w:val="0"/>
      <w:divBdr>
        <w:top w:val="none" w:sz="0" w:space="0" w:color="auto"/>
        <w:left w:val="none" w:sz="0" w:space="0" w:color="auto"/>
        <w:bottom w:val="none" w:sz="0" w:space="0" w:color="auto"/>
        <w:right w:val="none" w:sz="0" w:space="0" w:color="auto"/>
      </w:divBdr>
    </w:div>
    <w:div w:id="408964401">
      <w:bodyDiv w:val="1"/>
      <w:marLeft w:val="0"/>
      <w:marRight w:val="0"/>
      <w:marTop w:val="0"/>
      <w:marBottom w:val="0"/>
      <w:divBdr>
        <w:top w:val="none" w:sz="0" w:space="0" w:color="auto"/>
        <w:left w:val="none" w:sz="0" w:space="0" w:color="auto"/>
        <w:bottom w:val="none" w:sz="0" w:space="0" w:color="auto"/>
        <w:right w:val="none" w:sz="0" w:space="0" w:color="auto"/>
      </w:divBdr>
    </w:div>
    <w:div w:id="471559036">
      <w:bodyDiv w:val="1"/>
      <w:marLeft w:val="0"/>
      <w:marRight w:val="0"/>
      <w:marTop w:val="0"/>
      <w:marBottom w:val="0"/>
      <w:divBdr>
        <w:top w:val="none" w:sz="0" w:space="0" w:color="auto"/>
        <w:left w:val="none" w:sz="0" w:space="0" w:color="auto"/>
        <w:bottom w:val="none" w:sz="0" w:space="0" w:color="auto"/>
        <w:right w:val="none" w:sz="0" w:space="0" w:color="auto"/>
      </w:divBdr>
      <w:divsChild>
        <w:div w:id="1891726058">
          <w:marLeft w:val="0"/>
          <w:marRight w:val="0"/>
          <w:marTop w:val="0"/>
          <w:marBottom w:val="0"/>
          <w:divBdr>
            <w:top w:val="none" w:sz="0" w:space="0" w:color="auto"/>
            <w:left w:val="none" w:sz="0" w:space="0" w:color="auto"/>
            <w:bottom w:val="none" w:sz="0" w:space="0" w:color="auto"/>
            <w:right w:val="none" w:sz="0" w:space="0" w:color="auto"/>
          </w:divBdr>
        </w:div>
      </w:divsChild>
    </w:div>
    <w:div w:id="523979709">
      <w:bodyDiv w:val="1"/>
      <w:marLeft w:val="0"/>
      <w:marRight w:val="0"/>
      <w:marTop w:val="0"/>
      <w:marBottom w:val="0"/>
      <w:divBdr>
        <w:top w:val="none" w:sz="0" w:space="0" w:color="auto"/>
        <w:left w:val="none" w:sz="0" w:space="0" w:color="auto"/>
        <w:bottom w:val="none" w:sz="0" w:space="0" w:color="auto"/>
        <w:right w:val="none" w:sz="0" w:space="0" w:color="auto"/>
      </w:divBdr>
    </w:div>
    <w:div w:id="663045978">
      <w:bodyDiv w:val="1"/>
      <w:marLeft w:val="0"/>
      <w:marRight w:val="0"/>
      <w:marTop w:val="0"/>
      <w:marBottom w:val="0"/>
      <w:divBdr>
        <w:top w:val="none" w:sz="0" w:space="0" w:color="auto"/>
        <w:left w:val="none" w:sz="0" w:space="0" w:color="auto"/>
        <w:bottom w:val="none" w:sz="0" w:space="0" w:color="auto"/>
        <w:right w:val="none" w:sz="0" w:space="0" w:color="auto"/>
      </w:divBdr>
    </w:div>
    <w:div w:id="709649645">
      <w:bodyDiv w:val="1"/>
      <w:marLeft w:val="0"/>
      <w:marRight w:val="0"/>
      <w:marTop w:val="0"/>
      <w:marBottom w:val="0"/>
      <w:divBdr>
        <w:top w:val="none" w:sz="0" w:space="0" w:color="auto"/>
        <w:left w:val="none" w:sz="0" w:space="0" w:color="auto"/>
        <w:bottom w:val="none" w:sz="0" w:space="0" w:color="auto"/>
        <w:right w:val="none" w:sz="0" w:space="0" w:color="auto"/>
      </w:divBdr>
    </w:div>
    <w:div w:id="712383723">
      <w:bodyDiv w:val="1"/>
      <w:marLeft w:val="0"/>
      <w:marRight w:val="0"/>
      <w:marTop w:val="0"/>
      <w:marBottom w:val="0"/>
      <w:divBdr>
        <w:top w:val="none" w:sz="0" w:space="0" w:color="auto"/>
        <w:left w:val="none" w:sz="0" w:space="0" w:color="auto"/>
        <w:bottom w:val="none" w:sz="0" w:space="0" w:color="auto"/>
        <w:right w:val="none" w:sz="0" w:space="0" w:color="auto"/>
      </w:divBdr>
    </w:div>
    <w:div w:id="717752174">
      <w:bodyDiv w:val="1"/>
      <w:marLeft w:val="0"/>
      <w:marRight w:val="0"/>
      <w:marTop w:val="0"/>
      <w:marBottom w:val="0"/>
      <w:divBdr>
        <w:top w:val="none" w:sz="0" w:space="0" w:color="auto"/>
        <w:left w:val="none" w:sz="0" w:space="0" w:color="auto"/>
        <w:bottom w:val="none" w:sz="0" w:space="0" w:color="auto"/>
        <w:right w:val="none" w:sz="0" w:space="0" w:color="auto"/>
      </w:divBdr>
    </w:div>
    <w:div w:id="729228667">
      <w:bodyDiv w:val="1"/>
      <w:marLeft w:val="0"/>
      <w:marRight w:val="0"/>
      <w:marTop w:val="0"/>
      <w:marBottom w:val="0"/>
      <w:divBdr>
        <w:top w:val="none" w:sz="0" w:space="0" w:color="auto"/>
        <w:left w:val="none" w:sz="0" w:space="0" w:color="auto"/>
        <w:bottom w:val="none" w:sz="0" w:space="0" w:color="auto"/>
        <w:right w:val="none" w:sz="0" w:space="0" w:color="auto"/>
      </w:divBdr>
    </w:div>
    <w:div w:id="741831538">
      <w:bodyDiv w:val="1"/>
      <w:marLeft w:val="0"/>
      <w:marRight w:val="0"/>
      <w:marTop w:val="0"/>
      <w:marBottom w:val="0"/>
      <w:divBdr>
        <w:top w:val="none" w:sz="0" w:space="0" w:color="auto"/>
        <w:left w:val="none" w:sz="0" w:space="0" w:color="auto"/>
        <w:bottom w:val="none" w:sz="0" w:space="0" w:color="auto"/>
        <w:right w:val="none" w:sz="0" w:space="0" w:color="auto"/>
      </w:divBdr>
    </w:div>
    <w:div w:id="771776856">
      <w:bodyDiv w:val="1"/>
      <w:marLeft w:val="0"/>
      <w:marRight w:val="0"/>
      <w:marTop w:val="0"/>
      <w:marBottom w:val="0"/>
      <w:divBdr>
        <w:top w:val="none" w:sz="0" w:space="0" w:color="auto"/>
        <w:left w:val="none" w:sz="0" w:space="0" w:color="auto"/>
        <w:bottom w:val="none" w:sz="0" w:space="0" w:color="auto"/>
        <w:right w:val="none" w:sz="0" w:space="0" w:color="auto"/>
      </w:divBdr>
    </w:div>
    <w:div w:id="777722980">
      <w:bodyDiv w:val="1"/>
      <w:marLeft w:val="0"/>
      <w:marRight w:val="0"/>
      <w:marTop w:val="0"/>
      <w:marBottom w:val="0"/>
      <w:divBdr>
        <w:top w:val="none" w:sz="0" w:space="0" w:color="auto"/>
        <w:left w:val="none" w:sz="0" w:space="0" w:color="auto"/>
        <w:bottom w:val="none" w:sz="0" w:space="0" w:color="auto"/>
        <w:right w:val="none" w:sz="0" w:space="0" w:color="auto"/>
      </w:divBdr>
    </w:div>
    <w:div w:id="827136515">
      <w:bodyDiv w:val="1"/>
      <w:marLeft w:val="0"/>
      <w:marRight w:val="0"/>
      <w:marTop w:val="0"/>
      <w:marBottom w:val="0"/>
      <w:divBdr>
        <w:top w:val="none" w:sz="0" w:space="0" w:color="auto"/>
        <w:left w:val="none" w:sz="0" w:space="0" w:color="auto"/>
        <w:bottom w:val="none" w:sz="0" w:space="0" w:color="auto"/>
        <w:right w:val="none" w:sz="0" w:space="0" w:color="auto"/>
      </w:divBdr>
    </w:div>
    <w:div w:id="883978401">
      <w:bodyDiv w:val="1"/>
      <w:marLeft w:val="0"/>
      <w:marRight w:val="0"/>
      <w:marTop w:val="0"/>
      <w:marBottom w:val="0"/>
      <w:divBdr>
        <w:top w:val="none" w:sz="0" w:space="0" w:color="auto"/>
        <w:left w:val="none" w:sz="0" w:space="0" w:color="auto"/>
        <w:bottom w:val="none" w:sz="0" w:space="0" w:color="auto"/>
        <w:right w:val="none" w:sz="0" w:space="0" w:color="auto"/>
      </w:divBdr>
    </w:div>
    <w:div w:id="937906050">
      <w:bodyDiv w:val="1"/>
      <w:marLeft w:val="0"/>
      <w:marRight w:val="0"/>
      <w:marTop w:val="0"/>
      <w:marBottom w:val="0"/>
      <w:divBdr>
        <w:top w:val="none" w:sz="0" w:space="0" w:color="auto"/>
        <w:left w:val="none" w:sz="0" w:space="0" w:color="auto"/>
        <w:bottom w:val="none" w:sz="0" w:space="0" w:color="auto"/>
        <w:right w:val="none" w:sz="0" w:space="0" w:color="auto"/>
      </w:divBdr>
    </w:div>
    <w:div w:id="954290182">
      <w:bodyDiv w:val="1"/>
      <w:marLeft w:val="0"/>
      <w:marRight w:val="0"/>
      <w:marTop w:val="0"/>
      <w:marBottom w:val="0"/>
      <w:divBdr>
        <w:top w:val="none" w:sz="0" w:space="0" w:color="auto"/>
        <w:left w:val="none" w:sz="0" w:space="0" w:color="auto"/>
        <w:bottom w:val="none" w:sz="0" w:space="0" w:color="auto"/>
        <w:right w:val="none" w:sz="0" w:space="0" w:color="auto"/>
      </w:divBdr>
    </w:div>
    <w:div w:id="987441224">
      <w:bodyDiv w:val="1"/>
      <w:marLeft w:val="0"/>
      <w:marRight w:val="0"/>
      <w:marTop w:val="0"/>
      <w:marBottom w:val="0"/>
      <w:divBdr>
        <w:top w:val="none" w:sz="0" w:space="0" w:color="auto"/>
        <w:left w:val="none" w:sz="0" w:space="0" w:color="auto"/>
        <w:bottom w:val="none" w:sz="0" w:space="0" w:color="auto"/>
        <w:right w:val="none" w:sz="0" w:space="0" w:color="auto"/>
      </w:divBdr>
    </w:div>
    <w:div w:id="1127967505">
      <w:bodyDiv w:val="1"/>
      <w:marLeft w:val="0"/>
      <w:marRight w:val="0"/>
      <w:marTop w:val="0"/>
      <w:marBottom w:val="0"/>
      <w:divBdr>
        <w:top w:val="none" w:sz="0" w:space="0" w:color="auto"/>
        <w:left w:val="none" w:sz="0" w:space="0" w:color="auto"/>
        <w:bottom w:val="none" w:sz="0" w:space="0" w:color="auto"/>
        <w:right w:val="none" w:sz="0" w:space="0" w:color="auto"/>
      </w:divBdr>
    </w:div>
    <w:div w:id="1130437163">
      <w:bodyDiv w:val="1"/>
      <w:marLeft w:val="0"/>
      <w:marRight w:val="0"/>
      <w:marTop w:val="0"/>
      <w:marBottom w:val="0"/>
      <w:divBdr>
        <w:top w:val="none" w:sz="0" w:space="0" w:color="auto"/>
        <w:left w:val="none" w:sz="0" w:space="0" w:color="auto"/>
        <w:bottom w:val="none" w:sz="0" w:space="0" w:color="auto"/>
        <w:right w:val="none" w:sz="0" w:space="0" w:color="auto"/>
      </w:divBdr>
      <w:divsChild>
        <w:div w:id="107702094">
          <w:marLeft w:val="0"/>
          <w:marRight w:val="0"/>
          <w:marTop w:val="0"/>
          <w:marBottom w:val="0"/>
          <w:divBdr>
            <w:top w:val="none" w:sz="0" w:space="0" w:color="auto"/>
            <w:left w:val="none" w:sz="0" w:space="0" w:color="auto"/>
            <w:bottom w:val="none" w:sz="0" w:space="0" w:color="auto"/>
            <w:right w:val="none" w:sz="0" w:space="0" w:color="auto"/>
          </w:divBdr>
        </w:div>
      </w:divsChild>
    </w:div>
    <w:div w:id="1167284560">
      <w:bodyDiv w:val="1"/>
      <w:marLeft w:val="0"/>
      <w:marRight w:val="0"/>
      <w:marTop w:val="0"/>
      <w:marBottom w:val="0"/>
      <w:divBdr>
        <w:top w:val="none" w:sz="0" w:space="0" w:color="auto"/>
        <w:left w:val="none" w:sz="0" w:space="0" w:color="auto"/>
        <w:bottom w:val="none" w:sz="0" w:space="0" w:color="auto"/>
        <w:right w:val="none" w:sz="0" w:space="0" w:color="auto"/>
      </w:divBdr>
    </w:div>
    <w:div w:id="1186212691">
      <w:bodyDiv w:val="1"/>
      <w:marLeft w:val="0"/>
      <w:marRight w:val="0"/>
      <w:marTop w:val="0"/>
      <w:marBottom w:val="0"/>
      <w:divBdr>
        <w:top w:val="none" w:sz="0" w:space="0" w:color="auto"/>
        <w:left w:val="none" w:sz="0" w:space="0" w:color="auto"/>
        <w:bottom w:val="none" w:sz="0" w:space="0" w:color="auto"/>
        <w:right w:val="none" w:sz="0" w:space="0" w:color="auto"/>
      </w:divBdr>
    </w:div>
    <w:div w:id="1193566979">
      <w:bodyDiv w:val="1"/>
      <w:marLeft w:val="0"/>
      <w:marRight w:val="0"/>
      <w:marTop w:val="0"/>
      <w:marBottom w:val="0"/>
      <w:divBdr>
        <w:top w:val="none" w:sz="0" w:space="0" w:color="auto"/>
        <w:left w:val="none" w:sz="0" w:space="0" w:color="auto"/>
        <w:bottom w:val="none" w:sz="0" w:space="0" w:color="auto"/>
        <w:right w:val="none" w:sz="0" w:space="0" w:color="auto"/>
      </w:divBdr>
    </w:div>
    <w:div w:id="1240410053">
      <w:bodyDiv w:val="1"/>
      <w:marLeft w:val="0"/>
      <w:marRight w:val="0"/>
      <w:marTop w:val="0"/>
      <w:marBottom w:val="0"/>
      <w:divBdr>
        <w:top w:val="none" w:sz="0" w:space="0" w:color="auto"/>
        <w:left w:val="none" w:sz="0" w:space="0" w:color="auto"/>
        <w:bottom w:val="none" w:sz="0" w:space="0" w:color="auto"/>
        <w:right w:val="none" w:sz="0" w:space="0" w:color="auto"/>
      </w:divBdr>
    </w:div>
    <w:div w:id="1240410411">
      <w:bodyDiv w:val="1"/>
      <w:marLeft w:val="0"/>
      <w:marRight w:val="0"/>
      <w:marTop w:val="0"/>
      <w:marBottom w:val="0"/>
      <w:divBdr>
        <w:top w:val="none" w:sz="0" w:space="0" w:color="auto"/>
        <w:left w:val="none" w:sz="0" w:space="0" w:color="auto"/>
        <w:bottom w:val="none" w:sz="0" w:space="0" w:color="auto"/>
        <w:right w:val="none" w:sz="0" w:space="0" w:color="auto"/>
      </w:divBdr>
    </w:div>
    <w:div w:id="1318848803">
      <w:bodyDiv w:val="1"/>
      <w:marLeft w:val="0"/>
      <w:marRight w:val="0"/>
      <w:marTop w:val="0"/>
      <w:marBottom w:val="0"/>
      <w:divBdr>
        <w:top w:val="none" w:sz="0" w:space="0" w:color="auto"/>
        <w:left w:val="none" w:sz="0" w:space="0" w:color="auto"/>
        <w:bottom w:val="none" w:sz="0" w:space="0" w:color="auto"/>
        <w:right w:val="none" w:sz="0" w:space="0" w:color="auto"/>
      </w:divBdr>
    </w:div>
    <w:div w:id="1319530279">
      <w:bodyDiv w:val="1"/>
      <w:marLeft w:val="0"/>
      <w:marRight w:val="0"/>
      <w:marTop w:val="0"/>
      <w:marBottom w:val="0"/>
      <w:divBdr>
        <w:top w:val="none" w:sz="0" w:space="0" w:color="auto"/>
        <w:left w:val="none" w:sz="0" w:space="0" w:color="auto"/>
        <w:bottom w:val="none" w:sz="0" w:space="0" w:color="auto"/>
        <w:right w:val="none" w:sz="0" w:space="0" w:color="auto"/>
      </w:divBdr>
    </w:div>
    <w:div w:id="1409961545">
      <w:bodyDiv w:val="1"/>
      <w:marLeft w:val="0"/>
      <w:marRight w:val="0"/>
      <w:marTop w:val="0"/>
      <w:marBottom w:val="0"/>
      <w:divBdr>
        <w:top w:val="none" w:sz="0" w:space="0" w:color="auto"/>
        <w:left w:val="none" w:sz="0" w:space="0" w:color="auto"/>
        <w:bottom w:val="none" w:sz="0" w:space="0" w:color="auto"/>
        <w:right w:val="none" w:sz="0" w:space="0" w:color="auto"/>
      </w:divBdr>
    </w:div>
    <w:div w:id="1454516000">
      <w:bodyDiv w:val="1"/>
      <w:marLeft w:val="0"/>
      <w:marRight w:val="0"/>
      <w:marTop w:val="0"/>
      <w:marBottom w:val="0"/>
      <w:divBdr>
        <w:top w:val="none" w:sz="0" w:space="0" w:color="auto"/>
        <w:left w:val="none" w:sz="0" w:space="0" w:color="auto"/>
        <w:bottom w:val="none" w:sz="0" w:space="0" w:color="auto"/>
        <w:right w:val="none" w:sz="0" w:space="0" w:color="auto"/>
      </w:divBdr>
    </w:div>
    <w:div w:id="1472096495">
      <w:bodyDiv w:val="1"/>
      <w:marLeft w:val="0"/>
      <w:marRight w:val="0"/>
      <w:marTop w:val="0"/>
      <w:marBottom w:val="0"/>
      <w:divBdr>
        <w:top w:val="none" w:sz="0" w:space="0" w:color="auto"/>
        <w:left w:val="none" w:sz="0" w:space="0" w:color="auto"/>
        <w:bottom w:val="none" w:sz="0" w:space="0" w:color="auto"/>
        <w:right w:val="none" w:sz="0" w:space="0" w:color="auto"/>
      </w:divBdr>
    </w:div>
    <w:div w:id="1682659711">
      <w:bodyDiv w:val="1"/>
      <w:marLeft w:val="0"/>
      <w:marRight w:val="0"/>
      <w:marTop w:val="0"/>
      <w:marBottom w:val="0"/>
      <w:divBdr>
        <w:top w:val="none" w:sz="0" w:space="0" w:color="auto"/>
        <w:left w:val="none" w:sz="0" w:space="0" w:color="auto"/>
        <w:bottom w:val="none" w:sz="0" w:space="0" w:color="auto"/>
        <w:right w:val="none" w:sz="0" w:space="0" w:color="auto"/>
      </w:divBdr>
    </w:div>
    <w:div w:id="1797871557">
      <w:bodyDiv w:val="1"/>
      <w:marLeft w:val="0"/>
      <w:marRight w:val="0"/>
      <w:marTop w:val="0"/>
      <w:marBottom w:val="0"/>
      <w:divBdr>
        <w:top w:val="none" w:sz="0" w:space="0" w:color="auto"/>
        <w:left w:val="none" w:sz="0" w:space="0" w:color="auto"/>
        <w:bottom w:val="none" w:sz="0" w:space="0" w:color="auto"/>
        <w:right w:val="none" w:sz="0" w:space="0" w:color="auto"/>
      </w:divBdr>
    </w:div>
    <w:div w:id="1833136394">
      <w:bodyDiv w:val="1"/>
      <w:marLeft w:val="0"/>
      <w:marRight w:val="0"/>
      <w:marTop w:val="0"/>
      <w:marBottom w:val="0"/>
      <w:divBdr>
        <w:top w:val="none" w:sz="0" w:space="0" w:color="auto"/>
        <w:left w:val="none" w:sz="0" w:space="0" w:color="auto"/>
        <w:bottom w:val="none" w:sz="0" w:space="0" w:color="auto"/>
        <w:right w:val="none" w:sz="0" w:space="0" w:color="auto"/>
      </w:divBdr>
      <w:divsChild>
        <w:div w:id="800659792">
          <w:marLeft w:val="0"/>
          <w:marRight w:val="0"/>
          <w:marTop w:val="0"/>
          <w:marBottom w:val="0"/>
          <w:divBdr>
            <w:top w:val="none" w:sz="0" w:space="0" w:color="auto"/>
            <w:left w:val="none" w:sz="0" w:space="0" w:color="auto"/>
            <w:bottom w:val="none" w:sz="0" w:space="0" w:color="auto"/>
            <w:right w:val="none" w:sz="0" w:space="0" w:color="auto"/>
          </w:divBdr>
        </w:div>
        <w:div w:id="882060478">
          <w:marLeft w:val="0"/>
          <w:marRight w:val="0"/>
          <w:marTop w:val="0"/>
          <w:marBottom w:val="0"/>
          <w:divBdr>
            <w:top w:val="none" w:sz="0" w:space="0" w:color="auto"/>
            <w:left w:val="none" w:sz="0" w:space="0" w:color="auto"/>
            <w:bottom w:val="none" w:sz="0" w:space="0" w:color="auto"/>
            <w:right w:val="none" w:sz="0" w:space="0" w:color="auto"/>
          </w:divBdr>
        </w:div>
        <w:div w:id="262691274">
          <w:marLeft w:val="0"/>
          <w:marRight w:val="0"/>
          <w:marTop w:val="0"/>
          <w:marBottom w:val="0"/>
          <w:divBdr>
            <w:top w:val="none" w:sz="0" w:space="0" w:color="auto"/>
            <w:left w:val="none" w:sz="0" w:space="0" w:color="auto"/>
            <w:bottom w:val="none" w:sz="0" w:space="0" w:color="auto"/>
            <w:right w:val="none" w:sz="0" w:space="0" w:color="auto"/>
          </w:divBdr>
        </w:div>
        <w:div w:id="1162084917">
          <w:marLeft w:val="0"/>
          <w:marRight w:val="0"/>
          <w:marTop w:val="0"/>
          <w:marBottom w:val="0"/>
          <w:divBdr>
            <w:top w:val="none" w:sz="0" w:space="0" w:color="auto"/>
            <w:left w:val="none" w:sz="0" w:space="0" w:color="auto"/>
            <w:bottom w:val="none" w:sz="0" w:space="0" w:color="auto"/>
            <w:right w:val="none" w:sz="0" w:space="0" w:color="auto"/>
          </w:divBdr>
        </w:div>
        <w:div w:id="998538586">
          <w:marLeft w:val="0"/>
          <w:marRight w:val="0"/>
          <w:marTop w:val="0"/>
          <w:marBottom w:val="0"/>
          <w:divBdr>
            <w:top w:val="none" w:sz="0" w:space="0" w:color="auto"/>
            <w:left w:val="none" w:sz="0" w:space="0" w:color="auto"/>
            <w:bottom w:val="none" w:sz="0" w:space="0" w:color="auto"/>
            <w:right w:val="none" w:sz="0" w:space="0" w:color="auto"/>
          </w:divBdr>
        </w:div>
        <w:div w:id="567032888">
          <w:marLeft w:val="0"/>
          <w:marRight w:val="0"/>
          <w:marTop w:val="0"/>
          <w:marBottom w:val="0"/>
          <w:divBdr>
            <w:top w:val="none" w:sz="0" w:space="0" w:color="auto"/>
            <w:left w:val="none" w:sz="0" w:space="0" w:color="auto"/>
            <w:bottom w:val="none" w:sz="0" w:space="0" w:color="auto"/>
            <w:right w:val="none" w:sz="0" w:space="0" w:color="auto"/>
          </w:divBdr>
        </w:div>
        <w:div w:id="961838969">
          <w:marLeft w:val="0"/>
          <w:marRight w:val="0"/>
          <w:marTop w:val="0"/>
          <w:marBottom w:val="0"/>
          <w:divBdr>
            <w:top w:val="none" w:sz="0" w:space="0" w:color="auto"/>
            <w:left w:val="none" w:sz="0" w:space="0" w:color="auto"/>
            <w:bottom w:val="none" w:sz="0" w:space="0" w:color="auto"/>
            <w:right w:val="none" w:sz="0" w:space="0" w:color="auto"/>
          </w:divBdr>
        </w:div>
      </w:divsChild>
    </w:div>
    <w:div w:id="2022002670">
      <w:bodyDiv w:val="1"/>
      <w:marLeft w:val="0"/>
      <w:marRight w:val="0"/>
      <w:marTop w:val="0"/>
      <w:marBottom w:val="0"/>
      <w:divBdr>
        <w:top w:val="none" w:sz="0" w:space="0" w:color="auto"/>
        <w:left w:val="none" w:sz="0" w:space="0" w:color="auto"/>
        <w:bottom w:val="none" w:sz="0" w:space="0" w:color="auto"/>
        <w:right w:val="none" w:sz="0" w:space="0" w:color="auto"/>
      </w:divBdr>
    </w:div>
    <w:div w:id="2059283657">
      <w:bodyDiv w:val="1"/>
      <w:marLeft w:val="0"/>
      <w:marRight w:val="0"/>
      <w:marTop w:val="0"/>
      <w:marBottom w:val="0"/>
      <w:divBdr>
        <w:top w:val="none" w:sz="0" w:space="0" w:color="auto"/>
        <w:left w:val="none" w:sz="0" w:space="0" w:color="auto"/>
        <w:bottom w:val="none" w:sz="0" w:space="0" w:color="auto"/>
        <w:right w:val="none" w:sz="0" w:space="0" w:color="auto"/>
      </w:divBdr>
    </w:div>
    <w:div w:id="21379900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05DBED2C-22E2-6743-B091-34519A1FB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TotalTime>
  <Pages>14</Pages>
  <Words>5829</Words>
  <Characters>32940</Characters>
  <Application>Microsoft Macintosh Word</Application>
  <DocSecurity>0</DocSecurity>
  <Lines>1029</Lines>
  <Paragraphs>546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38223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Davies</dc:creator>
  <cp:keywords/>
  <dc:description/>
  <cp:lastModifiedBy>Molly Davies</cp:lastModifiedBy>
  <cp:revision>21</cp:revision>
  <dcterms:created xsi:type="dcterms:W3CDTF">2023-11-07T14:16:00Z</dcterms:created>
  <dcterms:modified xsi:type="dcterms:W3CDTF">2024-01-08T17:43:00Z</dcterms:modified>
</cp:coreProperties>
</file>