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5586FFD">
      <w:pPr>
        <w:pStyle w:val="13"/>
        <w:bidi w:val="0"/>
        <w:outlineLvl w:val="9"/>
        <w:rPr>
          <w:rFonts w:hint="default" w:ascii="Times New Roman" w:hAnsi="Times New Roman" w:cs="Times New Roman"/>
        </w:rPr>
      </w:pPr>
    </w:p>
    <w:p w14:paraId="54F3D91F">
      <w:pPr>
        <w:pStyle w:val="13"/>
        <w:bidi w:val="0"/>
        <w:rPr>
          <w:rFonts w:hint="default" w:ascii="Times New Roman" w:hAnsi="Times New Roman" w:cs="Times New Roman"/>
        </w:rPr>
      </w:pPr>
      <w:bookmarkStart w:id="0" w:name="_Toc25005"/>
      <w:r>
        <w:rPr>
          <w:rFonts w:hint="default" w:ascii="Times New Roman" w:hAnsi="Times New Roman" w:cs="Times New Roman"/>
        </w:rPr>
        <w:t>"Personal Development Progress: A Comparative Analysis"</w:t>
      </w:r>
      <w:bookmarkEnd w:id="0"/>
    </w:p>
    <w:p w14:paraId="6A026CE4">
      <w:pPr>
        <w:spacing w:line="360" w:lineRule="auto"/>
        <w:jc w:val="center"/>
        <w:rPr>
          <w:rFonts w:hint="default" w:ascii="Times New Roman" w:hAnsi="Times New Roman" w:cs="Times New Roman"/>
          <w:sz w:val="24"/>
          <w:szCs w:val="24"/>
        </w:rPr>
      </w:pPr>
    </w:p>
    <w:p w14:paraId="1BC41086">
      <w:pPr>
        <w:spacing w:line="360" w:lineRule="auto"/>
        <w:jc w:val="both"/>
        <w:rPr>
          <w:rFonts w:hint="default" w:ascii="Times New Roman" w:hAnsi="Times New Roman" w:cs="Times New Roman"/>
          <w:sz w:val="24"/>
          <w:szCs w:val="24"/>
        </w:rPr>
      </w:pPr>
    </w:p>
    <w:p w14:paraId="55A676BD">
      <w:pPr>
        <w:spacing w:line="360" w:lineRule="auto"/>
        <w:jc w:val="both"/>
        <w:rPr>
          <w:rFonts w:hint="default" w:ascii="Times New Roman" w:hAnsi="Times New Roman" w:cs="Times New Roman"/>
          <w:sz w:val="24"/>
          <w:szCs w:val="24"/>
        </w:rPr>
      </w:pPr>
    </w:p>
    <w:p w14:paraId="4BE2DA56">
      <w:pPr>
        <w:spacing w:line="360" w:lineRule="auto"/>
        <w:jc w:val="center"/>
        <w:rPr>
          <w:rFonts w:hint="default" w:ascii="Times New Roman" w:hAnsi="Times New Roman" w:cs="Times New Roman"/>
          <w:sz w:val="24"/>
          <w:szCs w:val="24"/>
        </w:rPr>
      </w:pPr>
      <w:r>
        <w:rPr>
          <w:rFonts w:ascii="SimSun" w:hAnsi="SimSun" w:eastAsia="SimSun" w:cs="SimSun"/>
          <w:sz w:val="24"/>
          <w:szCs w:val="24"/>
        </w:rPr>
        <w:drawing>
          <wp:inline distT="0" distB="0" distL="114300" distR="114300">
            <wp:extent cx="4752975" cy="1895475"/>
            <wp:effectExtent l="0" t="0" r="0" b="0"/>
            <wp:docPr id="8"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MG_256"/>
                    <pic:cNvPicPr>
                      <a:picLocks noChangeAspect="1"/>
                    </pic:cNvPicPr>
                  </pic:nvPicPr>
                  <pic:blipFill>
                    <a:blip r:embed="rId6"/>
                    <a:stretch>
                      <a:fillRect/>
                    </a:stretch>
                  </pic:blipFill>
                  <pic:spPr>
                    <a:xfrm>
                      <a:off x="0" y="0"/>
                      <a:ext cx="4752975" cy="1895475"/>
                    </a:xfrm>
                    <a:prstGeom prst="rect">
                      <a:avLst/>
                    </a:prstGeom>
                    <a:noFill/>
                    <a:ln w="9525">
                      <a:noFill/>
                    </a:ln>
                  </pic:spPr>
                </pic:pic>
              </a:graphicData>
            </a:graphic>
          </wp:inline>
        </w:drawing>
      </w:r>
    </w:p>
    <w:p w14:paraId="28845FCB">
      <w:pPr>
        <w:spacing w:line="360" w:lineRule="auto"/>
        <w:jc w:val="center"/>
        <w:rPr>
          <w:rFonts w:hint="default" w:ascii="Times New Roman" w:hAnsi="Times New Roman" w:cs="Times New Roman"/>
          <w:sz w:val="24"/>
          <w:szCs w:val="24"/>
        </w:rPr>
      </w:pPr>
      <w:bookmarkStart w:id="26" w:name="_GoBack"/>
      <w:bookmarkEnd w:id="26"/>
    </w:p>
    <w:p w14:paraId="2E722154">
      <w:pPr>
        <w:spacing w:line="360" w:lineRule="auto"/>
        <w:jc w:val="both"/>
        <w:rPr>
          <w:rFonts w:hint="default" w:ascii="Times New Roman" w:hAnsi="Times New Roman" w:cs="Times New Roman"/>
          <w:sz w:val="24"/>
          <w:szCs w:val="24"/>
        </w:rPr>
      </w:pPr>
    </w:p>
    <w:p w14:paraId="55E95A2B">
      <w:pPr>
        <w:spacing w:line="360" w:lineRule="auto"/>
        <w:jc w:val="center"/>
        <w:rPr>
          <w:rFonts w:hint="default" w:ascii="Times New Roman" w:hAnsi="Times New Roman" w:cs="Times New Roman"/>
          <w:sz w:val="24"/>
          <w:szCs w:val="24"/>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62"/>
        <w:gridCol w:w="3638"/>
      </w:tblGrid>
      <w:tr w14:paraId="1C8605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0E4B33B0">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rPr>
              <w:t>Student Name</w:t>
            </w:r>
          </w:p>
        </w:tc>
        <w:tc>
          <w:tcPr>
            <w:tcW w:w="3638" w:type="dxa"/>
          </w:tcPr>
          <w:p w14:paraId="28D182DF">
            <w:pPr>
              <w:widowControl w:val="0"/>
              <w:spacing w:before="240" w:line="360" w:lineRule="auto"/>
              <w:jc w:val="center"/>
              <w:rPr>
                <w:rFonts w:hint="default" w:ascii="Times New Roman" w:hAnsi="Times New Roman" w:cs="Times New Roman"/>
                <w:b/>
                <w:sz w:val="24"/>
                <w:szCs w:val="24"/>
                <w:vertAlign w:val="baseline"/>
              </w:rPr>
            </w:pPr>
          </w:p>
        </w:tc>
      </w:tr>
      <w:tr w14:paraId="7047A1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4F426202">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rPr>
              <w:t>Student Id</w:t>
            </w:r>
          </w:p>
        </w:tc>
        <w:tc>
          <w:tcPr>
            <w:tcW w:w="3638" w:type="dxa"/>
          </w:tcPr>
          <w:p w14:paraId="01C06029">
            <w:pPr>
              <w:widowControl w:val="0"/>
              <w:spacing w:before="240" w:line="360" w:lineRule="auto"/>
              <w:jc w:val="center"/>
              <w:rPr>
                <w:rFonts w:hint="default" w:ascii="Times New Roman" w:hAnsi="Times New Roman" w:cs="Times New Roman"/>
                <w:b/>
                <w:sz w:val="24"/>
                <w:szCs w:val="24"/>
                <w:vertAlign w:val="baseline"/>
              </w:rPr>
            </w:pPr>
          </w:p>
        </w:tc>
      </w:tr>
      <w:tr w14:paraId="5AD76E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20352A3B">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rPr>
              <w:t>Module Name</w:t>
            </w:r>
          </w:p>
        </w:tc>
        <w:tc>
          <w:tcPr>
            <w:tcW w:w="3638" w:type="dxa"/>
          </w:tcPr>
          <w:p w14:paraId="1603E4EF">
            <w:pPr>
              <w:widowControl w:val="0"/>
              <w:spacing w:before="240" w:line="360" w:lineRule="auto"/>
              <w:ind w:firstLine="361" w:firstLineChars="150"/>
              <w:jc w:val="center"/>
              <w:rPr>
                <w:rFonts w:hint="default" w:ascii="Times New Roman" w:hAnsi="Times New Roman" w:cs="Times New Roman"/>
                <w:b/>
                <w:sz w:val="24"/>
                <w:szCs w:val="24"/>
                <w:vertAlign w:val="baseline"/>
              </w:rPr>
            </w:pPr>
          </w:p>
        </w:tc>
      </w:tr>
      <w:tr w14:paraId="674DC6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7E3CE41B">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rPr>
              <w:t>Module Leader</w:t>
            </w:r>
          </w:p>
        </w:tc>
        <w:tc>
          <w:tcPr>
            <w:tcW w:w="3638" w:type="dxa"/>
          </w:tcPr>
          <w:p w14:paraId="68D01DF8">
            <w:pPr>
              <w:widowControl w:val="0"/>
              <w:spacing w:before="240" w:line="360" w:lineRule="auto"/>
              <w:jc w:val="center"/>
              <w:rPr>
                <w:rFonts w:hint="default" w:ascii="Times New Roman" w:hAnsi="Times New Roman" w:cs="Times New Roman"/>
                <w:b/>
                <w:sz w:val="24"/>
                <w:szCs w:val="24"/>
                <w:vertAlign w:val="baseline"/>
              </w:rPr>
            </w:pPr>
          </w:p>
        </w:tc>
      </w:tr>
      <w:tr w14:paraId="037628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633A73C1">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lang w:val="en-US"/>
              </w:rPr>
              <w:t>Module Code</w:t>
            </w:r>
          </w:p>
        </w:tc>
        <w:tc>
          <w:tcPr>
            <w:tcW w:w="3638" w:type="dxa"/>
          </w:tcPr>
          <w:p w14:paraId="03304888">
            <w:pPr>
              <w:widowControl w:val="0"/>
              <w:spacing w:before="240" w:line="360" w:lineRule="auto"/>
              <w:jc w:val="center"/>
              <w:rPr>
                <w:rFonts w:hint="default" w:ascii="Times New Roman" w:hAnsi="Times New Roman" w:cs="Times New Roman"/>
                <w:b/>
                <w:sz w:val="24"/>
                <w:szCs w:val="24"/>
                <w:vertAlign w:val="baseline"/>
              </w:rPr>
            </w:pPr>
          </w:p>
        </w:tc>
      </w:tr>
      <w:tr w14:paraId="2075D7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9" w:hRule="atLeast"/>
        </w:trPr>
        <w:tc>
          <w:tcPr>
            <w:tcW w:w="4362" w:type="dxa"/>
          </w:tcPr>
          <w:p w14:paraId="7C63EB43">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lang w:val="en-US"/>
              </w:rPr>
              <w:t>Date of Submission</w:t>
            </w:r>
          </w:p>
        </w:tc>
        <w:tc>
          <w:tcPr>
            <w:tcW w:w="3638" w:type="dxa"/>
          </w:tcPr>
          <w:p w14:paraId="5C51FE2F">
            <w:pPr>
              <w:widowControl w:val="0"/>
              <w:spacing w:before="240" w:line="360" w:lineRule="auto"/>
              <w:jc w:val="center"/>
              <w:rPr>
                <w:rFonts w:hint="default" w:ascii="Times New Roman" w:hAnsi="Times New Roman" w:cs="Times New Roman"/>
                <w:b/>
                <w:sz w:val="24"/>
                <w:szCs w:val="24"/>
                <w:vertAlign w:val="baseline"/>
              </w:rPr>
            </w:pPr>
          </w:p>
        </w:tc>
      </w:tr>
      <w:tr w14:paraId="434B31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2" w:hRule="atLeast"/>
        </w:trPr>
        <w:tc>
          <w:tcPr>
            <w:tcW w:w="4362" w:type="dxa"/>
          </w:tcPr>
          <w:p w14:paraId="07600CD7">
            <w:pPr>
              <w:widowControl w:val="0"/>
              <w:spacing w:before="240" w:line="360" w:lineRule="auto"/>
              <w:jc w:val="center"/>
              <w:rPr>
                <w:rFonts w:hint="default" w:ascii="Times New Roman" w:hAnsi="Times New Roman" w:cs="Times New Roman"/>
                <w:b/>
                <w:sz w:val="28"/>
                <w:szCs w:val="28"/>
                <w:vertAlign w:val="baseline"/>
              </w:rPr>
            </w:pPr>
            <w:r>
              <w:rPr>
                <w:rFonts w:hint="default" w:ascii="Times New Roman" w:hAnsi="Times New Roman" w:cs="Times New Roman"/>
                <w:b/>
                <w:sz w:val="28"/>
                <w:szCs w:val="28"/>
              </w:rPr>
              <w:t>Word Count</w:t>
            </w:r>
          </w:p>
        </w:tc>
        <w:tc>
          <w:tcPr>
            <w:tcW w:w="3638" w:type="dxa"/>
          </w:tcPr>
          <w:p w14:paraId="741FD88E">
            <w:pPr>
              <w:widowControl w:val="0"/>
              <w:spacing w:before="240" w:line="360" w:lineRule="auto"/>
              <w:jc w:val="center"/>
              <w:rPr>
                <w:rFonts w:hint="default" w:ascii="Times New Roman" w:hAnsi="Times New Roman" w:cs="Times New Roman"/>
                <w:b/>
                <w:sz w:val="24"/>
                <w:szCs w:val="24"/>
                <w:vertAlign w:val="baseline"/>
                <w:lang w:val="en-US"/>
              </w:rPr>
            </w:pPr>
            <w:r>
              <w:rPr>
                <w:rFonts w:hint="default" w:ascii="Times New Roman" w:hAnsi="Times New Roman" w:cs="Times New Roman"/>
                <w:b/>
                <w:sz w:val="24"/>
                <w:szCs w:val="24"/>
                <w:vertAlign w:val="baseline"/>
                <w:lang w:val="en-US"/>
              </w:rPr>
              <w:t>1537</w:t>
            </w:r>
          </w:p>
        </w:tc>
      </w:tr>
    </w:tbl>
    <w:p w14:paraId="1480184C">
      <w:pPr>
        <w:spacing w:line="360" w:lineRule="auto"/>
        <w:jc w:val="center"/>
        <w:rPr>
          <w:rFonts w:hint="default" w:ascii="Times New Roman" w:hAnsi="Times New Roman" w:cs="Times New Roman"/>
          <w:sz w:val="24"/>
          <w:szCs w:val="24"/>
        </w:rPr>
      </w:pPr>
    </w:p>
    <w:p w14:paraId="4C51F195">
      <w:pPr>
        <w:spacing w:line="360" w:lineRule="auto"/>
        <w:jc w:val="both"/>
        <w:rPr>
          <w:rFonts w:hint="default" w:ascii="Times New Roman" w:hAnsi="Times New Roman" w:cs="Times New Roman"/>
          <w:sz w:val="24"/>
          <w:szCs w:val="24"/>
        </w:rPr>
      </w:pPr>
    </w:p>
    <w:p w14:paraId="3E4F548F">
      <w:pPr>
        <w:spacing w:line="360" w:lineRule="auto"/>
        <w:jc w:val="center"/>
        <w:rPr>
          <w:rFonts w:hint="default" w:ascii="Times New Roman" w:hAnsi="Times New Roman" w:cs="Times New Roman"/>
          <w:sz w:val="24"/>
          <w:szCs w:val="24"/>
        </w:rPr>
      </w:pPr>
    </w:p>
    <w:p w14:paraId="0A3A10D1">
      <w:pPr>
        <w:spacing w:before="0" w:beforeLines="0" w:after="0" w:afterLines="0" w:line="360" w:lineRule="auto"/>
        <w:ind w:left="0" w:leftChars="0" w:right="0" w:rightChars="0" w:firstLine="0" w:firstLineChars="0"/>
        <w:jc w:val="both"/>
        <w:rPr>
          <w:rFonts w:hint="default" w:asciiTheme="minorHAnsi" w:hAnsiTheme="minorHAnsi" w:eastAsiaTheme="minorEastAsia" w:cstheme="minorBidi"/>
          <w:b/>
          <w:sz w:val="24"/>
          <w:szCs w:val="24"/>
          <w:lang w:val="en-US" w:eastAsia="zh-CN" w:bidi="ar-SA"/>
        </w:rPr>
      </w:pPr>
    </w:p>
    <w:sdt>
      <w:sdtPr>
        <w:rPr>
          <w:rFonts w:hint="default" w:ascii="Times New Roman" w:hAnsi="Times New Roman" w:eastAsia="SimSun" w:cs="Times New Roman"/>
          <w:b/>
          <w:bCs/>
          <w:sz w:val="24"/>
          <w:szCs w:val="24"/>
          <w:lang w:val="en-US" w:eastAsia="zh-CN" w:bidi="ar-SA"/>
        </w:rPr>
        <w:id w:val="147475573"/>
        <w15:color w:val="DBDBDB"/>
        <w:docPartObj>
          <w:docPartGallery w:val="Table of Contents"/>
          <w:docPartUnique/>
        </w:docPartObj>
      </w:sdtPr>
      <w:sdtEndPr>
        <w:rPr>
          <w:rFonts w:hint="default" w:asciiTheme="minorHAnsi" w:hAnsiTheme="minorHAnsi" w:eastAsiaTheme="minorEastAsia" w:cstheme="minorBidi"/>
          <w:b/>
          <w:lang w:val="en-US" w:eastAsia="zh-CN" w:bidi="ar-SA"/>
        </w:rPr>
      </w:sdtEndPr>
      <w:sdtContent>
        <w:p w14:paraId="1F0B416A">
          <w:pPr>
            <w:spacing w:before="0" w:beforeLines="0" w:after="0" w:afterLines="0" w:line="360" w:lineRule="auto"/>
            <w:ind w:left="0" w:leftChars="0" w:right="0" w:rightChars="0" w:firstLine="0" w:firstLineChars="0"/>
            <w:jc w:val="center"/>
            <w:rPr>
              <w:rFonts w:hint="default" w:ascii="Times New Roman" w:hAnsi="Times New Roman" w:cs="Times New Roman"/>
              <w:b/>
              <w:sz w:val="24"/>
              <w:szCs w:val="24"/>
            </w:rPr>
          </w:pPr>
          <w:r>
            <w:rPr>
              <w:rFonts w:hint="default" w:ascii="Times New Roman" w:hAnsi="Times New Roman" w:eastAsia="SimSun" w:cs="Times New Roman"/>
              <w:b/>
              <w:bCs/>
              <w:sz w:val="24"/>
              <w:szCs w:val="24"/>
              <w:lang w:val="en-US" w:eastAsia="zh-CN" w:bidi="ar-SA"/>
            </w:rPr>
            <w:t>TABLE OF CONTENTS</w:t>
          </w: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TOC \o "1-2" \h \u </w:instrText>
          </w:r>
          <w:r>
            <w:rPr>
              <w:rFonts w:hint="default" w:ascii="Times New Roman" w:hAnsi="Times New Roman" w:cs="Times New Roman" w:eastAsiaTheme="minorEastAsia"/>
              <w:b/>
              <w:sz w:val="24"/>
              <w:szCs w:val="24"/>
              <w:lang w:val="en-US" w:eastAsia="zh-CN" w:bidi="ar-SA"/>
            </w:rPr>
            <w:fldChar w:fldCharType="separate"/>
          </w:r>
        </w:p>
        <w:p w14:paraId="21628BE0">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_Toc22052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rPr>
            <w:t>1.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_Toc22052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4</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751F5798">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_Toc6197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rPr>
            <w:t>2. Gibbs Reflective Cycle Sections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_Toc6197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4</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2D6230E3">
          <w:pPr>
            <w:pStyle w:val="15"/>
            <w:tabs>
              <w:tab w:val="right" w:leader="dot" w:pos="8306"/>
            </w:tabs>
            <w:spacing w:line="360" w:lineRule="auto"/>
            <w:jc w:val="center"/>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bidi="ar-SA"/>
            </w:rPr>
            <w:fldChar w:fldCharType="begin"/>
          </w:r>
          <w:r>
            <w:rPr>
              <w:rFonts w:hint="default" w:ascii="Times New Roman" w:hAnsi="Times New Roman" w:cs="Times New Roman" w:eastAsiaTheme="minorEastAsia"/>
              <w:sz w:val="24"/>
              <w:szCs w:val="24"/>
              <w:lang w:val="en-US" w:eastAsia="zh-CN" w:bidi="ar-SA"/>
            </w:rPr>
            <w:instrText xml:space="preserve"> HYPERLINK \l _Toc15623 </w:instrText>
          </w:r>
          <w:r>
            <w:rPr>
              <w:rFonts w:hint="default" w:ascii="Times New Roman" w:hAnsi="Times New Roman" w:cs="Times New Roman" w:eastAsiaTheme="minorEastAsia"/>
              <w:sz w:val="24"/>
              <w:szCs w:val="24"/>
              <w:lang w:val="en-US" w:eastAsia="zh-CN" w:bidi="ar-SA"/>
            </w:rPr>
            <w:fldChar w:fldCharType="separate"/>
          </w:r>
          <w:r>
            <w:rPr>
              <w:rFonts w:hint="default" w:ascii="Times New Roman" w:hAnsi="Times New Roman" w:cs="Times New Roman"/>
              <w:sz w:val="24"/>
              <w:szCs w:val="24"/>
            </w:rPr>
            <w:t>2.1. Description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_Toc15623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bidi="ar-SA"/>
            </w:rPr>
            <w:fldChar w:fldCharType="end"/>
          </w:r>
        </w:p>
        <w:p w14:paraId="5AD8AC25">
          <w:pPr>
            <w:pStyle w:val="15"/>
            <w:tabs>
              <w:tab w:val="right" w:leader="dot" w:pos="8306"/>
            </w:tabs>
            <w:spacing w:line="360" w:lineRule="auto"/>
            <w:jc w:val="center"/>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bidi="ar-SA"/>
            </w:rPr>
            <w:fldChar w:fldCharType="begin"/>
          </w:r>
          <w:r>
            <w:rPr>
              <w:rFonts w:hint="default" w:ascii="Times New Roman" w:hAnsi="Times New Roman" w:cs="Times New Roman" w:eastAsiaTheme="minorEastAsia"/>
              <w:sz w:val="24"/>
              <w:szCs w:val="24"/>
              <w:lang w:val="en-US" w:eastAsia="zh-CN" w:bidi="ar-SA"/>
            </w:rPr>
            <w:instrText xml:space="preserve"> HYPERLINK \l _Toc7599 </w:instrText>
          </w:r>
          <w:r>
            <w:rPr>
              <w:rFonts w:hint="default" w:ascii="Times New Roman" w:hAnsi="Times New Roman" w:cs="Times New Roman" w:eastAsiaTheme="minorEastAsia"/>
              <w:sz w:val="24"/>
              <w:szCs w:val="24"/>
              <w:lang w:val="en-US" w:eastAsia="zh-CN" w:bidi="ar-SA"/>
            </w:rPr>
            <w:fldChar w:fldCharType="separate"/>
          </w:r>
          <w:r>
            <w:rPr>
              <w:rFonts w:hint="default" w:ascii="Times New Roman" w:hAnsi="Times New Roman" w:cs="Times New Roman"/>
              <w:sz w:val="24"/>
              <w:szCs w:val="24"/>
            </w:rPr>
            <w:t>2.2. Feelings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bidi="ar-SA"/>
            </w:rPr>
            <w:fldChar w:fldCharType="end"/>
          </w:r>
        </w:p>
        <w:p w14:paraId="10397363">
          <w:pPr>
            <w:pStyle w:val="15"/>
            <w:tabs>
              <w:tab w:val="right" w:leader="dot" w:pos="8306"/>
            </w:tabs>
            <w:spacing w:line="360" w:lineRule="auto"/>
            <w:jc w:val="center"/>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bidi="ar-SA"/>
            </w:rPr>
            <w:fldChar w:fldCharType="begin"/>
          </w:r>
          <w:r>
            <w:rPr>
              <w:rFonts w:hint="default" w:ascii="Times New Roman" w:hAnsi="Times New Roman" w:cs="Times New Roman" w:eastAsiaTheme="minorEastAsia"/>
              <w:sz w:val="24"/>
              <w:szCs w:val="24"/>
              <w:lang w:val="en-US" w:eastAsia="zh-CN" w:bidi="ar-SA"/>
            </w:rPr>
            <w:instrText xml:space="preserve"> HYPERLINK \l _Toc7631 </w:instrText>
          </w:r>
          <w:r>
            <w:rPr>
              <w:rFonts w:hint="default" w:ascii="Times New Roman" w:hAnsi="Times New Roman" w:cs="Times New Roman" w:eastAsiaTheme="minorEastAsia"/>
              <w:sz w:val="24"/>
              <w:szCs w:val="24"/>
              <w:lang w:val="en-US" w:eastAsia="zh-CN" w:bidi="ar-SA"/>
            </w:rPr>
            <w:fldChar w:fldCharType="separate"/>
          </w:r>
          <w:r>
            <w:rPr>
              <w:rFonts w:hint="default" w:ascii="Times New Roman" w:hAnsi="Times New Roman" w:cs="Times New Roman"/>
              <w:sz w:val="24"/>
              <w:szCs w:val="24"/>
              <w:lang w:val="en-US"/>
            </w:rPr>
            <w:t>2.3. Evaluation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bidi="ar-SA"/>
            </w:rPr>
            <w:fldChar w:fldCharType="end"/>
          </w:r>
        </w:p>
        <w:p w14:paraId="38469C4F">
          <w:pPr>
            <w:pStyle w:val="15"/>
            <w:tabs>
              <w:tab w:val="right" w:leader="dot" w:pos="8306"/>
            </w:tabs>
            <w:spacing w:line="360" w:lineRule="auto"/>
            <w:jc w:val="center"/>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bidi="ar-SA"/>
            </w:rPr>
            <w:fldChar w:fldCharType="begin"/>
          </w:r>
          <w:r>
            <w:rPr>
              <w:rFonts w:hint="default" w:ascii="Times New Roman" w:hAnsi="Times New Roman" w:cs="Times New Roman" w:eastAsiaTheme="minorEastAsia"/>
              <w:sz w:val="24"/>
              <w:szCs w:val="24"/>
              <w:lang w:val="en-US" w:eastAsia="zh-CN" w:bidi="ar-SA"/>
            </w:rPr>
            <w:instrText xml:space="preserve"> HYPERLINK \l _Toc18647 </w:instrText>
          </w:r>
          <w:r>
            <w:rPr>
              <w:rFonts w:hint="default" w:ascii="Times New Roman" w:hAnsi="Times New Roman" w:cs="Times New Roman" w:eastAsiaTheme="minorEastAsia"/>
              <w:sz w:val="24"/>
              <w:szCs w:val="24"/>
              <w:lang w:val="en-US" w:eastAsia="zh-CN" w:bidi="ar-SA"/>
            </w:rPr>
            <w:fldChar w:fldCharType="separate"/>
          </w:r>
          <w:r>
            <w:rPr>
              <w:rFonts w:hint="default" w:ascii="Times New Roman" w:hAnsi="Times New Roman" w:cs="Times New Roman"/>
              <w:sz w:val="24"/>
              <w:szCs w:val="24"/>
            </w:rPr>
            <w:t>2.4.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bidi="ar-SA"/>
            </w:rPr>
            <w:fldChar w:fldCharType="end"/>
          </w:r>
        </w:p>
        <w:p w14:paraId="21CCF60D">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_Toc20604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lang w:val="en-US"/>
            </w:rPr>
            <w:t xml:space="preserve">3. </w:t>
          </w:r>
          <w:r>
            <w:rPr>
              <w:rFonts w:hint="default" w:ascii="Times New Roman" w:hAnsi="Times New Roman" w:cs="Times New Roman"/>
              <w:b/>
              <w:sz w:val="24"/>
              <w:szCs w:val="24"/>
            </w:rPr>
            <w:t>Action Plan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_Toc20604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11</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44B1553F">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_Toc16001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rPr>
            <w:t>4. Conclusion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_Toc16001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12</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609EAE01">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_Toc18433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rPr>
            <w:t>Reference list</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_Toc18433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68381255">
          <w:pPr>
            <w:pStyle w:val="14"/>
            <w:tabs>
              <w:tab w:val="right" w:leader="dot" w:pos="8306"/>
            </w:tabs>
            <w:spacing w:line="360" w:lineRule="auto"/>
            <w:jc w:val="center"/>
            <w:rPr>
              <w:rFonts w:hint="default" w:ascii="Times New Roman" w:hAnsi="Times New Roman" w:cs="Times New Roman"/>
              <w:b/>
              <w:sz w:val="24"/>
              <w:szCs w:val="24"/>
            </w:rPr>
          </w:pPr>
          <w:r>
            <w:rPr>
              <w:rFonts w:hint="default" w:ascii="Times New Roman" w:hAnsi="Times New Roman" w:cs="Times New Roman" w:eastAsiaTheme="minorEastAsia"/>
              <w:b/>
              <w:sz w:val="24"/>
              <w:szCs w:val="24"/>
              <w:lang w:val="en-US" w:eastAsia="zh-CN" w:bidi="ar-SA"/>
            </w:rPr>
            <w:fldChar w:fldCharType="begin"/>
          </w:r>
          <w:r>
            <w:rPr>
              <w:rFonts w:hint="default" w:ascii="Times New Roman" w:hAnsi="Times New Roman" w:cs="Times New Roman" w:eastAsiaTheme="minorEastAsia"/>
              <w:b/>
              <w:sz w:val="24"/>
              <w:szCs w:val="24"/>
              <w:lang w:val="en-US" w:eastAsia="zh-CN" w:bidi="ar-SA"/>
            </w:rPr>
            <w:instrText xml:space="preserve"> HYPERLINK \l _Toc18822 </w:instrText>
          </w:r>
          <w:r>
            <w:rPr>
              <w:rFonts w:hint="default" w:ascii="Times New Roman" w:hAnsi="Times New Roman" w:cs="Times New Roman" w:eastAsiaTheme="minorEastAsia"/>
              <w:b/>
              <w:sz w:val="24"/>
              <w:szCs w:val="24"/>
              <w:lang w:val="en-US" w:eastAsia="zh-CN" w:bidi="ar-SA"/>
            </w:rPr>
            <w:fldChar w:fldCharType="separate"/>
          </w:r>
          <w:r>
            <w:rPr>
              <w:rFonts w:hint="default" w:ascii="Times New Roman" w:hAnsi="Times New Roman" w:cs="Times New Roman"/>
              <w:b/>
              <w:sz w:val="24"/>
              <w:szCs w:val="24"/>
              <w:lang w:val="en-US"/>
            </w:rPr>
            <w:t>Appendices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_Toc18822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eastAsiaTheme="minorEastAsia"/>
              <w:b/>
              <w:sz w:val="24"/>
              <w:szCs w:val="24"/>
              <w:lang w:val="en-US" w:eastAsia="zh-CN" w:bidi="ar-SA"/>
            </w:rPr>
            <w:fldChar w:fldCharType="end"/>
          </w:r>
        </w:p>
        <w:p w14:paraId="5282BE2D">
          <w:pPr>
            <w:spacing w:before="0" w:beforeLines="0" w:after="0" w:afterLines="0" w:line="360" w:lineRule="auto"/>
            <w:ind w:left="0" w:leftChars="0" w:right="0" w:rightChars="0" w:firstLine="0" w:firstLineChars="0"/>
            <w:jc w:val="center"/>
            <w:rPr>
              <w:rFonts w:hint="default" w:asciiTheme="minorHAnsi" w:hAnsiTheme="minorHAnsi" w:eastAsiaTheme="minorEastAsia" w:cstheme="minorBidi"/>
              <w:b/>
              <w:lang w:val="en-US" w:eastAsia="zh-CN" w:bidi="ar-SA"/>
            </w:rPr>
            <w:sectPr>
              <w:headerReference r:id="rId3" w:type="default"/>
              <w:footerReference r:id="rId4" w:type="default"/>
              <w:pgSz w:w="11906" w:h="16838"/>
              <w:pgMar w:top="1440" w:right="1800" w:bottom="1440" w:left="1800" w:header="720" w:footer="720" w:gutter="0"/>
              <w:pgBorders w:offsetFrom="page">
                <w:top w:val="single" w:color="auto" w:sz="4" w:space="24"/>
                <w:left w:val="single" w:color="auto" w:sz="4" w:space="24"/>
                <w:bottom w:val="single" w:color="auto" w:sz="4" w:space="24"/>
                <w:right w:val="single" w:color="auto" w:sz="4" w:space="24"/>
              </w:pgBorders>
              <w:pgNumType w:fmt="decimal"/>
              <w:cols w:space="720" w:num="1"/>
              <w:docGrid w:linePitch="360" w:charSpace="0"/>
            </w:sectPr>
          </w:pPr>
          <w:r>
            <w:rPr>
              <w:rFonts w:hint="default" w:ascii="Times New Roman" w:hAnsi="Times New Roman" w:cs="Times New Roman" w:eastAsiaTheme="minorEastAsia"/>
              <w:b/>
              <w:sz w:val="24"/>
              <w:szCs w:val="24"/>
              <w:lang w:val="en-US" w:eastAsia="zh-CN" w:bidi="ar-SA"/>
            </w:rPr>
            <w:fldChar w:fldCharType="end"/>
          </w:r>
        </w:p>
      </w:sdtContent>
    </w:sdt>
    <w:p w14:paraId="422FF3EE">
      <w:pPr>
        <w:pStyle w:val="12"/>
        <w:tabs>
          <w:tab w:val="right" w:leader="dot" w:pos="8306"/>
        </w:tabs>
        <w:spacing w:line="360" w:lineRule="auto"/>
        <w:ind w:left="0" w:leftChars="0" w:firstLine="0" w:firstLineChars="0"/>
        <w:jc w:val="center"/>
        <w:outlineLvl w:val="0"/>
        <w:rPr>
          <w:rFonts w:hint="default" w:ascii="Times New Roman" w:hAnsi="Times New Roman" w:cs="Times New Roman" w:eastAsiaTheme="minorEastAsia"/>
          <w:b/>
          <w:bCs/>
          <w:sz w:val="24"/>
          <w:szCs w:val="24"/>
          <w:lang w:val="en-US" w:eastAsia="zh-CN" w:bidi="ar-SA"/>
        </w:rPr>
      </w:pPr>
      <w:bookmarkStart w:id="1" w:name="_Toc30280"/>
      <w:r>
        <w:rPr>
          <w:rFonts w:hint="default" w:ascii="Times New Roman" w:hAnsi="Times New Roman" w:cs="Times New Roman"/>
          <w:b/>
          <w:bCs/>
          <w:sz w:val="24"/>
          <w:szCs w:val="24"/>
          <w:lang w:val="en-US" w:eastAsia="zh-CN" w:bidi="ar-SA"/>
        </w:rPr>
        <w:t>TABLE OF FIGURES</w:t>
      </w:r>
      <w:bookmarkEnd w:id="1"/>
    </w:p>
    <w:p w14:paraId="6455DB13">
      <w:pPr>
        <w:pStyle w:val="12"/>
        <w:tabs>
          <w:tab w:val="right" w:leader="dot" w:pos="8306"/>
        </w:tabs>
        <w:spacing w:line="360" w:lineRule="auto"/>
        <w:ind w:left="0" w:leftChars="0" w:firstLine="0" w:firstLineChars="0"/>
        <w:jc w:val="center"/>
        <w:rPr>
          <w:rFonts w:hint="default" w:ascii="Times New Roman" w:hAnsi="Times New Roman" w:cs="Times New Roman" w:eastAsiaTheme="minorEastAsia"/>
          <w:b/>
          <w:bCs/>
          <w:sz w:val="24"/>
          <w:szCs w:val="24"/>
          <w:lang w:val="en-US" w:eastAsia="zh-CN" w:bidi="ar-SA"/>
        </w:rPr>
      </w:pPr>
    </w:p>
    <w:p w14:paraId="7691CA23">
      <w:pPr>
        <w:pStyle w:val="12"/>
        <w:tabs>
          <w:tab w:val="right" w:leader="dot" w:pos="8306"/>
        </w:tabs>
        <w:spacing w:line="360" w:lineRule="auto"/>
        <w:jc w:val="center"/>
        <w:rPr>
          <w:rFonts w:hint="default" w:ascii="Times New Roman" w:hAnsi="Times New Roman" w:cs="Times New Roman"/>
          <w:b/>
          <w:bCs/>
          <w:sz w:val="24"/>
          <w:szCs w:val="24"/>
        </w:rPr>
      </w:pP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TOC \h \c "Figure"</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 HYPERLINK \l _Toc25600 </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b/>
          <w:bCs/>
          <w:sz w:val="24"/>
          <w:szCs w:val="24"/>
        </w:rPr>
        <w:t xml:space="preserve">Figure 1 </w:t>
      </w:r>
      <w:r>
        <w:rPr>
          <w:rFonts w:hint="default" w:ascii="Times New Roman" w:hAnsi="Times New Roman" w:cs="Times New Roman"/>
          <w:b/>
          <w:bCs/>
          <w:sz w:val="24"/>
          <w:szCs w:val="24"/>
          <w:lang w:val="en-US"/>
        </w:rPr>
        <w:t>: SWOT Analysis diagram for Before the Module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_Toc25600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eastAsiaTheme="minorEastAsia"/>
          <w:b/>
          <w:bCs/>
          <w:sz w:val="24"/>
          <w:szCs w:val="24"/>
          <w:lang w:val="en-US" w:eastAsia="zh-CN" w:bidi="ar-SA"/>
        </w:rPr>
        <w:fldChar w:fldCharType="end"/>
      </w:r>
    </w:p>
    <w:p w14:paraId="4DF03A92">
      <w:pPr>
        <w:pStyle w:val="12"/>
        <w:tabs>
          <w:tab w:val="right" w:leader="dot" w:pos="8306"/>
        </w:tabs>
        <w:spacing w:line="360" w:lineRule="auto"/>
        <w:jc w:val="center"/>
        <w:rPr>
          <w:rFonts w:hint="default" w:ascii="Times New Roman" w:hAnsi="Times New Roman" w:cs="Times New Roman"/>
          <w:b/>
          <w:bCs/>
          <w:sz w:val="24"/>
          <w:szCs w:val="24"/>
        </w:rPr>
      </w:pP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 HYPERLINK \l _Toc3293 </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b/>
          <w:bCs/>
          <w:sz w:val="24"/>
          <w:szCs w:val="24"/>
        </w:rPr>
        <w:t xml:space="preserve">Figure 2 </w:t>
      </w:r>
      <w:r>
        <w:rPr>
          <w:rFonts w:hint="default" w:ascii="Times New Roman" w:hAnsi="Times New Roman" w:cs="Times New Roman"/>
          <w:b/>
          <w:bCs/>
          <w:sz w:val="24"/>
          <w:szCs w:val="24"/>
          <w:lang w:val="en-US"/>
        </w:rPr>
        <w:t>: SWOT Analysis for After the Module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_Toc3293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8</w:t>
      </w:r>
      <w:r>
        <w:rPr>
          <w:rFonts w:hint="default" w:ascii="Times New Roman" w:hAnsi="Times New Roman" w:cs="Times New Roman"/>
          <w:b/>
          <w:bCs/>
          <w:sz w:val="24"/>
          <w:szCs w:val="24"/>
        </w:rPr>
        <w:fldChar w:fldCharType="end"/>
      </w:r>
      <w:r>
        <w:rPr>
          <w:rFonts w:hint="default" w:ascii="Times New Roman" w:hAnsi="Times New Roman" w:cs="Times New Roman" w:eastAsiaTheme="minorEastAsia"/>
          <w:b/>
          <w:bCs/>
          <w:sz w:val="24"/>
          <w:szCs w:val="24"/>
          <w:lang w:val="en-US" w:eastAsia="zh-CN" w:bidi="ar-SA"/>
        </w:rPr>
        <w:fldChar w:fldCharType="end"/>
      </w:r>
    </w:p>
    <w:p w14:paraId="09797BC5">
      <w:pPr>
        <w:pStyle w:val="12"/>
        <w:tabs>
          <w:tab w:val="right" w:leader="dot" w:pos="8306"/>
        </w:tabs>
        <w:spacing w:line="360" w:lineRule="auto"/>
        <w:jc w:val="center"/>
        <w:rPr>
          <w:rFonts w:hint="default" w:ascii="Times New Roman" w:hAnsi="Times New Roman" w:cs="Times New Roman"/>
          <w:b/>
          <w:bCs/>
          <w:sz w:val="24"/>
          <w:szCs w:val="24"/>
        </w:rPr>
      </w:pP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 HYPERLINK \l _Toc23362 </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b/>
          <w:bCs/>
          <w:sz w:val="24"/>
          <w:szCs w:val="24"/>
        </w:rPr>
        <w:t xml:space="preserve">Figure 3 </w:t>
      </w:r>
      <w:r>
        <w:rPr>
          <w:rFonts w:hint="default" w:ascii="Times New Roman" w:hAnsi="Times New Roman" w:cs="Times New Roman"/>
          <w:b/>
          <w:bCs/>
          <w:sz w:val="24"/>
          <w:szCs w:val="24"/>
          <w:lang w:val="en-US"/>
        </w:rPr>
        <w:t>: Johar Window Model</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_Toc23362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eastAsiaTheme="minorEastAsia"/>
          <w:b/>
          <w:bCs/>
          <w:sz w:val="24"/>
          <w:szCs w:val="24"/>
          <w:lang w:val="en-US" w:eastAsia="zh-CN" w:bidi="ar-SA"/>
        </w:rPr>
        <w:fldChar w:fldCharType="end"/>
      </w:r>
    </w:p>
    <w:p w14:paraId="12251DB3">
      <w:pPr>
        <w:pStyle w:val="12"/>
        <w:tabs>
          <w:tab w:val="right" w:leader="dot" w:pos="8306"/>
        </w:tabs>
        <w:spacing w:line="360" w:lineRule="auto"/>
        <w:jc w:val="center"/>
        <w:rPr>
          <w:rFonts w:hint="default" w:ascii="Times New Roman" w:hAnsi="Times New Roman" w:cs="Times New Roman"/>
          <w:b/>
          <w:bCs/>
          <w:sz w:val="24"/>
          <w:szCs w:val="24"/>
        </w:rPr>
      </w:pP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 HYPERLINK \l _Toc31423 </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b/>
          <w:bCs/>
          <w:sz w:val="24"/>
          <w:szCs w:val="24"/>
        </w:rPr>
        <w:t xml:space="preserve">Figure 4 </w:t>
      </w:r>
      <w:r>
        <w:rPr>
          <w:rFonts w:hint="default" w:ascii="Times New Roman" w:hAnsi="Times New Roman" w:cs="Times New Roman"/>
          <w:b/>
          <w:bCs/>
          <w:sz w:val="24"/>
          <w:szCs w:val="24"/>
          <w:lang w:val="en-US"/>
        </w:rPr>
        <w:t>: PDP Roadmap</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_Toc31423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eastAsiaTheme="minorEastAsia"/>
          <w:b/>
          <w:bCs/>
          <w:sz w:val="24"/>
          <w:szCs w:val="24"/>
          <w:lang w:val="en-US" w:eastAsia="zh-CN" w:bidi="ar-SA"/>
        </w:rPr>
        <w:fldChar w:fldCharType="end"/>
      </w:r>
    </w:p>
    <w:p w14:paraId="1712C6B0">
      <w:pPr>
        <w:pStyle w:val="12"/>
        <w:tabs>
          <w:tab w:val="right" w:leader="dot" w:pos="8306"/>
        </w:tabs>
        <w:spacing w:line="360" w:lineRule="auto"/>
        <w:jc w:val="center"/>
        <w:rPr>
          <w:rFonts w:hint="default" w:ascii="Times New Roman" w:hAnsi="Times New Roman" w:cs="Times New Roman"/>
          <w:b/>
          <w:bCs/>
          <w:sz w:val="24"/>
          <w:szCs w:val="24"/>
        </w:rPr>
      </w:pPr>
      <w:r>
        <w:rPr>
          <w:rFonts w:hint="default" w:ascii="Times New Roman" w:hAnsi="Times New Roman" w:cs="Times New Roman" w:eastAsiaTheme="minorEastAsia"/>
          <w:b/>
          <w:bCs/>
          <w:sz w:val="24"/>
          <w:szCs w:val="24"/>
          <w:lang w:val="en-US" w:eastAsia="zh-CN" w:bidi="ar-SA"/>
        </w:rPr>
        <w:fldChar w:fldCharType="begin"/>
      </w:r>
      <w:r>
        <w:rPr>
          <w:rFonts w:hint="default" w:ascii="Times New Roman" w:hAnsi="Times New Roman" w:cs="Times New Roman" w:eastAsiaTheme="minorEastAsia"/>
          <w:b/>
          <w:bCs/>
          <w:sz w:val="24"/>
          <w:szCs w:val="24"/>
          <w:lang w:val="en-US" w:eastAsia="zh-CN" w:bidi="ar-SA"/>
        </w:rPr>
        <w:instrText xml:space="preserve"> HYPERLINK \l _Toc16900 </w:instrText>
      </w:r>
      <w:r>
        <w:rPr>
          <w:rFonts w:hint="default" w:ascii="Times New Roman" w:hAnsi="Times New Roman" w:cs="Times New Roman" w:eastAsiaTheme="minorEastAsia"/>
          <w:b/>
          <w:bCs/>
          <w:sz w:val="24"/>
          <w:szCs w:val="24"/>
          <w:lang w:val="en-US" w:eastAsia="zh-CN" w:bidi="ar-SA"/>
        </w:rPr>
        <w:fldChar w:fldCharType="separate"/>
      </w:r>
      <w:r>
        <w:rPr>
          <w:rFonts w:hint="default" w:ascii="Times New Roman" w:hAnsi="Times New Roman" w:cs="Times New Roman"/>
          <w:b/>
          <w:bCs/>
          <w:sz w:val="24"/>
          <w:szCs w:val="24"/>
        </w:rPr>
        <w:t xml:space="preserve">Figure 5 </w:t>
      </w:r>
      <w:r>
        <w:rPr>
          <w:rFonts w:hint="default" w:ascii="Times New Roman" w:hAnsi="Times New Roman" w:cs="Times New Roman"/>
          <w:b/>
          <w:bCs/>
          <w:sz w:val="24"/>
          <w:szCs w:val="24"/>
          <w:lang w:val="en-US"/>
        </w:rPr>
        <w:t xml:space="preserve"> : VARK Learning Styles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_Toc16900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11</w:t>
      </w:r>
      <w:r>
        <w:rPr>
          <w:rFonts w:hint="default" w:ascii="Times New Roman" w:hAnsi="Times New Roman" w:cs="Times New Roman"/>
          <w:b/>
          <w:bCs/>
          <w:sz w:val="24"/>
          <w:szCs w:val="24"/>
        </w:rPr>
        <w:fldChar w:fldCharType="end"/>
      </w:r>
      <w:r>
        <w:rPr>
          <w:rFonts w:hint="default" w:ascii="Times New Roman" w:hAnsi="Times New Roman" w:cs="Times New Roman" w:eastAsiaTheme="minorEastAsia"/>
          <w:b/>
          <w:bCs/>
          <w:sz w:val="24"/>
          <w:szCs w:val="24"/>
          <w:lang w:val="en-US" w:eastAsia="zh-CN" w:bidi="ar-SA"/>
        </w:rPr>
        <w:fldChar w:fldCharType="end"/>
      </w:r>
    </w:p>
    <w:p w14:paraId="6E27A3A4">
      <w:pPr>
        <w:spacing w:line="360" w:lineRule="auto"/>
        <w:jc w:val="center"/>
        <w:rPr>
          <w:rFonts w:hint="default" w:asciiTheme="minorHAnsi" w:hAnsiTheme="minorHAnsi" w:eastAsiaTheme="minorEastAsia" w:cstheme="minorBidi"/>
          <w:b/>
          <w:bCs/>
          <w:lang w:val="en-US" w:eastAsia="zh-CN" w:bidi="ar-SA"/>
        </w:rPr>
      </w:pPr>
      <w:r>
        <w:rPr>
          <w:rFonts w:hint="default" w:ascii="Times New Roman" w:hAnsi="Times New Roman" w:cs="Times New Roman" w:eastAsiaTheme="minorEastAsia"/>
          <w:b/>
          <w:bCs/>
          <w:sz w:val="24"/>
          <w:szCs w:val="24"/>
          <w:lang w:val="en-US" w:eastAsia="zh-CN" w:bidi="ar-SA"/>
        </w:rPr>
        <w:fldChar w:fldCharType="end"/>
      </w:r>
    </w:p>
    <w:p w14:paraId="3B132C6D">
      <w:pPr>
        <w:rPr>
          <w:rFonts w:hint="default"/>
        </w:rPr>
      </w:pPr>
    </w:p>
    <w:p w14:paraId="2A46391C">
      <w:pPr>
        <w:rPr>
          <w:rFonts w:hint="default"/>
        </w:rPr>
      </w:pPr>
    </w:p>
    <w:p w14:paraId="75B72C31">
      <w:pPr>
        <w:rPr>
          <w:rFonts w:hint="default"/>
        </w:rPr>
      </w:pPr>
    </w:p>
    <w:p w14:paraId="5D8CF602">
      <w:pPr>
        <w:rPr>
          <w:rFonts w:hint="default"/>
        </w:rPr>
      </w:pPr>
    </w:p>
    <w:p w14:paraId="3770C847">
      <w:pPr>
        <w:rPr>
          <w:rFonts w:hint="default"/>
        </w:rPr>
      </w:pPr>
    </w:p>
    <w:p w14:paraId="279E620B">
      <w:pPr>
        <w:rPr>
          <w:rFonts w:hint="default"/>
        </w:rPr>
      </w:pPr>
    </w:p>
    <w:p w14:paraId="1D643C58">
      <w:pPr>
        <w:rPr>
          <w:rFonts w:hint="default"/>
        </w:rPr>
      </w:pPr>
    </w:p>
    <w:p w14:paraId="304CA3AD">
      <w:pPr>
        <w:rPr>
          <w:rFonts w:hint="default"/>
        </w:rPr>
      </w:pPr>
    </w:p>
    <w:p w14:paraId="48043FBC">
      <w:pPr>
        <w:rPr>
          <w:rFonts w:hint="default"/>
        </w:rPr>
      </w:pPr>
    </w:p>
    <w:p w14:paraId="572D5213">
      <w:pPr>
        <w:rPr>
          <w:rFonts w:hint="default"/>
        </w:rPr>
      </w:pPr>
    </w:p>
    <w:p w14:paraId="46C3183C">
      <w:pPr>
        <w:rPr>
          <w:rFonts w:hint="default"/>
        </w:rPr>
      </w:pPr>
    </w:p>
    <w:p w14:paraId="4302FBF8">
      <w:pPr>
        <w:rPr>
          <w:rFonts w:hint="default"/>
        </w:rPr>
      </w:pPr>
    </w:p>
    <w:p w14:paraId="5BC71521">
      <w:pPr>
        <w:rPr>
          <w:rFonts w:hint="default"/>
        </w:rPr>
      </w:pPr>
    </w:p>
    <w:p w14:paraId="168B327B">
      <w:pPr>
        <w:rPr>
          <w:rFonts w:hint="default"/>
        </w:rPr>
      </w:pPr>
    </w:p>
    <w:p w14:paraId="3789E88B">
      <w:pPr>
        <w:rPr>
          <w:rFonts w:hint="default"/>
        </w:rPr>
      </w:pPr>
    </w:p>
    <w:p w14:paraId="214193E7">
      <w:pPr>
        <w:rPr>
          <w:rFonts w:hint="default"/>
        </w:rPr>
      </w:pPr>
    </w:p>
    <w:p w14:paraId="7FEA011A">
      <w:pPr>
        <w:rPr>
          <w:rFonts w:hint="default"/>
        </w:rPr>
      </w:pPr>
    </w:p>
    <w:p w14:paraId="2FD84FDE">
      <w:pPr>
        <w:rPr>
          <w:rFonts w:hint="default"/>
        </w:rPr>
      </w:pPr>
    </w:p>
    <w:p w14:paraId="1E6EAA81">
      <w:pPr>
        <w:rPr>
          <w:rFonts w:hint="default"/>
        </w:rPr>
      </w:pPr>
    </w:p>
    <w:p w14:paraId="7D3E50E2">
      <w:pPr>
        <w:rPr>
          <w:rFonts w:hint="default"/>
        </w:rPr>
      </w:pPr>
    </w:p>
    <w:p w14:paraId="55DFF6F5">
      <w:pPr>
        <w:rPr>
          <w:rFonts w:hint="default"/>
        </w:rPr>
      </w:pPr>
    </w:p>
    <w:p w14:paraId="44CB750B">
      <w:pPr>
        <w:rPr>
          <w:rFonts w:hint="default"/>
        </w:rPr>
      </w:pPr>
    </w:p>
    <w:p w14:paraId="57A0187E">
      <w:pPr>
        <w:rPr>
          <w:rFonts w:hint="default"/>
        </w:rPr>
      </w:pPr>
    </w:p>
    <w:p w14:paraId="4CC79A46">
      <w:pPr>
        <w:rPr>
          <w:rFonts w:hint="default"/>
        </w:rPr>
      </w:pPr>
    </w:p>
    <w:p w14:paraId="41A3D52A">
      <w:pPr>
        <w:rPr>
          <w:rFonts w:hint="default"/>
        </w:rPr>
      </w:pPr>
    </w:p>
    <w:p w14:paraId="5872D729">
      <w:pPr>
        <w:rPr>
          <w:rFonts w:hint="default"/>
        </w:rPr>
      </w:pPr>
    </w:p>
    <w:p w14:paraId="50F32A6F">
      <w:pPr>
        <w:rPr>
          <w:rFonts w:hint="default"/>
        </w:rPr>
      </w:pPr>
    </w:p>
    <w:p w14:paraId="4BD04A72">
      <w:pPr>
        <w:rPr>
          <w:rFonts w:hint="default"/>
        </w:rPr>
      </w:pPr>
    </w:p>
    <w:p w14:paraId="3BF4D373">
      <w:pPr>
        <w:rPr>
          <w:rFonts w:hint="default"/>
        </w:rPr>
      </w:pPr>
    </w:p>
    <w:p w14:paraId="7F3A7311">
      <w:pPr>
        <w:rPr>
          <w:rFonts w:hint="default"/>
        </w:rPr>
      </w:pPr>
    </w:p>
    <w:p w14:paraId="0A7295A7">
      <w:pPr>
        <w:rPr>
          <w:rFonts w:hint="default"/>
        </w:rPr>
      </w:pPr>
    </w:p>
    <w:p w14:paraId="055D48A3">
      <w:pPr>
        <w:rPr>
          <w:rFonts w:hint="default"/>
        </w:rPr>
      </w:pPr>
    </w:p>
    <w:p w14:paraId="04194E33">
      <w:pPr>
        <w:rPr>
          <w:rFonts w:hint="default"/>
        </w:rPr>
      </w:pPr>
    </w:p>
    <w:p w14:paraId="4220E47D">
      <w:pPr>
        <w:rPr>
          <w:rFonts w:hint="default"/>
        </w:rPr>
      </w:pPr>
    </w:p>
    <w:p w14:paraId="1E8D2A14">
      <w:pPr>
        <w:rPr>
          <w:rFonts w:hint="default"/>
        </w:rPr>
      </w:pPr>
    </w:p>
    <w:p w14:paraId="558C1540">
      <w:pPr>
        <w:rPr>
          <w:rFonts w:hint="default"/>
        </w:rPr>
      </w:pPr>
    </w:p>
    <w:p w14:paraId="1355D3EB">
      <w:pPr>
        <w:rPr>
          <w:rFonts w:hint="default"/>
        </w:rPr>
      </w:pPr>
    </w:p>
    <w:p w14:paraId="61F91BB3">
      <w:pPr>
        <w:rPr>
          <w:rFonts w:hint="default"/>
        </w:rPr>
      </w:pPr>
    </w:p>
    <w:p w14:paraId="335F47EB">
      <w:pPr>
        <w:rPr>
          <w:rFonts w:hint="default"/>
        </w:rPr>
      </w:pPr>
    </w:p>
    <w:p w14:paraId="1F418E97">
      <w:pPr>
        <w:rPr>
          <w:rFonts w:hint="default"/>
        </w:rPr>
      </w:pPr>
    </w:p>
    <w:p w14:paraId="1E693EC5">
      <w:pPr>
        <w:rPr>
          <w:rFonts w:hint="default"/>
        </w:rPr>
      </w:pPr>
    </w:p>
    <w:p w14:paraId="359B3705">
      <w:pPr>
        <w:rPr>
          <w:rFonts w:hint="default"/>
        </w:rPr>
      </w:pPr>
    </w:p>
    <w:p w14:paraId="6D8B4D21">
      <w:pPr>
        <w:pStyle w:val="2"/>
        <w:numPr>
          <w:ilvl w:val="0"/>
          <w:numId w:val="1"/>
        </w:numPr>
        <w:bidi w:val="0"/>
        <w:ind w:left="425" w:leftChars="0" w:hanging="425" w:firstLineChars="0"/>
        <w:rPr>
          <w:rFonts w:hint="default"/>
        </w:rPr>
      </w:pPr>
      <w:bookmarkStart w:id="2" w:name="_Toc22216"/>
      <w:bookmarkStart w:id="3" w:name="_Toc22052"/>
      <w:r>
        <w:rPr>
          <w:rFonts w:hint="default"/>
        </w:rPr>
        <w:t>Introduction</w:t>
      </w:r>
      <w:bookmarkEnd w:id="2"/>
      <w:bookmarkEnd w:id="3"/>
      <w:r>
        <w:rPr>
          <w:rFonts w:hint="default"/>
        </w:rPr>
        <w:t xml:space="preserve"> </w:t>
      </w:r>
    </w:p>
    <w:p w14:paraId="2BB451D4">
      <w:pPr>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color w:val="0E101A"/>
          <w:sz w:val="24"/>
          <w:szCs w:val="24"/>
        </w:rPr>
        <w:t xml:space="preserve">The </w:t>
      </w:r>
      <w:r>
        <w:rPr>
          <w:rStyle w:val="10"/>
          <w:rFonts w:hint="default" w:ascii="Times New Roman" w:hAnsi="Times New Roman" w:cs="Times New Roman"/>
          <w:color w:val="0E101A"/>
          <w:sz w:val="24"/>
          <w:szCs w:val="24"/>
        </w:rPr>
        <w:t>Professional Career Development</w:t>
      </w:r>
      <w:r>
        <w:rPr>
          <w:rFonts w:hint="default" w:ascii="Times New Roman" w:hAnsi="Times New Roman" w:cs="Times New Roman"/>
          <w:color w:val="0E101A"/>
          <w:sz w:val="24"/>
          <w:szCs w:val="24"/>
        </w:rPr>
        <w:t xml:space="preserve"> module has been a transformative experience. It has given me the necessary skills and strategies to enhance my employability and prepare me for future professional challenges</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(Shamsiya Alimova, 2024)</w:t>
      </w:r>
      <w:r>
        <w:rPr>
          <w:rFonts w:hint="default" w:ascii="Times New Roman" w:hAnsi="Times New Roman" w:cs="Times New Roman"/>
          <w:color w:val="0E101A"/>
          <w:sz w:val="24"/>
          <w:szCs w:val="24"/>
        </w:rPr>
        <w:t>. The module emphasizes the importance of self-awareness, goal setting, and structured career planning, equipping me with tools to analyze my abilities critically and identify opportunities for growth. Through interactive lectures and practical exercises, I gained insights into my strengths, areas for improvement, and the steps needed to achieve my professional aspirations</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(Calmette and Meunier, 2024)</w:t>
      </w:r>
      <w:r>
        <w:rPr>
          <w:rFonts w:hint="default" w:ascii="Times New Roman" w:hAnsi="Times New Roman" w:cs="Times New Roman"/>
          <w:color w:val="0E101A"/>
          <w:sz w:val="24"/>
          <w:szCs w:val="24"/>
        </w:rPr>
        <w:t>.</w:t>
      </w:r>
      <w:r>
        <w:rPr>
          <w:rFonts w:hint="default" w:ascii="Times New Roman" w:hAnsi="Times New Roman" w:cs="Times New Roman"/>
          <w:color w:val="0E101A"/>
          <w:sz w:val="24"/>
          <w:szCs w:val="24"/>
          <w:lang w:val="en-US"/>
        </w:rPr>
        <w:t xml:space="preserve"> </w:t>
      </w:r>
      <w:r>
        <w:rPr>
          <w:rFonts w:hint="default" w:ascii="Times New Roman" w:hAnsi="Times New Roman" w:cs="Times New Roman"/>
          <w:color w:val="0E101A"/>
          <w:sz w:val="24"/>
          <w:szCs w:val="24"/>
        </w:rPr>
        <w:t xml:space="preserve">This essay utilizes </w:t>
      </w:r>
      <w:r>
        <w:rPr>
          <w:rStyle w:val="10"/>
          <w:rFonts w:hint="default" w:ascii="Times New Roman" w:hAnsi="Times New Roman" w:cs="Times New Roman"/>
          <w:color w:val="0E101A"/>
          <w:sz w:val="24"/>
          <w:szCs w:val="24"/>
        </w:rPr>
        <w:t>Gibbs's Reflective Cycle</w:t>
      </w:r>
      <w:r>
        <w:rPr>
          <w:rFonts w:hint="default" w:ascii="Times New Roman" w:hAnsi="Times New Roman" w:cs="Times New Roman"/>
          <w:color w:val="0E101A"/>
          <w:sz w:val="24"/>
          <w:szCs w:val="24"/>
        </w:rPr>
        <w:t xml:space="preserve"> as a framework to explore and evaluate my learning journey during this module. It focuses on applying critical models introduced in the course, including the </w:t>
      </w:r>
      <w:r>
        <w:rPr>
          <w:rStyle w:val="10"/>
          <w:rFonts w:hint="default" w:ascii="Times New Roman" w:hAnsi="Times New Roman" w:cs="Times New Roman"/>
          <w:color w:val="0E101A"/>
          <w:sz w:val="24"/>
          <w:szCs w:val="24"/>
        </w:rPr>
        <w:t>SWOT analysis</w:t>
      </w:r>
      <w:r>
        <w:rPr>
          <w:rFonts w:hint="default" w:ascii="Times New Roman" w:hAnsi="Times New Roman" w:cs="Times New Roman"/>
          <w:color w:val="0E101A"/>
          <w:sz w:val="24"/>
          <w:szCs w:val="24"/>
        </w:rPr>
        <w:t xml:space="preserve">, which allowed me to assess my strengths and weaknesses effectively, and the </w:t>
      </w:r>
      <w:r>
        <w:rPr>
          <w:rStyle w:val="10"/>
          <w:rFonts w:hint="default" w:ascii="Times New Roman" w:hAnsi="Times New Roman" w:cs="Times New Roman"/>
          <w:color w:val="0E101A"/>
          <w:sz w:val="24"/>
          <w:szCs w:val="24"/>
        </w:rPr>
        <w:t>SMART framework</w:t>
      </w:r>
      <w:r>
        <w:rPr>
          <w:rFonts w:hint="default" w:ascii="Times New Roman" w:hAnsi="Times New Roman" w:cs="Times New Roman"/>
          <w:color w:val="0E101A"/>
          <w:sz w:val="24"/>
          <w:szCs w:val="24"/>
        </w:rPr>
        <w:t xml:space="preserve">, which provided a structured approach to setting and achieving meaningful goals. Additionally, the </w:t>
      </w:r>
      <w:r>
        <w:rPr>
          <w:rStyle w:val="10"/>
          <w:rFonts w:hint="default" w:ascii="Times New Roman" w:hAnsi="Times New Roman" w:cs="Times New Roman"/>
          <w:color w:val="0E101A"/>
          <w:sz w:val="24"/>
          <w:szCs w:val="24"/>
        </w:rPr>
        <w:t>Johari Window</w:t>
      </w:r>
      <w:r>
        <w:rPr>
          <w:rFonts w:hint="default" w:ascii="Times New Roman" w:hAnsi="Times New Roman" w:cs="Times New Roman"/>
          <w:color w:val="0E101A"/>
          <w:sz w:val="24"/>
          <w:szCs w:val="24"/>
        </w:rPr>
        <w:t xml:space="preserve"> helped me enhance self-awareness and interpersonal relationships, while the </w:t>
      </w:r>
      <w:r>
        <w:rPr>
          <w:rStyle w:val="10"/>
          <w:rFonts w:hint="default" w:ascii="Times New Roman" w:hAnsi="Times New Roman" w:cs="Times New Roman"/>
          <w:color w:val="0E101A"/>
          <w:sz w:val="24"/>
          <w:szCs w:val="24"/>
        </w:rPr>
        <w:t>Personal Development Plan (PDP)</w:t>
      </w:r>
      <w:r>
        <w:rPr>
          <w:rFonts w:hint="default" w:ascii="Times New Roman" w:hAnsi="Times New Roman" w:cs="Times New Roman"/>
          <w:color w:val="0E101A"/>
          <w:sz w:val="24"/>
          <w:szCs w:val="24"/>
        </w:rPr>
        <w:t xml:space="preserve"> offered a roadmap for structured career progression. Furthermore, understanding my </w:t>
      </w:r>
      <w:r>
        <w:rPr>
          <w:rStyle w:val="10"/>
          <w:rFonts w:hint="default" w:ascii="Times New Roman" w:hAnsi="Times New Roman" w:cs="Times New Roman"/>
          <w:color w:val="0E101A"/>
          <w:sz w:val="24"/>
          <w:szCs w:val="24"/>
        </w:rPr>
        <w:t>learning styles</w:t>
      </w:r>
      <w:r>
        <w:rPr>
          <w:rFonts w:hint="default" w:ascii="Times New Roman" w:hAnsi="Times New Roman" w:cs="Times New Roman"/>
          <w:color w:val="0E101A"/>
          <w:sz w:val="24"/>
          <w:szCs w:val="24"/>
        </w:rPr>
        <w:t xml:space="preserve"> enabled me to adopt strategies aligned with my learner strengths</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(Bird, Swann and Jackman, 2023)</w:t>
      </w:r>
      <w:r>
        <w:rPr>
          <w:rFonts w:hint="default" w:ascii="Times New Roman" w:hAnsi="Times New Roman" w:cs="Times New Roman"/>
          <w:color w:val="0E101A"/>
          <w:sz w:val="24"/>
          <w:szCs w:val="24"/>
        </w:rPr>
        <w:t>. This reflection aims to demonstrate how these tools have influenced my development and their relevance to my professional growth.</w:t>
      </w:r>
    </w:p>
    <w:p w14:paraId="04459D58">
      <w:pPr>
        <w:pStyle w:val="2"/>
        <w:numPr>
          <w:ilvl w:val="0"/>
          <w:numId w:val="1"/>
        </w:numPr>
        <w:bidi w:val="0"/>
        <w:ind w:left="425" w:leftChars="0" w:hanging="425" w:firstLineChars="0"/>
        <w:rPr>
          <w:rFonts w:hint="default"/>
        </w:rPr>
      </w:pPr>
      <w:bookmarkStart w:id="4" w:name="_Toc20081"/>
      <w:bookmarkStart w:id="5" w:name="_Toc6197"/>
      <w:r>
        <w:rPr>
          <w:rFonts w:hint="default"/>
        </w:rPr>
        <w:t>Gibbs Reflective Cycle Sections</w:t>
      </w:r>
      <w:bookmarkEnd w:id="4"/>
      <w:bookmarkEnd w:id="5"/>
    </w:p>
    <w:p w14:paraId="01D0F1E6">
      <w:pPr>
        <w:pStyle w:val="3"/>
        <w:numPr>
          <w:ilvl w:val="1"/>
          <w:numId w:val="1"/>
        </w:numPr>
        <w:bidi w:val="0"/>
        <w:rPr>
          <w:rFonts w:hint="default"/>
        </w:rPr>
      </w:pPr>
      <w:bookmarkStart w:id="6" w:name="_Toc19976"/>
      <w:bookmarkStart w:id="7" w:name="_Toc15623"/>
      <w:r>
        <w:rPr>
          <w:rFonts w:hint="default"/>
        </w:rPr>
        <w:t>Description</w:t>
      </w:r>
      <w:bookmarkEnd w:id="6"/>
      <w:bookmarkEnd w:id="7"/>
    </w:p>
    <w:p w14:paraId="0ACB7347">
      <w:pPr>
        <w:keepNext w:val="0"/>
        <w:keepLines w:val="0"/>
        <w:widowControl/>
        <w:suppressLineNumbers w:val="0"/>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Professional Career Development curriculum changed my academic and professional life. The module was carefully designed to teach critical skills and techniques for personal and career advancement. Each lecture offered vital concepts and frameworks for practical application, reinforced by interactive activities and conversations for self-reflection and active involvement with peers and instructors. The first-week SWOT analysis was an essential learning experience. This activity required me to critically assess my career goals, strengths, shortcomings, opportunities, and threats </w:t>
      </w:r>
      <w:r>
        <w:rPr>
          <w:rFonts w:hint="default" w:ascii="Times New Roman" w:hAnsi="Times New Roman" w:eastAsia="SimSun" w:cs="Times New Roman"/>
          <w:kern w:val="0"/>
          <w:sz w:val="24"/>
          <w:szCs w:val="24"/>
          <w:lang w:val="en-US" w:eastAsia="zh-CN" w:bidi="ar"/>
        </w:rPr>
        <w:t>(Thuy, Can Van Da and Nguyen Van Hanh, 2024)</w:t>
      </w:r>
      <w:r>
        <w:rPr>
          <w:rFonts w:hint="default" w:ascii="Times New Roman" w:hAnsi="Times New Roman" w:cs="Times New Roman"/>
          <w:sz w:val="24"/>
          <w:szCs w:val="24"/>
          <w:lang w:val="en-US"/>
        </w:rPr>
        <w:t xml:space="preserve">. I recognised strengths like communication and problem-solving and shortcomings like time management and public speaking, which I wanted to improve in the module. Another important step was learning SMART </w:t>
      </w:r>
      <w:r>
        <w:rPr>
          <w:rFonts w:hint="default" w:ascii="Times New Roman" w:hAnsi="Times New Roman" w:eastAsia="SimSun" w:cs="Times New Roman"/>
          <w:kern w:val="0"/>
          <w:sz w:val="24"/>
          <w:szCs w:val="24"/>
          <w:lang w:val="en-US" w:eastAsia="zh-CN" w:bidi="ar"/>
        </w:rPr>
        <w:t>(Sharifi et al., 2024)</w:t>
      </w:r>
      <w:r>
        <w:rPr>
          <w:rFonts w:hint="default" w:ascii="Times New Roman" w:hAnsi="Times New Roman" w:cs="Times New Roman"/>
          <w:sz w:val="24"/>
          <w:szCs w:val="24"/>
          <w:lang w:val="en-US"/>
        </w:rPr>
        <w:t xml:space="preserve">. This technique taught me to define concrete, quantifiable, realistic, relevant, and time-bound goals. In my academic life, I set aside two focused hours daily for individual study and regularly checked my progress </w:t>
      </w:r>
      <w:r>
        <w:rPr>
          <w:rFonts w:hint="default" w:ascii="Times New Roman" w:hAnsi="Times New Roman" w:eastAsia="SimSun" w:cs="Times New Roman"/>
          <w:kern w:val="0"/>
          <w:sz w:val="24"/>
          <w:szCs w:val="24"/>
          <w:lang w:val="en-US" w:eastAsia="zh-CN" w:bidi="ar"/>
        </w:rPr>
        <w:t>(Ataullayeva, 2024)</w:t>
      </w:r>
      <w:r>
        <w:rPr>
          <w:rFonts w:hint="default" w:ascii="Times New Roman" w:hAnsi="Times New Roman" w:cs="Times New Roman"/>
          <w:sz w:val="24"/>
          <w:szCs w:val="24"/>
          <w:lang w:val="en-US"/>
        </w:rPr>
        <w:t>. This system improved my productivity and accountability. The Johari Window session redefined my self-awareness. Class feedback and peer exercises revealed parts of my personality I didn't know about. Understanding my communication style boosted my interpersonal skills and collaboration. Overall, the module provided a supportive and reflective atmosphere for model application. These experiences helped me establish concrete growth plans for my personal and professional progress.</w:t>
      </w:r>
    </w:p>
    <w:p w14:paraId="442ACDFF">
      <w:pPr>
        <w:pStyle w:val="3"/>
        <w:numPr>
          <w:ilvl w:val="1"/>
          <w:numId w:val="1"/>
        </w:numPr>
        <w:bidi w:val="0"/>
        <w:ind w:left="0" w:leftChars="0" w:firstLine="0" w:firstLineChars="0"/>
        <w:rPr>
          <w:rFonts w:hint="default"/>
        </w:rPr>
      </w:pPr>
      <w:bookmarkStart w:id="8" w:name="_Toc31489"/>
      <w:bookmarkStart w:id="9" w:name="_Toc7599"/>
      <w:r>
        <w:rPr>
          <w:rFonts w:hint="default"/>
        </w:rPr>
        <w:t>Feelings</w:t>
      </w:r>
      <w:bookmarkEnd w:id="8"/>
      <w:bookmarkEnd w:id="9"/>
      <w:r>
        <w:rPr>
          <w:rFonts w:hint="default"/>
        </w:rPr>
        <w:t xml:space="preserve"> </w:t>
      </w:r>
    </w:p>
    <w:p w14:paraId="2CF72D33">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 felt a variety of emotions while learning the Professional Career Development lesson. Initially, I was excited and nervous. The chance to discover my abilities and professional aspirations was exciting, but self-reflection and peer evaluation made me anxious. I felt vulnerable disclosing my shortcomings and undiscovered tendencies, yet it attracted me as a growth opportunity. The SWOT analysis process made me self-critical as I faced my time management weaknesses. Finding my talents, like effective communication, gave me a sense of satisfaction and encouragement that I could expand on them. Working on the SMART objectives framework offered me control and clarity. Breaking my goals into concrete steps made me feel less overwhelmed and more confident about attaining them.</w:t>
      </w:r>
    </w:p>
    <w:p w14:paraId="3055A4B9">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Johari Window was emotionally exhausting but rewarding. I was startled and pleased when peer feedback revealed features I hadn't noticed. This information increased my confidence, revealing blind spots like my leadership potential </w:t>
      </w:r>
      <w:r>
        <w:rPr>
          <w:rFonts w:hint="default" w:ascii="Times New Roman" w:hAnsi="Times New Roman" w:eastAsia="SimSun" w:cs="Times New Roman"/>
          <w:kern w:val="0"/>
          <w:sz w:val="24"/>
          <w:szCs w:val="24"/>
          <w:lang w:val="en-US" w:eastAsia="zh-CN" w:bidi="ar"/>
        </w:rPr>
        <w:t>(J Owen , 2024)</w:t>
      </w:r>
      <w:r>
        <w:rPr>
          <w:rFonts w:hint="default" w:ascii="Times New Roman" w:hAnsi="Times New Roman" w:cs="Times New Roman"/>
          <w:sz w:val="24"/>
          <w:szCs w:val="24"/>
          <w:lang w:val="en-US"/>
        </w:rPr>
        <w:t xml:space="preserve">. Hearing constructive feedback about being restrained during discussions was painful but necessary for understanding how others see me. This process helped me understand myself and evolve </w:t>
      </w:r>
      <w:r>
        <w:rPr>
          <w:rFonts w:hint="default" w:ascii="Times New Roman" w:hAnsi="Times New Roman" w:eastAsia="SimSun" w:cs="Times New Roman"/>
          <w:kern w:val="0"/>
          <w:sz w:val="24"/>
          <w:szCs w:val="24"/>
          <w:lang w:val="en-US" w:eastAsia="zh-CN" w:bidi="ar"/>
        </w:rPr>
        <w:t>(Zadorozhny et al., 2024)</w:t>
      </w:r>
      <w:r>
        <w:rPr>
          <w:rFonts w:hint="default" w:ascii="Times New Roman" w:hAnsi="Times New Roman" w:cs="Times New Roman"/>
          <w:sz w:val="24"/>
          <w:szCs w:val="24"/>
          <w:lang w:val="en-US"/>
        </w:rPr>
        <w:t>. The module was an emotional journey that led me from nervousness to empowerment. The supportive classroom environment fostered self-reflection and gave me the confidence to apply these insights to my personal and professional life.</w:t>
      </w:r>
    </w:p>
    <w:p w14:paraId="2517647B">
      <w:pPr>
        <w:pStyle w:val="3"/>
        <w:numPr>
          <w:ilvl w:val="1"/>
          <w:numId w:val="1"/>
        </w:numPr>
        <w:bidi w:val="0"/>
        <w:ind w:left="0" w:leftChars="0" w:firstLine="0" w:firstLineChars="0"/>
        <w:rPr>
          <w:rFonts w:hint="default"/>
          <w:lang w:val="en-US"/>
        </w:rPr>
      </w:pPr>
      <w:bookmarkStart w:id="10" w:name="_Toc4752"/>
      <w:bookmarkStart w:id="11" w:name="_Toc7631"/>
      <w:r>
        <w:rPr>
          <w:rFonts w:hint="default"/>
          <w:lang w:val="en-US"/>
        </w:rPr>
        <w:t>Evaluation</w:t>
      </w:r>
      <w:bookmarkEnd w:id="10"/>
      <w:bookmarkEnd w:id="11"/>
    </w:p>
    <w:p w14:paraId="2E55D0C9">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Applying Professional Career Development module models has positive results and problems. Each model offered practical tools and unique insights into personal and professional progress, but adopting them was difficult. SWOT analysis underpinned self-reflection. By identifying strengths like effective communication and teamwork, I acquired confidence and clarity about my academic and professional talents. However, tackling time management and public speaking inadequacies took a lot of work </w:t>
      </w:r>
      <w:r>
        <w:rPr>
          <w:rFonts w:hint="default" w:ascii="Times New Roman" w:hAnsi="Times New Roman" w:eastAsia="SimSun" w:cs="Times New Roman"/>
          <w:kern w:val="0"/>
          <w:sz w:val="24"/>
          <w:szCs w:val="24"/>
          <w:lang w:val="en-US" w:eastAsia="zh-CN" w:bidi="ar"/>
        </w:rPr>
        <w:t>(Monteiro et al., 2023)</w:t>
      </w:r>
      <w:r>
        <w:rPr>
          <w:rFonts w:hint="default" w:ascii="Times New Roman" w:hAnsi="Times New Roman" w:cs="Times New Roman"/>
          <w:sz w:val="24"/>
          <w:szCs w:val="24"/>
          <w:lang w:val="en-US"/>
        </w:rPr>
        <w:t>. Being honest about my weaknesses was frightening at first. However, this clarity allowed me to focus on filling these gaps and promoting personal progress.</w:t>
      </w:r>
    </w:p>
    <w:p w14:paraId="4793263C">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5266690" cy="2962910"/>
            <wp:effectExtent l="0" t="0" r="3810" b="8890"/>
            <wp:docPr id="2" name="Picture 2" descr="Communication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ommunication Problem-solving"/>
                    <pic:cNvPicPr>
                      <a:picLocks noChangeAspect="1"/>
                    </pic:cNvPicPr>
                  </pic:nvPicPr>
                  <pic:blipFill>
                    <a:blip r:embed="rId7"/>
                    <a:stretch>
                      <a:fillRect/>
                    </a:stretch>
                  </pic:blipFill>
                  <pic:spPr>
                    <a:xfrm>
                      <a:off x="0" y="0"/>
                      <a:ext cx="5266690" cy="2962910"/>
                    </a:xfrm>
                    <a:prstGeom prst="rect">
                      <a:avLst/>
                    </a:prstGeom>
                  </pic:spPr>
                </pic:pic>
              </a:graphicData>
            </a:graphic>
          </wp:inline>
        </w:drawing>
      </w:r>
    </w:p>
    <w:p w14:paraId="49543376">
      <w:pPr>
        <w:pStyle w:val="6"/>
        <w:spacing w:line="360" w:lineRule="auto"/>
        <w:jc w:val="center"/>
        <w:rPr>
          <w:lang w:val="en-US"/>
        </w:rPr>
      </w:pPr>
      <w:r>
        <w:t xml:space="preserve">Figure </w:t>
      </w:r>
      <w:r>
        <w:fldChar w:fldCharType="begin"/>
      </w:r>
      <w:r>
        <w:instrText xml:space="preserve"> SEQ Figure \* ARABIC </w:instrText>
      </w:r>
      <w:r>
        <w:fldChar w:fldCharType="separate"/>
      </w:r>
      <w:r>
        <w:t>1</w:t>
      </w:r>
      <w:r>
        <w:fldChar w:fldCharType="end"/>
      </w:r>
      <w:bookmarkStart w:id="12" w:name="_Toc25600"/>
      <w:r>
        <w:rPr>
          <w:lang w:val="en-US"/>
        </w:rPr>
        <w:t>: SWOT Analysis diagram for Before the Module</w:t>
      </w:r>
      <w:bookmarkEnd w:id="12"/>
    </w:p>
    <w:p w14:paraId="0D7B1911">
      <w:pPr>
        <w:rPr>
          <w:rFonts w:hint="default"/>
          <w:lang w:val="en-US"/>
        </w:rPr>
      </w:pPr>
    </w:p>
    <w:p w14:paraId="0DAA639F">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SMART objectives framework helped turn dreams into action. Goals were organised by being specific, quantifiable, achievable, meaningful, and time-bound. For instance, two hours of daily independent study increased my output. Maintaining consistency in implementing these planned schedules took time, especially with academic and personal obligations. Adherence to these goals required discipline and regular review.</w:t>
      </w:r>
    </w:p>
    <w:p w14:paraId="4086426E">
      <w:pPr>
        <w:spacing w:line="360" w:lineRule="auto"/>
        <w:jc w:val="both"/>
        <w:rPr>
          <w:rFonts w:hint="default" w:ascii="Times New Roman" w:hAnsi="Times New Roman" w:cs="Times New Roman"/>
          <w:sz w:val="24"/>
          <w:szCs w:val="24"/>
          <w:lang w:val="en-US"/>
        </w:rPr>
      </w:pPr>
    </w:p>
    <w:p w14:paraId="3764E564">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Johari Window presented challenges and benefits. Peer feedback revealed blind spots like underestimating my leadership abilities. I felt inspired to play more prominent roles in group activities. However, constructive criticism, like being too reserved in discussions, was hard to accept. Overcoming defensiveness took effort, but criticism improved my self-awareness and social abilities. These frameworks presented fragility and discipline but also significant growth prospects. This method helped me develop self-awareness, goal-setting, and interpersonal skills, making it an important career milestone.</w:t>
      </w:r>
    </w:p>
    <w:p w14:paraId="1CBD8B4A">
      <w:pPr>
        <w:spacing w:line="360" w:lineRule="auto"/>
        <w:jc w:val="both"/>
        <w:rPr>
          <w:rFonts w:hint="default" w:ascii="Times New Roman" w:hAnsi="Times New Roman" w:cs="Times New Roman"/>
          <w:sz w:val="24"/>
          <w:szCs w:val="24"/>
          <w:lang w:val="en-U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840"/>
        <w:gridCol w:w="2841"/>
        <w:gridCol w:w="2841"/>
      </w:tblGrid>
      <w:tr w14:paraId="3A5115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vAlign w:val="center"/>
          </w:tcPr>
          <w:p w14:paraId="218C86F1">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Aspect</w:t>
            </w:r>
          </w:p>
        </w:tc>
        <w:tc>
          <w:tcPr>
            <w:tcW w:w="2841" w:type="dxa"/>
            <w:vAlign w:val="center"/>
          </w:tcPr>
          <w:p w14:paraId="470368D5">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Before the Module</w:t>
            </w:r>
          </w:p>
        </w:tc>
        <w:tc>
          <w:tcPr>
            <w:tcW w:w="2841" w:type="dxa"/>
            <w:vAlign w:val="center"/>
          </w:tcPr>
          <w:p w14:paraId="13E77C41">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After the Module</w:t>
            </w:r>
          </w:p>
        </w:tc>
      </w:tr>
      <w:tr w14:paraId="5001D0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vAlign w:val="center"/>
          </w:tcPr>
          <w:p w14:paraId="3F5F0E78">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Time Management</w:t>
            </w:r>
          </w:p>
        </w:tc>
        <w:tc>
          <w:tcPr>
            <w:tcW w:w="2841" w:type="dxa"/>
            <w:vAlign w:val="center"/>
          </w:tcPr>
          <w:p w14:paraId="1530122F">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Weak time management</w:t>
            </w:r>
          </w:p>
        </w:tc>
        <w:tc>
          <w:tcPr>
            <w:tcW w:w="2841" w:type="dxa"/>
            <w:vAlign w:val="center"/>
          </w:tcPr>
          <w:p w14:paraId="1324775D">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Improved productivity through structured planning</w:t>
            </w:r>
          </w:p>
        </w:tc>
      </w:tr>
      <w:tr w14:paraId="5A1C5F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vAlign w:val="center"/>
          </w:tcPr>
          <w:p w14:paraId="2EEB38CD">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Public Speaking Confidence</w:t>
            </w:r>
          </w:p>
        </w:tc>
        <w:tc>
          <w:tcPr>
            <w:tcW w:w="2841" w:type="dxa"/>
            <w:vAlign w:val="center"/>
          </w:tcPr>
          <w:p w14:paraId="0E52ADB4">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Limited public speaking confidence</w:t>
            </w:r>
          </w:p>
        </w:tc>
        <w:tc>
          <w:tcPr>
            <w:tcW w:w="2841" w:type="dxa"/>
            <w:vAlign w:val="center"/>
          </w:tcPr>
          <w:p w14:paraId="6079B3E4">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Increased confidence through practice and feedback</w:t>
            </w:r>
          </w:p>
        </w:tc>
      </w:tr>
      <w:tr w14:paraId="14C11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840" w:type="dxa"/>
            <w:vAlign w:val="center"/>
          </w:tcPr>
          <w:p w14:paraId="4F81058A">
            <w:pPr>
              <w:keepNext w:val="0"/>
              <w:keepLines w:val="0"/>
              <w:widowControl/>
              <w:suppressLineNumbers w:val="0"/>
              <w:spacing w:line="360" w:lineRule="auto"/>
              <w:jc w:val="center"/>
              <w:textAlignment w:val="center"/>
              <w:rPr>
                <w:rFonts w:hint="default" w:ascii="Times New Roman" w:hAnsi="Times New Roman" w:cs="Times New Roman"/>
                <w:b/>
                <w:bCs/>
                <w:sz w:val="24"/>
                <w:szCs w:val="24"/>
                <w:vertAlign w:val="baseline"/>
                <w:lang w:val="en-US"/>
              </w:rPr>
            </w:pPr>
            <w:r>
              <w:rPr>
                <w:rFonts w:hint="default" w:ascii="Times New Roman" w:hAnsi="Times New Roman" w:eastAsia="SimSun" w:cs="Times New Roman"/>
                <w:b/>
                <w:bCs/>
                <w:i w:val="0"/>
                <w:iCs w:val="0"/>
                <w:color w:val="000000"/>
                <w:kern w:val="0"/>
                <w:sz w:val="24"/>
                <w:szCs w:val="24"/>
                <w:u w:val="none"/>
                <w:lang w:val="en-US" w:eastAsia="zh-CN" w:bidi="ar"/>
              </w:rPr>
              <w:t>Self-Awareness</w:t>
            </w:r>
          </w:p>
        </w:tc>
        <w:tc>
          <w:tcPr>
            <w:tcW w:w="2841" w:type="dxa"/>
            <w:vAlign w:val="center"/>
          </w:tcPr>
          <w:p w14:paraId="25E7CC89">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Limited self-awareness</w:t>
            </w:r>
          </w:p>
        </w:tc>
        <w:tc>
          <w:tcPr>
            <w:tcW w:w="2841" w:type="dxa"/>
            <w:vAlign w:val="center"/>
          </w:tcPr>
          <w:p w14:paraId="6B9A1DF2">
            <w:pPr>
              <w:keepNext w:val="0"/>
              <w:keepLines w:val="0"/>
              <w:widowControl/>
              <w:suppressLineNumbers w:val="0"/>
              <w:spacing w:line="360" w:lineRule="auto"/>
              <w:jc w:val="center"/>
              <w:textAlignment w:val="center"/>
              <w:rPr>
                <w:rFonts w:hint="default" w:ascii="Times New Roman" w:hAnsi="Times New Roman" w:cs="Times New Roman"/>
                <w:sz w:val="24"/>
                <w:szCs w:val="24"/>
                <w:vertAlign w:val="baseline"/>
                <w:lang w:val="en-US"/>
              </w:rPr>
            </w:pPr>
            <w:r>
              <w:rPr>
                <w:rFonts w:hint="default" w:ascii="Times New Roman" w:hAnsi="Times New Roman" w:eastAsia="SimSun" w:cs="Times New Roman"/>
                <w:i w:val="0"/>
                <w:iCs w:val="0"/>
                <w:color w:val="000000"/>
                <w:kern w:val="0"/>
                <w:sz w:val="24"/>
                <w:szCs w:val="24"/>
                <w:u w:val="none"/>
                <w:lang w:val="en-US" w:eastAsia="zh-CN" w:bidi="ar"/>
              </w:rPr>
              <w:t>Enhanced self-awareness through peer feedback and reflection</w:t>
            </w:r>
          </w:p>
        </w:tc>
      </w:tr>
    </w:tbl>
    <w:p w14:paraId="2765E7CF">
      <w:pPr>
        <w:pStyle w:val="6"/>
        <w:spacing w:line="360" w:lineRule="auto"/>
        <w:jc w:val="both"/>
      </w:pPr>
    </w:p>
    <w:p w14:paraId="7AB27A25">
      <w:pPr>
        <w:pStyle w:val="6"/>
        <w:spacing w:line="360" w:lineRule="auto"/>
        <w:jc w:val="center"/>
        <w:rPr>
          <w:lang w:val="en-US"/>
        </w:rPr>
      </w:pPr>
      <w:r>
        <w:t xml:space="preserve">Table </w:t>
      </w:r>
      <w:r>
        <w:fldChar w:fldCharType="begin"/>
      </w:r>
      <w:r>
        <w:instrText xml:space="preserve"> SEQ Table \* ARABIC </w:instrText>
      </w:r>
      <w:r>
        <w:fldChar w:fldCharType="separate"/>
      </w:r>
      <w:r>
        <w:t>1</w:t>
      </w:r>
      <w:r>
        <w:fldChar w:fldCharType="end"/>
      </w:r>
      <w:r>
        <w:rPr>
          <w:lang w:val="en-US"/>
        </w:rPr>
        <w:t>:  Before and After Module Comparison Table</w:t>
      </w:r>
    </w:p>
    <w:p w14:paraId="5BB82083">
      <w:pPr>
        <w:rPr>
          <w:rFonts w:hint="default"/>
          <w:lang w:val="en-US"/>
        </w:rPr>
      </w:pPr>
    </w:p>
    <w:p w14:paraId="23AD1335">
      <w:pPr>
        <w:pStyle w:val="3"/>
        <w:numPr>
          <w:ilvl w:val="1"/>
          <w:numId w:val="1"/>
        </w:numPr>
        <w:bidi w:val="0"/>
        <w:ind w:left="0" w:leftChars="0" w:firstLine="0" w:firstLineChars="0"/>
        <w:rPr>
          <w:rFonts w:hint="default"/>
        </w:rPr>
      </w:pPr>
      <w:bookmarkStart w:id="13" w:name="_Toc19301"/>
      <w:bookmarkStart w:id="14" w:name="_Toc18647"/>
      <w:r>
        <w:rPr>
          <w:rFonts w:hint="default"/>
        </w:rPr>
        <w:t>Analysis</w:t>
      </w:r>
      <w:bookmarkEnd w:id="13"/>
      <w:bookmarkEnd w:id="14"/>
    </w:p>
    <w:p w14:paraId="02265610">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 xml:space="preserve">A SWOT analysis </w:t>
      </w:r>
    </w:p>
    <w:p w14:paraId="427989AA">
      <w:pPr>
        <w:keepNext w:val="0"/>
        <w:keepLines w:val="0"/>
        <w:widowControl/>
        <w:suppressLineNumbers w:val="0"/>
        <w:spacing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By revealing my strengths and weaknesses, the SWOT analysis improved my self-awareness. Recognising my strong communication abilities helped me use them in teams while recognising my time management weaknesses motivated me to improve. I took advantage of networking events and prepared for external dangers like competitive job marketplaces using the approach</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(Chang, Wang and Hawamdeh, 2018)</w:t>
      </w:r>
      <w:r>
        <w:rPr>
          <w:rFonts w:hint="default" w:ascii="Times New Roman" w:hAnsi="Times New Roman" w:cs="Times New Roman"/>
          <w:color w:val="0E101A"/>
          <w:sz w:val="24"/>
          <w:szCs w:val="24"/>
        </w:rPr>
        <w:t>.</w:t>
      </w:r>
    </w:p>
    <w:p w14:paraId="218F0D0B">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1" name="Picture 1" descr="Communication Problem-solvin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munication Problem-solving (1)"/>
                    <pic:cNvPicPr>
                      <a:picLocks noChangeAspect="1"/>
                    </pic:cNvPicPr>
                  </pic:nvPicPr>
                  <pic:blipFill>
                    <a:blip r:embed="rId8"/>
                    <a:stretch>
                      <a:fillRect/>
                    </a:stretch>
                  </pic:blipFill>
                  <pic:spPr>
                    <a:xfrm>
                      <a:off x="0" y="0"/>
                      <a:ext cx="5266690" cy="2962910"/>
                    </a:xfrm>
                    <a:prstGeom prst="rect">
                      <a:avLst/>
                    </a:prstGeom>
                  </pic:spPr>
                </pic:pic>
              </a:graphicData>
            </a:graphic>
          </wp:inline>
        </w:drawing>
      </w:r>
    </w:p>
    <w:p w14:paraId="4B23B031">
      <w:pPr>
        <w:pStyle w:val="6"/>
        <w:keepNext w:val="0"/>
        <w:keepLines w:val="0"/>
        <w:widowControl/>
        <w:suppressLineNumbers w:val="0"/>
        <w:spacing w:before="0" w:beforeAutospacing="0" w:after="0" w:afterAutospacing="0" w:line="360" w:lineRule="auto"/>
        <w:jc w:val="both"/>
      </w:pPr>
    </w:p>
    <w:p w14:paraId="7C6E4A40">
      <w:pPr>
        <w:pStyle w:val="6"/>
        <w:keepNext w:val="0"/>
        <w:keepLines w:val="0"/>
        <w:widowControl/>
        <w:suppressLineNumbers w:val="0"/>
        <w:spacing w:before="0" w:beforeAutospacing="0" w:after="0" w:afterAutospacing="0" w:line="360" w:lineRule="auto"/>
        <w:jc w:val="center"/>
        <w:rPr>
          <w:lang w:val="en-US"/>
        </w:rPr>
      </w:pPr>
      <w:r>
        <w:t xml:space="preserve">Figure </w:t>
      </w:r>
      <w:r>
        <w:fldChar w:fldCharType="begin"/>
      </w:r>
      <w:r>
        <w:instrText xml:space="preserve"> SEQ Figure \* ARABIC </w:instrText>
      </w:r>
      <w:r>
        <w:fldChar w:fldCharType="separate"/>
      </w:r>
      <w:r>
        <w:t>2</w:t>
      </w:r>
      <w:r>
        <w:fldChar w:fldCharType="end"/>
      </w:r>
      <w:bookmarkStart w:id="15" w:name="_Toc3293"/>
      <w:r>
        <w:rPr>
          <w:lang w:val="en-US"/>
        </w:rPr>
        <w:t>: SWOT Analysis for After the Module</w:t>
      </w:r>
      <w:bookmarkEnd w:id="15"/>
    </w:p>
    <w:p w14:paraId="61807472">
      <w:pPr>
        <w:rPr>
          <w:rFonts w:hint="default"/>
          <w:lang w:val="en-US"/>
        </w:rPr>
      </w:pPr>
    </w:p>
    <w:p w14:paraId="5E7BD53E">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 xml:space="preserve">SMART Goals </w:t>
      </w:r>
    </w:p>
    <w:p w14:paraId="14919357">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SMART framework helped me define goals by breaking them into actionable stages. Goals like improving time management through daily study schedules were measurable and doable. This disciplined method kept me focused, and the time-bound element drove me to fulfil deadlines, enhancing my academic and professional productivity and accountability.</w:t>
      </w:r>
    </w:p>
    <w:p w14:paraId="62B91193">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797"/>
        <w:gridCol w:w="5725"/>
      </w:tblGrid>
      <w:tr w14:paraId="6383B9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97" w:type="dxa"/>
            <w:vAlign w:val="center"/>
          </w:tcPr>
          <w:p w14:paraId="06FB6768">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SMART Criteria</w:t>
            </w:r>
          </w:p>
        </w:tc>
        <w:tc>
          <w:tcPr>
            <w:tcW w:w="5725" w:type="dxa"/>
            <w:vAlign w:val="center"/>
          </w:tcPr>
          <w:p w14:paraId="35097A14">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Goal</w:t>
            </w:r>
          </w:p>
        </w:tc>
      </w:tr>
      <w:tr w14:paraId="61B84B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797" w:type="dxa"/>
            <w:vAlign w:val="center"/>
          </w:tcPr>
          <w:p w14:paraId="261CCEAE">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Specific</w:t>
            </w:r>
          </w:p>
        </w:tc>
        <w:tc>
          <w:tcPr>
            <w:tcW w:w="5725" w:type="dxa"/>
            <w:vAlign w:val="center"/>
          </w:tcPr>
          <w:p w14:paraId="573E3408">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Improve time management by creating a daily study schedule.</w:t>
            </w:r>
          </w:p>
        </w:tc>
      </w:tr>
      <w:tr w14:paraId="4FC10C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797" w:type="dxa"/>
            <w:vAlign w:val="center"/>
          </w:tcPr>
          <w:p w14:paraId="6D760BC7">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Measurable</w:t>
            </w:r>
          </w:p>
        </w:tc>
        <w:tc>
          <w:tcPr>
            <w:tcW w:w="5725" w:type="dxa"/>
            <w:vAlign w:val="center"/>
          </w:tcPr>
          <w:p w14:paraId="777AA071">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Track study hours to ensure at least 2 hours of focused study each day.</w:t>
            </w:r>
          </w:p>
        </w:tc>
      </w:tr>
      <w:tr w14:paraId="53A4E9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797" w:type="dxa"/>
            <w:vAlign w:val="center"/>
          </w:tcPr>
          <w:p w14:paraId="023CCAE2">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Achievable</w:t>
            </w:r>
          </w:p>
        </w:tc>
        <w:tc>
          <w:tcPr>
            <w:tcW w:w="5725" w:type="dxa"/>
            <w:vAlign w:val="center"/>
          </w:tcPr>
          <w:p w14:paraId="401704E6">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Ensure the goal is realistic by committing to 2 hours of daily study time and adjusting if necessary.</w:t>
            </w:r>
          </w:p>
        </w:tc>
      </w:tr>
      <w:tr w14:paraId="1E5D90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797" w:type="dxa"/>
            <w:vAlign w:val="center"/>
          </w:tcPr>
          <w:p w14:paraId="6C521E2B">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Relevant</w:t>
            </w:r>
          </w:p>
        </w:tc>
        <w:tc>
          <w:tcPr>
            <w:tcW w:w="5725" w:type="dxa"/>
            <w:vAlign w:val="center"/>
          </w:tcPr>
          <w:p w14:paraId="5001B638">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Improving time management is relevant as it enhances productivity and academic performance.</w:t>
            </w:r>
          </w:p>
        </w:tc>
      </w:tr>
      <w:tr w14:paraId="6010C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797" w:type="dxa"/>
            <w:vAlign w:val="center"/>
          </w:tcPr>
          <w:p w14:paraId="5B49B28A">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Time-bound</w:t>
            </w:r>
          </w:p>
        </w:tc>
        <w:tc>
          <w:tcPr>
            <w:tcW w:w="5725" w:type="dxa"/>
            <w:vAlign w:val="center"/>
          </w:tcPr>
          <w:p w14:paraId="33329C66">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Achieve this by the end of the semester, with a weekly review of study hours.</w:t>
            </w:r>
          </w:p>
        </w:tc>
      </w:tr>
    </w:tbl>
    <w:p w14:paraId="08FEE351">
      <w:pPr>
        <w:pStyle w:val="6"/>
        <w:keepNext w:val="0"/>
        <w:keepLines w:val="0"/>
        <w:widowControl/>
        <w:suppressLineNumbers w:val="0"/>
        <w:spacing w:before="0" w:beforeAutospacing="0" w:after="0" w:afterAutospacing="0" w:line="360" w:lineRule="auto"/>
        <w:jc w:val="both"/>
      </w:pPr>
    </w:p>
    <w:p w14:paraId="2998A459">
      <w:pPr>
        <w:pStyle w:val="6"/>
        <w:keepNext w:val="0"/>
        <w:keepLines w:val="0"/>
        <w:widowControl/>
        <w:suppressLineNumbers w:val="0"/>
        <w:spacing w:before="0" w:beforeAutospacing="0" w:after="0" w:afterAutospacing="0" w:line="360" w:lineRule="auto"/>
        <w:jc w:val="center"/>
        <w:rPr>
          <w:lang w:val="en-US"/>
        </w:rPr>
      </w:pPr>
      <w:r>
        <w:t xml:space="preserve">Table </w:t>
      </w:r>
      <w:r>
        <w:fldChar w:fldCharType="begin"/>
      </w:r>
      <w:r>
        <w:instrText xml:space="preserve"> SEQ Table \* ARABIC </w:instrText>
      </w:r>
      <w:r>
        <w:fldChar w:fldCharType="separate"/>
      </w:r>
      <w:r>
        <w:t>2</w:t>
      </w:r>
      <w:r>
        <w:fldChar w:fldCharType="end"/>
      </w:r>
      <w:r>
        <w:rPr>
          <w:lang w:val="en-US"/>
        </w:rPr>
        <w:t>: SMART Goals Chart</w:t>
      </w:r>
    </w:p>
    <w:p w14:paraId="16343F9F">
      <w:pPr>
        <w:rPr>
          <w:rFonts w:hint="default"/>
          <w:lang w:val="en-US"/>
        </w:rPr>
      </w:pPr>
    </w:p>
    <w:p w14:paraId="6B1AD05E">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p>
    <w:p w14:paraId="5183D4F0">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Johari Window</w:t>
      </w:r>
      <w:r>
        <w:rPr>
          <w:rFonts w:hint="default" w:ascii="Times New Roman" w:hAnsi="Times New Roman" w:cs="Times New Roman"/>
          <w:color w:val="0E101A"/>
          <w:sz w:val="24"/>
          <w:szCs w:val="24"/>
        </w:rPr>
        <w:t xml:space="preserve"> </w:t>
      </w:r>
    </w:p>
    <w:p w14:paraId="2DFD136D">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From the Johari Window, I gained self-awareness and interpersonal skills. Peer comments highlighted my tendency to downplay leadership, which made me more proactive in groups. Disclosed issues like my fear of public speaking promoted openness and stronger connections, improving my cooperation and collaboration skills.</w:t>
      </w:r>
    </w:p>
    <w:p w14:paraId="563A796B">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4" name="Picture 4" descr="Communication Problem-solv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ommunication Problem-solving (2)"/>
                    <pic:cNvPicPr>
                      <a:picLocks noChangeAspect="1"/>
                    </pic:cNvPicPr>
                  </pic:nvPicPr>
                  <pic:blipFill>
                    <a:blip r:embed="rId9"/>
                    <a:stretch>
                      <a:fillRect/>
                    </a:stretch>
                  </pic:blipFill>
                  <pic:spPr>
                    <a:xfrm>
                      <a:off x="0" y="0"/>
                      <a:ext cx="5266690" cy="2962910"/>
                    </a:xfrm>
                    <a:prstGeom prst="rect">
                      <a:avLst/>
                    </a:prstGeom>
                  </pic:spPr>
                </pic:pic>
              </a:graphicData>
            </a:graphic>
          </wp:inline>
        </w:drawing>
      </w:r>
    </w:p>
    <w:p w14:paraId="0E86E775">
      <w:pPr>
        <w:pStyle w:val="6"/>
        <w:keepNext w:val="0"/>
        <w:keepLines w:val="0"/>
        <w:widowControl/>
        <w:suppressLineNumbers w:val="0"/>
        <w:spacing w:before="0" w:beforeAutospacing="0" w:after="0" w:afterAutospacing="0" w:line="360" w:lineRule="auto"/>
        <w:jc w:val="center"/>
        <w:rPr>
          <w:rFonts w:hint="default" w:ascii="Times New Roman" w:hAnsi="Times New Roman" w:cs="Times New Roman"/>
          <w:color w:val="0E101A"/>
          <w:sz w:val="24"/>
          <w:szCs w:val="24"/>
          <w:lang w:val="en-US"/>
        </w:rPr>
      </w:pPr>
      <w:r>
        <w:t xml:space="preserve">Figure </w:t>
      </w:r>
      <w:r>
        <w:fldChar w:fldCharType="begin"/>
      </w:r>
      <w:r>
        <w:instrText xml:space="preserve"> SEQ Figure \* ARABIC </w:instrText>
      </w:r>
      <w:r>
        <w:fldChar w:fldCharType="separate"/>
      </w:r>
      <w:r>
        <w:t>3</w:t>
      </w:r>
      <w:r>
        <w:fldChar w:fldCharType="end"/>
      </w:r>
      <w:bookmarkStart w:id="16" w:name="_Toc23362"/>
      <w:r>
        <w:rPr>
          <w:lang w:val="en-US"/>
        </w:rPr>
        <w:t>: Johar Window Model</w:t>
      </w:r>
      <w:bookmarkEnd w:id="16"/>
    </w:p>
    <w:p w14:paraId="0C5898A8">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p>
    <w:p w14:paraId="6DE71641">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 xml:space="preserve">Personal Development Plan </w:t>
      </w:r>
    </w:p>
    <w:p w14:paraId="72D35A5E">
      <w:pPr>
        <w:keepNext w:val="0"/>
        <w:keepLines w:val="0"/>
        <w:widowControl/>
        <w:suppressLineNumbers w:val="0"/>
        <w:spacing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 PDP structured my career path. I laid out a plan to improve my public speaking skills by identifying short—and long-term goals</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(JW Hedge, JR Rineer, 2017)</w:t>
      </w:r>
      <w:r>
        <w:rPr>
          <w:rFonts w:hint="default" w:ascii="Times New Roman" w:hAnsi="Times New Roman" w:cs="Times New Roman"/>
          <w:color w:val="0E101A"/>
          <w:sz w:val="24"/>
          <w:szCs w:val="24"/>
        </w:rPr>
        <w:t>. I tracked milestones in my PDP to assess my progress and alter techniques to ensure consistent personal improvement that fit with my professional goals.</w:t>
      </w:r>
    </w:p>
    <w:p w14:paraId="087185D4">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6" name="Picture 6" descr="Communication Problem-solvin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ommunication Problem-solving (3)"/>
                    <pic:cNvPicPr>
                      <a:picLocks noChangeAspect="1"/>
                    </pic:cNvPicPr>
                  </pic:nvPicPr>
                  <pic:blipFill>
                    <a:blip r:embed="rId10"/>
                    <a:stretch>
                      <a:fillRect/>
                    </a:stretch>
                  </pic:blipFill>
                  <pic:spPr>
                    <a:xfrm>
                      <a:off x="0" y="0"/>
                      <a:ext cx="5266690" cy="2962910"/>
                    </a:xfrm>
                    <a:prstGeom prst="rect">
                      <a:avLst/>
                    </a:prstGeom>
                  </pic:spPr>
                </pic:pic>
              </a:graphicData>
            </a:graphic>
          </wp:inline>
        </w:drawing>
      </w:r>
    </w:p>
    <w:p w14:paraId="4964FAA7">
      <w:pPr>
        <w:pStyle w:val="6"/>
        <w:keepNext w:val="0"/>
        <w:keepLines w:val="0"/>
        <w:widowControl/>
        <w:suppressLineNumbers w:val="0"/>
        <w:spacing w:before="0" w:beforeAutospacing="0" w:after="0" w:afterAutospacing="0" w:line="360" w:lineRule="auto"/>
        <w:jc w:val="center"/>
        <w:rPr>
          <w:rFonts w:hint="default" w:ascii="Times New Roman" w:hAnsi="Times New Roman" w:cs="Times New Roman"/>
          <w:color w:val="0E101A"/>
          <w:sz w:val="24"/>
          <w:szCs w:val="24"/>
          <w:lang w:val="en-US"/>
        </w:rPr>
      </w:pPr>
      <w:r>
        <w:t xml:space="preserve">Figure </w:t>
      </w:r>
      <w:r>
        <w:fldChar w:fldCharType="begin"/>
      </w:r>
      <w:r>
        <w:instrText xml:space="preserve"> SEQ Figure \* ARABIC </w:instrText>
      </w:r>
      <w:r>
        <w:fldChar w:fldCharType="separate"/>
      </w:r>
      <w:r>
        <w:t>4</w:t>
      </w:r>
      <w:r>
        <w:fldChar w:fldCharType="end"/>
      </w:r>
      <w:bookmarkStart w:id="17" w:name="_Toc31423"/>
      <w:r>
        <w:rPr>
          <w:lang w:val="en-US"/>
        </w:rPr>
        <w:t>: PDP Roadmap</w:t>
      </w:r>
      <w:bookmarkEnd w:id="17"/>
    </w:p>
    <w:p w14:paraId="0B6EA5C1">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p>
    <w:p w14:paraId="5EB7C43A">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Learning Styles</w:t>
      </w:r>
    </w:p>
    <w:p w14:paraId="53BB9E16">
      <w:pPr>
        <w:keepNext w:val="0"/>
        <w:keepLines w:val="0"/>
        <w:widowControl/>
        <w:suppressLineNumbers w:val="0"/>
        <w:spacing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Assessing my Learning Style with VARK improved my study habits. Knowing I'm a visual learner helped me create diagrams and mind maps to remember. Changing my learning style enhanced my academic comprehension and efficiency</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(Pashler et al., 2009)</w:t>
      </w:r>
      <w:r>
        <w:rPr>
          <w:rFonts w:hint="default" w:ascii="Times New Roman" w:hAnsi="Times New Roman" w:cs="Times New Roman"/>
          <w:color w:val="0E101A"/>
          <w:sz w:val="24"/>
          <w:szCs w:val="24"/>
        </w:rPr>
        <w:t>. This understanding also helped me customise professional growth to my abilities.</w:t>
      </w:r>
    </w:p>
    <w:p w14:paraId="47284928">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color w:val="0E101A"/>
          <w:sz w:val="24"/>
          <w:szCs w:val="24"/>
        </w:rPr>
      </w:pPr>
    </w:p>
    <w:p w14:paraId="2858FB13">
      <w:pPr>
        <w:pStyle w:val="9"/>
        <w:keepNext w:val="0"/>
        <w:keepLines w:val="0"/>
        <w:widowControl/>
        <w:suppressLineNumbers w:val="0"/>
        <w:spacing w:before="0" w:beforeAutospacing="0" w:after="0" w:afterAutospacing="0" w:line="360" w:lineRule="auto"/>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4319905" cy="3582670"/>
            <wp:effectExtent l="0" t="0" r="10795" b="11430"/>
            <wp:docPr id="5" name="Picture 5" descr="output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output (57)"/>
                    <pic:cNvPicPr>
                      <a:picLocks noChangeAspect="1"/>
                    </pic:cNvPicPr>
                  </pic:nvPicPr>
                  <pic:blipFill>
                    <a:blip r:embed="rId11"/>
                    <a:stretch>
                      <a:fillRect/>
                    </a:stretch>
                  </pic:blipFill>
                  <pic:spPr>
                    <a:xfrm>
                      <a:off x="0" y="0"/>
                      <a:ext cx="4319905" cy="3582670"/>
                    </a:xfrm>
                    <a:prstGeom prst="rect">
                      <a:avLst/>
                    </a:prstGeom>
                  </pic:spPr>
                </pic:pic>
              </a:graphicData>
            </a:graphic>
          </wp:inline>
        </w:drawing>
      </w:r>
    </w:p>
    <w:p w14:paraId="480BE7BD">
      <w:pPr>
        <w:pStyle w:val="6"/>
        <w:keepNext w:val="0"/>
        <w:keepLines w:val="0"/>
        <w:widowControl/>
        <w:suppressLineNumbers w:val="0"/>
        <w:spacing w:before="0" w:beforeAutospacing="0" w:after="0" w:afterAutospacing="0" w:line="360" w:lineRule="auto"/>
        <w:jc w:val="center"/>
      </w:pPr>
    </w:p>
    <w:p w14:paraId="685CA902">
      <w:pPr>
        <w:pStyle w:val="6"/>
        <w:keepNext w:val="0"/>
        <w:keepLines w:val="0"/>
        <w:widowControl/>
        <w:suppressLineNumbers w:val="0"/>
        <w:spacing w:before="0" w:beforeAutospacing="0" w:after="0" w:afterAutospacing="0" w:line="360" w:lineRule="auto"/>
        <w:jc w:val="center"/>
        <w:rPr>
          <w:rFonts w:hint="default" w:ascii="Times New Roman" w:hAnsi="Times New Roman" w:cs="Times New Roman"/>
          <w:sz w:val="24"/>
          <w:szCs w:val="24"/>
          <w:lang w:val="en-US"/>
        </w:rPr>
      </w:pPr>
      <w:r>
        <w:t xml:space="preserve">Figure </w:t>
      </w:r>
      <w:r>
        <w:fldChar w:fldCharType="begin"/>
      </w:r>
      <w:r>
        <w:instrText xml:space="preserve"> SEQ Figure \* ARABIC </w:instrText>
      </w:r>
      <w:r>
        <w:fldChar w:fldCharType="separate"/>
      </w:r>
      <w:r>
        <w:t>5</w:t>
      </w:r>
      <w:r>
        <w:fldChar w:fldCharType="end"/>
      </w:r>
      <w:bookmarkStart w:id="18" w:name="_Toc16900"/>
      <w:r>
        <w:rPr>
          <w:lang w:val="en-US"/>
        </w:rPr>
        <w:t xml:space="preserve"> : VARK Learning Styles</w:t>
      </w:r>
      <w:bookmarkEnd w:id="18"/>
    </w:p>
    <w:p w14:paraId="5325CAE0">
      <w:pPr>
        <w:pStyle w:val="9"/>
        <w:keepNext w:val="0"/>
        <w:keepLines w:val="0"/>
        <w:widowControl/>
        <w:suppressLineNumbers w:val="0"/>
        <w:spacing w:before="0" w:beforeAutospacing="0" w:after="0" w:afterAutospacing="0" w:line="360" w:lineRule="auto"/>
        <w:jc w:val="both"/>
        <w:rPr>
          <w:rFonts w:hint="default" w:ascii="Times New Roman" w:hAnsi="Times New Roman" w:cs="Times New Roman"/>
          <w:sz w:val="24"/>
          <w:szCs w:val="24"/>
          <w:lang w:val="en-US"/>
        </w:rPr>
      </w:pPr>
    </w:p>
    <w:p w14:paraId="1FF93B01">
      <w:pPr>
        <w:pStyle w:val="9"/>
        <w:keepNext w:val="0"/>
        <w:keepLines w:val="0"/>
        <w:widowControl/>
        <w:numPr>
          <w:ilvl w:val="0"/>
          <w:numId w:val="2"/>
        </w:numPr>
        <w:suppressLineNumbers w:val="0"/>
        <w:spacing w:before="0" w:beforeAutospacing="0" w:after="0" w:afterAutospacing="0" w:line="360" w:lineRule="auto"/>
        <w:ind w:left="425" w:leftChars="0" w:hanging="425" w:firstLineChars="0"/>
        <w:jc w:val="both"/>
        <w:rPr>
          <w:rFonts w:hint="default" w:ascii="Times New Roman" w:hAnsi="Times New Roman" w:cs="Times New Roman"/>
          <w:color w:val="0E101A"/>
          <w:sz w:val="24"/>
          <w:szCs w:val="24"/>
        </w:rPr>
      </w:pPr>
      <w:r>
        <w:rPr>
          <w:rStyle w:val="10"/>
          <w:rFonts w:hint="default" w:ascii="Times New Roman" w:hAnsi="Times New Roman" w:cs="Times New Roman"/>
          <w:color w:val="0E101A"/>
          <w:sz w:val="24"/>
          <w:szCs w:val="24"/>
        </w:rPr>
        <w:t xml:space="preserve">Overall Impact </w:t>
      </w:r>
    </w:p>
    <w:p w14:paraId="47EC7394">
      <w:pPr>
        <w:keepNext w:val="0"/>
        <w:keepLines w:val="0"/>
        <w:widowControl/>
        <w:suppressLineNumbers w:val="0"/>
        <w:spacing w:line="360" w:lineRule="auto"/>
        <w:jc w:val="both"/>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These models improved my self-awareness, goal-setting, and relationships. Each tool has practical uses that shaped my academic and professional</w:t>
      </w:r>
      <w:r>
        <w:rPr>
          <w:rFonts w:hint="default" w:ascii="Times New Roman" w:hAnsi="Times New Roman" w:cs="Times New Roman"/>
          <w:color w:val="0E101A"/>
          <w:sz w:val="24"/>
          <w:szCs w:val="24"/>
          <w:lang w:val="en-US"/>
        </w:rPr>
        <w:t xml:space="preserve"> </w:t>
      </w:r>
      <w:r>
        <w:rPr>
          <w:rFonts w:hint="default" w:ascii="Times New Roman" w:hAnsi="Times New Roman" w:eastAsia="SimSun" w:cs="Times New Roman"/>
          <w:kern w:val="0"/>
          <w:sz w:val="24"/>
          <w:szCs w:val="24"/>
          <w:lang w:val="en-US" w:eastAsia="zh-CN" w:bidi="ar"/>
        </w:rPr>
        <w:t>(Perry and Booth, 2021)</w:t>
      </w:r>
      <w:r>
        <w:rPr>
          <w:rFonts w:hint="default" w:ascii="Times New Roman" w:hAnsi="Times New Roman" w:cs="Times New Roman"/>
          <w:color w:val="0E101A"/>
          <w:sz w:val="24"/>
          <w:szCs w:val="24"/>
        </w:rPr>
        <w:t>. SWOT and PDP gave actionable solutions for confronting obstacles, exploiting strengths, and making real progress in personal and professional life.</w:t>
      </w:r>
    </w:p>
    <w:p w14:paraId="38408BD3">
      <w:pPr>
        <w:pStyle w:val="2"/>
        <w:numPr>
          <w:ilvl w:val="0"/>
          <w:numId w:val="1"/>
        </w:numPr>
        <w:bidi w:val="0"/>
        <w:ind w:left="425" w:leftChars="0" w:hanging="425" w:firstLineChars="0"/>
        <w:rPr>
          <w:rFonts w:hint="default"/>
          <w:lang w:val="en-US"/>
        </w:rPr>
      </w:pPr>
      <w:bookmarkStart w:id="19" w:name="_Toc20879"/>
      <w:bookmarkStart w:id="20" w:name="_Toc20604"/>
      <w:r>
        <w:rPr>
          <w:rFonts w:hint="default"/>
        </w:rPr>
        <w:t>Action Plan</w:t>
      </w:r>
      <w:bookmarkEnd w:id="19"/>
      <w:bookmarkEnd w:id="20"/>
    </w:p>
    <w:p w14:paraId="152EB7F0">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Based on the Professional Career Development module, I produced an action plan to implement the concepts of continued growth and career alignment.</w:t>
      </w:r>
    </w:p>
    <w:p w14:paraId="615C9C79">
      <w:pPr>
        <w:spacing w:line="360" w:lineRule="auto"/>
        <w:jc w:val="both"/>
        <w:rPr>
          <w:rFonts w:hint="default" w:ascii="Times New Roman" w:hAnsi="Times New Roman" w:cs="Times New Roman"/>
          <w:sz w:val="24"/>
          <w:szCs w:val="24"/>
          <w:lang w:val="en-US"/>
        </w:rPr>
      </w:pPr>
    </w:p>
    <w:p w14:paraId="0D3BED75">
      <w:pPr>
        <w:numPr>
          <w:ilvl w:val="0"/>
          <w:numId w:val="3"/>
        </w:numPr>
        <w:spacing w:line="360" w:lineRule="auto"/>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SWOT Analysis:</w:t>
      </w:r>
      <w:r>
        <w:rPr>
          <w:rFonts w:hint="default" w:ascii="Times New Roman" w:hAnsi="Times New Roman" w:cs="Times New Roman"/>
          <w:sz w:val="24"/>
          <w:szCs w:val="24"/>
          <w:lang w:val="en-US"/>
        </w:rPr>
        <w:t xml:space="preserve"> I will update my SWOT analysis every six months to reflect changes in strengths, weaknesses, opportunities, and threats so that I can adapt to problems and capitalise on opportunities.</w:t>
      </w:r>
    </w:p>
    <w:p w14:paraId="3AD0C0C8">
      <w:pPr>
        <w:spacing w:line="360" w:lineRule="auto"/>
        <w:jc w:val="both"/>
        <w:rPr>
          <w:rFonts w:hint="default" w:ascii="Times New Roman" w:hAnsi="Times New Roman" w:cs="Times New Roman"/>
          <w:sz w:val="24"/>
          <w:szCs w:val="24"/>
          <w:lang w:val="en-US"/>
        </w:rPr>
      </w:pPr>
    </w:p>
    <w:p w14:paraId="56397EE4">
      <w:pPr>
        <w:numPr>
          <w:ilvl w:val="0"/>
          <w:numId w:val="3"/>
        </w:numPr>
        <w:spacing w:line="360" w:lineRule="auto"/>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SMART Goals:</w:t>
      </w:r>
      <w:r>
        <w:rPr>
          <w:rFonts w:hint="default" w:ascii="Times New Roman" w:hAnsi="Times New Roman" w:cs="Times New Roman"/>
          <w:sz w:val="24"/>
          <w:szCs w:val="24"/>
          <w:lang w:val="en-US"/>
        </w:rPr>
        <w:t xml:space="preserve"> I will present monthly and join Toastmasters to improve my public speaking. Regular reviews will ensure progress and alignment with my career aspirations.</w:t>
      </w:r>
    </w:p>
    <w:p w14:paraId="4389EADD">
      <w:pPr>
        <w:spacing w:line="360" w:lineRule="auto"/>
        <w:jc w:val="both"/>
        <w:rPr>
          <w:rFonts w:hint="default" w:ascii="Times New Roman" w:hAnsi="Times New Roman" w:cs="Times New Roman"/>
          <w:sz w:val="24"/>
          <w:szCs w:val="24"/>
          <w:lang w:val="en-US"/>
        </w:rPr>
      </w:pPr>
    </w:p>
    <w:p w14:paraId="201C6879">
      <w:pPr>
        <w:numPr>
          <w:ilvl w:val="0"/>
          <w:numId w:val="3"/>
        </w:numPr>
        <w:spacing w:line="360" w:lineRule="auto"/>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Johari Window:</w:t>
      </w:r>
      <w:r>
        <w:rPr>
          <w:rFonts w:hint="default" w:ascii="Times New Roman" w:hAnsi="Times New Roman" w:cs="Times New Roman"/>
          <w:sz w:val="24"/>
          <w:szCs w:val="24"/>
          <w:lang w:val="en-US"/>
        </w:rPr>
        <w:t xml:space="preserve"> Regular feedback from peers and mentors will reveal blind spots and improve self-awareness. In teams, this will boost collaboration and partnerships.</w:t>
      </w:r>
    </w:p>
    <w:p w14:paraId="14386E57">
      <w:pPr>
        <w:spacing w:line="360" w:lineRule="auto"/>
        <w:jc w:val="both"/>
        <w:rPr>
          <w:rFonts w:hint="default" w:ascii="Times New Roman" w:hAnsi="Times New Roman" w:cs="Times New Roman"/>
          <w:sz w:val="24"/>
          <w:szCs w:val="24"/>
          <w:lang w:val="en-US"/>
        </w:rPr>
      </w:pPr>
    </w:p>
    <w:p w14:paraId="320EE5E9">
      <w:pPr>
        <w:keepNext w:val="0"/>
        <w:keepLines w:val="0"/>
        <w:widowControl/>
        <w:numPr>
          <w:ilvl w:val="0"/>
          <w:numId w:val="3"/>
        </w:numPr>
        <w:suppressLineNumbers w:val="0"/>
        <w:spacing w:line="360" w:lineRule="auto"/>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PDP:</w:t>
      </w:r>
      <w:r>
        <w:rPr>
          <w:rFonts w:hint="default" w:ascii="Times New Roman" w:hAnsi="Times New Roman" w:cs="Times New Roman"/>
          <w:sz w:val="24"/>
          <w:szCs w:val="24"/>
          <w:lang w:val="en-US"/>
        </w:rPr>
        <w:t xml:space="preserve"> My personal development plan will include milestones like certifications. Regular assessments will help me stay on track and achieve my goals </w:t>
      </w:r>
      <w:r>
        <w:rPr>
          <w:rFonts w:hint="default" w:ascii="Times New Roman" w:hAnsi="Times New Roman" w:eastAsia="SimSun" w:cs="Times New Roman"/>
          <w:kern w:val="0"/>
          <w:sz w:val="24"/>
          <w:szCs w:val="24"/>
          <w:lang w:val="en-US" w:eastAsia="zh-CN" w:bidi="ar"/>
        </w:rPr>
        <w:t>(Duygu Buyukyazici et al., 2023)</w:t>
      </w:r>
      <w:r>
        <w:rPr>
          <w:rFonts w:hint="default" w:ascii="Times New Roman" w:hAnsi="Times New Roman" w:cs="Times New Roman"/>
          <w:sz w:val="24"/>
          <w:szCs w:val="24"/>
          <w:lang w:val="en-US"/>
        </w:rPr>
        <w:t>.</w:t>
      </w:r>
    </w:p>
    <w:p w14:paraId="6B4C7D57">
      <w:pPr>
        <w:spacing w:line="360" w:lineRule="auto"/>
        <w:jc w:val="both"/>
        <w:rPr>
          <w:rFonts w:hint="default" w:ascii="Times New Roman" w:hAnsi="Times New Roman" w:cs="Times New Roman"/>
          <w:sz w:val="24"/>
          <w:szCs w:val="24"/>
          <w:lang w:val="en-US"/>
        </w:rPr>
      </w:pPr>
    </w:p>
    <w:p w14:paraId="4582F12E">
      <w:pPr>
        <w:numPr>
          <w:ilvl w:val="0"/>
          <w:numId w:val="3"/>
        </w:numPr>
        <w:spacing w:line="360" w:lineRule="auto"/>
        <w:ind w:left="420" w:leftChars="0" w:hanging="420" w:firstLineChars="0"/>
        <w:jc w:val="both"/>
        <w:rPr>
          <w:rFonts w:hint="default" w:ascii="Times New Roman" w:hAnsi="Times New Roman" w:cs="Times New Roman"/>
          <w:sz w:val="24"/>
          <w:szCs w:val="24"/>
          <w:lang w:val="en-US"/>
        </w:rPr>
      </w:pPr>
      <w:r>
        <w:rPr>
          <w:rFonts w:hint="default" w:ascii="Times New Roman" w:hAnsi="Times New Roman" w:cs="Times New Roman"/>
          <w:b/>
          <w:bCs/>
          <w:sz w:val="24"/>
          <w:szCs w:val="24"/>
          <w:lang w:val="en-US"/>
        </w:rPr>
        <w:t>Learning Styles:</w:t>
      </w:r>
      <w:r>
        <w:rPr>
          <w:rFonts w:hint="default" w:ascii="Times New Roman" w:hAnsi="Times New Roman" w:cs="Times New Roman"/>
          <w:sz w:val="24"/>
          <w:szCs w:val="24"/>
          <w:lang w:val="en-US"/>
        </w:rPr>
        <w:t xml:space="preserve"> I prefer diagrams and mind maps to improve knowledge and retention in my studies and work.</w:t>
      </w:r>
    </w:p>
    <w:p w14:paraId="442E99BE">
      <w:pPr>
        <w:spacing w:line="360" w:lineRule="auto"/>
        <w:jc w:val="both"/>
        <w:rPr>
          <w:rFonts w:hint="default" w:ascii="Times New Roman" w:hAnsi="Times New Roman" w:cs="Times New Roman"/>
          <w:sz w:val="24"/>
          <w:szCs w:val="24"/>
          <w:lang w:val="en-US"/>
        </w:rPr>
      </w:pPr>
    </w:p>
    <w:p w14:paraId="20E0BF03">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With this disciplined approach to ongoing improvement, I'll be ready for future challenges and career goals.</w:t>
      </w:r>
    </w:p>
    <w:p w14:paraId="2D7A54E6">
      <w:pPr>
        <w:keepNext w:val="0"/>
        <w:keepLines w:val="0"/>
        <w:widowControl/>
        <w:suppressLineNumbers w:val="0"/>
        <w:spacing w:line="360" w:lineRule="auto"/>
        <w:jc w:val="both"/>
        <w:rPr>
          <w:rFonts w:hint="default" w:ascii="Times New Roman" w:hAnsi="Times New Roman" w:cs="Times New Roman"/>
          <w:color w:val="0E101A"/>
          <w:sz w:val="24"/>
          <w:szCs w:val="24"/>
        </w:rPr>
      </w:pPr>
    </w:p>
    <w:p w14:paraId="4FA13DB1">
      <w:pPr>
        <w:pStyle w:val="2"/>
        <w:numPr>
          <w:ilvl w:val="0"/>
          <w:numId w:val="1"/>
        </w:numPr>
        <w:bidi w:val="0"/>
        <w:ind w:left="425" w:leftChars="0" w:hanging="425" w:firstLineChars="0"/>
        <w:rPr>
          <w:rFonts w:hint="default"/>
        </w:rPr>
      </w:pPr>
      <w:bookmarkStart w:id="21" w:name="_Toc24450"/>
      <w:bookmarkStart w:id="22" w:name="_Toc16001"/>
      <w:r>
        <w:rPr>
          <w:rFonts w:hint="default"/>
        </w:rPr>
        <w:t>Conclusion</w:t>
      </w:r>
      <w:bookmarkEnd w:id="21"/>
      <w:bookmarkEnd w:id="22"/>
    </w:p>
    <w:p w14:paraId="33C2EF88">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Professional Career Development has transformed me by teaching me self-assessment, goal-setting, and systematic progress. I discovered my strengths, shortcomings, and areas for improvement using SWOT analysis, SMART goals, Johari Window, Personal Development Plan (PDP), and Learning Styles. Each model brought distinct insights into my self-awareness and concrete personal and professional growth methods.</w:t>
      </w:r>
    </w:p>
    <w:p w14:paraId="3B7E396C">
      <w:pPr>
        <w:keepNext w:val="0"/>
        <w:keepLines w:val="0"/>
        <w:widowControl/>
        <w:suppressLineNumbers w:val="0"/>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SWOT analysis taught me to analyse myself and improve areas like time management critically </w:t>
      </w:r>
      <w:r>
        <w:rPr>
          <w:rFonts w:hint="default" w:ascii="Times New Roman" w:hAnsi="Times New Roman" w:eastAsia="SimSun" w:cs="Times New Roman"/>
          <w:kern w:val="0"/>
          <w:sz w:val="24"/>
          <w:szCs w:val="24"/>
          <w:lang w:val="en-US" w:eastAsia="zh-CN" w:bidi="ar"/>
        </w:rPr>
        <w:t>(Claessens et al., 2007)</w:t>
      </w:r>
      <w:r>
        <w:rPr>
          <w:rFonts w:hint="default" w:ascii="Times New Roman" w:hAnsi="Times New Roman" w:cs="Times New Roman"/>
          <w:sz w:val="24"/>
          <w:szCs w:val="24"/>
          <w:lang w:val="en-US"/>
        </w:rPr>
        <w:t>. SMART goals promoted consistency and accountability by being practical and achievable. The Johari Window helped me comprehend how others saw me, improving my interpersonal skills and collaboration. My career goals became clearer after creating a PDP, and understanding my learning style helped me improve my learning methods. This module strengthened my self-reflection and prepared me to face professional obstacles. The skills and knowledge I've received will help me reach my career goals and succeed in any professional setting.</w:t>
      </w:r>
    </w:p>
    <w:p w14:paraId="1CF05D55">
      <w:pPr>
        <w:spacing w:line="360" w:lineRule="auto"/>
        <w:jc w:val="both"/>
        <w:rPr>
          <w:rFonts w:hint="default" w:ascii="Times New Roman" w:hAnsi="Times New Roman" w:cs="Times New Roman"/>
          <w:sz w:val="24"/>
          <w:szCs w:val="24"/>
          <w:lang w:val="en-US"/>
        </w:rPr>
      </w:pPr>
    </w:p>
    <w:p w14:paraId="5A1ADA51">
      <w:pPr>
        <w:spacing w:line="360" w:lineRule="auto"/>
        <w:jc w:val="both"/>
        <w:rPr>
          <w:rFonts w:hint="default" w:ascii="Times New Roman" w:hAnsi="Times New Roman" w:cs="Times New Roman"/>
          <w:sz w:val="24"/>
          <w:szCs w:val="24"/>
          <w:lang w:val="en-US"/>
        </w:rPr>
      </w:pPr>
    </w:p>
    <w:p w14:paraId="4B4A221E">
      <w:pPr>
        <w:spacing w:line="360" w:lineRule="auto"/>
        <w:jc w:val="both"/>
        <w:rPr>
          <w:rFonts w:hint="default" w:ascii="Times New Roman" w:hAnsi="Times New Roman" w:cs="Times New Roman"/>
          <w:sz w:val="24"/>
          <w:szCs w:val="24"/>
          <w:lang w:val="en-US"/>
        </w:rPr>
      </w:pPr>
    </w:p>
    <w:p w14:paraId="6FAEB544">
      <w:pPr>
        <w:spacing w:line="360" w:lineRule="auto"/>
        <w:jc w:val="both"/>
        <w:rPr>
          <w:rFonts w:hint="default" w:ascii="Times New Roman" w:hAnsi="Times New Roman" w:cs="Times New Roman"/>
          <w:sz w:val="24"/>
          <w:szCs w:val="24"/>
          <w:lang w:val="en-US"/>
        </w:rPr>
      </w:pPr>
    </w:p>
    <w:p w14:paraId="40903676">
      <w:pPr>
        <w:spacing w:line="360" w:lineRule="auto"/>
        <w:jc w:val="both"/>
        <w:rPr>
          <w:rFonts w:hint="default" w:ascii="Times New Roman" w:hAnsi="Times New Roman" w:cs="Times New Roman"/>
          <w:sz w:val="24"/>
          <w:szCs w:val="24"/>
          <w:lang w:val="en-US"/>
        </w:rPr>
      </w:pPr>
    </w:p>
    <w:p w14:paraId="2728198F">
      <w:pPr>
        <w:spacing w:line="360" w:lineRule="auto"/>
        <w:jc w:val="both"/>
        <w:rPr>
          <w:rFonts w:hint="default" w:ascii="Times New Roman" w:hAnsi="Times New Roman" w:cs="Times New Roman"/>
          <w:sz w:val="24"/>
          <w:szCs w:val="24"/>
          <w:lang w:val="en-US"/>
        </w:rPr>
      </w:pPr>
    </w:p>
    <w:p w14:paraId="51417826">
      <w:pPr>
        <w:spacing w:line="360" w:lineRule="auto"/>
        <w:jc w:val="both"/>
        <w:rPr>
          <w:rFonts w:hint="default" w:ascii="Times New Roman" w:hAnsi="Times New Roman" w:cs="Times New Roman"/>
          <w:sz w:val="24"/>
          <w:szCs w:val="24"/>
          <w:lang w:val="en-US"/>
        </w:rPr>
      </w:pPr>
    </w:p>
    <w:p w14:paraId="7A9C8F67">
      <w:pPr>
        <w:spacing w:line="360" w:lineRule="auto"/>
        <w:jc w:val="both"/>
        <w:rPr>
          <w:rFonts w:hint="default" w:ascii="Times New Roman" w:hAnsi="Times New Roman" w:cs="Times New Roman"/>
          <w:sz w:val="24"/>
          <w:szCs w:val="24"/>
          <w:lang w:val="en-US"/>
        </w:rPr>
      </w:pPr>
    </w:p>
    <w:p w14:paraId="0BFA21EB">
      <w:pPr>
        <w:spacing w:line="360" w:lineRule="auto"/>
        <w:jc w:val="both"/>
        <w:rPr>
          <w:rFonts w:hint="default" w:ascii="Times New Roman" w:hAnsi="Times New Roman" w:cs="Times New Roman"/>
          <w:sz w:val="24"/>
          <w:szCs w:val="24"/>
          <w:lang w:val="en-US"/>
        </w:rPr>
      </w:pPr>
    </w:p>
    <w:p w14:paraId="29376B4E">
      <w:pPr>
        <w:spacing w:line="360" w:lineRule="auto"/>
        <w:jc w:val="both"/>
        <w:rPr>
          <w:rFonts w:hint="default" w:ascii="Times New Roman" w:hAnsi="Times New Roman" w:cs="Times New Roman"/>
          <w:sz w:val="24"/>
          <w:szCs w:val="24"/>
          <w:lang w:val="en-US"/>
        </w:rPr>
      </w:pPr>
    </w:p>
    <w:p w14:paraId="02C17364">
      <w:pPr>
        <w:spacing w:line="360" w:lineRule="auto"/>
        <w:jc w:val="both"/>
        <w:rPr>
          <w:rFonts w:hint="default" w:ascii="Times New Roman" w:hAnsi="Times New Roman" w:cs="Times New Roman"/>
          <w:sz w:val="24"/>
          <w:szCs w:val="24"/>
          <w:lang w:val="en-US"/>
        </w:rPr>
      </w:pPr>
    </w:p>
    <w:p w14:paraId="1BCAE2DB">
      <w:pPr>
        <w:spacing w:line="360" w:lineRule="auto"/>
        <w:jc w:val="both"/>
        <w:rPr>
          <w:rFonts w:hint="default" w:ascii="Times New Roman" w:hAnsi="Times New Roman" w:cs="Times New Roman"/>
          <w:sz w:val="24"/>
          <w:szCs w:val="24"/>
          <w:lang w:val="en-US"/>
        </w:rPr>
      </w:pPr>
    </w:p>
    <w:p w14:paraId="19B2FBC6">
      <w:pPr>
        <w:spacing w:line="360" w:lineRule="auto"/>
        <w:jc w:val="both"/>
        <w:rPr>
          <w:rFonts w:hint="default" w:ascii="Times New Roman" w:hAnsi="Times New Roman" w:cs="Times New Roman"/>
          <w:sz w:val="24"/>
          <w:szCs w:val="24"/>
          <w:lang w:val="en-US"/>
        </w:rPr>
      </w:pPr>
    </w:p>
    <w:p w14:paraId="4C7F0697">
      <w:pPr>
        <w:spacing w:line="360" w:lineRule="auto"/>
        <w:jc w:val="both"/>
        <w:rPr>
          <w:rFonts w:hint="default" w:ascii="Times New Roman" w:hAnsi="Times New Roman" w:cs="Times New Roman"/>
          <w:sz w:val="24"/>
          <w:szCs w:val="24"/>
          <w:lang w:val="en-US"/>
        </w:rPr>
      </w:pPr>
    </w:p>
    <w:p w14:paraId="31EEF78C">
      <w:pPr>
        <w:spacing w:line="360" w:lineRule="auto"/>
        <w:jc w:val="both"/>
        <w:rPr>
          <w:rFonts w:hint="default" w:ascii="Times New Roman" w:hAnsi="Times New Roman" w:cs="Times New Roman"/>
          <w:sz w:val="24"/>
          <w:szCs w:val="24"/>
          <w:lang w:val="en-US"/>
        </w:rPr>
      </w:pPr>
    </w:p>
    <w:p w14:paraId="01E749DF">
      <w:pPr>
        <w:spacing w:line="360" w:lineRule="auto"/>
        <w:jc w:val="both"/>
        <w:rPr>
          <w:rFonts w:hint="default" w:ascii="Times New Roman" w:hAnsi="Times New Roman" w:cs="Times New Roman"/>
          <w:sz w:val="24"/>
          <w:szCs w:val="24"/>
          <w:lang w:val="en-US"/>
        </w:rPr>
      </w:pPr>
    </w:p>
    <w:p w14:paraId="563C3C3C">
      <w:pPr>
        <w:spacing w:line="360" w:lineRule="auto"/>
        <w:jc w:val="both"/>
        <w:rPr>
          <w:rFonts w:hint="default" w:ascii="Times New Roman" w:hAnsi="Times New Roman" w:cs="Times New Roman"/>
          <w:sz w:val="24"/>
          <w:szCs w:val="24"/>
          <w:lang w:val="en-US"/>
        </w:rPr>
      </w:pPr>
    </w:p>
    <w:p w14:paraId="559F3F69">
      <w:pPr>
        <w:spacing w:line="360" w:lineRule="auto"/>
        <w:jc w:val="both"/>
        <w:rPr>
          <w:rFonts w:hint="default" w:ascii="Times New Roman" w:hAnsi="Times New Roman" w:cs="Times New Roman"/>
          <w:sz w:val="24"/>
          <w:szCs w:val="24"/>
          <w:lang w:val="en-US"/>
        </w:rPr>
      </w:pPr>
    </w:p>
    <w:p w14:paraId="185AB06E">
      <w:pPr>
        <w:spacing w:line="360" w:lineRule="auto"/>
        <w:jc w:val="both"/>
        <w:rPr>
          <w:rFonts w:hint="default" w:ascii="Times New Roman" w:hAnsi="Times New Roman" w:cs="Times New Roman"/>
          <w:sz w:val="24"/>
          <w:szCs w:val="24"/>
          <w:lang w:val="en-US"/>
        </w:rPr>
      </w:pPr>
    </w:p>
    <w:p w14:paraId="606DFF32">
      <w:pPr>
        <w:spacing w:line="360" w:lineRule="auto"/>
        <w:jc w:val="both"/>
        <w:rPr>
          <w:rFonts w:hint="default" w:ascii="Times New Roman" w:hAnsi="Times New Roman" w:cs="Times New Roman"/>
          <w:sz w:val="24"/>
          <w:szCs w:val="24"/>
          <w:lang w:val="en-US"/>
        </w:rPr>
      </w:pPr>
    </w:p>
    <w:p w14:paraId="462423D3">
      <w:pPr>
        <w:spacing w:line="360" w:lineRule="auto"/>
        <w:jc w:val="both"/>
        <w:rPr>
          <w:rFonts w:hint="default" w:ascii="Times New Roman" w:hAnsi="Times New Roman" w:cs="Times New Roman"/>
          <w:sz w:val="24"/>
          <w:szCs w:val="24"/>
          <w:lang w:val="en-US"/>
        </w:rPr>
      </w:pPr>
    </w:p>
    <w:p w14:paraId="365A6FBE">
      <w:pPr>
        <w:spacing w:line="360" w:lineRule="auto"/>
        <w:jc w:val="both"/>
        <w:rPr>
          <w:rFonts w:hint="default" w:ascii="Times New Roman" w:hAnsi="Times New Roman" w:cs="Times New Roman"/>
          <w:sz w:val="24"/>
          <w:szCs w:val="24"/>
          <w:lang w:val="en-US"/>
        </w:rPr>
      </w:pPr>
    </w:p>
    <w:p w14:paraId="3F0FD7CF">
      <w:pPr>
        <w:spacing w:line="360" w:lineRule="auto"/>
        <w:jc w:val="both"/>
        <w:rPr>
          <w:rFonts w:hint="default" w:ascii="Times New Roman" w:hAnsi="Times New Roman" w:cs="Times New Roman"/>
          <w:sz w:val="24"/>
          <w:szCs w:val="24"/>
          <w:lang w:val="en-US"/>
        </w:rPr>
      </w:pPr>
    </w:p>
    <w:p w14:paraId="3BFE95E5">
      <w:pPr>
        <w:spacing w:line="360" w:lineRule="auto"/>
        <w:jc w:val="both"/>
        <w:rPr>
          <w:rFonts w:hint="default" w:ascii="Times New Roman" w:hAnsi="Times New Roman" w:cs="Times New Roman"/>
          <w:sz w:val="24"/>
          <w:szCs w:val="24"/>
          <w:lang w:val="en-US"/>
        </w:rPr>
      </w:pPr>
    </w:p>
    <w:p w14:paraId="78B48127">
      <w:pPr>
        <w:spacing w:line="360" w:lineRule="auto"/>
        <w:jc w:val="both"/>
        <w:rPr>
          <w:rFonts w:hint="default" w:ascii="Times New Roman" w:hAnsi="Times New Roman" w:cs="Times New Roman"/>
          <w:sz w:val="24"/>
          <w:szCs w:val="24"/>
          <w:lang w:val="en-US"/>
        </w:rPr>
      </w:pPr>
    </w:p>
    <w:p w14:paraId="32079357">
      <w:pPr>
        <w:spacing w:line="360" w:lineRule="auto"/>
        <w:jc w:val="both"/>
        <w:rPr>
          <w:rFonts w:hint="default" w:ascii="Times New Roman" w:hAnsi="Times New Roman" w:cs="Times New Roman"/>
          <w:sz w:val="24"/>
          <w:szCs w:val="24"/>
          <w:lang w:val="en-US"/>
        </w:rPr>
      </w:pPr>
    </w:p>
    <w:p w14:paraId="7AD1B30B">
      <w:pPr>
        <w:spacing w:line="360" w:lineRule="auto"/>
        <w:jc w:val="both"/>
        <w:rPr>
          <w:rFonts w:hint="default" w:ascii="Times New Roman" w:hAnsi="Times New Roman" w:cs="Times New Roman"/>
          <w:sz w:val="24"/>
          <w:szCs w:val="24"/>
          <w:lang w:val="en-US"/>
        </w:rPr>
      </w:pPr>
    </w:p>
    <w:p w14:paraId="3A1E2758">
      <w:pPr>
        <w:spacing w:line="360" w:lineRule="auto"/>
        <w:jc w:val="both"/>
        <w:rPr>
          <w:rFonts w:hint="default" w:ascii="Times New Roman" w:hAnsi="Times New Roman" w:cs="Times New Roman"/>
          <w:sz w:val="24"/>
          <w:szCs w:val="24"/>
          <w:lang w:val="en-US"/>
        </w:rPr>
      </w:pPr>
    </w:p>
    <w:p w14:paraId="7591DF05">
      <w:pPr>
        <w:spacing w:line="360" w:lineRule="auto"/>
        <w:jc w:val="both"/>
        <w:rPr>
          <w:rFonts w:hint="default" w:ascii="Times New Roman" w:hAnsi="Times New Roman" w:cs="Times New Roman"/>
          <w:sz w:val="24"/>
          <w:szCs w:val="24"/>
          <w:lang w:val="en-US"/>
        </w:rPr>
      </w:pPr>
    </w:p>
    <w:p w14:paraId="1A2DEBA4">
      <w:pPr>
        <w:spacing w:line="360" w:lineRule="auto"/>
        <w:jc w:val="both"/>
        <w:rPr>
          <w:rFonts w:hint="default" w:ascii="Times New Roman" w:hAnsi="Times New Roman" w:cs="Times New Roman"/>
          <w:sz w:val="24"/>
          <w:szCs w:val="24"/>
          <w:lang w:val="en-US"/>
        </w:rPr>
      </w:pPr>
    </w:p>
    <w:p w14:paraId="4806F12C">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bookmarkStart w:id="23" w:name="_Toc32004"/>
      <w:bookmarkStart w:id="24" w:name="_Toc18433"/>
      <w:r>
        <w:rPr>
          <w:rFonts w:hint="default" w:ascii="Times New Roman" w:hAnsi="Times New Roman" w:cs="Times New Roman"/>
          <w:sz w:val="36"/>
          <w:szCs w:val="36"/>
        </w:rPr>
        <w:t>Reference list</w:t>
      </w:r>
      <w:bookmarkEnd w:id="23"/>
      <w:bookmarkEnd w:id="24"/>
    </w:p>
    <w:p w14:paraId="139D9975">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Ataullayeva, M. (2024). COMMUNICATIVE COMPETENCE AS A FACTOR OF PERSONAL AND PROFESSIONAL DEVELOPMENT OF A FUTURE SPECIALIST. </w:t>
      </w:r>
      <w:r>
        <w:rPr>
          <w:rFonts w:hint="default" w:ascii="Times New Roman" w:hAnsi="Times New Roman" w:cs="Times New Roman"/>
          <w:i/>
          <w:iCs/>
          <w:sz w:val="24"/>
          <w:szCs w:val="24"/>
        </w:rPr>
        <w:t>Журнал академических исследований нового Узбекистана</w:t>
      </w:r>
      <w:r>
        <w:rPr>
          <w:rFonts w:hint="default" w:ascii="Times New Roman" w:hAnsi="Times New Roman" w:cs="Times New Roman"/>
          <w:sz w:val="24"/>
          <w:szCs w:val="24"/>
        </w:rPr>
        <w:t>, [online] 1(2), pp.17–22. Available at: https://in-academy.uz/index.php/yoitj/article/view/27623.</w:t>
      </w:r>
    </w:p>
    <w:p w14:paraId="304CC234">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Bird, M.D., Swann, C. and Jackman, P.C. (2023). The what, why, and How of Goal setting: a Review of the goal-setting Process in Applied Sport Psychology Practice. </w:t>
      </w:r>
      <w:r>
        <w:rPr>
          <w:rFonts w:hint="default" w:ascii="Times New Roman" w:hAnsi="Times New Roman" w:cs="Times New Roman"/>
          <w:i/>
          <w:iCs/>
          <w:sz w:val="24"/>
          <w:szCs w:val="24"/>
        </w:rPr>
        <w:t>Journal of Applied Sport Psychology</w:t>
      </w:r>
      <w:r>
        <w:rPr>
          <w:rFonts w:hint="default" w:ascii="Times New Roman" w:hAnsi="Times New Roman" w:cs="Times New Roman"/>
          <w:sz w:val="24"/>
          <w:szCs w:val="24"/>
        </w:rPr>
        <w:t>, [online] 36(1), pp.1–23. doi:https://doi.org/10.1080/10413200.2023.2185699.</w:t>
      </w:r>
    </w:p>
    <w:p w14:paraId="77A9BCD6">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Calmette, T. and Meunier, H. (2024). Is self‐awareness necessary to have a theory of mind? </w:t>
      </w:r>
      <w:r>
        <w:rPr>
          <w:rFonts w:hint="default" w:ascii="Times New Roman" w:hAnsi="Times New Roman" w:cs="Times New Roman"/>
          <w:i/>
          <w:iCs/>
          <w:sz w:val="24"/>
          <w:szCs w:val="24"/>
        </w:rPr>
        <w:t>Biological reviews/Biological reviews of the Cambridge Philosophical Society</w:t>
      </w:r>
      <w:r>
        <w:rPr>
          <w:rFonts w:hint="default" w:ascii="Times New Roman" w:hAnsi="Times New Roman" w:cs="Times New Roman"/>
          <w:sz w:val="24"/>
          <w:szCs w:val="24"/>
        </w:rPr>
        <w:t>, 5379(2790). doi:https://doi.org/10.1111/brv.13090.</w:t>
      </w:r>
    </w:p>
    <w:p w14:paraId="48E1D30E">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Chang, H.-C., Wang, C.-Y. and Hawamdeh, S. (2018). Emerging trends in data analytics and knowledge management job market: extending KSA framework. </w:t>
      </w:r>
      <w:r>
        <w:rPr>
          <w:rFonts w:hint="default" w:ascii="Times New Roman" w:hAnsi="Times New Roman" w:cs="Times New Roman"/>
          <w:i/>
          <w:iCs/>
          <w:sz w:val="24"/>
          <w:szCs w:val="24"/>
        </w:rPr>
        <w:t>Journal of Knowledge Management</w:t>
      </w:r>
      <w:r>
        <w:rPr>
          <w:rFonts w:hint="default" w:ascii="Times New Roman" w:hAnsi="Times New Roman" w:cs="Times New Roman"/>
          <w:sz w:val="24"/>
          <w:szCs w:val="24"/>
        </w:rPr>
        <w:t>, 7288(7829). doi:https://doi.org/10.1108/jkm-02-2018-0088.</w:t>
      </w:r>
    </w:p>
    <w:p w14:paraId="6F2C3648">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Claessens, B.J.C., van Eerde, W., Rutte, C.G. and Roe, R.A. (2007). A Review of the Time Management Literature. </w:t>
      </w:r>
      <w:r>
        <w:rPr>
          <w:rFonts w:hint="default" w:ascii="Times New Roman" w:hAnsi="Times New Roman" w:cs="Times New Roman"/>
          <w:i/>
          <w:iCs/>
          <w:sz w:val="24"/>
          <w:szCs w:val="24"/>
        </w:rPr>
        <w:t>Personnel Review</w:t>
      </w:r>
      <w:r>
        <w:rPr>
          <w:rFonts w:hint="default" w:ascii="Times New Roman" w:hAnsi="Times New Roman" w:cs="Times New Roman"/>
          <w:sz w:val="24"/>
          <w:szCs w:val="24"/>
        </w:rPr>
        <w:t>, 36(2), pp.255–276. doi:https://doi.org/10.1108/00483480710726136.</w:t>
      </w:r>
    </w:p>
    <w:p w14:paraId="56B24119">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Duygu Buyukyazici, Mazzoni, L., Massimo Riccaboni and Serti, F. (2023). Workplace skills as regional capabilities: relatedness, complexity and industrial diversification of regions. </w:t>
      </w:r>
      <w:r>
        <w:rPr>
          <w:rFonts w:hint="default" w:ascii="Times New Roman" w:hAnsi="Times New Roman" w:cs="Times New Roman"/>
          <w:i/>
          <w:iCs/>
          <w:sz w:val="24"/>
          <w:szCs w:val="24"/>
        </w:rPr>
        <w:t>Regional Studies</w:t>
      </w:r>
      <w:r>
        <w:rPr>
          <w:rFonts w:hint="default" w:ascii="Times New Roman" w:hAnsi="Times New Roman" w:cs="Times New Roman"/>
          <w:sz w:val="24"/>
          <w:szCs w:val="24"/>
        </w:rPr>
        <w:t>, 58(3), pp.469–489. doi:https://doi.org/10.1080/00343404.2023.2206868.</w:t>
      </w:r>
    </w:p>
    <w:p w14:paraId="069AAE97">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J Owen (2024). </w:t>
      </w:r>
      <w:r>
        <w:rPr>
          <w:rFonts w:hint="default" w:ascii="Times New Roman" w:hAnsi="Times New Roman" w:cs="Times New Roman"/>
          <w:i/>
          <w:iCs/>
          <w:sz w:val="24"/>
          <w:szCs w:val="24"/>
        </w:rPr>
        <w:t>The Leadership Skills Handbook</w:t>
      </w:r>
      <w:r>
        <w:rPr>
          <w:rFonts w:hint="default" w:ascii="Times New Roman" w:hAnsi="Times New Roman" w:cs="Times New Roman"/>
          <w:sz w:val="24"/>
          <w:szCs w:val="24"/>
        </w:rPr>
        <w:t>. [online] Google Books. Available at: https://books.google.com/books?hl=en&amp;lr=&amp;id=Y3z3EAAAQBAJ&amp;oi=fnd&amp;pg=PP1&amp;dq=Leadership+Skills&amp;ots=B551AjoJBi&amp;sig=36B0h3vpg0yQPg7lgp4m2IFFERQ [Accessed 19 Nov. 2024].</w:t>
      </w:r>
    </w:p>
    <w:p w14:paraId="684CE282">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JW Hedge, JR Rineer (2017). </w:t>
      </w:r>
      <w:r>
        <w:rPr>
          <w:rFonts w:hint="default" w:ascii="Times New Roman" w:hAnsi="Times New Roman" w:cs="Times New Roman"/>
          <w:i/>
          <w:iCs/>
          <w:sz w:val="24"/>
          <w:szCs w:val="24"/>
        </w:rPr>
        <w:t>Improving career development opportunities through rigorous career pathways research</w:t>
      </w:r>
      <w:r>
        <w:rPr>
          <w:rFonts w:hint="default" w:ascii="Times New Roman" w:hAnsi="Times New Roman" w:cs="Times New Roman"/>
          <w:sz w:val="24"/>
          <w:szCs w:val="24"/>
        </w:rPr>
        <w:t>. [online] Google Books. Available at: https://books.google.com/books?hl=en&amp;lr=&amp;id=gO3XEAAAQBAJ&amp;oi=fnd&amp;pg=PP1&amp;dq=Career+Pathways&amp;ots=NpOrYCTYGg&amp;sig=R12pMLYMJLacsUzHBHJSMsn21lA [Accessed 19 Nov. 2024].</w:t>
      </w:r>
    </w:p>
    <w:p w14:paraId="02F9FBB3">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Monteiro, D., Wang, A., Wang, L., Li, H., Barrett, A., Pack, A. and Liang, H.-N. (2023). Effects of audience familiarity on anxiety in a virtual reality public speaking training tool. </w:t>
      </w:r>
      <w:r>
        <w:rPr>
          <w:rFonts w:hint="default" w:ascii="Times New Roman" w:hAnsi="Times New Roman" w:cs="Times New Roman"/>
          <w:i/>
          <w:iCs/>
          <w:sz w:val="24"/>
          <w:szCs w:val="24"/>
        </w:rPr>
        <w:t>Universal Access in the Information Society</w:t>
      </w:r>
      <w:r>
        <w:rPr>
          <w:rFonts w:hint="default" w:ascii="Times New Roman" w:hAnsi="Times New Roman" w:cs="Times New Roman"/>
          <w:sz w:val="24"/>
          <w:szCs w:val="24"/>
        </w:rPr>
        <w:t>, 7280(6278). doi:https://doi.org/10.1007/s10209-023-00985-0.</w:t>
      </w:r>
    </w:p>
    <w:p w14:paraId="0CBAB86B">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Pashler, H., McDaniel, M., Rohrer, D. and Bjork, R. (2009). Learning Styles: Concepts and Evidence. </w:t>
      </w:r>
      <w:r>
        <w:rPr>
          <w:rFonts w:hint="default" w:ascii="Times New Roman" w:hAnsi="Times New Roman" w:cs="Times New Roman"/>
          <w:i/>
          <w:iCs/>
          <w:sz w:val="24"/>
          <w:szCs w:val="24"/>
        </w:rPr>
        <w:t>Psychological Science in the Public Interest</w:t>
      </w:r>
      <w:r>
        <w:rPr>
          <w:rFonts w:hint="default" w:ascii="Times New Roman" w:hAnsi="Times New Roman" w:cs="Times New Roman"/>
          <w:sz w:val="24"/>
          <w:szCs w:val="24"/>
        </w:rPr>
        <w:t>, [online] 9(3), pp.105–119. doi:https://doi.org/10.1111/j.1539-6053.2009.01038.x.</w:t>
      </w:r>
    </w:p>
    <w:p w14:paraId="642BEC67">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Perry, E. and Booth, J. (2021). The practices of professional development facilitators. </w:t>
      </w:r>
      <w:r>
        <w:rPr>
          <w:rFonts w:hint="default" w:ascii="Times New Roman" w:hAnsi="Times New Roman" w:cs="Times New Roman"/>
          <w:i/>
          <w:iCs/>
          <w:sz w:val="24"/>
          <w:szCs w:val="24"/>
        </w:rPr>
        <w:t>Professional Development in Education</w:t>
      </w:r>
      <w:r>
        <w:rPr>
          <w:rFonts w:hint="default" w:ascii="Times New Roman" w:hAnsi="Times New Roman" w:cs="Times New Roman"/>
          <w:sz w:val="24"/>
          <w:szCs w:val="24"/>
        </w:rPr>
        <w:t>, 50(1), pp.1–13. doi:https://doi.org/10.1080/19415257.2021.1973073.</w:t>
      </w:r>
    </w:p>
    <w:p w14:paraId="1A5F45D9">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Shamsiya Alimova (2024). THE MAJOR FACTORS INFLUENCING ON CAREER DEVELOPMENT AND ON ADVANCE OF A CAREER LADDER. </w:t>
      </w:r>
      <w:r>
        <w:rPr>
          <w:rFonts w:hint="default" w:ascii="Times New Roman" w:hAnsi="Times New Roman" w:cs="Times New Roman"/>
          <w:i/>
          <w:iCs/>
          <w:sz w:val="24"/>
          <w:szCs w:val="24"/>
        </w:rPr>
        <w:t>Modern Science and Research</w:t>
      </w:r>
      <w:r>
        <w:rPr>
          <w:rFonts w:hint="default" w:ascii="Times New Roman" w:hAnsi="Times New Roman" w:cs="Times New Roman"/>
          <w:sz w:val="24"/>
          <w:szCs w:val="24"/>
        </w:rPr>
        <w:t>, [online] 3(5), pp.417–425. Available at: https://inlibrary.uz/index.php/science-research/article/view/32530.</w:t>
      </w:r>
    </w:p>
    <w:p w14:paraId="6B6F4597">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Sharifi, A., Allam, Z., Bibri, S.E. and Khavarian-Garmsir, A.R. (2024). Smart cities and sustainable development goals (SDGs): A systematic literature review of co-benefits and trade-offs. </w:t>
      </w:r>
      <w:r>
        <w:rPr>
          <w:rFonts w:hint="default" w:ascii="Times New Roman" w:hAnsi="Times New Roman" w:cs="Times New Roman"/>
          <w:i/>
          <w:iCs/>
          <w:sz w:val="24"/>
          <w:szCs w:val="24"/>
        </w:rPr>
        <w:t>Cities</w:t>
      </w:r>
      <w:r>
        <w:rPr>
          <w:rFonts w:hint="default" w:ascii="Times New Roman" w:hAnsi="Times New Roman" w:cs="Times New Roman"/>
          <w:sz w:val="24"/>
          <w:szCs w:val="24"/>
        </w:rPr>
        <w:t>, [online] 146(6703), p.104659. doi:https://doi.org/10.1016/j.cities.2023.104659.</w:t>
      </w:r>
    </w:p>
    <w:p w14:paraId="0FD381B1">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Thuy, T., Can Van Da and Nguyen Van Hanh (2024). The use of ChatGPT in teaching and learning: a systematic review through SWOT analysis approach. </w:t>
      </w:r>
      <w:r>
        <w:rPr>
          <w:rFonts w:hint="default" w:ascii="Times New Roman" w:hAnsi="Times New Roman" w:cs="Times New Roman"/>
          <w:i/>
          <w:iCs/>
          <w:sz w:val="24"/>
          <w:szCs w:val="24"/>
        </w:rPr>
        <w:t>Frontiers in Education</w:t>
      </w:r>
      <w:r>
        <w:rPr>
          <w:rFonts w:hint="default" w:ascii="Times New Roman" w:hAnsi="Times New Roman" w:cs="Times New Roman"/>
          <w:sz w:val="24"/>
          <w:szCs w:val="24"/>
        </w:rPr>
        <w:t>, 9(8920). doi:https://doi.org/10.3389/feduc.2024.1328769.</w:t>
      </w:r>
    </w:p>
    <w:p w14:paraId="7883CFD1">
      <w:pPr>
        <w:pStyle w:val="9"/>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Zadorozhny, B.S., Petrides, K.V., Jongerling, J., Cuppello, S. and van der Linden, D. (2024). Assessing the temporal stability of a measure of trait emotional intelligence: Systematic review and empirical analysis. </w:t>
      </w:r>
      <w:r>
        <w:rPr>
          <w:rFonts w:hint="default" w:ascii="Times New Roman" w:hAnsi="Times New Roman" w:cs="Times New Roman"/>
          <w:i/>
          <w:iCs/>
          <w:sz w:val="24"/>
          <w:szCs w:val="24"/>
        </w:rPr>
        <w:t>Personality and Individual Differences</w:t>
      </w:r>
      <w:r>
        <w:rPr>
          <w:rFonts w:hint="default" w:ascii="Times New Roman" w:hAnsi="Times New Roman" w:cs="Times New Roman"/>
          <w:sz w:val="24"/>
          <w:szCs w:val="24"/>
        </w:rPr>
        <w:t>, [online] 217(7290), p.112467. doi:https://doi.org/10.1016/j.paid.2023.112467.</w:t>
      </w:r>
    </w:p>
    <w:p w14:paraId="26EA0022">
      <w:pPr>
        <w:pStyle w:val="2"/>
        <w:bidi w:val="0"/>
        <w:rPr>
          <w:rFonts w:hint="default"/>
          <w:lang w:val="en-US"/>
        </w:rPr>
      </w:pPr>
      <w:bookmarkStart w:id="25" w:name="_Toc18822"/>
      <w:r>
        <w:rPr>
          <w:rFonts w:hint="default"/>
          <w:lang w:val="en-US"/>
        </w:rPr>
        <w:t>Appendices</w:t>
      </w:r>
      <w:bookmarkEnd w:id="25"/>
      <w:r>
        <w:rPr>
          <w:rFonts w:hint="default"/>
          <w:lang w:val="en-US"/>
        </w:rPr>
        <w:t xml:space="preserve"> </w:t>
      </w:r>
    </w:p>
    <w:p w14:paraId="20CA5191">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5266690" cy="2962910"/>
            <wp:effectExtent l="0" t="0" r="3810" b="8890"/>
            <wp:docPr id="9" name="Picture 9" descr="Communication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ommunication Problem-solving"/>
                    <pic:cNvPicPr>
                      <a:picLocks noChangeAspect="1"/>
                    </pic:cNvPicPr>
                  </pic:nvPicPr>
                  <pic:blipFill>
                    <a:blip r:embed="rId7"/>
                    <a:stretch>
                      <a:fillRect/>
                    </a:stretch>
                  </pic:blipFill>
                  <pic:spPr>
                    <a:xfrm>
                      <a:off x="0" y="0"/>
                      <a:ext cx="5266690" cy="2962910"/>
                    </a:xfrm>
                    <a:prstGeom prst="rect">
                      <a:avLst/>
                    </a:prstGeom>
                  </pic:spPr>
                </pic:pic>
              </a:graphicData>
            </a:graphic>
          </wp:inline>
        </w:drawing>
      </w:r>
    </w:p>
    <w:p w14:paraId="23079CAD">
      <w:pPr>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10" name="Picture 10" descr="Communication Problem-solvin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ommunication Problem-solving (1)"/>
                    <pic:cNvPicPr>
                      <a:picLocks noChangeAspect="1"/>
                    </pic:cNvPicPr>
                  </pic:nvPicPr>
                  <pic:blipFill>
                    <a:blip r:embed="rId8"/>
                    <a:stretch>
                      <a:fillRect/>
                    </a:stretch>
                  </pic:blipFill>
                  <pic:spPr>
                    <a:xfrm>
                      <a:off x="0" y="0"/>
                      <a:ext cx="5266690" cy="2962910"/>
                    </a:xfrm>
                    <a:prstGeom prst="rect">
                      <a:avLst/>
                    </a:prstGeom>
                  </pic:spPr>
                </pic:pic>
              </a:graphicData>
            </a:graphic>
          </wp:inline>
        </w:drawing>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97"/>
        <w:gridCol w:w="5725"/>
      </w:tblGrid>
      <w:tr w14:paraId="4BD53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2D8A21C1">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SMART Criteria</w:t>
            </w:r>
          </w:p>
        </w:tc>
        <w:tc>
          <w:tcPr>
            <w:tcW w:w="5725" w:type="dxa"/>
            <w:vAlign w:val="center"/>
          </w:tcPr>
          <w:p w14:paraId="189D52F0">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Goal</w:t>
            </w:r>
          </w:p>
        </w:tc>
      </w:tr>
      <w:tr w14:paraId="69D97A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4817E43F">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Specific</w:t>
            </w:r>
          </w:p>
        </w:tc>
        <w:tc>
          <w:tcPr>
            <w:tcW w:w="5725" w:type="dxa"/>
            <w:vAlign w:val="center"/>
          </w:tcPr>
          <w:p w14:paraId="2DD962AD">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Improve time management by creating a daily study schedule.</w:t>
            </w:r>
          </w:p>
        </w:tc>
      </w:tr>
      <w:tr w14:paraId="2BCA78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3C772EE6">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Measurable</w:t>
            </w:r>
          </w:p>
        </w:tc>
        <w:tc>
          <w:tcPr>
            <w:tcW w:w="5725" w:type="dxa"/>
            <w:vAlign w:val="center"/>
          </w:tcPr>
          <w:p w14:paraId="7BE90D95">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Track study hours to ensure at least 2 hours of focused study each day.</w:t>
            </w:r>
          </w:p>
        </w:tc>
      </w:tr>
      <w:tr w14:paraId="4BF42F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0178D737">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Achievable</w:t>
            </w:r>
          </w:p>
        </w:tc>
        <w:tc>
          <w:tcPr>
            <w:tcW w:w="5725" w:type="dxa"/>
            <w:vAlign w:val="center"/>
          </w:tcPr>
          <w:p w14:paraId="264E5F1F">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Ensure the goal is realistic by committing to 2 hours of daily study time and adjusting if necessary.</w:t>
            </w:r>
          </w:p>
        </w:tc>
      </w:tr>
      <w:tr w14:paraId="71BA12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2C6720CE">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Relevant</w:t>
            </w:r>
          </w:p>
        </w:tc>
        <w:tc>
          <w:tcPr>
            <w:tcW w:w="5725" w:type="dxa"/>
            <w:vAlign w:val="center"/>
          </w:tcPr>
          <w:p w14:paraId="53E558D1">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Improving time management is relevant as it enhances productivity and academic performance.</w:t>
            </w:r>
          </w:p>
        </w:tc>
      </w:tr>
      <w:tr w14:paraId="6FBBFC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97" w:type="dxa"/>
            <w:vAlign w:val="center"/>
          </w:tcPr>
          <w:p w14:paraId="2390455A">
            <w:pPr>
              <w:keepNext w:val="0"/>
              <w:keepLines w:val="0"/>
              <w:widowControl/>
              <w:suppressLineNumbers w:val="0"/>
              <w:spacing w:line="360" w:lineRule="auto"/>
              <w:jc w:val="both"/>
              <w:textAlignment w:val="center"/>
              <w:rPr>
                <w:rFonts w:hint="default" w:ascii="Times New Roman" w:hAnsi="Times New Roman" w:cs="Times New Roman"/>
                <w:b/>
                <w:bCs/>
                <w:color w:val="0E101A"/>
                <w:sz w:val="24"/>
                <w:szCs w:val="24"/>
                <w:vertAlign w:val="baseline"/>
              </w:rPr>
            </w:pPr>
            <w:r>
              <w:rPr>
                <w:rFonts w:hint="default" w:ascii="Times New Roman" w:hAnsi="Times New Roman" w:eastAsia="SimSun" w:cs="Times New Roman"/>
                <w:b/>
                <w:bCs/>
                <w:i w:val="0"/>
                <w:iCs w:val="0"/>
                <w:color w:val="000000"/>
                <w:kern w:val="0"/>
                <w:sz w:val="24"/>
                <w:szCs w:val="24"/>
                <w:u w:val="none"/>
                <w:lang w:val="en-US" w:eastAsia="zh-CN" w:bidi="ar"/>
              </w:rPr>
              <w:t>Time-bound</w:t>
            </w:r>
          </w:p>
        </w:tc>
        <w:tc>
          <w:tcPr>
            <w:tcW w:w="5725" w:type="dxa"/>
            <w:vAlign w:val="center"/>
          </w:tcPr>
          <w:p w14:paraId="07D8CF2E">
            <w:pPr>
              <w:keepNext w:val="0"/>
              <w:keepLines w:val="0"/>
              <w:widowControl/>
              <w:suppressLineNumbers w:val="0"/>
              <w:spacing w:line="360" w:lineRule="auto"/>
              <w:jc w:val="both"/>
              <w:textAlignment w:val="center"/>
              <w:rPr>
                <w:rFonts w:hint="default" w:ascii="Times New Roman" w:hAnsi="Times New Roman" w:cs="Times New Roman"/>
                <w:color w:val="0E101A"/>
                <w:sz w:val="24"/>
                <w:szCs w:val="24"/>
                <w:vertAlign w:val="baseline"/>
              </w:rPr>
            </w:pPr>
            <w:r>
              <w:rPr>
                <w:rFonts w:hint="default" w:ascii="Times New Roman" w:hAnsi="Times New Roman" w:eastAsia="SimSun" w:cs="Times New Roman"/>
                <w:i w:val="0"/>
                <w:iCs w:val="0"/>
                <w:color w:val="000000"/>
                <w:kern w:val="0"/>
                <w:sz w:val="24"/>
                <w:szCs w:val="24"/>
                <w:u w:val="none"/>
                <w:lang w:val="en-US" w:eastAsia="zh-CN" w:bidi="ar"/>
              </w:rPr>
              <w:t>Achieve this by the end of the semester, with a weekly review of study hours.</w:t>
            </w:r>
          </w:p>
        </w:tc>
      </w:tr>
    </w:tbl>
    <w:p w14:paraId="54F9385C">
      <w:pPr>
        <w:pStyle w:val="6"/>
        <w:keepNext w:val="0"/>
        <w:keepLines w:val="0"/>
        <w:widowControl/>
        <w:suppressLineNumbers w:val="0"/>
        <w:spacing w:before="0" w:beforeAutospacing="0" w:after="0" w:afterAutospacing="0" w:line="360" w:lineRule="auto"/>
        <w:jc w:val="both"/>
      </w:pPr>
    </w:p>
    <w:p w14:paraId="46493C2B"/>
    <w:p w14:paraId="4DC94D93">
      <w:pPr>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11" name="Picture 11" descr="Communication Problem-solv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ommunication Problem-solving (2)"/>
                    <pic:cNvPicPr>
                      <a:picLocks noChangeAspect="1"/>
                    </pic:cNvPicPr>
                  </pic:nvPicPr>
                  <pic:blipFill>
                    <a:blip r:embed="rId9"/>
                    <a:stretch>
                      <a:fillRect/>
                    </a:stretch>
                  </pic:blipFill>
                  <pic:spPr>
                    <a:xfrm>
                      <a:off x="0" y="0"/>
                      <a:ext cx="5266690" cy="2962910"/>
                    </a:xfrm>
                    <a:prstGeom prst="rect">
                      <a:avLst/>
                    </a:prstGeom>
                  </pic:spPr>
                </pic:pic>
              </a:graphicData>
            </a:graphic>
          </wp:inline>
        </w:drawing>
      </w:r>
    </w:p>
    <w:p w14:paraId="618127F9">
      <w:pPr>
        <w:rPr>
          <w:rFonts w:hint="default" w:ascii="Times New Roman" w:hAnsi="Times New Roman" w:cs="Times New Roman"/>
          <w:color w:val="0E101A"/>
          <w:sz w:val="24"/>
          <w:szCs w:val="24"/>
          <w:lang w:val="en-US"/>
        </w:rPr>
      </w:pPr>
      <w:r>
        <w:rPr>
          <w:rFonts w:hint="default" w:ascii="Times New Roman" w:hAnsi="Times New Roman" w:cs="Times New Roman"/>
          <w:color w:val="0E101A"/>
          <w:sz w:val="24"/>
          <w:szCs w:val="24"/>
          <w:lang w:val="en-US"/>
        </w:rPr>
        <w:drawing>
          <wp:inline distT="0" distB="0" distL="114300" distR="114300">
            <wp:extent cx="5266690" cy="2962910"/>
            <wp:effectExtent l="0" t="0" r="3810" b="8890"/>
            <wp:docPr id="12" name="Picture 12" descr="Communication Problem-solvin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ommunication Problem-solving (3)"/>
                    <pic:cNvPicPr>
                      <a:picLocks noChangeAspect="1"/>
                    </pic:cNvPicPr>
                  </pic:nvPicPr>
                  <pic:blipFill>
                    <a:blip r:embed="rId10"/>
                    <a:stretch>
                      <a:fillRect/>
                    </a:stretch>
                  </pic:blipFill>
                  <pic:spPr>
                    <a:xfrm>
                      <a:off x="0" y="0"/>
                      <a:ext cx="5266690" cy="2962910"/>
                    </a:xfrm>
                    <a:prstGeom prst="rect">
                      <a:avLst/>
                    </a:prstGeom>
                  </pic:spPr>
                </pic:pic>
              </a:graphicData>
            </a:graphic>
          </wp:inline>
        </w:drawing>
      </w:r>
    </w:p>
    <w:sectPr>
      <w:pgSz w:w="11906" w:h="16838"/>
      <w:pgMar w:top="1440" w:right="1800" w:bottom="1440" w:left="1800" w:header="720" w:footer="720" w:gutter="0"/>
      <w:pgBorders w:offsetFrom="page">
        <w:top w:val="single" w:color="auto" w:sz="4" w:space="24"/>
        <w:left w:val="single" w:color="auto" w:sz="4" w:space="24"/>
        <w:bottom w:val="single" w:color="auto" w:sz="4" w:space="24"/>
        <w:right w:val="single" w:color="auto" w:sz="4" w:space="24"/>
      </w:pgBorders>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3B4B072">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7B88493">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Jm4xqbMAgAA&#10;IwYAAA4AAAAAAAAAAQAgAAAAHwEAAGRycy9lMm9Eb2MueG1sUEsFBgAAAAAGAAYAWQEAAF0GAAAA&#10;AA==&#10;">
              <v:fill on="f" focussize="0,0"/>
              <v:stroke on="f" weight="0.5pt"/>
              <v:imagedata o:title=""/>
              <o:lock v:ext="edit" aspectratio="f"/>
              <v:textbox inset="0mm,0mm,0mm,0mm" style="mso-fit-shape-to-text:t;">
                <w:txbxContent>
                  <w:p w14:paraId="57B88493">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541C1C">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BEAB2A"/>
    <w:multiLevelType w:val="singleLevel"/>
    <w:tmpl w:val="07BEAB2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1C668D3C"/>
    <w:multiLevelType w:val="singleLevel"/>
    <w:tmpl w:val="1C668D3C"/>
    <w:lvl w:ilvl="0" w:tentative="0">
      <w:start w:val="1"/>
      <w:numFmt w:val="upperRoman"/>
      <w:lvlText w:val="%1."/>
      <w:lvlJc w:val="left"/>
      <w:pPr>
        <w:tabs>
          <w:tab w:val="left" w:pos="425"/>
        </w:tabs>
        <w:ind w:left="425" w:leftChars="0" w:hanging="425" w:firstLineChars="0"/>
      </w:pPr>
      <w:rPr>
        <w:rFonts w:hint="default"/>
        <w:b/>
        <w:bCs/>
      </w:rPr>
    </w:lvl>
  </w:abstractNum>
  <w:abstractNum w:abstractNumId="2">
    <w:nsid w:val="1F4819C4"/>
    <w:multiLevelType w:val="multilevel"/>
    <w:tmpl w:val="1F4819C4"/>
    <w:lvl w:ilvl="0" w:tentative="0">
      <w:start w:val="1"/>
      <w:numFmt w:val="decimal"/>
      <w:lvlText w:val="%1."/>
      <w:lvlJc w:val="left"/>
      <w:pPr>
        <w:tabs>
          <w:tab w:val="left" w:pos="425"/>
        </w:tabs>
        <w:ind w:left="425" w:leftChars="0" w:hanging="425"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8"/>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BF77FBE"/>
    <w:rsid w:val="0BF77F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rFonts w:ascii="Times New Roman" w:hAnsi="Times New Roman" w:cs="Times New Roman"/>
      <w:b/>
      <w:bCs/>
      <w:kern w:val="44"/>
      <w:sz w:val="32"/>
      <w:szCs w:val="32"/>
    </w:rPr>
  </w:style>
  <w:style w:type="paragraph" w:styleId="3">
    <w:name w:val="heading 2"/>
    <w:basedOn w:val="1"/>
    <w:next w:val="1"/>
    <w:unhideWhenUsed/>
    <w:qFormat/>
    <w:uiPriority w:val="0"/>
    <w:pPr>
      <w:keepNext/>
      <w:keepLines/>
      <w:spacing w:before="260" w:after="260" w:line="416" w:lineRule="auto"/>
      <w:outlineLvl w:val="1"/>
    </w:pPr>
    <w:rPr>
      <w:rFonts w:ascii="Times New Roman" w:hAnsi="Times New Roman" w:cs="Times New Roman"/>
      <w:b/>
      <w:bCs/>
      <w:sz w:val="28"/>
      <w:szCs w:val="28"/>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caption"/>
    <w:basedOn w:val="1"/>
    <w:next w:val="1"/>
    <w:semiHidden/>
    <w:unhideWhenUsed/>
    <w:qFormat/>
    <w:uiPriority w:val="0"/>
    <w:rPr>
      <w:rFonts w:ascii="Arial" w:hAnsi="Arial" w:eastAsia="黑体" w:cs="Arial"/>
      <w:sz w:val="20"/>
    </w:rPr>
  </w:style>
  <w:style w:type="paragraph" w:styleId="7">
    <w:name w:val="footer"/>
    <w:basedOn w:val="1"/>
    <w:uiPriority w:val="0"/>
    <w:pPr>
      <w:tabs>
        <w:tab w:val="center" w:pos="4153"/>
        <w:tab w:val="right" w:pos="8306"/>
      </w:tabs>
      <w:snapToGrid w:val="0"/>
      <w:jc w:val="left"/>
    </w:pPr>
    <w:rPr>
      <w:sz w:val="18"/>
      <w:szCs w:val="18"/>
    </w:rPr>
  </w:style>
  <w:style w:type="paragraph" w:styleId="8">
    <w:name w:val="header"/>
    <w:basedOn w:val="1"/>
    <w:uiPriority w:val="0"/>
    <w:pPr>
      <w:tabs>
        <w:tab w:val="center" w:pos="4153"/>
        <w:tab w:val="right" w:pos="8306"/>
      </w:tabs>
      <w:snapToGrid w:val="0"/>
    </w:pPr>
    <w:rPr>
      <w:sz w:val="18"/>
      <w:szCs w:val="18"/>
    </w:rPr>
  </w:style>
  <w:style w:type="paragraph" w:styleId="9">
    <w:name w:val="Normal (Web)"/>
    <w:uiPriority w:val="0"/>
    <w:pPr>
      <w:spacing w:before="0" w:beforeAutospacing="1" w:after="0" w:afterAutospacing="1"/>
      <w:ind w:left="0" w:right="0"/>
      <w:jc w:val="left"/>
    </w:pPr>
    <w:rPr>
      <w:kern w:val="0"/>
      <w:sz w:val="24"/>
      <w:szCs w:val="24"/>
      <w:lang w:val="en-US" w:eastAsia="zh-CN" w:bidi="ar"/>
    </w:rPr>
  </w:style>
  <w:style w:type="character" w:styleId="10">
    <w:name w:val="Strong"/>
    <w:basedOn w:val="4"/>
    <w:qFormat/>
    <w:uiPriority w:val="0"/>
    <w:rPr>
      <w:b/>
      <w:bCs/>
    </w:rPr>
  </w:style>
  <w:style w:type="table" w:styleId="11">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able of figures"/>
    <w:basedOn w:val="1"/>
    <w:next w:val="1"/>
    <w:uiPriority w:val="0"/>
    <w:pPr>
      <w:ind w:leftChars="200" w:hanging="200" w:hangingChars="200"/>
    </w:pPr>
  </w:style>
  <w:style w:type="paragraph" w:styleId="13">
    <w:name w:val="Title"/>
    <w:basedOn w:val="1"/>
    <w:qFormat/>
    <w:uiPriority w:val="0"/>
    <w:pPr>
      <w:spacing w:before="240" w:after="60"/>
      <w:jc w:val="center"/>
      <w:outlineLvl w:val="0"/>
    </w:pPr>
    <w:rPr>
      <w:rFonts w:ascii="Arial" w:hAnsi="Arial" w:cs="Arial"/>
      <w:b/>
      <w:bCs/>
      <w:sz w:val="32"/>
      <w:szCs w:val="32"/>
    </w:rPr>
  </w:style>
  <w:style w:type="paragraph" w:customStyle="1" w:styleId="14">
    <w:name w:val="WPSOffice手动目录 1"/>
    <w:uiPriority w:val="0"/>
    <w:pPr>
      <w:ind w:leftChars="0"/>
    </w:pPr>
    <w:rPr>
      <w:sz w:val="20"/>
      <w:szCs w:val="20"/>
    </w:rPr>
  </w:style>
  <w:style w:type="paragraph" w:customStyle="1" w:styleId="1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0</Words>
  <Characters>0</Characters>
  <DocSecurity>0</DocSecurity>
  <Lines>0</Lines>
  <Paragraphs>0</Paragraphs>
  <ScaleCrop>false</ScaleCrop>
  <LinksUpToDate>false</LinksUpToDate>
  <CharactersWithSpaces>0</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2024-11-19T15:02:00Z</dcterms:created>
  <dcterms:modified xsi:type="dcterms:W3CDTF">2024-11-19T19:18:42Z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1033-12.2.0.18638</vt:lpwstr>
  </property>
  <property fmtid="{D5CDD505-2E9C-101B-9397-08002B2CF9AE}" pid="3" name="ICV">
    <vt:lpwstr>15B22AE159C84389A4BAA2792292099F_11</vt:lpwstr>
  </property>
</Properties>
</file>