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19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906"/>
      </w:tblGrid>
      <w:tr w:rsidR="00C54343" w14:paraId="2176158A" w14:textId="77777777">
        <w:tc>
          <w:tcPr>
            <w:tcW w:w="11906" w:type="dxa"/>
            <w:tcBorders>
              <w:top w:val="none" w:sz="0" w:space="0" w:color="FFFFFF"/>
              <w:left w:val="none" w:sz="0" w:space="0" w:color="FFFFFF"/>
              <w:bottom w:val="none" w:sz="0" w:space="0" w:color="FFFFFF"/>
              <w:right w:val="none" w:sz="0" w:space="0" w:color="FFFFFF"/>
            </w:tcBorders>
            <w:shd w:val="clear" w:color="auto" w:fill="12182A"/>
            <w:tcMar>
              <w:top w:w="1200" w:type="dxa"/>
              <w:left w:w="900" w:type="dxa"/>
              <w:bottom w:w="1200" w:type="dxa"/>
              <w:right w:w="900" w:type="dxa"/>
            </w:tcMar>
          </w:tcPr>
          <w:p w14:paraId="784D27E6" w14:textId="77777777" w:rsidR="00C54343" w:rsidRDefault="00000000" w:rsidP="00FD2275">
            <w:pPr>
              <w:spacing w:before="60" w:after="20" w:line="360" w:lineRule="auto"/>
              <w:jc w:val="both"/>
            </w:pPr>
            <w:r>
              <w:rPr>
                <w:b/>
                <w:bCs/>
                <w:color w:val="FFFFFF"/>
                <w:sz w:val="76"/>
                <w:szCs w:val="76"/>
              </w:rPr>
              <w:t>STAKEHOLDER</w:t>
            </w:r>
          </w:p>
          <w:p w14:paraId="43009113" w14:textId="77777777" w:rsidR="00C54343" w:rsidRDefault="00000000" w:rsidP="00FD2275">
            <w:pPr>
              <w:spacing w:after="20" w:line="360" w:lineRule="auto"/>
              <w:jc w:val="both"/>
            </w:pPr>
            <w:r>
              <w:rPr>
                <w:b/>
                <w:bCs/>
                <w:color w:val="C4A050"/>
                <w:sz w:val="76"/>
                <w:szCs w:val="76"/>
              </w:rPr>
              <w:t>ENGAGEMENT</w:t>
            </w:r>
          </w:p>
          <w:p w14:paraId="07CA5CBF" w14:textId="77777777" w:rsidR="00C54343" w:rsidRDefault="00000000" w:rsidP="00FD2275">
            <w:pPr>
              <w:spacing w:after="80" w:line="360" w:lineRule="auto"/>
              <w:jc w:val="both"/>
            </w:pPr>
            <w:r>
              <w:rPr>
                <w:b/>
                <w:bCs/>
                <w:color w:val="FFFFFF"/>
                <w:sz w:val="76"/>
                <w:szCs w:val="76"/>
              </w:rPr>
              <w:t>REPORT</w:t>
            </w:r>
          </w:p>
          <w:p w14:paraId="7954D2DD" w14:textId="77777777" w:rsidR="00C54343" w:rsidRDefault="00C54343" w:rsidP="00FD2275">
            <w:pPr>
              <w:pBdr>
                <w:bottom w:val="single" w:sz="4" w:space="1" w:color="C4A050"/>
              </w:pBdr>
              <w:spacing w:before="60" w:after="40" w:line="360" w:lineRule="auto"/>
              <w:jc w:val="both"/>
            </w:pPr>
          </w:p>
          <w:p w14:paraId="462A736D" w14:textId="77777777" w:rsidR="00C54343" w:rsidRPr="00FD329D" w:rsidRDefault="00000000" w:rsidP="00FD2275">
            <w:pPr>
              <w:spacing w:before="80" w:after="20" w:line="360" w:lineRule="auto"/>
              <w:jc w:val="both"/>
              <w:rPr>
                <w:rFonts w:ascii="Arial" w:hAnsi="Arial" w:cs="Arial"/>
              </w:rPr>
            </w:pPr>
            <w:r w:rsidRPr="00FD329D">
              <w:rPr>
                <w:rFonts w:ascii="Arial" w:hAnsi="Arial" w:cs="Arial"/>
                <w:i/>
                <w:iCs/>
                <w:color w:val="C4A050"/>
                <w:sz w:val="28"/>
                <w:szCs w:val="28"/>
              </w:rPr>
              <w:t>StaySmart+ Premium Guest Experience Service</w:t>
            </w:r>
          </w:p>
          <w:p w14:paraId="659B0246" w14:textId="77777777" w:rsidR="00C54343" w:rsidRPr="00FD329D" w:rsidRDefault="00000000" w:rsidP="00FD2275">
            <w:pPr>
              <w:spacing w:after="20" w:line="360" w:lineRule="auto"/>
              <w:jc w:val="both"/>
              <w:rPr>
                <w:rFonts w:ascii="Arial" w:hAnsi="Arial" w:cs="Arial"/>
              </w:rPr>
            </w:pPr>
            <w:r w:rsidRPr="00FD329D">
              <w:rPr>
                <w:rFonts w:ascii="Arial" w:hAnsi="Arial" w:cs="Arial"/>
                <w:color w:val="F5F0E8"/>
                <w:sz w:val="26"/>
                <w:szCs w:val="26"/>
              </w:rPr>
              <w:t>Langham Hotels International</w:t>
            </w:r>
          </w:p>
          <w:p w14:paraId="71359153" w14:textId="77777777" w:rsidR="00C54343" w:rsidRDefault="00000000" w:rsidP="00FD2275">
            <w:pPr>
              <w:spacing w:before="40" w:line="360" w:lineRule="auto"/>
              <w:jc w:val="both"/>
              <w:rPr>
                <w:rFonts w:ascii="Arial" w:hAnsi="Arial" w:cs="Arial"/>
                <w:color w:val="555E6B"/>
                <w:sz w:val="20"/>
                <w:szCs w:val="20"/>
              </w:rPr>
            </w:pPr>
            <w:r w:rsidRPr="00FD329D">
              <w:rPr>
                <w:rFonts w:ascii="Arial" w:hAnsi="Arial" w:cs="Arial"/>
                <w:color w:val="555E6B"/>
                <w:sz w:val="20"/>
                <w:szCs w:val="20"/>
              </w:rPr>
              <w:t>Project Manager  |  Strategic Management Division  |  March 2026</w:t>
            </w:r>
          </w:p>
          <w:p w14:paraId="2FA43BC6" w14:textId="73D97262" w:rsidR="00FD329D" w:rsidRDefault="00FD329D" w:rsidP="00FD2275">
            <w:pPr>
              <w:spacing w:before="40" w:line="360" w:lineRule="auto"/>
              <w:jc w:val="both"/>
              <w:rPr>
                <w:rFonts w:ascii="Arial" w:hAnsi="Arial" w:cs="Arial"/>
                <w:color w:val="555E6B"/>
                <w:sz w:val="20"/>
                <w:szCs w:val="20"/>
              </w:rPr>
            </w:pPr>
            <w:r>
              <w:rPr>
                <w:rFonts w:ascii="Arial" w:hAnsi="Arial" w:cs="Arial"/>
                <w:color w:val="555E6B"/>
                <w:sz w:val="20"/>
                <w:szCs w:val="20"/>
              </w:rPr>
              <w:t>Student : Tiberiu Anghel</w:t>
            </w:r>
          </w:p>
          <w:p w14:paraId="104EC96B" w14:textId="13C15D85" w:rsidR="00FD329D" w:rsidRDefault="00FD329D" w:rsidP="00FD2275">
            <w:pPr>
              <w:spacing w:before="40" w:line="360" w:lineRule="auto"/>
              <w:jc w:val="both"/>
              <w:rPr>
                <w:rFonts w:ascii="Arial" w:hAnsi="Arial" w:cs="Arial"/>
                <w:color w:val="555E6B"/>
                <w:sz w:val="20"/>
                <w:szCs w:val="20"/>
              </w:rPr>
            </w:pPr>
            <w:r>
              <w:rPr>
                <w:rFonts w:ascii="Arial" w:hAnsi="Arial" w:cs="Arial"/>
                <w:color w:val="555E6B"/>
                <w:sz w:val="20"/>
                <w:szCs w:val="20"/>
              </w:rPr>
              <w:t>Student No. : 2422970</w:t>
            </w:r>
          </w:p>
          <w:p w14:paraId="06B323EE" w14:textId="08F7FB32" w:rsidR="00FD329D" w:rsidRDefault="00FD329D" w:rsidP="00FD2275">
            <w:pPr>
              <w:spacing w:before="40" w:line="360" w:lineRule="auto"/>
              <w:jc w:val="both"/>
            </w:pPr>
          </w:p>
        </w:tc>
      </w:tr>
      <w:tr w:rsidR="00C54343" w14:paraId="0A437C71" w14:textId="77777777">
        <w:tc>
          <w:tcPr>
            <w:tcW w:w="11906" w:type="dxa"/>
            <w:tcBorders>
              <w:top w:val="none" w:sz="0" w:space="0" w:color="FFFFFF"/>
              <w:left w:val="none" w:sz="0" w:space="0" w:color="FFFFFF"/>
              <w:bottom w:val="none" w:sz="0" w:space="0" w:color="FFFFFF"/>
              <w:right w:val="none" w:sz="0" w:space="0" w:color="FFFFFF"/>
            </w:tcBorders>
            <w:shd w:val="clear" w:color="auto" w:fill="C4A050"/>
            <w:tcMar>
              <w:top w:w="160" w:type="dxa"/>
              <w:left w:w="900" w:type="dxa"/>
              <w:bottom w:w="160" w:type="dxa"/>
              <w:right w:w="900" w:type="dxa"/>
            </w:tcMar>
          </w:tcPr>
          <w:p w14:paraId="4A250BD3" w14:textId="77777777" w:rsidR="00C54343" w:rsidRDefault="00C54343" w:rsidP="00FD2275">
            <w:pPr>
              <w:jc w:val="both"/>
            </w:pPr>
          </w:p>
        </w:tc>
      </w:tr>
      <w:tr w:rsidR="00C54343" w14:paraId="7436402F" w14:textId="77777777">
        <w:tc>
          <w:tcPr>
            <w:tcW w:w="11906" w:type="dxa"/>
            <w:tcBorders>
              <w:top w:val="none" w:sz="0" w:space="0" w:color="FFFFFF"/>
              <w:left w:val="none" w:sz="0" w:space="0" w:color="FFFFFF"/>
              <w:bottom w:val="none" w:sz="0" w:space="0" w:color="FFFFFF"/>
              <w:right w:val="none" w:sz="0" w:space="0" w:color="FFFFFF"/>
            </w:tcBorders>
            <w:shd w:val="clear" w:color="auto" w:fill="FFFFFF"/>
            <w:tcMar>
              <w:top w:w="900" w:type="dxa"/>
              <w:left w:w="900" w:type="dxa"/>
              <w:bottom w:w="900" w:type="dxa"/>
              <w:right w:w="900" w:type="dxa"/>
            </w:tcMar>
          </w:tcPr>
          <w:p w14:paraId="0FB200D3" w14:textId="77777777" w:rsidR="00FD329D" w:rsidRDefault="00FD329D" w:rsidP="00FD2275">
            <w:pPr>
              <w:spacing w:after="40" w:line="360" w:lineRule="auto"/>
              <w:jc w:val="both"/>
              <w:rPr>
                <w:rFonts w:ascii="Arial" w:hAnsi="Arial" w:cs="Arial"/>
                <w:b/>
                <w:bCs/>
                <w:color w:val="B4823C"/>
                <w:sz w:val="24"/>
                <w:szCs w:val="24"/>
              </w:rPr>
            </w:pPr>
          </w:p>
          <w:sdt>
            <w:sdtPr>
              <w:id w:val="1687635899"/>
              <w:docPartObj>
                <w:docPartGallery w:val="Table of Contents"/>
                <w:docPartUnique/>
              </w:docPartObj>
            </w:sdtPr>
            <w:sdtEndPr>
              <w:rPr>
                <w:rFonts w:ascii="Garamond" w:eastAsia="Garamond" w:hAnsi="Garamond" w:cs="Garamond"/>
                <w:b/>
                <w:bCs/>
                <w:noProof/>
                <w:color w:val="auto"/>
                <w:sz w:val="22"/>
                <w:szCs w:val="22"/>
                <w:lang w:val="en-GB" w:eastAsia="en-GB"/>
              </w:rPr>
            </w:sdtEndPr>
            <w:sdtContent>
              <w:p w14:paraId="18D0176F" w14:textId="05B6555D" w:rsidR="00FD329D" w:rsidRDefault="00FD329D" w:rsidP="00FD2275">
                <w:pPr>
                  <w:pStyle w:val="TOCHeading"/>
                  <w:jc w:val="both"/>
                </w:pPr>
                <w:r>
                  <w:t>Contents</w:t>
                </w:r>
              </w:p>
              <w:p w14:paraId="2D865822" w14:textId="06B47D85" w:rsidR="00FD329D" w:rsidRPr="001F131A" w:rsidRDefault="00FD329D" w:rsidP="00FD2275">
                <w:pPr>
                  <w:pStyle w:val="TOC1"/>
                  <w:tabs>
                    <w:tab w:val="right" w:leader="dot" w:pos="11896"/>
                  </w:tabs>
                  <w:jc w:val="both"/>
                  <w:rPr>
                    <w:rFonts w:ascii="Arial" w:hAnsi="Arial" w:cs="Arial"/>
                    <w:noProof/>
                  </w:rPr>
                </w:pPr>
                <w:r>
                  <w:fldChar w:fldCharType="begin"/>
                </w:r>
                <w:r>
                  <w:instrText xml:space="preserve"> TOC \o "1-3" \h \z \u </w:instrText>
                </w:r>
                <w:r>
                  <w:fldChar w:fldCharType="separate"/>
                </w:r>
                <w:hyperlink w:anchor="_Toc223961407" w:history="1">
                  <w:r w:rsidRPr="001F131A">
                    <w:rPr>
                      <w:rStyle w:val="Hyperlink"/>
                      <w:rFonts w:ascii="Arial" w:hAnsi="Arial" w:cs="Arial"/>
                      <w:noProof/>
                    </w:rPr>
                    <w:t>1.  Company Introduction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_Toc223961407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4</w:t>
                  </w:r>
                  <w:r w:rsidRPr="001F131A">
                    <w:rPr>
                      <w:rFonts w:ascii="Arial" w:hAnsi="Arial" w:cs="Arial"/>
                      <w:noProof/>
                      <w:webHidden/>
                    </w:rPr>
                    <w:fldChar w:fldCharType="end"/>
                  </w:r>
                </w:hyperlink>
              </w:p>
              <w:p w14:paraId="15EFDCB5" w14:textId="131C143E" w:rsidR="00FD329D" w:rsidRPr="001F131A" w:rsidRDefault="00FD329D" w:rsidP="00FD2275">
                <w:pPr>
                  <w:pStyle w:val="TOC1"/>
                  <w:tabs>
                    <w:tab w:val="right" w:leader="dot" w:pos="11896"/>
                  </w:tabs>
                  <w:jc w:val="both"/>
                  <w:rPr>
                    <w:rFonts w:ascii="Arial" w:hAnsi="Arial" w:cs="Arial"/>
                    <w:noProof/>
                  </w:rPr>
                </w:pPr>
                <w:hyperlink w:anchor="_Toc223961408" w:history="1">
                  <w:r w:rsidRPr="001F131A">
                    <w:rPr>
                      <w:rStyle w:val="Hyperlink"/>
                      <w:rFonts w:ascii="Arial" w:hAnsi="Arial" w:cs="Arial"/>
                      <w:noProof/>
                    </w:rPr>
                    <w:t>2.  Situational Analysis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_Toc223961408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5</w:t>
                  </w:r>
                  <w:r w:rsidRPr="001F131A">
                    <w:rPr>
                      <w:rFonts w:ascii="Arial" w:hAnsi="Arial" w:cs="Arial"/>
                      <w:noProof/>
                      <w:webHidden/>
                    </w:rPr>
                    <w:fldChar w:fldCharType="end"/>
                  </w:r>
                </w:hyperlink>
              </w:p>
              <w:p w14:paraId="2DF2C2C1" w14:textId="5F2E98EB" w:rsidR="00FD329D" w:rsidRPr="001F131A" w:rsidRDefault="00FD329D" w:rsidP="00FD2275">
                <w:pPr>
                  <w:pStyle w:val="TOC2"/>
                  <w:tabs>
                    <w:tab w:val="right" w:leader="dot" w:pos="11896"/>
                  </w:tabs>
                  <w:jc w:val="both"/>
                  <w:rPr>
                    <w:rFonts w:ascii="Arial" w:hAnsi="Arial" w:cs="Arial"/>
                    <w:noProof/>
                  </w:rPr>
                </w:pPr>
                <w:hyperlink w:anchor="_Toc223961409" w:history="1">
                  <w:r w:rsidRPr="001F131A">
                    <w:rPr>
                      <w:rStyle w:val="Hyperlink"/>
                      <w:rFonts w:ascii="Arial" w:hAnsi="Arial" w:cs="Arial"/>
                      <w:noProof/>
                    </w:rPr>
                    <w:t>2.1  SWOT Analysis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_Toc223961409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5</w:t>
                  </w:r>
                  <w:r w:rsidRPr="001F131A">
                    <w:rPr>
                      <w:rFonts w:ascii="Arial" w:hAnsi="Arial" w:cs="Arial"/>
                      <w:noProof/>
                      <w:webHidden/>
                    </w:rPr>
                    <w:fldChar w:fldCharType="end"/>
                  </w:r>
                </w:hyperlink>
              </w:p>
              <w:p w14:paraId="55262607" w14:textId="2A3CF301" w:rsidR="00FD329D" w:rsidRPr="001F131A" w:rsidRDefault="00FD329D" w:rsidP="00FD2275">
                <w:pPr>
                  <w:pStyle w:val="TOC2"/>
                  <w:tabs>
                    <w:tab w:val="right" w:leader="dot" w:pos="11896"/>
                  </w:tabs>
                  <w:jc w:val="both"/>
                  <w:rPr>
                    <w:rFonts w:ascii="Arial" w:hAnsi="Arial" w:cs="Arial"/>
                    <w:noProof/>
                  </w:rPr>
                </w:pPr>
                <w:hyperlink w:anchor="_Toc223961410" w:history="1">
                  <w:r w:rsidRPr="001F131A">
                    <w:rPr>
                      <w:rStyle w:val="Hyperlink"/>
                      <w:rFonts w:ascii="Arial" w:hAnsi="Arial" w:cs="Arial"/>
                      <w:noProof/>
                    </w:rPr>
                    <w:t>2.2  PESTLE Analysis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_Toc223961410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6</w:t>
                  </w:r>
                  <w:r w:rsidRPr="001F131A">
                    <w:rPr>
                      <w:rFonts w:ascii="Arial" w:hAnsi="Arial" w:cs="Arial"/>
                      <w:noProof/>
                      <w:webHidden/>
                    </w:rPr>
                    <w:fldChar w:fldCharType="end"/>
                  </w:r>
                </w:hyperlink>
              </w:p>
              <w:p w14:paraId="338DB20F" w14:textId="4F29F470" w:rsidR="00FD329D" w:rsidRPr="001F131A" w:rsidRDefault="00FD329D" w:rsidP="00FD2275">
                <w:pPr>
                  <w:pStyle w:val="TOC2"/>
                  <w:tabs>
                    <w:tab w:val="right" w:leader="dot" w:pos="11896"/>
                  </w:tabs>
                  <w:jc w:val="both"/>
                  <w:rPr>
                    <w:rFonts w:ascii="Arial" w:hAnsi="Arial" w:cs="Arial"/>
                    <w:noProof/>
                  </w:rPr>
                </w:pPr>
                <w:hyperlink w:anchor="_Toc223961411" w:history="1">
                  <w:r w:rsidRPr="001F131A">
                    <w:rPr>
                      <w:rStyle w:val="Hyperlink"/>
                      <w:rFonts w:ascii="Arial" w:hAnsi="Arial" w:cs="Arial"/>
                      <w:noProof/>
                    </w:rPr>
                    <w:t>2.3  SMART Objectives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_Toc223961411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6</w:t>
                  </w:r>
                  <w:r w:rsidRPr="001F131A">
                    <w:rPr>
                      <w:rFonts w:ascii="Arial" w:hAnsi="Arial" w:cs="Arial"/>
                      <w:noProof/>
                      <w:webHidden/>
                    </w:rPr>
                    <w:fldChar w:fldCharType="end"/>
                  </w:r>
                </w:hyperlink>
              </w:p>
              <w:p w14:paraId="5DF4C948" w14:textId="098C6921" w:rsidR="00FD329D" w:rsidRPr="001F131A" w:rsidRDefault="00FD329D" w:rsidP="00FD2275">
                <w:pPr>
                  <w:pStyle w:val="TOC1"/>
                  <w:tabs>
                    <w:tab w:val="right" w:leader="dot" w:pos="11896"/>
                  </w:tabs>
                  <w:jc w:val="both"/>
                  <w:rPr>
                    <w:rFonts w:ascii="Arial" w:hAnsi="Arial" w:cs="Arial"/>
                    <w:noProof/>
                  </w:rPr>
                </w:pPr>
                <w:hyperlink w:anchor="_Toc223961412" w:history="1">
                  <w:r w:rsidRPr="001F131A">
                    <w:rPr>
                      <w:rStyle w:val="Hyperlink"/>
                      <w:rFonts w:ascii="Arial" w:hAnsi="Arial" w:cs="Arial"/>
                      <w:noProof/>
                    </w:rPr>
                    <w:t>3.  Key Stakeholders: Identification &amp; Categorisation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_Toc223961412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7</w:t>
                  </w:r>
                  <w:r w:rsidRPr="001F131A">
                    <w:rPr>
                      <w:rFonts w:ascii="Arial" w:hAnsi="Arial" w:cs="Arial"/>
                      <w:noProof/>
                      <w:webHidden/>
                    </w:rPr>
                    <w:fldChar w:fldCharType="end"/>
                  </w:r>
                </w:hyperlink>
              </w:p>
              <w:p w14:paraId="12DAB536" w14:textId="10F6AFD1" w:rsidR="00FD329D" w:rsidRPr="001F131A" w:rsidRDefault="00FD329D" w:rsidP="00FD2275">
                <w:pPr>
                  <w:pStyle w:val="TOC2"/>
                  <w:tabs>
                    <w:tab w:val="right" w:leader="dot" w:pos="11896"/>
                  </w:tabs>
                  <w:jc w:val="both"/>
                  <w:rPr>
                    <w:rFonts w:ascii="Arial" w:hAnsi="Arial" w:cs="Arial"/>
                    <w:noProof/>
                  </w:rPr>
                </w:pPr>
                <w:hyperlink w:anchor="_Toc223961413" w:history="1">
                  <w:r w:rsidRPr="001F131A">
                    <w:rPr>
                      <w:rStyle w:val="Hyperlink"/>
                      <w:rFonts w:ascii="Arial" w:hAnsi="Arial" w:cs="Arial"/>
                      <w:noProof/>
                    </w:rPr>
                    <w:t>3.1  Internal Stakeholders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_Toc223961413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7</w:t>
                  </w:r>
                  <w:r w:rsidRPr="001F131A">
                    <w:rPr>
                      <w:rFonts w:ascii="Arial" w:hAnsi="Arial" w:cs="Arial"/>
                      <w:noProof/>
                      <w:webHidden/>
                    </w:rPr>
                    <w:fldChar w:fldCharType="end"/>
                  </w:r>
                </w:hyperlink>
              </w:p>
              <w:p w14:paraId="6B669B3A" w14:textId="0594EF44" w:rsidR="00FD329D" w:rsidRPr="001F131A" w:rsidRDefault="00FD329D" w:rsidP="00FD2275">
                <w:pPr>
                  <w:pStyle w:val="TOC2"/>
                  <w:tabs>
                    <w:tab w:val="right" w:leader="dot" w:pos="11896"/>
                  </w:tabs>
                  <w:jc w:val="both"/>
                  <w:rPr>
                    <w:rFonts w:ascii="Arial" w:hAnsi="Arial" w:cs="Arial"/>
                    <w:noProof/>
                  </w:rPr>
                </w:pPr>
                <w:hyperlink w:anchor="_Toc223961414" w:history="1">
                  <w:r w:rsidRPr="001F131A">
                    <w:rPr>
                      <w:rStyle w:val="Hyperlink"/>
                      <w:rFonts w:ascii="Arial" w:hAnsi="Arial" w:cs="Arial"/>
                      <w:noProof/>
                    </w:rPr>
                    <w:t>3.2  External Stakeholders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_Toc223961414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7</w:t>
                  </w:r>
                  <w:r w:rsidRPr="001F131A">
                    <w:rPr>
                      <w:rFonts w:ascii="Arial" w:hAnsi="Arial" w:cs="Arial"/>
                      <w:noProof/>
                      <w:webHidden/>
                    </w:rPr>
                    <w:fldChar w:fldCharType="end"/>
                  </w:r>
                </w:hyperlink>
              </w:p>
              <w:p w14:paraId="5A5DEC44" w14:textId="7E9C7D05" w:rsidR="00FD329D" w:rsidRPr="001F131A" w:rsidRDefault="00FD329D" w:rsidP="00FD2275">
                <w:pPr>
                  <w:pStyle w:val="TOC2"/>
                  <w:tabs>
                    <w:tab w:val="right" w:leader="dot" w:pos="11896"/>
                  </w:tabs>
                  <w:jc w:val="both"/>
                  <w:rPr>
                    <w:rFonts w:ascii="Arial" w:hAnsi="Arial" w:cs="Arial"/>
                    <w:noProof/>
                  </w:rPr>
                </w:pPr>
                <w:hyperlink w:anchor="_Toc223961415" w:history="1">
                  <w:r w:rsidRPr="001F131A">
                    <w:rPr>
                      <w:rStyle w:val="Hyperlink"/>
                      <w:rFonts w:ascii="Arial" w:hAnsi="Arial" w:cs="Arial"/>
                      <w:noProof/>
                    </w:rPr>
                    <w:t>3.3  Stakeholder Power-Interest Matrix</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_Toc223961415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8</w:t>
                  </w:r>
                  <w:r w:rsidRPr="001F131A">
                    <w:rPr>
                      <w:rFonts w:ascii="Arial" w:hAnsi="Arial" w:cs="Arial"/>
                      <w:noProof/>
                      <w:webHidden/>
                    </w:rPr>
                    <w:fldChar w:fldCharType="end"/>
                  </w:r>
                </w:hyperlink>
              </w:p>
              <w:p w14:paraId="603DD1A1" w14:textId="2BB98D53" w:rsidR="00FD329D" w:rsidRPr="001F131A" w:rsidRDefault="00FD329D" w:rsidP="00FD2275">
                <w:pPr>
                  <w:pStyle w:val="TOC1"/>
                  <w:tabs>
                    <w:tab w:val="right" w:leader="dot" w:pos="11896"/>
                  </w:tabs>
                  <w:jc w:val="both"/>
                  <w:rPr>
                    <w:rFonts w:ascii="Arial" w:hAnsi="Arial" w:cs="Arial"/>
                    <w:noProof/>
                  </w:rPr>
                </w:pPr>
                <w:hyperlink w:anchor="_Toc223961416" w:history="1">
                  <w:r w:rsidRPr="001F131A">
                    <w:rPr>
                      <w:rStyle w:val="Hyperlink"/>
                      <w:rFonts w:ascii="Arial" w:hAnsi="Arial" w:cs="Arial"/>
                      <w:noProof/>
                    </w:rPr>
                    <w:t>4.  Roles, Responsibilities, Benefits &amp; Challenges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_Toc223961416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9</w:t>
                  </w:r>
                  <w:r w:rsidRPr="001F131A">
                    <w:rPr>
                      <w:rFonts w:ascii="Arial" w:hAnsi="Arial" w:cs="Arial"/>
                      <w:noProof/>
                      <w:webHidden/>
                    </w:rPr>
                    <w:fldChar w:fldCharType="end"/>
                  </w:r>
                </w:hyperlink>
              </w:p>
              <w:p w14:paraId="3EA00107" w14:textId="397136E7" w:rsidR="00FD329D" w:rsidRPr="001F131A" w:rsidRDefault="00FD329D" w:rsidP="00FD2275">
                <w:pPr>
                  <w:pStyle w:val="TOC2"/>
                  <w:tabs>
                    <w:tab w:val="right" w:leader="dot" w:pos="11896"/>
                  </w:tabs>
                  <w:jc w:val="both"/>
                  <w:rPr>
                    <w:rFonts w:ascii="Arial" w:hAnsi="Arial" w:cs="Arial"/>
                    <w:noProof/>
                  </w:rPr>
                </w:pPr>
                <w:hyperlink w:anchor="_Toc223961417" w:history="1">
                  <w:r w:rsidRPr="001F131A">
                    <w:rPr>
                      <w:rStyle w:val="Hyperlink"/>
                      <w:rFonts w:ascii="Arial" w:hAnsi="Arial" w:cs="Arial"/>
                      <w:noProof/>
                    </w:rPr>
                    <w:t>4.1  RACI Matrix</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_Toc223961417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9</w:t>
                  </w:r>
                  <w:r w:rsidRPr="001F131A">
                    <w:rPr>
                      <w:rFonts w:ascii="Arial" w:hAnsi="Arial" w:cs="Arial"/>
                      <w:noProof/>
                      <w:webHidden/>
                    </w:rPr>
                    <w:fldChar w:fldCharType="end"/>
                  </w:r>
                </w:hyperlink>
              </w:p>
              <w:p w14:paraId="1B5446D5" w14:textId="7EAB7277" w:rsidR="00FD329D" w:rsidRPr="001F131A" w:rsidRDefault="00FD329D" w:rsidP="00FD2275">
                <w:pPr>
                  <w:pStyle w:val="TOC2"/>
                  <w:tabs>
                    <w:tab w:val="right" w:leader="dot" w:pos="11896"/>
                  </w:tabs>
                  <w:jc w:val="both"/>
                  <w:rPr>
                    <w:rFonts w:ascii="Arial" w:hAnsi="Arial" w:cs="Arial"/>
                    <w:noProof/>
                  </w:rPr>
                </w:pPr>
                <w:hyperlink w:anchor="_Toc223961418" w:history="1">
                  <w:r w:rsidRPr="001F131A">
                    <w:rPr>
                      <w:rStyle w:val="Hyperlink"/>
                      <w:rFonts w:ascii="Arial" w:hAnsi="Arial" w:cs="Arial"/>
                      <w:noProof/>
                    </w:rPr>
                    <w:t>4.2  Benefits &amp; Challenges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_Toc223961418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9</w:t>
                  </w:r>
                  <w:r w:rsidRPr="001F131A">
                    <w:rPr>
                      <w:rFonts w:ascii="Arial" w:hAnsi="Arial" w:cs="Arial"/>
                      <w:noProof/>
                      <w:webHidden/>
                    </w:rPr>
                    <w:fldChar w:fldCharType="end"/>
                  </w:r>
                </w:hyperlink>
              </w:p>
              <w:p w14:paraId="0B2E1254" w14:textId="1F02F3A8" w:rsidR="00FD329D" w:rsidRPr="001F131A" w:rsidRDefault="00FD329D" w:rsidP="00FD2275">
                <w:pPr>
                  <w:pStyle w:val="TOC1"/>
                  <w:tabs>
                    <w:tab w:val="right" w:leader="dot" w:pos="11896"/>
                  </w:tabs>
                  <w:jc w:val="both"/>
                  <w:rPr>
                    <w:rFonts w:ascii="Arial" w:hAnsi="Arial" w:cs="Arial"/>
                    <w:noProof/>
                  </w:rPr>
                </w:pPr>
                <w:hyperlink w:anchor="_Toc223961419" w:history="1">
                  <w:r w:rsidRPr="001F131A">
                    <w:rPr>
                      <w:rStyle w:val="Hyperlink"/>
                      <w:rFonts w:ascii="Arial" w:hAnsi="Arial" w:cs="Arial"/>
                      <w:noProof/>
                    </w:rPr>
                    <w:t>5.  Stakeholder Engagement Frameworks &amp; Models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_Toc223961419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11</w:t>
                  </w:r>
                  <w:r w:rsidRPr="001F131A">
                    <w:rPr>
                      <w:rFonts w:ascii="Arial" w:hAnsi="Arial" w:cs="Arial"/>
                      <w:noProof/>
                      <w:webHidden/>
                    </w:rPr>
                    <w:fldChar w:fldCharType="end"/>
                  </w:r>
                </w:hyperlink>
              </w:p>
              <w:p w14:paraId="0181D5CB" w14:textId="6D727A06" w:rsidR="00FD329D" w:rsidRPr="001F131A" w:rsidRDefault="00FD329D" w:rsidP="00FD2275">
                <w:pPr>
                  <w:pStyle w:val="TOC2"/>
                  <w:tabs>
                    <w:tab w:val="right" w:leader="dot" w:pos="11896"/>
                  </w:tabs>
                  <w:jc w:val="both"/>
                  <w:rPr>
                    <w:rFonts w:ascii="Arial" w:hAnsi="Arial" w:cs="Arial"/>
                    <w:noProof/>
                  </w:rPr>
                </w:pPr>
                <w:hyperlink w:anchor="_Toc223961420" w:history="1">
                  <w:r w:rsidRPr="001F131A">
                    <w:rPr>
                      <w:rStyle w:val="Hyperlink"/>
                      <w:rFonts w:ascii="Arial" w:hAnsi="Arial" w:cs="Arial"/>
                      <w:noProof/>
                    </w:rPr>
                    <w:t>5.1  Mendelow's Power-Interest Matrix</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_Toc223961420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11</w:t>
                  </w:r>
                  <w:r w:rsidRPr="001F131A">
                    <w:rPr>
                      <w:rFonts w:ascii="Arial" w:hAnsi="Arial" w:cs="Arial"/>
                      <w:noProof/>
                      <w:webHidden/>
                    </w:rPr>
                    <w:fldChar w:fldCharType="end"/>
                  </w:r>
                </w:hyperlink>
              </w:p>
              <w:p w14:paraId="6CF385D7" w14:textId="737FEFFA" w:rsidR="00FD329D" w:rsidRPr="001F131A" w:rsidRDefault="00FD329D" w:rsidP="00FD2275">
                <w:pPr>
                  <w:pStyle w:val="TOC2"/>
                  <w:tabs>
                    <w:tab w:val="right" w:leader="dot" w:pos="11896"/>
                  </w:tabs>
                  <w:jc w:val="both"/>
                  <w:rPr>
                    <w:rFonts w:ascii="Arial" w:hAnsi="Arial" w:cs="Arial"/>
                    <w:noProof/>
                  </w:rPr>
                </w:pPr>
                <w:hyperlink w:anchor="_Toc223961421" w:history="1">
                  <w:r w:rsidRPr="001F131A">
                    <w:rPr>
                      <w:rStyle w:val="Hyperlink"/>
                      <w:rFonts w:ascii="Arial" w:hAnsi="Arial" w:cs="Arial"/>
                      <w:noProof/>
                    </w:rPr>
                    <w:t>5.2  Stakeholder Salience Model</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_Toc223961421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11</w:t>
                  </w:r>
                  <w:r w:rsidRPr="001F131A">
                    <w:rPr>
                      <w:rFonts w:ascii="Arial" w:hAnsi="Arial" w:cs="Arial"/>
                      <w:noProof/>
                      <w:webHidden/>
                    </w:rPr>
                    <w:fldChar w:fldCharType="end"/>
                  </w:r>
                </w:hyperlink>
              </w:p>
              <w:p w14:paraId="556272AE" w14:textId="6AA85FE4" w:rsidR="00FD329D" w:rsidRPr="001F131A" w:rsidRDefault="00FD329D" w:rsidP="00FD2275">
                <w:pPr>
                  <w:pStyle w:val="TOC2"/>
                  <w:tabs>
                    <w:tab w:val="right" w:leader="dot" w:pos="11896"/>
                  </w:tabs>
                  <w:jc w:val="both"/>
                  <w:rPr>
                    <w:rFonts w:ascii="Arial" w:hAnsi="Arial" w:cs="Arial"/>
                    <w:noProof/>
                  </w:rPr>
                </w:pPr>
                <w:hyperlink w:anchor="_Toc223961422" w:history="1">
                  <w:r w:rsidRPr="001F131A">
                    <w:rPr>
                      <w:rStyle w:val="Hyperlink"/>
                      <w:rFonts w:ascii="Arial" w:hAnsi="Arial" w:cs="Arial"/>
                      <w:noProof/>
                    </w:rPr>
                    <w:t>5.3  Engagement Plan (AA1000)</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_Toc223961422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11</w:t>
                  </w:r>
                  <w:r w:rsidRPr="001F131A">
                    <w:rPr>
                      <w:rFonts w:ascii="Arial" w:hAnsi="Arial" w:cs="Arial"/>
                      <w:noProof/>
                      <w:webHidden/>
                    </w:rPr>
                    <w:fldChar w:fldCharType="end"/>
                  </w:r>
                </w:hyperlink>
              </w:p>
              <w:p w14:paraId="3CD6600B" w14:textId="67E86616" w:rsidR="00FD329D" w:rsidRPr="001F131A" w:rsidRDefault="00FD329D" w:rsidP="00FD2275">
                <w:pPr>
                  <w:pStyle w:val="TOC2"/>
                  <w:tabs>
                    <w:tab w:val="right" w:leader="dot" w:pos="11896"/>
                  </w:tabs>
                  <w:jc w:val="both"/>
                  <w:rPr>
                    <w:rFonts w:ascii="Arial" w:hAnsi="Arial" w:cs="Arial"/>
                    <w:noProof/>
                  </w:rPr>
                </w:pPr>
                <w:hyperlink w:anchor="_Toc223961423" w:history="1">
                  <w:r w:rsidRPr="001F131A">
                    <w:rPr>
                      <w:rStyle w:val="Hyperlink"/>
                      <w:rFonts w:ascii="Arial" w:hAnsi="Arial" w:cs="Arial"/>
                      <w:noProof/>
                    </w:rPr>
                    <w:t>5.4  Communication Plan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_Toc223961423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12</w:t>
                  </w:r>
                  <w:r w:rsidRPr="001F131A">
                    <w:rPr>
                      <w:rFonts w:ascii="Arial" w:hAnsi="Arial" w:cs="Arial"/>
                      <w:noProof/>
                      <w:webHidden/>
                    </w:rPr>
                    <w:fldChar w:fldCharType="end"/>
                  </w:r>
                </w:hyperlink>
              </w:p>
              <w:p w14:paraId="072F4FE1" w14:textId="1B75FFB6" w:rsidR="00FD329D" w:rsidRPr="001F131A" w:rsidRDefault="00FD329D" w:rsidP="00FD2275">
                <w:pPr>
                  <w:pStyle w:val="TOC2"/>
                  <w:tabs>
                    <w:tab w:val="right" w:leader="dot" w:pos="11896"/>
                  </w:tabs>
                  <w:jc w:val="both"/>
                  <w:rPr>
                    <w:rFonts w:ascii="Arial" w:hAnsi="Arial" w:cs="Arial"/>
                    <w:noProof/>
                  </w:rPr>
                </w:pPr>
                <w:hyperlink w:anchor="_Toc223961424" w:history="1">
                  <w:r w:rsidRPr="001F131A">
                    <w:rPr>
                      <w:rStyle w:val="Hyperlink"/>
                      <w:rFonts w:ascii="Arial" w:hAnsi="Arial" w:cs="Arial"/>
                      <w:noProof/>
                    </w:rPr>
                    <w:t>5.5  Freeman's Stakeholder Theory</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_Toc223961424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12</w:t>
                  </w:r>
                  <w:r w:rsidRPr="001F131A">
                    <w:rPr>
                      <w:rFonts w:ascii="Arial" w:hAnsi="Arial" w:cs="Arial"/>
                      <w:noProof/>
                      <w:webHidden/>
                    </w:rPr>
                    <w:fldChar w:fldCharType="end"/>
                  </w:r>
                </w:hyperlink>
              </w:p>
              <w:p w14:paraId="3D1821F6" w14:textId="5A24AFBD" w:rsidR="00FD329D" w:rsidRPr="001F131A" w:rsidRDefault="00FD329D" w:rsidP="00FD2275">
                <w:pPr>
                  <w:pStyle w:val="TOC1"/>
                  <w:tabs>
                    <w:tab w:val="right" w:leader="dot" w:pos="11896"/>
                  </w:tabs>
                  <w:jc w:val="both"/>
                  <w:rPr>
                    <w:rFonts w:ascii="Arial" w:hAnsi="Arial" w:cs="Arial"/>
                    <w:noProof/>
                  </w:rPr>
                </w:pPr>
                <w:hyperlink w:anchor="_Toc223961425" w:history="1">
                  <w:r w:rsidRPr="001F131A">
                    <w:rPr>
                      <w:rStyle w:val="Hyperlink"/>
                      <w:rFonts w:ascii="Arial" w:hAnsi="Arial" w:cs="Arial"/>
                      <w:noProof/>
                    </w:rPr>
                    <w:t>6.  The 4C's Stakeholder Engagement Process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_Toc223961425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13</w:t>
                  </w:r>
                  <w:r w:rsidRPr="001F131A">
                    <w:rPr>
                      <w:rFonts w:ascii="Arial" w:hAnsi="Arial" w:cs="Arial"/>
                      <w:noProof/>
                      <w:webHidden/>
                    </w:rPr>
                    <w:fldChar w:fldCharType="end"/>
                  </w:r>
                </w:hyperlink>
              </w:p>
              <w:p w14:paraId="61DBAF2F" w14:textId="01AECDE9" w:rsidR="00FD329D" w:rsidRPr="001F131A" w:rsidRDefault="00FD329D" w:rsidP="00FD2275">
                <w:pPr>
                  <w:pStyle w:val="TOC2"/>
                  <w:tabs>
                    <w:tab w:val="right" w:leader="dot" w:pos="11896"/>
                  </w:tabs>
                  <w:jc w:val="both"/>
                  <w:rPr>
                    <w:rFonts w:ascii="Arial" w:hAnsi="Arial" w:cs="Arial"/>
                    <w:noProof/>
                  </w:rPr>
                </w:pPr>
                <w:hyperlink w:anchor="_Toc223961426" w:history="1">
                  <w:r w:rsidRPr="001F131A">
                    <w:rPr>
                      <w:rStyle w:val="Hyperlink"/>
                      <w:rFonts w:ascii="Arial" w:hAnsi="Arial" w:cs="Arial"/>
                      <w:noProof/>
                    </w:rPr>
                    <w:t>6.1  Communication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_Toc223961426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13</w:t>
                  </w:r>
                  <w:r w:rsidRPr="001F131A">
                    <w:rPr>
                      <w:rFonts w:ascii="Arial" w:hAnsi="Arial" w:cs="Arial"/>
                      <w:noProof/>
                      <w:webHidden/>
                    </w:rPr>
                    <w:fldChar w:fldCharType="end"/>
                  </w:r>
                </w:hyperlink>
              </w:p>
              <w:p w14:paraId="43DC8F97" w14:textId="5EDCF845" w:rsidR="00FD329D" w:rsidRPr="001F131A" w:rsidRDefault="00FD329D" w:rsidP="00FD2275">
                <w:pPr>
                  <w:pStyle w:val="TOC2"/>
                  <w:tabs>
                    <w:tab w:val="right" w:leader="dot" w:pos="11896"/>
                  </w:tabs>
                  <w:jc w:val="both"/>
                  <w:rPr>
                    <w:rFonts w:ascii="Arial" w:hAnsi="Arial" w:cs="Arial"/>
                    <w:noProof/>
                  </w:rPr>
                </w:pPr>
                <w:hyperlink w:anchor="_Toc223961427" w:history="1">
                  <w:r w:rsidRPr="001F131A">
                    <w:rPr>
                      <w:rStyle w:val="Hyperlink"/>
                      <w:rFonts w:ascii="Arial" w:hAnsi="Arial" w:cs="Arial"/>
                      <w:noProof/>
                    </w:rPr>
                    <w:t>6.2  Collaboration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_Toc223961427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14</w:t>
                  </w:r>
                  <w:r w:rsidRPr="001F131A">
                    <w:rPr>
                      <w:rFonts w:ascii="Arial" w:hAnsi="Arial" w:cs="Arial"/>
                      <w:noProof/>
                      <w:webHidden/>
                    </w:rPr>
                    <w:fldChar w:fldCharType="end"/>
                  </w:r>
                </w:hyperlink>
              </w:p>
              <w:p w14:paraId="7F7D74CF" w14:textId="0F380592" w:rsidR="00FD329D" w:rsidRPr="001F131A" w:rsidRDefault="00FD329D" w:rsidP="00FD2275">
                <w:pPr>
                  <w:pStyle w:val="TOC2"/>
                  <w:tabs>
                    <w:tab w:val="right" w:leader="dot" w:pos="11896"/>
                  </w:tabs>
                  <w:jc w:val="both"/>
                  <w:rPr>
                    <w:rFonts w:ascii="Arial" w:hAnsi="Arial" w:cs="Arial"/>
                    <w:noProof/>
                  </w:rPr>
                </w:pPr>
                <w:hyperlink w:anchor="_Toc223961428" w:history="1">
                  <w:r w:rsidRPr="001F131A">
                    <w:rPr>
                      <w:rStyle w:val="Hyperlink"/>
                      <w:rFonts w:ascii="Arial" w:hAnsi="Arial" w:cs="Arial"/>
                      <w:noProof/>
                    </w:rPr>
                    <w:t>6.3  Consultation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_Toc223961428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14</w:t>
                  </w:r>
                  <w:r w:rsidRPr="001F131A">
                    <w:rPr>
                      <w:rFonts w:ascii="Arial" w:hAnsi="Arial" w:cs="Arial"/>
                      <w:noProof/>
                      <w:webHidden/>
                    </w:rPr>
                    <w:fldChar w:fldCharType="end"/>
                  </w:r>
                </w:hyperlink>
              </w:p>
              <w:p w14:paraId="0AF72B0E" w14:textId="2335808A" w:rsidR="00FD329D" w:rsidRPr="001F131A" w:rsidRDefault="00FD329D" w:rsidP="00FD2275">
                <w:pPr>
                  <w:pStyle w:val="TOC2"/>
                  <w:tabs>
                    <w:tab w:val="right" w:leader="dot" w:pos="11896"/>
                  </w:tabs>
                  <w:jc w:val="both"/>
                  <w:rPr>
                    <w:rFonts w:ascii="Arial" w:hAnsi="Arial" w:cs="Arial"/>
                    <w:noProof/>
                  </w:rPr>
                </w:pPr>
                <w:hyperlink w:anchor="_Toc223961429" w:history="1">
                  <w:r w:rsidRPr="001F131A">
                    <w:rPr>
                      <w:rStyle w:val="Hyperlink"/>
                      <w:rFonts w:ascii="Arial" w:hAnsi="Arial" w:cs="Arial"/>
                      <w:noProof/>
                    </w:rPr>
                    <w:t>6.4  Commitment</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_Toc223961429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14</w:t>
                  </w:r>
                  <w:r w:rsidRPr="001F131A">
                    <w:rPr>
                      <w:rFonts w:ascii="Arial" w:hAnsi="Arial" w:cs="Arial"/>
                      <w:noProof/>
                      <w:webHidden/>
                    </w:rPr>
                    <w:fldChar w:fldCharType="end"/>
                  </w:r>
                </w:hyperlink>
              </w:p>
              <w:p w14:paraId="473B6352" w14:textId="12ACC6FF" w:rsidR="00FD329D" w:rsidRPr="001F131A" w:rsidRDefault="00FD329D" w:rsidP="00FD2275">
                <w:pPr>
                  <w:pStyle w:val="TOC2"/>
                  <w:tabs>
                    <w:tab w:val="right" w:leader="dot" w:pos="11896"/>
                  </w:tabs>
                  <w:jc w:val="both"/>
                  <w:rPr>
                    <w:rFonts w:ascii="Arial" w:hAnsi="Arial" w:cs="Arial"/>
                    <w:noProof/>
                  </w:rPr>
                </w:pPr>
                <w:hyperlink w:anchor="_Toc223961430" w:history="1">
                  <w:r w:rsidRPr="001F131A">
                    <w:rPr>
                      <w:rStyle w:val="Hyperlink"/>
                      <w:rFonts w:ascii="Arial" w:hAnsi="Arial" w:cs="Arial"/>
                      <w:noProof/>
                    </w:rPr>
                    <w:t>6.5  Managing Conflicts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_Toc223961430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14</w:t>
                  </w:r>
                  <w:r w:rsidRPr="001F131A">
                    <w:rPr>
                      <w:rFonts w:ascii="Arial" w:hAnsi="Arial" w:cs="Arial"/>
                      <w:noProof/>
                      <w:webHidden/>
                    </w:rPr>
                    <w:fldChar w:fldCharType="end"/>
                  </w:r>
                </w:hyperlink>
              </w:p>
              <w:p w14:paraId="4C5E1336" w14:textId="7FD942E8" w:rsidR="00FD329D" w:rsidRPr="001F131A" w:rsidRDefault="00FD329D" w:rsidP="00FD2275">
                <w:pPr>
                  <w:pStyle w:val="TOC1"/>
                  <w:tabs>
                    <w:tab w:val="right" w:leader="dot" w:pos="11896"/>
                  </w:tabs>
                  <w:jc w:val="both"/>
                  <w:rPr>
                    <w:rFonts w:ascii="Arial" w:hAnsi="Arial" w:cs="Arial"/>
                    <w:noProof/>
                  </w:rPr>
                </w:pPr>
                <w:hyperlink w:anchor="_Toc223961431" w:history="1">
                  <w:r w:rsidRPr="001F131A">
                    <w:rPr>
                      <w:rStyle w:val="Hyperlink"/>
                      <w:rFonts w:ascii="Arial" w:hAnsi="Arial" w:cs="Arial"/>
                      <w:noProof/>
                    </w:rPr>
                    <w:t>7.  Impact Evaluation &amp; Recommendations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_Toc223961431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15</w:t>
                  </w:r>
                  <w:r w:rsidRPr="001F131A">
                    <w:rPr>
                      <w:rFonts w:ascii="Arial" w:hAnsi="Arial" w:cs="Arial"/>
                      <w:noProof/>
                      <w:webHidden/>
                    </w:rPr>
                    <w:fldChar w:fldCharType="end"/>
                  </w:r>
                </w:hyperlink>
              </w:p>
              <w:p w14:paraId="5013D0F6" w14:textId="17D4ED50" w:rsidR="00FD329D" w:rsidRPr="001F131A" w:rsidRDefault="00FD329D" w:rsidP="00FD2275">
                <w:pPr>
                  <w:pStyle w:val="TOC2"/>
                  <w:tabs>
                    <w:tab w:val="right" w:leader="dot" w:pos="11896"/>
                  </w:tabs>
                  <w:jc w:val="both"/>
                  <w:rPr>
                    <w:rFonts w:ascii="Arial" w:hAnsi="Arial" w:cs="Arial"/>
                    <w:noProof/>
                  </w:rPr>
                </w:pPr>
                <w:hyperlink w:anchor="_Toc223961432" w:history="1">
                  <w:r w:rsidRPr="001F131A">
                    <w:rPr>
                      <w:rStyle w:val="Hyperlink"/>
                      <w:rFonts w:ascii="Arial" w:hAnsi="Arial" w:cs="Arial"/>
                      <w:noProof/>
                    </w:rPr>
                    <w:t>7.1  Operational &amp; Revenue Performance</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_Toc223961432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15</w:t>
                  </w:r>
                  <w:r w:rsidRPr="001F131A">
                    <w:rPr>
                      <w:rFonts w:ascii="Arial" w:hAnsi="Arial" w:cs="Arial"/>
                      <w:noProof/>
                      <w:webHidden/>
                    </w:rPr>
                    <w:fldChar w:fldCharType="end"/>
                  </w:r>
                </w:hyperlink>
              </w:p>
              <w:p w14:paraId="23445F1C" w14:textId="5CD2FD1A" w:rsidR="00FD329D" w:rsidRPr="001F131A" w:rsidRDefault="00FD329D" w:rsidP="00FD2275">
                <w:pPr>
                  <w:pStyle w:val="TOC2"/>
                  <w:tabs>
                    <w:tab w:val="right" w:leader="dot" w:pos="11896"/>
                  </w:tabs>
                  <w:jc w:val="both"/>
                  <w:rPr>
                    <w:rFonts w:ascii="Arial" w:hAnsi="Arial" w:cs="Arial"/>
                    <w:noProof/>
                  </w:rPr>
                </w:pPr>
                <w:hyperlink w:anchor="_Toc223961433" w:history="1">
                  <w:r w:rsidRPr="001F131A">
                    <w:rPr>
                      <w:rStyle w:val="Hyperlink"/>
                      <w:rFonts w:ascii="Arial" w:hAnsi="Arial" w:cs="Arial"/>
                      <w:noProof/>
                    </w:rPr>
                    <w:t>7.2  ESG Performance &amp; Regulatory Compliance</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_Toc223961433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15</w:t>
                  </w:r>
                  <w:r w:rsidRPr="001F131A">
                    <w:rPr>
                      <w:rFonts w:ascii="Arial" w:hAnsi="Arial" w:cs="Arial"/>
                      <w:noProof/>
                      <w:webHidden/>
                    </w:rPr>
                    <w:fldChar w:fldCharType="end"/>
                  </w:r>
                </w:hyperlink>
              </w:p>
              <w:p w14:paraId="110184AD" w14:textId="5607298B" w:rsidR="00FD329D" w:rsidRPr="001F131A" w:rsidRDefault="00FD329D" w:rsidP="00FD2275">
                <w:pPr>
                  <w:pStyle w:val="TOC2"/>
                  <w:tabs>
                    <w:tab w:val="right" w:leader="dot" w:pos="11896"/>
                  </w:tabs>
                  <w:jc w:val="both"/>
                  <w:rPr>
                    <w:rFonts w:ascii="Arial" w:hAnsi="Arial" w:cs="Arial"/>
                    <w:noProof/>
                  </w:rPr>
                </w:pPr>
                <w:hyperlink w:anchor="_Toc223961434" w:history="1">
                  <w:r w:rsidRPr="001F131A">
                    <w:rPr>
                      <w:rStyle w:val="Hyperlink"/>
                      <w:rFonts w:ascii="Arial" w:hAnsi="Arial" w:cs="Arial"/>
                      <w:noProof/>
                    </w:rPr>
                    <w:t>7.3  Ethical Considerations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_Toc223961434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15</w:t>
                  </w:r>
                  <w:r w:rsidRPr="001F131A">
                    <w:rPr>
                      <w:rFonts w:ascii="Arial" w:hAnsi="Arial" w:cs="Arial"/>
                      <w:noProof/>
                      <w:webHidden/>
                    </w:rPr>
                    <w:fldChar w:fldCharType="end"/>
                  </w:r>
                </w:hyperlink>
              </w:p>
              <w:p w14:paraId="024B899D" w14:textId="64A61E0A" w:rsidR="00FD329D" w:rsidRPr="001F131A" w:rsidRDefault="00FD329D" w:rsidP="00FD2275">
                <w:pPr>
                  <w:pStyle w:val="TOC2"/>
                  <w:tabs>
                    <w:tab w:val="right" w:leader="dot" w:pos="11896"/>
                  </w:tabs>
                  <w:jc w:val="both"/>
                  <w:rPr>
                    <w:rFonts w:ascii="Arial" w:hAnsi="Arial" w:cs="Arial"/>
                    <w:noProof/>
                  </w:rPr>
                </w:pPr>
                <w:hyperlink w:anchor="_Toc223961435" w:history="1">
                  <w:r w:rsidRPr="001F131A">
                    <w:rPr>
                      <w:rStyle w:val="Hyperlink"/>
                      <w:rFonts w:ascii="Arial" w:hAnsi="Arial" w:cs="Arial"/>
                      <w:noProof/>
                    </w:rPr>
                    <w:t>7.4  Recommendations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_Toc223961435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16</w:t>
                  </w:r>
                  <w:r w:rsidRPr="001F131A">
                    <w:rPr>
                      <w:rFonts w:ascii="Arial" w:hAnsi="Arial" w:cs="Arial"/>
                      <w:noProof/>
                      <w:webHidden/>
                    </w:rPr>
                    <w:fldChar w:fldCharType="end"/>
                  </w:r>
                </w:hyperlink>
              </w:p>
              <w:p w14:paraId="26EAF852" w14:textId="1E218AFE" w:rsidR="00FD329D" w:rsidRPr="001F131A" w:rsidRDefault="00FD329D" w:rsidP="00FD2275">
                <w:pPr>
                  <w:pStyle w:val="TOC1"/>
                  <w:tabs>
                    <w:tab w:val="right" w:leader="dot" w:pos="11896"/>
                  </w:tabs>
                  <w:jc w:val="both"/>
                  <w:rPr>
                    <w:rFonts w:ascii="Arial" w:hAnsi="Arial" w:cs="Arial"/>
                    <w:noProof/>
                  </w:rPr>
                </w:pPr>
                <w:hyperlink w:anchor="_Toc223961436" w:history="1">
                  <w:r w:rsidRPr="001F131A">
                    <w:rPr>
                      <w:rStyle w:val="Hyperlink"/>
                      <w:rFonts w:ascii="Arial" w:hAnsi="Arial" w:cs="Arial"/>
                      <w:noProof/>
                    </w:rPr>
                    <w:t>8.  Conclusion</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_Toc223961436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18</w:t>
                  </w:r>
                  <w:r w:rsidRPr="001F131A">
                    <w:rPr>
                      <w:rFonts w:ascii="Arial" w:hAnsi="Arial" w:cs="Arial"/>
                      <w:noProof/>
                      <w:webHidden/>
                    </w:rPr>
                    <w:fldChar w:fldCharType="end"/>
                  </w:r>
                </w:hyperlink>
              </w:p>
              <w:p w14:paraId="1F4522AE" w14:textId="689B3336" w:rsidR="00FD329D" w:rsidRPr="001F131A" w:rsidRDefault="00FD329D" w:rsidP="00FD2275">
                <w:pPr>
                  <w:pStyle w:val="TOC1"/>
                  <w:tabs>
                    <w:tab w:val="right" w:leader="dot" w:pos="11896"/>
                  </w:tabs>
                  <w:jc w:val="both"/>
                  <w:rPr>
                    <w:rFonts w:ascii="Arial" w:hAnsi="Arial" w:cs="Arial"/>
                    <w:noProof/>
                  </w:rPr>
                </w:pPr>
                <w:hyperlink w:anchor="_Toc223961437" w:history="1">
                  <w:r w:rsidRPr="001F131A">
                    <w:rPr>
                      <w:rStyle w:val="Hyperlink"/>
                      <w:rFonts w:ascii="Arial" w:hAnsi="Arial" w:cs="Arial"/>
                      <w:noProof/>
                    </w:rPr>
                    <w:t>References</w:t>
                  </w:r>
                  <w:r w:rsidRPr="001F131A">
                    <w:rPr>
                      <w:rFonts w:ascii="Arial" w:hAnsi="Arial" w:cs="Arial"/>
                      <w:noProof/>
                      <w:webHidden/>
                    </w:rPr>
                    <w:tab/>
                  </w:r>
                  <w:r w:rsidRPr="001F131A">
                    <w:rPr>
                      <w:rFonts w:ascii="Arial" w:hAnsi="Arial" w:cs="Arial"/>
                      <w:noProof/>
                      <w:webHidden/>
                    </w:rPr>
                    <w:fldChar w:fldCharType="begin"/>
                  </w:r>
                  <w:r w:rsidRPr="001F131A">
                    <w:rPr>
                      <w:rFonts w:ascii="Arial" w:hAnsi="Arial" w:cs="Arial"/>
                      <w:noProof/>
                      <w:webHidden/>
                    </w:rPr>
                    <w:instrText xml:space="preserve"> PAGEREF _Toc223961437 \h </w:instrText>
                  </w:r>
                  <w:r w:rsidRPr="001F131A">
                    <w:rPr>
                      <w:rFonts w:ascii="Arial" w:hAnsi="Arial" w:cs="Arial"/>
                      <w:noProof/>
                      <w:webHidden/>
                    </w:rPr>
                  </w:r>
                  <w:r w:rsidRPr="001F131A">
                    <w:rPr>
                      <w:rFonts w:ascii="Arial" w:hAnsi="Arial" w:cs="Arial"/>
                      <w:noProof/>
                      <w:webHidden/>
                    </w:rPr>
                    <w:fldChar w:fldCharType="separate"/>
                  </w:r>
                  <w:r w:rsidRPr="001F131A">
                    <w:rPr>
                      <w:rFonts w:ascii="Arial" w:hAnsi="Arial" w:cs="Arial"/>
                      <w:noProof/>
                      <w:webHidden/>
                    </w:rPr>
                    <w:t>19</w:t>
                  </w:r>
                  <w:r w:rsidRPr="001F131A">
                    <w:rPr>
                      <w:rFonts w:ascii="Arial" w:hAnsi="Arial" w:cs="Arial"/>
                      <w:noProof/>
                      <w:webHidden/>
                    </w:rPr>
                    <w:fldChar w:fldCharType="end"/>
                  </w:r>
                </w:hyperlink>
              </w:p>
              <w:p w14:paraId="2AF718F7" w14:textId="77777777" w:rsidR="00FD329D" w:rsidRDefault="00FD329D" w:rsidP="00FD2275">
                <w:pPr>
                  <w:jc w:val="both"/>
                  <w:rPr>
                    <w:b/>
                    <w:bCs/>
                    <w:noProof/>
                  </w:rPr>
                </w:pPr>
                <w:r>
                  <w:rPr>
                    <w:b/>
                    <w:bCs/>
                    <w:noProof/>
                  </w:rPr>
                  <w:fldChar w:fldCharType="end"/>
                </w:r>
              </w:p>
              <w:p w14:paraId="7C5C8B66" w14:textId="5324199A" w:rsidR="00FD329D" w:rsidRPr="00FD329D" w:rsidRDefault="00FD329D" w:rsidP="00FD2275">
                <w:pPr>
                  <w:jc w:val="both"/>
                </w:pPr>
              </w:p>
            </w:sdtContent>
          </w:sdt>
          <w:p w14:paraId="4FCC8824" w14:textId="77777777" w:rsidR="00FD329D" w:rsidRDefault="00FD329D" w:rsidP="00FD2275">
            <w:pPr>
              <w:spacing w:after="40" w:line="360" w:lineRule="auto"/>
              <w:jc w:val="both"/>
              <w:rPr>
                <w:rFonts w:ascii="Arial" w:hAnsi="Arial" w:cs="Arial"/>
                <w:b/>
                <w:bCs/>
                <w:color w:val="B4823C"/>
                <w:sz w:val="24"/>
                <w:szCs w:val="24"/>
              </w:rPr>
            </w:pPr>
          </w:p>
          <w:p w14:paraId="5A09A5E9" w14:textId="055CAFAF" w:rsidR="00C54343" w:rsidRPr="00DC4981" w:rsidRDefault="00000000" w:rsidP="00FD2275">
            <w:pPr>
              <w:spacing w:after="40" w:line="360" w:lineRule="auto"/>
              <w:jc w:val="both"/>
              <w:rPr>
                <w:rFonts w:ascii="Arial" w:hAnsi="Arial" w:cs="Arial"/>
                <w:sz w:val="28"/>
                <w:szCs w:val="28"/>
              </w:rPr>
            </w:pPr>
            <w:r w:rsidRPr="00DC4981">
              <w:rPr>
                <w:rFonts w:ascii="Arial" w:hAnsi="Arial" w:cs="Arial"/>
                <w:b/>
                <w:bCs/>
                <w:color w:val="B4823C"/>
                <w:sz w:val="24"/>
                <w:szCs w:val="24"/>
              </w:rPr>
              <w:t>EXECUTIVE SUMMARY</w:t>
            </w:r>
          </w:p>
          <w:p w14:paraId="3F2EB196" w14:textId="77777777" w:rsidR="00C54343" w:rsidRDefault="00C54343" w:rsidP="00FD2275">
            <w:pPr>
              <w:pBdr>
                <w:bottom w:val="single" w:sz="2" w:space="1" w:color="E8E4DC"/>
              </w:pBdr>
              <w:spacing w:after="200" w:line="360" w:lineRule="auto"/>
              <w:jc w:val="both"/>
            </w:pPr>
          </w:p>
          <w:p w14:paraId="6A3D1496" w14:textId="77777777" w:rsidR="00DC4981" w:rsidRPr="00FD2275" w:rsidRDefault="00DC4981" w:rsidP="00FD2275">
            <w:pPr>
              <w:spacing w:before="80" w:after="120" w:line="360" w:lineRule="auto"/>
              <w:jc w:val="both"/>
              <w:rPr>
                <w:rFonts w:ascii="Arial" w:hAnsi="Arial" w:cs="Arial"/>
              </w:rPr>
            </w:pPr>
            <w:r w:rsidRPr="00FD2275">
              <w:rPr>
                <w:rFonts w:ascii="Arial" w:hAnsi="Arial" w:cs="Arial"/>
              </w:rPr>
              <w:t>This​‍​‌‍​‍‌ report reviews the stakeholder engagement strategy for the launch of StaySmart+, a premium AI-driven guest experience service developed by Langham Hotels International (LHI). The new service combines personalised travel planning, AI-powered guest interaction tools, and sustainability-focused amenities and is being rolled out globally over six months. Being the Project Manager, I outline in the report the main internal and external stakeholders, discuss the use of the stakeholder engagement models, and analyse benefits, challenges as well as ethical considerations in handling stakeholders of a global hospitality brand.</w:t>
            </w:r>
          </w:p>
          <w:p w14:paraId="49935C8E" w14:textId="6B7CCE21" w:rsidR="00C54343" w:rsidRPr="00DC4981" w:rsidRDefault="00C54343" w:rsidP="00FD2275">
            <w:pPr>
              <w:spacing w:before="60" w:after="120" w:line="360" w:lineRule="auto"/>
              <w:jc w:val="both"/>
              <w:rPr>
                <w:rFonts w:ascii="Arial" w:hAnsi="Arial" w:cs="Arial"/>
              </w:rPr>
            </w:pPr>
          </w:p>
          <w:tbl>
            <w:tblPr>
              <w:tblW w:w="10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25"/>
              <w:gridCol w:w="2525"/>
              <w:gridCol w:w="2525"/>
              <w:gridCol w:w="2525"/>
            </w:tblGrid>
            <w:tr w:rsidR="00C54343" w14:paraId="67A3065F" w14:textId="77777777">
              <w:tc>
                <w:tcPr>
                  <w:tcW w:w="2525" w:type="dxa"/>
                  <w:tcBorders>
                    <w:top w:val="single" w:sz="1" w:space="0" w:color="C4A050"/>
                    <w:left w:val="single" w:sz="1" w:space="0" w:color="C4A050"/>
                    <w:bottom w:val="single" w:sz="1" w:space="0" w:color="C4A050"/>
                    <w:right w:val="single" w:sz="1" w:space="0" w:color="C4A050"/>
                  </w:tcBorders>
                  <w:shd w:val="clear" w:color="auto" w:fill="12182A"/>
                  <w:tcMar>
                    <w:top w:w="160" w:type="dxa"/>
                    <w:left w:w="120" w:type="dxa"/>
                    <w:bottom w:w="160" w:type="dxa"/>
                    <w:right w:w="120" w:type="dxa"/>
                  </w:tcMar>
                </w:tcPr>
                <w:p w14:paraId="35527D9E" w14:textId="77777777" w:rsidR="00C54343" w:rsidRPr="00FD329D" w:rsidRDefault="00000000" w:rsidP="00FD2275">
                  <w:pPr>
                    <w:spacing w:before="40" w:after="20" w:line="360" w:lineRule="auto"/>
                    <w:jc w:val="both"/>
                    <w:rPr>
                      <w:rFonts w:ascii="Arial" w:hAnsi="Arial" w:cs="Arial"/>
                    </w:rPr>
                  </w:pPr>
                  <w:r w:rsidRPr="00FD329D">
                    <w:rPr>
                      <w:rFonts w:ascii="Arial" w:hAnsi="Arial" w:cs="Arial"/>
                      <w:b/>
                      <w:bCs/>
                      <w:color w:val="C4A050"/>
                      <w:sz w:val="52"/>
                      <w:szCs w:val="52"/>
                    </w:rPr>
                    <w:t>30+</w:t>
                  </w:r>
                </w:p>
                <w:p w14:paraId="38A9DB8F" w14:textId="77777777" w:rsidR="00C54343" w:rsidRPr="00FD329D" w:rsidRDefault="00000000" w:rsidP="00FD2275">
                  <w:pPr>
                    <w:spacing w:after="80" w:line="360" w:lineRule="auto"/>
                    <w:jc w:val="both"/>
                    <w:rPr>
                      <w:rFonts w:ascii="Arial" w:hAnsi="Arial" w:cs="Arial"/>
                    </w:rPr>
                  </w:pPr>
                  <w:r w:rsidRPr="00FD329D">
                    <w:rPr>
                      <w:rFonts w:ascii="Arial" w:hAnsi="Arial" w:cs="Arial"/>
                      <w:color w:val="FFFFFF"/>
                      <w:sz w:val="18"/>
                      <w:szCs w:val="18"/>
                    </w:rPr>
                    <w:t>Properties Worldwide</w:t>
                  </w:r>
                </w:p>
              </w:tc>
              <w:tc>
                <w:tcPr>
                  <w:tcW w:w="2525" w:type="dxa"/>
                  <w:tcBorders>
                    <w:top w:val="single" w:sz="1" w:space="0" w:color="C4A050"/>
                    <w:left w:val="single" w:sz="1" w:space="0" w:color="C4A050"/>
                    <w:bottom w:val="single" w:sz="1" w:space="0" w:color="C4A050"/>
                    <w:right w:val="single" w:sz="1" w:space="0" w:color="C4A050"/>
                  </w:tcBorders>
                  <w:shd w:val="clear" w:color="auto" w:fill="1E2D46"/>
                  <w:tcMar>
                    <w:top w:w="160" w:type="dxa"/>
                    <w:left w:w="120" w:type="dxa"/>
                    <w:bottom w:w="160" w:type="dxa"/>
                    <w:right w:w="120" w:type="dxa"/>
                  </w:tcMar>
                </w:tcPr>
                <w:p w14:paraId="6758C986" w14:textId="77777777" w:rsidR="00C54343" w:rsidRPr="00FD329D" w:rsidRDefault="00000000" w:rsidP="00FD2275">
                  <w:pPr>
                    <w:spacing w:before="40" w:after="20" w:line="360" w:lineRule="auto"/>
                    <w:jc w:val="both"/>
                    <w:rPr>
                      <w:rFonts w:ascii="Arial" w:hAnsi="Arial" w:cs="Arial"/>
                    </w:rPr>
                  </w:pPr>
                  <w:r w:rsidRPr="00FD329D">
                    <w:rPr>
                      <w:rFonts w:ascii="Arial" w:hAnsi="Arial" w:cs="Arial"/>
                      <w:b/>
                      <w:bCs/>
                      <w:color w:val="C4A050"/>
                      <w:sz w:val="52"/>
                      <w:szCs w:val="52"/>
                    </w:rPr>
                    <w:t>14</w:t>
                  </w:r>
                </w:p>
                <w:p w14:paraId="54380BF2" w14:textId="77777777" w:rsidR="00C54343" w:rsidRPr="00FD329D" w:rsidRDefault="00000000" w:rsidP="00FD2275">
                  <w:pPr>
                    <w:spacing w:after="80" w:line="360" w:lineRule="auto"/>
                    <w:jc w:val="both"/>
                    <w:rPr>
                      <w:rFonts w:ascii="Arial" w:hAnsi="Arial" w:cs="Arial"/>
                    </w:rPr>
                  </w:pPr>
                  <w:r w:rsidRPr="00FD329D">
                    <w:rPr>
                      <w:rFonts w:ascii="Arial" w:hAnsi="Arial" w:cs="Arial"/>
                      <w:color w:val="FFFFFF"/>
                      <w:sz w:val="18"/>
                      <w:szCs w:val="18"/>
                    </w:rPr>
                    <w:t>Key Stakeholder Groups</w:t>
                  </w:r>
                </w:p>
              </w:tc>
              <w:tc>
                <w:tcPr>
                  <w:tcW w:w="2525" w:type="dxa"/>
                  <w:tcBorders>
                    <w:top w:val="single" w:sz="1" w:space="0" w:color="C4A050"/>
                    <w:left w:val="single" w:sz="1" w:space="0" w:color="C4A050"/>
                    <w:bottom w:val="single" w:sz="1" w:space="0" w:color="C4A050"/>
                    <w:right w:val="single" w:sz="1" w:space="0" w:color="C4A050"/>
                  </w:tcBorders>
                  <w:shd w:val="clear" w:color="auto" w:fill="1E7070"/>
                  <w:tcMar>
                    <w:top w:w="160" w:type="dxa"/>
                    <w:left w:w="120" w:type="dxa"/>
                    <w:bottom w:w="160" w:type="dxa"/>
                    <w:right w:w="120" w:type="dxa"/>
                  </w:tcMar>
                </w:tcPr>
                <w:p w14:paraId="052F1CD5" w14:textId="77777777" w:rsidR="00C54343" w:rsidRPr="00FD329D" w:rsidRDefault="00000000" w:rsidP="00FD2275">
                  <w:pPr>
                    <w:spacing w:before="40" w:after="20" w:line="360" w:lineRule="auto"/>
                    <w:jc w:val="both"/>
                    <w:rPr>
                      <w:rFonts w:ascii="Arial" w:hAnsi="Arial" w:cs="Arial"/>
                    </w:rPr>
                  </w:pPr>
                  <w:r w:rsidRPr="00FD329D">
                    <w:rPr>
                      <w:rFonts w:ascii="Arial" w:hAnsi="Arial" w:cs="Arial"/>
                      <w:b/>
                      <w:bCs/>
                      <w:color w:val="C4A050"/>
                      <w:sz w:val="52"/>
                      <w:szCs w:val="52"/>
                    </w:rPr>
                    <w:t>6</w:t>
                  </w:r>
                </w:p>
                <w:p w14:paraId="7B71C9A7" w14:textId="77777777" w:rsidR="00C54343" w:rsidRPr="00FD329D" w:rsidRDefault="00000000" w:rsidP="00FD2275">
                  <w:pPr>
                    <w:spacing w:after="80" w:line="360" w:lineRule="auto"/>
                    <w:jc w:val="both"/>
                    <w:rPr>
                      <w:rFonts w:ascii="Arial" w:hAnsi="Arial" w:cs="Arial"/>
                    </w:rPr>
                  </w:pPr>
                  <w:r w:rsidRPr="00FD329D">
                    <w:rPr>
                      <w:rFonts w:ascii="Arial" w:hAnsi="Arial" w:cs="Arial"/>
                      <w:color w:val="FFFFFF"/>
                      <w:sz w:val="18"/>
                      <w:szCs w:val="18"/>
                    </w:rPr>
                    <w:t>Month Rollout Timeline</w:t>
                  </w:r>
                </w:p>
              </w:tc>
              <w:tc>
                <w:tcPr>
                  <w:tcW w:w="2525" w:type="dxa"/>
                  <w:tcBorders>
                    <w:top w:val="single" w:sz="1" w:space="0" w:color="C4A050"/>
                    <w:left w:val="single" w:sz="1" w:space="0" w:color="C4A050"/>
                    <w:bottom w:val="single" w:sz="1" w:space="0" w:color="C4A050"/>
                    <w:right w:val="single" w:sz="1" w:space="0" w:color="C4A050"/>
                  </w:tcBorders>
                  <w:shd w:val="clear" w:color="auto" w:fill="1A5C2E"/>
                  <w:tcMar>
                    <w:top w:w="160" w:type="dxa"/>
                    <w:left w:w="120" w:type="dxa"/>
                    <w:bottom w:w="160" w:type="dxa"/>
                    <w:right w:w="120" w:type="dxa"/>
                  </w:tcMar>
                </w:tcPr>
                <w:p w14:paraId="5752074C" w14:textId="77777777" w:rsidR="00C54343" w:rsidRPr="00FD329D" w:rsidRDefault="00000000" w:rsidP="00FD2275">
                  <w:pPr>
                    <w:spacing w:before="40" w:after="20" w:line="360" w:lineRule="auto"/>
                    <w:jc w:val="both"/>
                    <w:rPr>
                      <w:rFonts w:ascii="Arial" w:hAnsi="Arial" w:cs="Arial"/>
                    </w:rPr>
                  </w:pPr>
                  <w:r w:rsidRPr="00FD329D">
                    <w:rPr>
                      <w:rFonts w:ascii="Arial" w:hAnsi="Arial" w:cs="Arial"/>
                      <w:b/>
                      <w:bCs/>
                      <w:color w:val="C4A050"/>
                      <w:sz w:val="52"/>
                      <w:szCs w:val="52"/>
                    </w:rPr>
                    <w:t>4C's</w:t>
                  </w:r>
                </w:p>
                <w:p w14:paraId="00EEE3BA" w14:textId="77777777" w:rsidR="00C54343" w:rsidRPr="00FD329D" w:rsidRDefault="00000000" w:rsidP="00FD2275">
                  <w:pPr>
                    <w:spacing w:after="80" w:line="360" w:lineRule="auto"/>
                    <w:jc w:val="both"/>
                    <w:rPr>
                      <w:rFonts w:ascii="Arial" w:hAnsi="Arial" w:cs="Arial"/>
                    </w:rPr>
                  </w:pPr>
                  <w:r w:rsidRPr="00FD329D">
                    <w:rPr>
                      <w:rFonts w:ascii="Arial" w:hAnsi="Arial" w:cs="Arial"/>
                      <w:color w:val="FFFFFF"/>
                      <w:sz w:val="18"/>
                      <w:szCs w:val="18"/>
                    </w:rPr>
                    <w:t>Engagement Framework</w:t>
                  </w:r>
                </w:p>
              </w:tc>
            </w:tr>
          </w:tbl>
          <w:p w14:paraId="32BC131E" w14:textId="5474D716" w:rsidR="00C54343" w:rsidRDefault="00C54343" w:rsidP="00FD2275">
            <w:pPr>
              <w:spacing w:after="20" w:line="360" w:lineRule="auto"/>
              <w:jc w:val="both"/>
            </w:pPr>
          </w:p>
        </w:tc>
      </w:tr>
    </w:tbl>
    <w:p w14:paraId="6049468E" w14:textId="77777777" w:rsidR="00C54343" w:rsidRDefault="00C54343" w:rsidP="00FD2275">
      <w:pPr>
        <w:jc w:val="both"/>
        <w:sectPr w:rsidR="00C54343">
          <w:pgSz w:w="11906" w:h="16838"/>
          <w:pgMar w:top="0" w:right="0" w:bottom="0" w:left="0" w:header="708" w:footer="708" w:gutter="0"/>
          <w:cols w:space="720"/>
          <w:docGrid w:linePitch="360"/>
        </w:sectPr>
      </w:pPr>
    </w:p>
    <w:p w14:paraId="76249C9C" w14:textId="77777777" w:rsidR="00C54343" w:rsidRDefault="00000000" w:rsidP="00FD2275">
      <w:pPr>
        <w:spacing w:before="80" w:after="80" w:line="360" w:lineRule="auto"/>
        <w:jc w:val="both"/>
      </w:pPr>
      <w:r>
        <w:rPr>
          <w:noProof/>
        </w:rPr>
        <w:lastRenderedPageBreak/>
        <w:drawing>
          <wp:inline distT="0" distB="0" distL="0" distR="0" wp14:anchorId="41FA7368" wp14:editId="33052B27">
            <wp:extent cx="5886450" cy="304800"/>
            <wp:effectExtent l="0" t="0" r="0" b="0"/>
            <wp:docPr id="1" name="bar_intro" descr="bar_intro" title="bar_int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8">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75990381" w14:textId="77777777" w:rsidR="00C54343" w:rsidRPr="00DC4981" w:rsidRDefault="00000000" w:rsidP="00FD2275">
      <w:pPr>
        <w:pStyle w:val="Heading1"/>
        <w:spacing w:before="120" w:after="80" w:line="360" w:lineRule="auto"/>
        <w:jc w:val="both"/>
        <w:rPr>
          <w:rFonts w:ascii="Arial" w:hAnsi="Arial" w:cs="Arial"/>
          <w:sz w:val="28"/>
          <w:szCs w:val="28"/>
        </w:rPr>
      </w:pPr>
      <w:bookmarkStart w:id="0" w:name="_Toc223961407"/>
      <w:r w:rsidRPr="00DC4981">
        <w:rPr>
          <w:rFonts w:ascii="Arial" w:hAnsi="Arial" w:cs="Arial"/>
          <w:sz w:val="28"/>
          <w:szCs w:val="28"/>
        </w:rPr>
        <w:t>1.  Company Introduction</w:t>
      </w:r>
      <w:bookmarkEnd w:id="0"/>
    </w:p>
    <w:p w14:paraId="0A286F5E" w14:textId="77777777" w:rsidR="00C54343" w:rsidRDefault="00C54343" w:rsidP="00FD2275">
      <w:pPr>
        <w:pBdr>
          <w:bottom w:val="single" w:sz="6" w:space="1" w:color="C4A050"/>
        </w:pBdr>
        <w:spacing w:before="80" w:after="80" w:line="360" w:lineRule="auto"/>
        <w:jc w:val="both"/>
      </w:pPr>
    </w:p>
    <w:p w14:paraId="73105E2A" w14:textId="77777777" w:rsidR="00DC4981" w:rsidRPr="00DC4981" w:rsidRDefault="00DC4981" w:rsidP="00FD2275">
      <w:pPr>
        <w:spacing w:before="80" w:after="80" w:line="360" w:lineRule="auto"/>
        <w:jc w:val="both"/>
        <w:rPr>
          <w:rFonts w:ascii="Arial" w:hAnsi="Arial" w:cs="Arial"/>
          <w:color w:val="12182A"/>
        </w:rPr>
      </w:pPr>
      <w:r w:rsidRPr="00DC4981">
        <w:rPr>
          <w:rFonts w:ascii="Arial" w:hAnsi="Arial" w:cs="Arial"/>
          <w:color w:val="12182A"/>
        </w:rPr>
        <w:t xml:space="preserve">Langham Hotels International (LHI) is a leading luxury hospitality company known worldwide. Its main office is in Hong Kong. The Langham London, its European flagship property, </w:t>
      </w:r>
      <w:proofErr w:type="gramStart"/>
      <w:r w:rsidRPr="00DC4981">
        <w:rPr>
          <w:rFonts w:ascii="Arial" w:hAnsi="Arial" w:cs="Arial"/>
          <w:color w:val="12182A"/>
        </w:rPr>
        <w:t>is located in</w:t>
      </w:r>
      <w:proofErr w:type="gramEnd"/>
      <w:r w:rsidRPr="00DC4981">
        <w:rPr>
          <w:rFonts w:ascii="Arial" w:hAnsi="Arial" w:cs="Arial"/>
          <w:color w:val="12182A"/>
        </w:rPr>
        <w:t xml:space="preserve"> Mayfair. LHI is the industry descendent of the original 1865 Grand Hotel, which was the first grand hotel in Europe. LHI nowadays manages a portfolio of more than 30 hotels in over 20 countries, including London, Birmingham, New York, Sydney, Shanghai, and Dubai (Langham Hospitality Group, 2024).</w:t>
      </w:r>
    </w:p>
    <w:p w14:paraId="55F95F24" w14:textId="77777777" w:rsidR="00DC4981" w:rsidRPr="00DC4981" w:rsidRDefault="00DC4981" w:rsidP="00FD2275">
      <w:pPr>
        <w:spacing w:before="80" w:after="80" w:line="360" w:lineRule="auto"/>
        <w:jc w:val="both"/>
        <w:rPr>
          <w:rFonts w:ascii="Arial" w:hAnsi="Arial" w:cs="Arial"/>
          <w:color w:val="12182A"/>
        </w:rPr>
      </w:pPr>
      <w:r w:rsidRPr="00DC4981">
        <w:rPr>
          <w:rFonts w:ascii="Arial" w:hAnsi="Arial" w:cs="Arial"/>
          <w:color w:val="12182A"/>
        </w:rPr>
        <w:t>In the ultra-luxury market segment, LHI is the only one outstanding accommodation provider, also offering award-winning dining facilities, world-class spa facilities, and tailor-made events. Its 'Legendary Hospitality' philosophy puts relationship depth ahead of transactional service delivery, which, together with the Langham Ideals loyalty programme, forms the personalisation infrastructure on which StaySmart+ will be based.</w:t>
      </w:r>
    </w:p>
    <w:p w14:paraId="7860B403" w14:textId="5AC3BD45" w:rsidR="00C54343" w:rsidRPr="00DC4981" w:rsidRDefault="00DC4981" w:rsidP="00FD2275">
      <w:pPr>
        <w:spacing w:before="80" w:after="80" w:line="360" w:lineRule="auto"/>
        <w:jc w:val="both"/>
        <w:rPr>
          <w:rFonts w:ascii="Arial" w:hAnsi="Arial" w:cs="Arial"/>
        </w:rPr>
      </w:pPr>
      <w:r w:rsidRPr="00DC4981">
        <w:rPr>
          <w:rFonts w:ascii="Arial" w:hAnsi="Arial" w:cs="Arial"/>
          <w:color w:val="12182A"/>
        </w:rPr>
        <w:t>StaySmart+ focuses on delivering the new-age guest experience (based on AI-driven customer interaction), personalising travel itineraries and embedding sustainability-conscious practices in accommodation and lifestyle choices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9160"/>
      </w:tblGrid>
      <w:tr w:rsidR="00C54343" w14:paraId="76DBA908" w14:textId="77777777">
        <w:tc>
          <w:tcPr>
            <w:tcW w:w="200" w:type="dxa"/>
            <w:tcBorders>
              <w:top w:val="none" w:sz="0" w:space="0" w:color="FFFFFF"/>
              <w:left w:val="none" w:sz="0" w:space="0" w:color="FFFFFF"/>
              <w:bottom w:val="none" w:sz="0" w:space="0" w:color="FFFFFF"/>
              <w:right w:val="none" w:sz="0" w:space="0" w:color="FFFFFF"/>
            </w:tcBorders>
            <w:shd w:val="clear" w:color="auto" w:fill="C4A050"/>
            <w:tcMar>
              <w:top w:w="0" w:type="dxa"/>
              <w:left w:w="0" w:type="dxa"/>
              <w:bottom w:w="0" w:type="dxa"/>
              <w:right w:w="0" w:type="dxa"/>
            </w:tcMar>
          </w:tcPr>
          <w:p w14:paraId="30E6D3FF" w14:textId="77777777" w:rsidR="00C54343" w:rsidRDefault="00C54343" w:rsidP="00FD2275">
            <w:pPr>
              <w:spacing w:before="4" w:after="4"/>
              <w:jc w:val="both"/>
            </w:pPr>
          </w:p>
        </w:tc>
        <w:tc>
          <w:tcPr>
            <w:tcW w:w="9160" w:type="dxa"/>
            <w:tcBorders>
              <w:top w:val="none" w:sz="0" w:space="0" w:color="FFFFFF"/>
              <w:left w:val="none" w:sz="0" w:space="0" w:color="FFFFFF"/>
              <w:bottom w:val="none" w:sz="0" w:space="0" w:color="FFFFFF"/>
              <w:right w:val="none" w:sz="0" w:space="0" w:color="FFFFFF"/>
            </w:tcBorders>
            <w:shd w:val="clear" w:color="auto" w:fill="F5F0E8"/>
            <w:tcMar>
              <w:top w:w="160" w:type="dxa"/>
              <w:left w:w="280" w:type="dxa"/>
              <w:bottom w:w="160" w:type="dxa"/>
              <w:right w:w="160" w:type="dxa"/>
            </w:tcMar>
          </w:tcPr>
          <w:p w14:paraId="225FAFAF" w14:textId="77777777" w:rsidR="00C54343" w:rsidRPr="00DC4981" w:rsidRDefault="00000000" w:rsidP="00FD2275">
            <w:pPr>
              <w:spacing w:before="60" w:after="40" w:line="360" w:lineRule="auto"/>
              <w:jc w:val="both"/>
              <w:rPr>
                <w:rFonts w:ascii="Arial" w:hAnsi="Arial" w:cs="Arial"/>
                <w:sz w:val="18"/>
                <w:szCs w:val="18"/>
              </w:rPr>
            </w:pPr>
            <w:r w:rsidRPr="00DC4981">
              <w:rPr>
                <w:rFonts w:ascii="Arial" w:hAnsi="Arial" w:cs="Arial"/>
                <w:i/>
                <w:iCs/>
                <w:color w:val="1E2D46"/>
                <w:sz w:val="20"/>
                <w:szCs w:val="20"/>
              </w:rPr>
              <w:t>"Organisations that treat stakeholder relationships as assets rather than obligations build the relational equity necessary to thrive in dynamic and competitive environments."</w:t>
            </w:r>
          </w:p>
          <w:p w14:paraId="4BE3A271" w14:textId="77777777" w:rsidR="00C54343" w:rsidRPr="00DC4981" w:rsidRDefault="00000000" w:rsidP="00FD2275">
            <w:pPr>
              <w:spacing w:before="20" w:after="60" w:line="360" w:lineRule="auto"/>
              <w:jc w:val="both"/>
              <w:rPr>
                <w:rFonts w:ascii="Arial" w:hAnsi="Arial" w:cs="Arial"/>
              </w:rPr>
            </w:pPr>
            <w:r w:rsidRPr="00DC4981">
              <w:rPr>
                <w:rFonts w:ascii="Arial" w:hAnsi="Arial" w:cs="Arial"/>
                <w:color w:val="B4823C"/>
                <w:sz w:val="19"/>
                <w:szCs w:val="19"/>
              </w:rPr>
              <w:t>— Ashcroft (2017, p.12)</w:t>
            </w:r>
          </w:p>
        </w:tc>
      </w:tr>
    </w:tbl>
    <w:p w14:paraId="63F08BE5" w14:textId="77777777" w:rsidR="00C54343" w:rsidRDefault="00C54343" w:rsidP="00FD2275">
      <w:pPr>
        <w:spacing w:before="200" w:after="200"/>
        <w:jc w:val="both"/>
      </w:pPr>
    </w:p>
    <w:p w14:paraId="1E33B0ED" w14:textId="77777777" w:rsidR="00C54343" w:rsidRDefault="00000000" w:rsidP="00FD2275">
      <w:pPr>
        <w:jc w:val="both"/>
      </w:pPr>
      <w:r>
        <w:br w:type="page"/>
      </w:r>
    </w:p>
    <w:p w14:paraId="40173AAE" w14:textId="77777777" w:rsidR="00C54343" w:rsidRDefault="00000000" w:rsidP="00FD2275">
      <w:pPr>
        <w:spacing w:before="80" w:after="80" w:line="360" w:lineRule="auto"/>
        <w:jc w:val="both"/>
      </w:pPr>
      <w:r>
        <w:rPr>
          <w:noProof/>
        </w:rPr>
        <w:lastRenderedPageBreak/>
        <w:drawing>
          <wp:inline distT="0" distB="0" distL="0" distR="0" wp14:anchorId="2E44C605" wp14:editId="7FC2DEE8">
            <wp:extent cx="5886450" cy="304800"/>
            <wp:effectExtent l="0" t="0" r="0" b="0"/>
            <wp:docPr id="1445551578" name="bar_swot" descr="bar_swot" title="bar_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9">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56330318" w14:textId="77777777" w:rsidR="00C54343" w:rsidRPr="00DC4981" w:rsidRDefault="00000000" w:rsidP="00FD2275">
      <w:pPr>
        <w:pStyle w:val="Heading1"/>
        <w:spacing w:before="120" w:after="80" w:line="360" w:lineRule="auto"/>
        <w:jc w:val="both"/>
        <w:rPr>
          <w:rFonts w:ascii="Arial" w:hAnsi="Arial" w:cs="Arial"/>
          <w:sz w:val="28"/>
          <w:szCs w:val="28"/>
        </w:rPr>
      </w:pPr>
      <w:bookmarkStart w:id="1" w:name="_Toc223961408"/>
      <w:r w:rsidRPr="00DC4981">
        <w:rPr>
          <w:rFonts w:ascii="Arial" w:hAnsi="Arial" w:cs="Arial"/>
          <w:sz w:val="28"/>
          <w:szCs w:val="28"/>
        </w:rPr>
        <w:t>2.  Situational Analysis</w:t>
      </w:r>
      <w:bookmarkEnd w:id="1"/>
    </w:p>
    <w:p w14:paraId="7E0AA068" w14:textId="77777777" w:rsidR="00C54343" w:rsidRDefault="00C54343" w:rsidP="00FD2275">
      <w:pPr>
        <w:pBdr>
          <w:bottom w:val="single" w:sz="6" w:space="1" w:color="C4A050"/>
        </w:pBdr>
        <w:spacing w:before="80" w:after="80" w:line="360" w:lineRule="auto"/>
        <w:jc w:val="both"/>
      </w:pPr>
    </w:p>
    <w:p w14:paraId="0AA51130" w14:textId="19B969CF" w:rsidR="00C54343" w:rsidRPr="00E41931" w:rsidRDefault="00000000" w:rsidP="00FD2275">
      <w:pPr>
        <w:pStyle w:val="Heading2"/>
        <w:spacing w:before="160" w:after="80" w:line="360" w:lineRule="auto"/>
        <w:jc w:val="both"/>
        <w:rPr>
          <w:rFonts w:ascii="Arial" w:hAnsi="Arial" w:cs="Arial"/>
        </w:rPr>
      </w:pPr>
      <w:bookmarkStart w:id="2" w:name="_Toc223961409"/>
      <w:r w:rsidRPr="00DC4981">
        <w:rPr>
          <w:rFonts w:ascii="Arial" w:hAnsi="Arial" w:cs="Arial"/>
        </w:rPr>
        <w:t>2.1  SWOT Analysis</w:t>
      </w:r>
      <w:bookmarkEnd w:id="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C54343" w14:paraId="631405BC" w14:textId="77777777">
        <w:tc>
          <w:tcPr>
            <w:tcW w:w="4680" w:type="dxa"/>
            <w:tcBorders>
              <w:top w:val="single" w:sz="1" w:space="0" w:color="C4A050"/>
              <w:left w:val="single" w:sz="1" w:space="0" w:color="C4A050"/>
              <w:bottom w:val="single" w:sz="1" w:space="0" w:color="C4A050"/>
              <w:right w:val="single" w:sz="1" w:space="0" w:color="C4A050"/>
            </w:tcBorders>
            <w:shd w:val="clear" w:color="auto" w:fill="EDF7EE"/>
            <w:tcMar>
              <w:top w:w="0" w:type="dxa"/>
              <w:left w:w="0" w:type="dxa"/>
              <w:bottom w:w="120" w:type="dxa"/>
              <w:right w:w="0" w:type="dxa"/>
            </w:tcMar>
          </w:tcPr>
          <w:p w14:paraId="799106BF" w14:textId="77777777" w:rsidR="00C54343" w:rsidRPr="00E41931" w:rsidRDefault="00000000" w:rsidP="00FD2275">
            <w:pPr>
              <w:shd w:val="clear" w:color="auto" w:fill="1F5C2E"/>
              <w:spacing w:before="80" w:after="80" w:line="360" w:lineRule="auto"/>
              <w:jc w:val="center"/>
              <w:rPr>
                <w:rFonts w:ascii="Arial" w:hAnsi="Arial" w:cs="Arial"/>
              </w:rPr>
            </w:pPr>
            <w:r w:rsidRPr="00E41931">
              <w:rPr>
                <w:rFonts w:ascii="Arial" w:hAnsi="Arial" w:cs="Arial"/>
                <w:b/>
                <w:bCs/>
                <w:color w:val="FFFFFF"/>
                <w:sz w:val="20"/>
                <w:szCs w:val="20"/>
              </w:rPr>
              <w:t>STRENGTHS</w:t>
            </w:r>
          </w:p>
          <w:p w14:paraId="1AB35764" w14:textId="77777777" w:rsidR="00E41931" w:rsidRPr="00E41931" w:rsidRDefault="00E41931" w:rsidP="00FD2275">
            <w:pPr>
              <w:pStyle w:val="ListParagraph"/>
              <w:numPr>
                <w:ilvl w:val="0"/>
                <w:numId w:val="6"/>
              </w:numPr>
              <w:spacing w:before="50" w:after="50" w:line="360" w:lineRule="auto"/>
              <w:rPr>
                <w:rFonts w:ascii="Arial" w:hAnsi="Arial" w:cs="Arial"/>
              </w:rPr>
            </w:pPr>
            <w:r w:rsidRPr="00E41931">
              <w:rPr>
                <w:rFonts w:ascii="Arial" w:hAnsi="Arial" w:cs="Arial"/>
                <w:color w:val="12182A"/>
                <w:sz w:val="19"/>
                <w:szCs w:val="19"/>
              </w:rPr>
              <w:t>Luxury brand of international standing in more than 20 countries</w:t>
            </w:r>
          </w:p>
          <w:p w14:paraId="1D93AFD4" w14:textId="77777777" w:rsidR="00E41931" w:rsidRPr="00E41931" w:rsidRDefault="00E41931" w:rsidP="00FD2275">
            <w:pPr>
              <w:pStyle w:val="ListParagraph"/>
              <w:numPr>
                <w:ilvl w:val="0"/>
                <w:numId w:val="6"/>
              </w:numPr>
              <w:spacing w:before="50" w:after="50" w:line="360" w:lineRule="auto"/>
              <w:rPr>
                <w:rFonts w:ascii="Arial" w:hAnsi="Arial" w:cs="Arial"/>
              </w:rPr>
            </w:pPr>
            <w:r w:rsidRPr="00E41931">
              <w:rPr>
                <w:rFonts w:ascii="Arial" w:hAnsi="Arial" w:cs="Arial"/>
                <w:color w:val="12182A"/>
                <w:sz w:val="19"/>
                <w:szCs w:val="19"/>
              </w:rPr>
              <w:t>Langham Ideals loyalty programme a key enabler for AI-driven personalisation</w:t>
            </w:r>
          </w:p>
          <w:p w14:paraId="28CDAA26" w14:textId="77777777" w:rsidR="00E41931" w:rsidRPr="00E41931" w:rsidRDefault="00E41931" w:rsidP="00FD2275">
            <w:pPr>
              <w:pStyle w:val="ListParagraph"/>
              <w:numPr>
                <w:ilvl w:val="0"/>
                <w:numId w:val="6"/>
              </w:numPr>
              <w:spacing w:before="50" w:after="50" w:line="360" w:lineRule="auto"/>
              <w:rPr>
                <w:rFonts w:ascii="Arial" w:hAnsi="Arial" w:cs="Arial"/>
              </w:rPr>
            </w:pPr>
            <w:r w:rsidRPr="00E41931">
              <w:rPr>
                <w:rFonts w:ascii="Arial" w:hAnsi="Arial" w:cs="Arial"/>
                <w:color w:val="12182A"/>
                <w:sz w:val="19"/>
                <w:szCs w:val="19"/>
              </w:rPr>
              <w:t>Robust capital base in place to support major technology investment</w:t>
            </w:r>
          </w:p>
          <w:p w14:paraId="68A4C1C7" w14:textId="7CFCDF06" w:rsidR="00C54343" w:rsidRPr="00E41931" w:rsidRDefault="00E41931" w:rsidP="00FD2275">
            <w:pPr>
              <w:pStyle w:val="ListParagraph"/>
              <w:numPr>
                <w:ilvl w:val="0"/>
                <w:numId w:val="6"/>
              </w:numPr>
              <w:spacing w:before="50" w:after="50" w:line="360" w:lineRule="auto"/>
              <w:rPr>
                <w:rFonts w:ascii="Arial" w:hAnsi="Arial" w:cs="Arial"/>
              </w:rPr>
            </w:pPr>
            <w:r w:rsidRPr="00E41931">
              <w:rPr>
                <w:rFonts w:ascii="Arial" w:hAnsi="Arial" w:cs="Arial"/>
                <w:color w:val="12182A"/>
                <w:sz w:val="19"/>
                <w:szCs w:val="19"/>
              </w:rPr>
              <w:t>Green Key certified properties, current sustainability framework</w:t>
            </w:r>
          </w:p>
        </w:tc>
        <w:tc>
          <w:tcPr>
            <w:tcW w:w="4680" w:type="dxa"/>
            <w:tcBorders>
              <w:top w:val="single" w:sz="1" w:space="0" w:color="C4A050"/>
              <w:left w:val="single" w:sz="1" w:space="0" w:color="C4A050"/>
              <w:bottom w:val="single" w:sz="1" w:space="0" w:color="C4A050"/>
              <w:right w:val="single" w:sz="1" w:space="0" w:color="C4A050"/>
            </w:tcBorders>
            <w:shd w:val="clear" w:color="auto" w:fill="FFF0F0"/>
            <w:tcMar>
              <w:top w:w="0" w:type="dxa"/>
              <w:left w:w="0" w:type="dxa"/>
              <w:bottom w:w="120" w:type="dxa"/>
              <w:right w:w="0" w:type="dxa"/>
            </w:tcMar>
          </w:tcPr>
          <w:p w14:paraId="13AAE89B" w14:textId="77777777" w:rsidR="00C54343" w:rsidRPr="00E41931" w:rsidRDefault="00000000" w:rsidP="00FD2275">
            <w:pPr>
              <w:shd w:val="clear" w:color="auto" w:fill="8B1A1A"/>
              <w:spacing w:before="80" w:after="80" w:line="360" w:lineRule="auto"/>
              <w:jc w:val="center"/>
              <w:rPr>
                <w:rFonts w:ascii="Arial" w:hAnsi="Arial" w:cs="Arial"/>
              </w:rPr>
            </w:pPr>
            <w:r w:rsidRPr="00E41931">
              <w:rPr>
                <w:rFonts w:ascii="Arial" w:hAnsi="Arial" w:cs="Arial"/>
                <w:b/>
                <w:bCs/>
                <w:color w:val="FFFFFF"/>
                <w:sz w:val="20"/>
                <w:szCs w:val="20"/>
              </w:rPr>
              <w:t>WEAKNESSES</w:t>
            </w:r>
          </w:p>
          <w:p w14:paraId="7BA698B0" w14:textId="77777777" w:rsidR="00E41931" w:rsidRPr="00E41931" w:rsidRDefault="00E41931" w:rsidP="00FD2275">
            <w:pPr>
              <w:pStyle w:val="ListParagraph"/>
              <w:numPr>
                <w:ilvl w:val="0"/>
                <w:numId w:val="7"/>
              </w:numPr>
              <w:spacing w:before="50" w:after="50" w:line="360" w:lineRule="auto"/>
              <w:rPr>
                <w:rFonts w:ascii="Arial" w:hAnsi="Arial" w:cs="Arial"/>
              </w:rPr>
            </w:pPr>
            <w:r w:rsidRPr="00E41931">
              <w:rPr>
                <w:rFonts w:ascii="Arial" w:hAnsi="Arial" w:cs="Arial"/>
                <w:color w:val="12182A"/>
                <w:sz w:val="19"/>
                <w:szCs w:val="19"/>
              </w:rPr>
              <w:t>Dispersed legacy IT infrastructure across the different hotels</w:t>
            </w:r>
          </w:p>
          <w:p w14:paraId="6FBC5446" w14:textId="77777777" w:rsidR="00E41931" w:rsidRPr="00E41931" w:rsidRDefault="00E41931" w:rsidP="00FD2275">
            <w:pPr>
              <w:pStyle w:val="ListParagraph"/>
              <w:numPr>
                <w:ilvl w:val="0"/>
                <w:numId w:val="7"/>
              </w:numPr>
              <w:spacing w:before="50" w:after="50" w:line="360" w:lineRule="auto"/>
              <w:rPr>
                <w:rFonts w:ascii="Arial" w:hAnsi="Arial" w:cs="Arial"/>
              </w:rPr>
            </w:pPr>
            <w:r w:rsidRPr="00E41931">
              <w:rPr>
                <w:rFonts w:ascii="Arial" w:hAnsi="Arial" w:cs="Arial"/>
                <w:color w:val="12182A"/>
                <w:sz w:val="19"/>
                <w:szCs w:val="19"/>
              </w:rPr>
              <w:t>Minimum AI / data science capabilities developed internally</w:t>
            </w:r>
          </w:p>
          <w:p w14:paraId="79391047" w14:textId="77777777" w:rsidR="00C54343" w:rsidRPr="00E41931" w:rsidRDefault="00E41931" w:rsidP="00FD2275">
            <w:pPr>
              <w:pStyle w:val="ListParagraph"/>
              <w:numPr>
                <w:ilvl w:val="0"/>
                <w:numId w:val="7"/>
              </w:numPr>
              <w:spacing w:before="50" w:after="50" w:line="360" w:lineRule="auto"/>
              <w:rPr>
                <w:rFonts w:ascii="Arial" w:hAnsi="Arial" w:cs="Arial"/>
              </w:rPr>
            </w:pPr>
            <w:r w:rsidRPr="00E41931">
              <w:rPr>
                <w:rFonts w:ascii="Arial" w:hAnsi="Arial" w:cs="Arial"/>
                <w:color w:val="12182A"/>
                <w:sz w:val="19"/>
                <w:szCs w:val="19"/>
              </w:rPr>
              <w:t>High turnover rate among frontline employees</w:t>
            </w:r>
          </w:p>
          <w:p w14:paraId="1D0EFD31" w14:textId="1D326F0D" w:rsidR="00E41931" w:rsidRPr="00E41931" w:rsidRDefault="00E41931" w:rsidP="00FD2275">
            <w:pPr>
              <w:pStyle w:val="ListParagraph"/>
              <w:numPr>
                <w:ilvl w:val="0"/>
                <w:numId w:val="7"/>
              </w:numPr>
              <w:spacing w:before="50" w:after="50" w:line="360" w:lineRule="auto"/>
              <w:rPr>
                <w:rFonts w:ascii="Arial" w:hAnsi="Arial" w:cs="Arial"/>
              </w:rPr>
            </w:pPr>
            <w:r w:rsidRPr="00E41931">
              <w:rPr>
                <w:rFonts w:ascii="Arial" w:hAnsi="Arial" w:cs="Arial"/>
                <w:color w:val="12182A"/>
                <w:sz w:val="19"/>
                <w:szCs w:val="19"/>
              </w:rPr>
              <w:t>Different levels of service quality in international franchises</w:t>
            </w:r>
          </w:p>
        </w:tc>
      </w:tr>
      <w:tr w:rsidR="00C54343" w14:paraId="33178348" w14:textId="77777777">
        <w:tc>
          <w:tcPr>
            <w:tcW w:w="4680" w:type="dxa"/>
            <w:tcBorders>
              <w:top w:val="single" w:sz="1" w:space="0" w:color="C4A050"/>
              <w:left w:val="single" w:sz="1" w:space="0" w:color="C4A050"/>
              <w:bottom w:val="single" w:sz="1" w:space="0" w:color="C4A050"/>
              <w:right w:val="single" w:sz="1" w:space="0" w:color="C4A050"/>
            </w:tcBorders>
            <w:shd w:val="clear" w:color="auto" w:fill="EEF2FF"/>
            <w:tcMar>
              <w:top w:w="0" w:type="dxa"/>
              <w:left w:w="0" w:type="dxa"/>
              <w:bottom w:w="120" w:type="dxa"/>
              <w:right w:w="0" w:type="dxa"/>
            </w:tcMar>
          </w:tcPr>
          <w:p w14:paraId="122CDB56" w14:textId="77777777" w:rsidR="00C54343" w:rsidRPr="00B95A33" w:rsidRDefault="00000000" w:rsidP="00FD2275">
            <w:pPr>
              <w:shd w:val="clear" w:color="auto" w:fill="1A3A6B"/>
              <w:spacing w:before="80" w:after="80" w:line="360" w:lineRule="auto"/>
              <w:jc w:val="center"/>
              <w:rPr>
                <w:rFonts w:ascii="Arial" w:hAnsi="Arial" w:cs="Arial"/>
              </w:rPr>
            </w:pPr>
            <w:r w:rsidRPr="00B95A33">
              <w:rPr>
                <w:rFonts w:ascii="Arial" w:hAnsi="Arial" w:cs="Arial"/>
                <w:b/>
                <w:bCs/>
                <w:color w:val="FFFFFF"/>
                <w:sz w:val="20"/>
                <w:szCs w:val="20"/>
              </w:rPr>
              <w:t>OPPORTUNITIES</w:t>
            </w:r>
          </w:p>
          <w:p w14:paraId="3C488715" w14:textId="77777777" w:rsidR="00B95A33" w:rsidRPr="00B95A33" w:rsidRDefault="00B95A33" w:rsidP="00FD2275">
            <w:pPr>
              <w:pStyle w:val="ListParagraph"/>
              <w:numPr>
                <w:ilvl w:val="0"/>
                <w:numId w:val="8"/>
              </w:numPr>
              <w:spacing w:before="50" w:after="50" w:line="360" w:lineRule="auto"/>
              <w:rPr>
                <w:rFonts w:ascii="Arial" w:hAnsi="Arial" w:cs="Arial"/>
              </w:rPr>
            </w:pPr>
            <w:r w:rsidRPr="00B95A33">
              <w:rPr>
                <w:rFonts w:ascii="Arial" w:hAnsi="Arial" w:cs="Arial"/>
                <w:color w:val="12182A"/>
                <w:sz w:val="19"/>
                <w:szCs w:val="19"/>
              </w:rPr>
              <w:t>Heightened demands from customers for technology integrated personalised experiences</w:t>
            </w:r>
          </w:p>
          <w:p w14:paraId="0ACE2D74" w14:textId="77777777" w:rsidR="00B95A33" w:rsidRPr="00B95A33" w:rsidRDefault="00B95A33" w:rsidP="00FD2275">
            <w:pPr>
              <w:pStyle w:val="ListParagraph"/>
              <w:numPr>
                <w:ilvl w:val="0"/>
                <w:numId w:val="8"/>
              </w:numPr>
              <w:spacing w:before="50" w:after="50" w:line="360" w:lineRule="auto"/>
              <w:rPr>
                <w:rFonts w:ascii="Arial" w:hAnsi="Arial" w:cs="Arial"/>
              </w:rPr>
            </w:pPr>
            <w:r w:rsidRPr="00B95A33">
              <w:rPr>
                <w:rFonts w:ascii="Arial" w:hAnsi="Arial" w:cs="Arial"/>
                <w:color w:val="12182A"/>
                <w:sz w:val="19"/>
                <w:szCs w:val="19"/>
              </w:rPr>
              <w:t>Return of luxury travel post-pandemic</w:t>
            </w:r>
          </w:p>
          <w:p w14:paraId="01976CE0" w14:textId="77777777" w:rsidR="00B95A33" w:rsidRPr="00B95A33" w:rsidRDefault="00B95A33" w:rsidP="00FD2275">
            <w:pPr>
              <w:pStyle w:val="ListParagraph"/>
              <w:numPr>
                <w:ilvl w:val="0"/>
                <w:numId w:val="8"/>
              </w:numPr>
              <w:spacing w:before="50" w:after="50" w:line="360" w:lineRule="auto"/>
              <w:rPr>
                <w:rFonts w:ascii="Arial" w:hAnsi="Arial" w:cs="Arial"/>
              </w:rPr>
            </w:pPr>
            <w:r w:rsidRPr="00B95A33">
              <w:rPr>
                <w:rFonts w:ascii="Arial" w:hAnsi="Arial" w:cs="Arial"/>
                <w:color w:val="12182A"/>
                <w:sz w:val="19"/>
                <w:szCs w:val="19"/>
              </w:rPr>
              <w:t>ESG investors seeking investment opportunities in hospitality brands with a focus on sustainability</w:t>
            </w:r>
          </w:p>
          <w:p w14:paraId="4EA524AC" w14:textId="5C8C92EF" w:rsidR="00B95A33" w:rsidRPr="00B95A33" w:rsidRDefault="00B95A33" w:rsidP="00FD2275">
            <w:pPr>
              <w:pStyle w:val="ListParagraph"/>
              <w:numPr>
                <w:ilvl w:val="0"/>
                <w:numId w:val="8"/>
              </w:numPr>
              <w:spacing w:before="50" w:after="50" w:line="360" w:lineRule="auto"/>
              <w:rPr>
                <w:rFonts w:ascii="Arial" w:hAnsi="Arial" w:cs="Arial"/>
              </w:rPr>
            </w:pPr>
            <w:r w:rsidRPr="00B95A33">
              <w:rPr>
                <w:rFonts w:ascii="Arial" w:hAnsi="Arial" w:cs="Arial"/>
                <w:color w:val="12182A"/>
                <w:sz w:val="19"/>
                <w:szCs w:val="19"/>
              </w:rPr>
              <w:t>Potential new markets in Southeast</w:t>
            </w:r>
          </w:p>
          <w:p w14:paraId="1205772C" w14:textId="59EA2067" w:rsidR="00C54343" w:rsidRPr="00B95A33" w:rsidRDefault="00B95A33" w:rsidP="00FD2275">
            <w:pPr>
              <w:pStyle w:val="ListParagraph"/>
              <w:spacing w:before="50" w:after="50" w:line="360" w:lineRule="auto"/>
              <w:ind w:left="720"/>
              <w:rPr>
                <w:rFonts w:ascii="Arial" w:hAnsi="Arial" w:cs="Arial"/>
              </w:rPr>
            </w:pPr>
            <w:r w:rsidRPr="00B95A33">
              <w:rPr>
                <w:rFonts w:ascii="Arial" w:hAnsi="Arial" w:cs="Arial"/>
                <w:color w:val="12182A"/>
                <w:sz w:val="19"/>
                <w:szCs w:val="19"/>
              </w:rPr>
              <w:t>Asia and</w:t>
            </w:r>
            <w:r>
              <w:rPr>
                <w:rFonts w:ascii="Arial" w:hAnsi="Arial" w:cs="Arial"/>
                <w:color w:val="12182A"/>
                <w:sz w:val="19"/>
                <w:szCs w:val="19"/>
              </w:rPr>
              <w:t xml:space="preserve"> </w:t>
            </w:r>
            <w:r w:rsidRPr="00B95A33">
              <w:rPr>
                <w:rFonts w:ascii="Arial" w:hAnsi="Arial" w:cs="Arial"/>
                <w:color w:val="12182A"/>
                <w:sz w:val="19"/>
                <w:szCs w:val="19"/>
              </w:rPr>
              <w:t>the Gulf</w:t>
            </w:r>
          </w:p>
        </w:tc>
        <w:tc>
          <w:tcPr>
            <w:tcW w:w="4680" w:type="dxa"/>
            <w:tcBorders>
              <w:top w:val="single" w:sz="1" w:space="0" w:color="C4A050"/>
              <w:left w:val="single" w:sz="1" w:space="0" w:color="C4A050"/>
              <w:bottom w:val="single" w:sz="1" w:space="0" w:color="C4A050"/>
              <w:right w:val="single" w:sz="1" w:space="0" w:color="C4A050"/>
            </w:tcBorders>
            <w:shd w:val="clear" w:color="auto" w:fill="FFF8EE"/>
            <w:tcMar>
              <w:top w:w="0" w:type="dxa"/>
              <w:left w:w="0" w:type="dxa"/>
              <w:bottom w:w="120" w:type="dxa"/>
              <w:right w:w="0" w:type="dxa"/>
            </w:tcMar>
          </w:tcPr>
          <w:p w14:paraId="76B9834F" w14:textId="77777777" w:rsidR="00C54343" w:rsidRPr="00B95A33" w:rsidRDefault="00000000" w:rsidP="00FD2275">
            <w:pPr>
              <w:shd w:val="clear" w:color="auto" w:fill="5C3A00"/>
              <w:spacing w:before="80" w:after="80" w:line="360" w:lineRule="auto"/>
              <w:jc w:val="center"/>
              <w:rPr>
                <w:rFonts w:ascii="Arial" w:hAnsi="Arial" w:cs="Arial"/>
              </w:rPr>
            </w:pPr>
            <w:r w:rsidRPr="00B95A33">
              <w:rPr>
                <w:rFonts w:ascii="Arial" w:hAnsi="Arial" w:cs="Arial"/>
                <w:b/>
                <w:bCs/>
                <w:color w:val="FFFFFF"/>
                <w:sz w:val="20"/>
                <w:szCs w:val="20"/>
              </w:rPr>
              <w:t>THREATS</w:t>
            </w:r>
          </w:p>
          <w:p w14:paraId="000D8BF9" w14:textId="77777777" w:rsidR="00B95A33" w:rsidRPr="00B95A33" w:rsidRDefault="00B95A33" w:rsidP="00FD2275">
            <w:pPr>
              <w:pStyle w:val="ListParagraph"/>
              <w:numPr>
                <w:ilvl w:val="0"/>
                <w:numId w:val="9"/>
              </w:numPr>
              <w:spacing w:before="50" w:after="50" w:line="360" w:lineRule="auto"/>
              <w:rPr>
                <w:rFonts w:ascii="Arial" w:hAnsi="Arial" w:cs="Arial"/>
              </w:rPr>
            </w:pPr>
            <w:r w:rsidRPr="00B95A33">
              <w:rPr>
                <w:rFonts w:ascii="Arial" w:hAnsi="Arial" w:cs="Arial"/>
                <w:color w:val="12182A"/>
                <w:sz w:val="19"/>
                <w:szCs w:val="19"/>
              </w:rPr>
              <w:t>Heightened competition from Marriott, IHG, and boutique disruptors</w:t>
            </w:r>
          </w:p>
          <w:p w14:paraId="546A53B3" w14:textId="77777777" w:rsidR="00B95A33" w:rsidRPr="00B95A33" w:rsidRDefault="00B95A33" w:rsidP="00FD2275">
            <w:pPr>
              <w:pStyle w:val="ListParagraph"/>
              <w:numPr>
                <w:ilvl w:val="0"/>
                <w:numId w:val="9"/>
              </w:numPr>
              <w:spacing w:before="50" w:after="50" w:line="360" w:lineRule="auto"/>
              <w:rPr>
                <w:rFonts w:ascii="Arial" w:hAnsi="Arial" w:cs="Arial"/>
              </w:rPr>
            </w:pPr>
            <w:r w:rsidRPr="00B95A33">
              <w:rPr>
                <w:rFonts w:ascii="Arial" w:hAnsi="Arial" w:cs="Arial"/>
                <w:color w:val="12182A"/>
                <w:sz w:val="19"/>
                <w:szCs w:val="19"/>
              </w:rPr>
              <w:t>Different data protection regulations (GDPR, CCPA, PDPA)</w:t>
            </w:r>
          </w:p>
          <w:p w14:paraId="61D9B7EF" w14:textId="77777777" w:rsidR="00B95A33" w:rsidRPr="00B95A33" w:rsidRDefault="00B95A33" w:rsidP="00FD2275">
            <w:pPr>
              <w:pStyle w:val="ListParagraph"/>
              <w:numPr>
                <w:ilvl w:val="0"/>
                <w:numId w:val="9"/>
              </w:numPr>
              <w:spacing w:before="50" w:after="50" w:line="360" w:lineRule="auto"/>
              <w:rPr>
                <w:rFonts w:ascii="Arial" w:hAnsi="Arial" w:cs="Arial"/>
              </w:rPr>
            </w:pPr>
            <w:r w:rsidRPr="00B95A33">
              <w:rPr>
                <w:rFonts w:ascii="Arial" w:hAnsi="Arial" w:cs="Arial"/>
                <w:color w:val="12182A"/>
                <w:sz w:val="19"/>
                <w:szCs w:val="19"/>
              </w:rPr>
              <w:t>Concerns of guests over AI and data privacy</w:t>
            </w:r>
          </w:p>
          <w:p w14:paraId="7F491E2C" w14:textId="3521CBCB" w:rsidR="00C54343" w:rsidRPr="00B95A33" w:rsidRDefault="00B95A33" w:rsidP="00FD2275">
            <w:pPr>
              <w:pStyle w:val="ListParagraph"/>
              <w:numPr>
                <w:ilvl w:val="0"/>
                <w:numId w:val="9"/>
              </w:numPr>
              <w:spacing w:before="50" w:after="50" w:line="360" w:lineRule="auto"/>
              <w:rPr>
                <w:rFonts w:ascii="Arial" w:hAnsi="Arial" w:cs="Arial"/>
              </w:rPr>
            </w:pPr>
            <w:r w:rsidRPr="00B95A33">
              <w:rPr>
                <w:rFonts w:ascii="Arial" w:hAnsi="Arial" w:cs="Arial"/>
                <w:color w:val="12182A"/>
                <w:sz w:val="19"/>
                <w:szCs w:val="19"/>
              </w:rPr>
              <w:t>Economic instability leading to reduced spending on discretionary travel</w:t>
            </w:r>
            <w:r w:rsidRPr="00B95A33">
              <w:rPr>
                <w:rFonts w:ascii="Arial" w:hAnsi="Arial" w:cs="Arial"/>
                <w:color w:val="12182A"/>
                <w:sz w:val="19"/>
                <w:szCs w:val="19"/>
              </w:rPr>
              <w:br/>
            </w:r>
          </w:p>
        </w:tc>
      </w:tr>
    </w:tbl>
    <w:p w14:paraId="28144064" w14:textId="77777777" w:rsidR="00C54343" w:rsidRDefault="00C54343" w:rsidP="00FD2275">
      <w:pPr>
        <w:spacing w:before="80" w:after="80"/>
        <w:jc w:val="both"/>
      </w:pPr>
    </w:p>
    <w:p w14:paraId="356D523E" w14:textId="77777777" w:rsidR="00E41931" w:rsidRPr="00E41931" w:rsidRDefault="00E41931" w:rsidP="00FD2275">
      <w:pPr>
        <w:pStyle w:val="NormalWeb"/>
        <w:spacing w:line="360" w:lineRule="auto"/>
        <w:jc w:val="both"/>
        <w:rPr>
          <w:rFonts w:ascii="Arial" w:hAnsi="Arial" w:cs="Arial"/>
          <w:sz w:val="22"/>
          <w:szCs w:val="22"/>
        </w:rPr>
      </w:pPr>
      <w:r w:rsidRPr="00E41931">
        <w:rPr>
          <w:rFonts w:ascii="Arial" w:hAnsi="Arial" w:cs="Arial"/>
          <w:sz w:val="22"/>
          <w:szCs w:val="22"/>
        </w:rPr>
        <w:t>In line with Johnson, Scholes, and Whittington's (2017) analysis, LHI's brand heritage and loyalty infrastructure stand out as the key differentiation lever for StaySmart+ on the other hand, IT fragmentation is the major operational risk that needs to be addressed first and foremost.</w:t>
      </w:r>
    </w:p>
    <w:p w14:paraId="4053EA37" w14:textId="77777777" w:rsidR="00C54343" w:rsidRDefault="00C54343" w:rsidP="00FD2275">
      <w:pPr>
        <w:spacing w:before="120" w:after="120"/>
        <w:jc w:val="both"/>
      </w:pPr>
    </w:p>
    <w:p w14:paraId="030E1C5C" w14:textId="77777777" w:rsidR="00B95A33" w:rsidRDefault="00B95A33" w:rsidP="00FD2275">
      <w:pPr>
        <w:spacing w:before="120" w:after="120"/>
        <w:jc w:val="both"/>
      </w:pPr>
    </w:p>
    <w:p w14:paraId="194C3655" w14:textId="77777777" w:rsidR="00B95A33" w:rsidRDefault="00B95A33" w:rsidP="00FD2275">
      <w:pPr>
        <w:spacing w:before="120" w:after="120"/>
        <w:jc w:val="both"/>
      </w:pPr>
    </w:p>
    <w:p w14:paraId="2613DA91" w14:textId="77777777" w:rsidR="00B95A33" w:rsidRDefault="00B95A33" w:rsidP="00FD2275">
      <w:pPr>
        <w:spacing w:before="120" w:after="120"/>
        <w:jc w:val="both"/>
      </w:pPr>
    </w:p>
    <w:p w14:paraId="49A9C4B9" w14:textId="77777777" w:rsidR="00B95A33" w:rsidRDefault="00B95A33" w:rsidP="00FD2275">
      <w:pPr>
        <w:spacing w:before="120" w:after="120"/>
        <w:jc w:val="both"/>
      </w:pPr>
    </w:p>
    <w:p w14:paraId="6785BE8E" w14:textId="77777777" w:rsidR="00B95A33" w:rsidRDefault="00B95A33" w:rsidP="00FD2275">
      <w:pPr>
        <w:spacing w:before="120" w:after="120"/>
        <w:jc w:val="both"/>
      </w:pPr>
    </w:p>
    <w:p w14:paraId="5057DF42" w14:textId="77777777" w:rsidR="00B95A33" w:rsidRDefault="00B95A33" w:rsidP="00FD2275">
      <w:pPr>
        <w:spacing w:before="120" w:after="120"/>
        <w:jc w:val="both"/>
      </w:pPr>
    </w:p>
    <w:p w14:paraId="2940368A" w14:textId="77777777" w:rsidR="00B95A33" w:rsidRDefault="00B95A33" w:rsidP="00FD2275">
      <w:pPr>
        <w:spacing w:before="120" w:after="120"/>
        <w:jc w:val="both"/>
      </w:pPr>
    </w:p>
    <w:p w14:paraId="6E4D292D" w14:textId="77777777" w:rsidR="00C54343" w:rsidRPr="00E41931" w:rsidRDefault="00000000" w:rsidP="00FD2275">
      <w:pPr>
        <w:pStyle w:val="Heading2"/>
        <w:spacing w:before="160" w:after="80" w:line="360" w:lineRule="auto"/>
        <w:jc w:val="both"/>
        <w:rPr>
          <w:rFonts w:ascii="Arial" w:hAnsi="Arial" w:cs="Arial"/>
        </w:rPr>
      </w:pPr>
      <w:bookmarkStart w:id="3" w:name="_Toc223961410"/>
      <w:r w:rsidRPr="00E41931">
        <w:rPr>
          <w:rFonts w:ascii="Arial" w:hAnsi="Arial" w:cs="Arial"/>
        </w:rPr>
        <w:t>2.2  PESTLE Analysis</w:t>
      </w:r>
      <w:bookmarkEnd w:id="3"/>
    </w:p>
    <w:p w14:paraId="087EA86C" w14:textId="5F8AAF73" w:rsidR="00C54343" w:rsidRPr="00B95A33" w:rsidRDefault="00000000" w:rsidP="00FD2275">
      <w:pPr>
        <w:spacing w:before="120" w:after="120" w:line="360" w:lineRule="auto"/>
        <w:jc w:val="both"/>
        <w:rPr>
          <w:rFonts w:ascii="Arial" w:hAnsi="Arial" w:cs="Arial"/>
        </w:rPr>
      </w:pPr>
      <w:r w:rsidRPr="00E41931">
        <w:rPr>
          <w:rFonts w:ascii="Arial" w:hAnsi="Arial" w:cs="Arial"/>
          <w:color w:val="12182A"/>
        </w:rPr>
        <w:t>The PESTLE framework assesses the macro-environmental forces shaping the StaySmart+ launch:</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7760"/>
      </w:tblGrid>
      <w:tr w:rsidR="00C54343" w14:paraId="759EF884" w14:textId="77777777">
        <w:trPr>
          <w:tblHeader/>
        </w:trPr>
        <w:tc>
          <w:tcPr>
            <w:tcW w:w="1600"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7E0FE623"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Factor</w:t>
            </w:r>
          </w:p>
        </w:tc>
        <w:tc>
          <w:tcPr>
            <w:tcW w:w="7760"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42FCC1AE" w14:textId="29F936D7" w:rsidR="00C54343" w:rsidRPr="00B95A33" w:rsidRDefault="00B95A33" w:rsidP="00FD2275">
            <w:pPr>
              <w:spacing w:after="160" w:line="278" w:lineRule="auto"/>
              <w:jc w:val="both"/>
              <w:rPr>
                <w:rFonts w:ascii="Arial" w:hAnsi="Arial" w:cs="Arial"/>
              </w:rPr>
            </w:pPr>
            <w:r w:rsidRPr="00355900">
              <w:rPr>
                <w:rFonts w:ascii="Arial" w:hAnsi="Arial" w:cs="Arial"/>
                <w:b/>
                <w:bCs/>
              </w:rPr>
              <w:t>Analysis, StaySmart+ / Langham Hotels International</w:t>
            </w:r>
          </w:p>
        </w:tc>
      </w:tr>
      <w:tr w:rsidR="00C54343" w14:paraId="4318467B" w14:textId="77777777">
        <w:tc>
          <w:tcPr>
            <w:tcW w:w="1600" w:type="dxa"/>
            <w:tcBorders>
              <w:top w:val="single" w:sz="1" w:space="0" w:color="C4A050"/>
              <w:left w:val="single" w:sz="1" w:space="0" w:color="C4A050"/>
              <w:bottom w:val="single" w:sz="1" w:space="0" w:color="C4A050"/>
              <w:right w:val="single" w:sz="1" w:space="0" w:color="C4A050"/>
            </w:tcBorders>
            <w:shd w:val="clear" w:color="auto" w:fill="1E2D46"/>
            <w:tcMar>
              <w:top w:w="90" w:type="dxa"/>
              <w:left w:w="120" w:type="dxa"/>
              <w:bottom w:w="90" w:type="dxa"/>
              <w:right w:w="80" w:type="dxa"/>
            </w:tcMar>
          </w:tcPr>
          <w:p w14:paraId="6EB0C4A7"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Political</w:t>
            </w:r>
          </w:p>
        </w:tc>
        <w:tc>
          <w:tcPr>
            <w:tcW w:w="7760" w:type="dxa"/>
            <w:tcBorders>
              <w:top w:val="single" w:sz="1" w:space="0" w:color="C4A050"/>
              <w:left w:val="single" w:sz="1" w:space="0" w:color="C4A050"/>
              <w:bottom w:val="single" w:sz="1" w:space="0" w:color="C4A050"/>
              <w:right w:val="single" w:sz="1" w:space="0" w:color="C4A050"/>
            </w:tcBorders>
            <w:shd w:val="clear" w:color="auto" w:fill="F7F5F0"/>
            <w:tcMar>
              <w:top w:w="90" w:type="dxa"/>
              <w:left w:w="120" w:type="dxa"/>
              <w:bottom w:w="90" w:type="dxa"/>
              <w:right w:w="80" w:type="dxa"/>
            </w:tcMar>
          </w:tcPr>
          <w:p w14:paraId="0E753FAB" w14:textId="77830305"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Differences in AI/data regulations across countries; staffing issues due to Brexit; geopolitics as a source of risk in the markets of interest.</w:t>
            </w:r>
          </w:p>
        </w:tc>
      </w:tr>
      <w:tr w:rsidR="00C54343" w14:paraId="779B3F92" w14:textId="77777777">
        <w:tc>
          <w:tcPr>
            <w:tcW w:w="1600" w:type="dxa"/>
            <w:tcBorders>
              <w:top w:val="single" w:sz="1" w:space="0" w:color="C4A050"/>
              <w:left w:val="single" w:sz="1" w:space="0" w:color="C4A050"/>
              <w:bottom w:val="single" w:sz="1" w:space="0" w:color="C4A050"/>
              <w:right w:val="single" w:sz="1" w:space="0" w:color="C4A050"/>
            </w:tcBorders>
            <w:shd w:val="clear" w:color="auto" w:fill="1A4A7A"/>
            <w:tcMar>
              <w:top w:w="90" w:type="dxa"/>
              <w:left w:w="120" w:type="dxa"/>
              <w:bottom w:w="90" w:type="dxa"/>
              <w:right w:w="80" w:type="dxa"/>
            </w:tcMar>
          </w:tcPr>
          <w:p w14:paraId="1554C1D7"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Economic</w:t>
            </w:r>
          </w:p>
        </w:tc>
        <w:tc>
          <w:tcPr>
            <w:tcW w:w="77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6F9D10D2" w14:textId="0CC4DDF0"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Recovery of luxury travel to pre-pandemic levels; inflation causing price increases in technology procurement; foreign exchange risk.</w:t>
            </w:r>
          </w:p>
        </w:tc>
      </w:tr>
      <w:tr w:rsidR="00C54343" w14:paraId="1C3BADCE" w14:textId="77777777">
        <w:tc>
          <w:tcPr>
            <w:tcW w:w="1600" w:type="dxa"/>
            <w:tcBorders>
              <w:top w:val="single" w:sz="1" w:space="0" w:color="C4A050"/>
              <w:left w:val="single" w:sz="1" w:space="0" w:color="C4A050"/>
              <w:bottom w:val="single" w:sz="1" w:space="0" w:color="C4A050"/>
              <w:right w:val="single" w:sz="1" w:space="0" w:color="C4A050"/>
            </w:tcBorders>
            <w:shd w:val="clear" w:color="auto" w:fill="1A5A7A"/>
            <w:tcMar>
              <w:top w:w="90" w:type="dxa"/>
              <w:left w:w="120" w:type="dxa"/>
              <w:bottom w:w="90" w:type="dxa"/>
              <w:right w:w="80" w:type="dxa"/>
            </w:tcMar>
          </w:tcPr>
          <w:p w14:paraId="19E2CAD6"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Social</w:t>
            </w:r>
          </w:p>
        </w:tc>
        <w:tc>
          <w:tcPr>
            <w:tcW w:w="7760" w:type="dxa"/>
            <w:tcBorders>
              <w:top w:val="single" w:sz="1" w:space="0" w:color="C4A050"/>
              <w:left w:val="single" w:sz="1" w:space="0" w:color="C4A050"/>
              <w:bottom w:val="single" w:sz="1" w:space="0" w:color="C4A050"/>
              <w:right w:val="single" w:sz="1" w:space="0" w:color="C4A050"/>
            </w:tcBorders>
            <w:shd w:val="clear" w:color="auto" w:fill="F7F5F0"/>
            <w:tcMar>
              <w:top w:w="90" w:type="dxa"/>
              <w:left w:w="120" w:type="dxa"/>
              <w:bottom w:w="90" w:type="dxa"/>
              <w:right w:w="80" w:type="dxa"/>
            </w:tcMar>
          </w:tcPr>
          <w:p w14:paraId="2C8C44E4" w14:textId="7817D7EA"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 xml:space="preserve">Need for personalised, sustainable travel is the main driver of growth; </w:t>
            </w:r>
            <w:r w:rsidRPr="00B95A33">
              <w:rPr>
                <w:rFonts w:ascii="Arial" w:hAnsi="Arial" w:cs="Arial"/>
                <w:sz w:val="18"/>
                <w:szCs w:val="18"/>
              </w:rPr>
              <w:t>more</w:t>
            </w:r>
            <w:r w:rsidRPr="00355900">
              <w:rPr>
                <w:rFonts w:ascii="Arial" w:hAnsi="Arial" w:cs="Arial"/>
                <w:sz w:val="18"/>
                <w:szCs w:val="18"/>
              </w:rPr>
              <w:t xml:space="preserve"> people turning digital; Diversity and Inclusion becoming part of the culture.</w:t>
            </w:r>
          </w:p>
        </w:tc>
      </w:tr>
      <w:tr w:rsidR="00C54343" w14:paraId="66550189" w14:textId="77777777">
        <w:tc>
          <w:tcPr>
            <w:tcW w:w="1600" w:type="dxa"/>
            <w:tcBorders>
              <w:top w:val="single" w:sz="1" w:space="0" w:color="C4A050"/>
              <w:left w:val="single" w:sz="1" w:space="0" w:color="C4A050"/>
              <w:bottom w:val="single" w:sz="1" w:space="0" w:color="C4A050"/>
              <w:right w:val="single" w:sz="1" w:space="0" w:color="C4A050"/>
            </w:tcBorders>
            <w:shd w:val="clear" w:color="auto" w:fill="1A3A5A"/>
            <w:tcMar>
              <w:top w:w="90" w:type="dxa"/>
              <w:left w:w="120" w:type="dxa"/>
              <w:bottom w:w="90" w:type="dxa"/>
              <w:right w:w="80" w:type="dxa"/>
            </w:tcMar>
          </w:tcPr>
          <w:p w14:paraId="38877C8C"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Technological</w:t>
            </w:r>
          </w:p>
        </w:tc>
        <w:tc>
          <w:tcPr>
            <w:tcW w:w="77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0C1CFFD" w14:textId="45C32B03"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 xml:space="preserve">Continuous and fast development of AI which, among other things, makes personalisation possible; possibility of </w:t>
            </w:r>
            <w:r w:rsidRPr="00B95A33">
              <w:rPr>
                <w:rFonts w:ascii="Arial" w:hAnsi="Arial" w:cs="Arial"/>
                <w:sz w:val="18"/>
                <w:szCs w:val="18"/>
              </w:rPr>
              <w:t>cyber-attacks</w:t>
            </w:r>
            <w:r w:rsidRPr="00355900">
              <w:rPr>
                <w:rFonts w:ascii="Arial" w:hAnsi="Arial" w:cs="Arial"/>
                <w:sz w:val="18"/>
                <w:szCs w:val="18"/>
              </w:rPr>
              <w:t>; problems related to integration of old systems.</w:t>
            </w:r>
          </w:p>
        </w:tc>
      </w:tr>
      <w:tr w:rsidR="00C54343" w14:paraId="71C92A8C" w14:textId="77777777">
        <w:tc>
          <w:tcPr>
            <w:tcW w:w="1600" w:type="dxa"/>
            <w:tcBorders>
              <w:top w:val="single" w:sz="1" w:space="0" w:color="C4A050"/>
              <w:left w:val="single" w:sz="1" w:space="0" w:color="C4A050"/>
              <w:bottom w:val="single" w:sz="1" w:space="0" w:color="C4A050"/>
              <w:right w:val="single" w:sz="1" w:space="0" w:color="C4A050"/>
            </w:tcBorders>
            <w:shd w:val="clear" w:color="auto" w:fill="1A2A5A"/>
            <w:tcMar>
              <w:top w:w="90" w:type="dxa"/>
              <w:left w:w="120" w:type="dxa"/>
              <w:bottom w:w="90" w:type="dxa"/>
              <w:right w:w="80" w:type="dxa"/>
            </w:tcMar>
          </w:tcPr>
          <w:p w14:paraId="6628E2CC"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Legal</w:t>
            </w:r>
          </w:p>
        </w:tc>
        <w:tc>
          <w:tcPr>
            <w:tcW w:w="7760" w:type="dxa"/>
            <w:tcBorders>
              <w:top w:val="single" w:sz="1" w:space="0" w:color="C4A050"/>
              <w:left w:val="single" w:sz="1" w:space="0" w:color="C4A050"/>
              <w:bottom w:val="single" w:sz="1" w:space="0" w:color="C4A050"/>
              <w:right w:val="single" w:sz="1" w:space="0" w:color="C4A050"/>
            </w:tcBorders>
            <w:shd w:val="clear" w:color="auto" w:fill="F7F5F0"/>
            <w:tcMar>
              <w:top w:w="90" w:type="dxa"/>
              <w:left w:w="120" w:type="dxa"/>
              <w:bottom w:w="90" w:type="dxa"/>
              <w:right w:w="80" w:type="dxa"/>
            </w:tcMar>
          </w:tcPr>
          <w:p w14:paraId="499199E1" w14:textId="6B55E76E"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GDPR (EU); CCPA (California); PDPA (Asia); differences in employment law; AI-related intellectual property.</w:t>
            </w:r>
          </w:p>
        </w:tc>
      </w:tr>
      <w:tr w:rsidR="00C54343" w14:paraId="200A171C" w14:textId="77777777">
        <w:tc>
          <w:tcPr>
            <w:tcW w:w="1600" w:type="dxa"/>
            <w:tcBorders>
              <w:top w:val="single" w:sz="1" w:space="0" w:color="C4A050"/>
              <w:left w:val="single" w:sz="1" w:space="0" w:color="C4A050"/>
              <w:bottom w:val="single" w:sz="1" w:space="0" w:color="C4A050"/>
              <w:right w:val="single" w:sz="1" w:space="0" w:color="C4A050"/>
            </w:tcBorders>
            <w:shd w:val="clear" w:color="auto" w:fill="0A3050"/>
            <w:tcMar>
              <w:top w:w="90" w:type="dxa"/>
              <w:left w:w="120" w:type="dxa"/>
              <w:bottom w:w="90" w:type="dxa"/>
              <w:right w:w="80" w:type="dxa"/>
            </w:tcMar>
          </w:tcPr>
          <w:p w14:paraId="4D722695" w14:textId="77777777" w:rsidR="00C54343" w:rsidRPr="00B95A33" w:rsidRDefault="00000000" w:rsidP="00FD2275">
            <w:pPr>
              <w:jc w:val="both"/>
              <w:rPr>
                <w:rFonts w:ascii="Arial" w:hAnsi="Arial" w:cs="Arial"/>
              </w:rPr>
            </w:pPr>
            <w:r w:rsidRPr="00B95A33">
              <w:rPr>
                <w:rFonts w:ascii="Arial" w:hAnsi="Arial" w:cs="Arial"/>
                <w:b/>
                <w:bCs/>
                <w:color w:val="FFFFFF"/>
                <w:sz w:val="19"/>
                <w:szCs w:val="19"/>
              </w:rPr>
              <w:t>Environmental</w:t>
            </w:r>
          </w:p>
        </w:tc>
        <w:tc>
          <w:tcPr>
            <w:tcW w:w="77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2F3F075C" w14:textId="599C62E4" w:rsidR="00C54343" w:rsidRPr="00B95A33" w:rsidRDefault="00B95A33" w:rsidP="00FD2275">
            <w:pPr>
              <w:spacing w:after="160" w:line="278" w:lineRule="auto"/>
              <w:jc w:val="both"/>
              <w:rPr>
                <w:rFonts w:ascii="Arial" w:hAnsi="Arial" w:cs="Arial"/>
                <w:sz w:val="18"/>
                <w:szCs w:val="18"/>
              </w:rPr>
            </w:pPr>
            <w:r w:rsidRPr="00355900">
              <w:rPr>
                <w:rFonts w:ascii="Arial" w:hAnsi="Arial" w:cs="Arial"/>
                <w:sz w:val="18"/>
                <w:szCs w:val="18"/>
              </w:rPr>
              <w:t>Governmental/Investor/Customer ESG demand; carbon footprint reduction goals; environmental, social and governance reporting; standards for suppliers.</w:t>
            </w:r>
          </w:p>
        </w:tc>
      </w:tr>
    </w:tbl>
    <w:p w14:paraId="3E2559F9" w14:textId="77777777" w:rsidR="00C54343" w:rsidRDefault="00C54343" w:rsidP="00FD2275">
      <w:pPr>
        <w:spacing w:before="80" w:after="80"/>
        <w:jc w:val="both"/>
      </w:pPr>
    </w:p>
    <w:p w14:paraId="34A0AC41" w14:textId="4DBA702C" w:rsidR="00C54343" w:rsidRPr="00B95A33" w:rsidRDefault="00B95A33" w:rsidP="00FD2275">
      <w:pPr>
        <w:spacing w:after="160" w:line="276" w:lineRule="auto"/>
        <w:jc w:val="both"/>
        <w:rPr>
          <w:rFonts w:ascii="Arial" w:hAnsi="Arial" w:cs="Arial"/>
        </w:rPr>
      </w:pPr>
      <w:r w:rsidRPr="00355900">
        <w:rPr>
          <w:rFonts w:ascii="Arial" w:hAnsi="Arial" w:cs="Arial"/>
        </w:rPr>
        <w:t>The legal aspect challenges LHI more than any other given the multitude of data protection laws in the different countries that LHI operates. Freeman and Reed (1983) stress that knowing the regulatory environment inside out is at the core of efficient stakeholder identification and risk management.</w:t>
      </w:r>
    </w:p>
    <w:p w14:paraId="12FD1361" w14:textId="77777777" w:rsidR="00C54343" w:rsidRPr="00B95A33" w:rsidRDefault="00000000" w:rsidP="00FD2275">
      <w:pPr>
        <w:pStyle w:val="Heading2"/>
        <w:spacing w:before="160" w:after="80" w:line="360" w:lineRule="auto"/>
        <w:jc w:val="both"/>
        <w:rPr>
          <w:rFonts w:ascii="Arial" w:hAnsi="Arial" w:cs="Arial"/>
        </w:rPr>
      </w:pPr>
      <w:bookmarkStart w:id="4" w:name="_Toc223961411"/>
      <w:r w:rsidRPr="00B95A33">
        <w:rPr>
          <w:rFonts w:ascii="Arial" w:hAnsi="Arial" w:cs="Arial"/>
        </w:rPr>
        <w:t>2.3  SMART Objectives</w:t>
      </w:r>
      <w:bookmarkEnd w:id="4"/>
    </w:p>
    <w:p w14:paraId="123F345E" w14:textId="77777777" w:rsidR="00B95A33" w:rsidRPr="00B95A33" w:rsidRDefault="00B95A33" w:rsidP="00FD2275">
      <w:pPr>
        <w:pStyle w:val="ListParagraph"/>
        <w:numPr>
          <w:ilvl w:val="0"/>
          <w:numId w:val="10"/>
        </w:numPr>
        <w:spacing w:after="160" w:line="360" w:lineRule="auto"/>
        <w:jc w:val="both"/>
        <w:rPr>
          <w:rFonts w:ascii="Arial" w:hAnsi="Arial" w:cs="Arial"/>
        </w:rPr>
      </w:pPr>
      <w:r w:rsidRPr="00B95A33">
        <w:rPr>
          <w:rFonts w:ascii="Arial" w:hAnsi="Arial" w:cs="Arial"/>
        </w:rPr>
        <w:t>Specific: Install StaySmart+ systems in 12 pilot properties located in 5 international markets before the sixth month. The integrations with the property management systems will be fully digital and seamless.</w:t>
      </w:r>
    </w:p>
    <w:p w14:paraId="433371ED" w14:textId="77777777" w:rsidR="00B95A33" w:rsidRPr="009501B4" w:rsidRDefault="00B95A33" w:rsidP="00FD2275">
      <w:pPr>
        <w:pStyle w:val="ListParagraph"/>
        <w:numPr>
          <w:ilvl w:val="0"/>
          <w:numId w:val="10"/>
        </w:numPr>
        <w:spacing w:after="160" w:line="360" w:lineRule="auto"/>
        <w:jc w:val="both"/>
        <w:rPr>
          <w:rFonts w:ascii="Arial" w:hAnsi="Arial" w:cs="Arial"/>
        </w:rPr>
      </w:pPr>
      <w:r w:rsidRPr="009501B4">
        <w:rPr>
          <w:rFonts w:ascii="Arial" w:hAnsi="Arial" w:cs="Arial"/>
        </w:rPr>
        <w:t>Measurable: Pilot properties will obtain a guest NPS increase by 15 percentage points within a quarter of a year after the launch.</w:t>
      </w:r>
    </w:p>
    <w:p w14:paraId="1ED6FE71" w14:textId="77777777" w:rsidR="00B95A33" w:rsidRPr="00B95A33" w:rsidRDefault="00B95A33" w:rsidP="00FD2275">
      <w:pPr>
        <w:pStyle w:val="ListParagraph"/>
        <w:numPr>
          <w:ilvl w:val="0"/>
          <w:numId w:val="10"/>
        </w:numPr>
        <w:spacing w:after="160" w:line="360" w:lineRule="auto"/>
        <w:jc w:val="both"/>
        <w:rPr>
          <w:rFonts w:ascii="Arial" w:hAnsi="Arial" w:cs="Arial"/>
        </w:rPr>
      </w:pPr>
      <w:r w:rsidRPr="00B95A33">
        <w:rPr>
          <w:rFonts w:ascii="Arial" w:hAnsi="Arial" w:cs="Arial"/>
        </w:rPr>
        <w:t>Achievable: With the current Langham Ideals data infrastructure, it will be possible to run 80% of AI personalisation features without having to replace the whole system.</w:t>
      </w:r>
    </w:p>
    <w:p w14:paraId="74AB7753" w14:textId="77777777" w:rsidR="00B95A33" w:rsidRPr="00B95A33" w:rsidRDefault="00B95A33" w:rsidP="00FD2275">
      <w:pPr>
        <w:pStyle w:val="ListParagraph"/>
        <w:numPr>
          <w:ilvl w:val="0"/>
          <w:numId w:val="10"/>
        </w:numPr>
        <w:spacing w:after="160" w:line="360" w:lineRule="auto"/>
        <w:jc w:val="both"/>
        <w:rPr>
          <w:rFonts w:ascii="Arial" w:hAnsi="Arial" w:cs="Arial"/>
        </w:rPr>
      </w:pPr>
      <w:r w:rsidRPr="00B95A33">
        <w:rPr>
          <w:rFonts w:ascii="Arial" w:hAnsi="Arial" w:cs="Arial"/>
        </w:rPr>
        <w:t>Relevant: At the pilot properties, through AI energy-managed rooms, decrease the energy used by 10%, thus, nearing LHI's 2030 carbon neutrality target.</w:t>
      </w:r>
    </w:p>
    <w:p w14:paraId="24CDD876" w14:textId="0EDA12F2" w:rsidR="00C54343" w:rsidRPr="00FD2275" w:rsidRDefault="00B95A33" w:rsidP="00FD2275">
      <w:pPr>
        <w:pStyle w:val="ListParagraph"/>
        <w:numPr>
          <w:ilvl w:val="0"/>
          <w:numId w:val="10"/>
        </w:numPr>
        <w:spacing w:after="160" w:line="360" w:lineRule="auto"/>
        <w:jc w:val="both"/>
        <w:rPr>
          <w:rFonts w:ascii="Arial" w:hAnsi="Arial" w:cs="Arial"/>
        </w:rPr>
      </w:pPr>
      <w:r w:rsidRPr="00B95A33">
        <w:rPr>
          <w:rFonts w:ascii="Arial" w:hAnsi="Arial" w:cs="Arial"/>
        </w:rPr>
        <w:t>Time-bound: Finish the planning of stakeholder engagement, training of personnel, and acquisition of technology in the span of the first three months of the project.</w:t>
      </w:r>
    </w:p>
    <w:p w14:paraId="01C2A5BC" w14:textId="2617AA93" w:rsidR="00C54343" w:rsidRDefault="00000000" w:rsidP="00FD2275">
      <w:pPr>
        <w:jc w:val="both"/>
      </w:pPr>
      <w:r>
        <w:br w:type="page"/>
      </w:r>
      <w:r>
        <w:rPr>
          <w:noProof/>
        </w:rPr>
        <w:lastRenderedPageBreak/>
        <w:drawing>
          <wp:inline distT="0" distB="0" distL="0" distR="0" wp14:anchorId="48C340A6" wp14:editId="46D1C5C6">
            <wp:extent cx="5886450" cy="304800"/>
            <wp:effectExtent l="0" t="0" r="0" b="0"/>
            <wp:docPr id="2035007577" name="bar_stake" descr="bar_stake" title="bar_st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0">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235CCB28" w14:textId="77777777" w:rsidR="00C54343" w:rsidRPr="00FD2275" w:rsidRDefault="00000000" w:rsidP="00FD2275">
      <w:pPr>
        <w:pStyle w:val="Heading1"/>
        <w:spacing w:before="120" w:after="80" w:line="360" w:lineRule="auto"/>
        <w:jc w:val="both"/>
        <w:rPr>
          <w:rFonts w:ascii="Arial" w:hAnsi="Arial" w:cs="Arial"/>
          <w:sz w:val="28"/>
          <w:szCs w:val="28"/>
        </w:rPr>
      </w:pPr>
      <w:bookmarkStart w:id="5" w:name="_Toc223961412"/>
      <w:r w:rsidRPr="00FD2275">
        <w:rPr>
          <w:rFonts w:ascii="Arial" w:hAnsi="Arial" w:cs="Arial"/>
          <w:sz w:val="28"/>
          <w:szCs w:val="28"/>
        </w:rPr>
        <w:t>3.  Key Stakeholders: Identification &amp; Categorisation</w:t>
      </w:r>
      <w:bookmarkEnd w:id="5"/>
    </w:p>
    <w:p w14:paraId="39EA774E" w14:textId="77777777" w:rsidR="00C54343" w:rsidRDefault="00C54343" w:rsidP="00FD2275">
      <w:pPr>
        <w:pBdr>
          <w:bottom w:val="single" w:sz="6" w:space="1" w:color="C4A050"/>
        </w:pBdr>
        <w:spacing w:before="80" w:after="80" w:line="360" w:lineRule="auto"/>
        <w:jc w:val="both"/>
      </w:pPr>
    </w:p>
    <w:p w14:paraId="72EFB789" w14:textId="77777777" w:rsidR="00C54343" w:rsidRPr="009501B4" w:rsidRDefault="00000000" w:rsidP="00FD2275">
      <w:pPr>
        <w:pStyle w:val="Heading2"/>
        <w:spacing w:before="160" w:after="80" w:line="360" w:lineRule="auto"/>
        <w:jc w:val="both"/>
        <w:rPr>
          <w:rFonts w:ascii="Arial" w:hAnsi="Arial" w:cs="Arial"/>
        </w:rPr>
      </w:pPr>
      <w:bookmarkStart w:id="6" w:name="_Toc223961413"/>
      <w:r w:rsidRPr="009501B4">
        <w:rPr>
          <w:rFonts w:ascii="Arial" w:hAnsi="Arial" w:cs="Arial"/>
        </w:rPr>
        <w:t>3.1  Internal Stakeholders</w:t>
      </w:r>
      <w:bookmarkEnd w:id="6"/>
    </w:p>
    <w:p w14:paraId="38EC88D5" w14:textId="77777777" w:rsidR="009501B4" w:rsidRPr="009501B4" w:rsidRDefault="009501B4" w:rsidP="00FD2275">
      <w:pPr>
        <w:spacing w:after="160" w:line="360" w:lineRule="auto"/>
        <w:jc w:val="both"/>
        <w:rPr>
          <w:rFonts w:ascii="Arial" w:hAnsi="Arial" w:cs="Arial"/>
        </w:rPr>
      </w:pPr>
      <w:r w:rsidRPr="009501B4">
        <w:rPr>
          <w:rFonts w:ascii="Arial" w:hAnsi="Arial" w:cs="Arial"/>
        </w:rPr>
        <w:t>Freeman (1984) stakeholder theory essentially considers stakeholders to be "any group or individual who can influence or be influenced by the achievement of the organisation's objectives." The internal stakeholders mentioned below are the principal players at StaySmart+:</w:t>
      </w:r>
    </w:p>
    <w:p w14:paraId="71D3C81D"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Senior Leadership and Board of Directors are setting the strategic direction, deciding on resourcing and are overall accountable for corporate governance.</w:t>
      </w:r>
    </w:p>
    <w:p w14:paraId="3C1524D5"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Product Development Team invent the AI conversational devices, personalisation algorithms and sustainability features.</w:t>
      </w:r>
    </w:p>
    <w:p w14:paraId="281AA184"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Marketing and Sales Department deal with brand positioning, go-to-market communications and revenue strategy.</w:t>
      </w:r>
    </w:p>
    <w:p w14:paraId="61E0024B"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 xml:space="preserve">Hotel Operations Managers / GMs are the ones to implement the service at the </w:t>
      </w:r>
      <w:proofErr w:type="gramStart"/>
      <w:r w:rsidRPr="00355900">
        <w:rPr>
          <w:rFonts w:ascii="Arial" w:hAnsi="Arial" w:cs="Arial"/>
        </w:rPr>
        <w:t>property</w:t>
      </w:r>
      <w:proofErr w:type="gramEnd"/>
      <w:r w:rsidRPr="00355900">
        <w:rPr>
          <w:rFonts w:ascii="Arial" w:hAnsi="Arial" w:cs="Arial"/>
        </w:rPr>
        <w:t xml:space="preserve"> and they also liaise between hotel strategy and execution.</w:t>
      </w:r>
    </w:p>
    <w:p w14:paraId="418C5D93" w14:textId="4C5F9CA2"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 xml:space="preserve">IT and Technology Department </w:t>
      </w:r>
      <w:r w:rsidR="00FD2275" w:rsidRPr="00355900">
        <w:rPr>
          <w:rFonts w:ascii="Arial" w:hAnsi="Arial" w:cs="Arial"/>
        </w:rPr>
        <w:t>oversee</w:t>
      </w:r>
      <w:r w:rsidRPr="00355900">
        <w:rPr>
          <w:rFonts w:ascii="Arial" w:hAnsi="Arial" w:cs="Arial"/>
        </w:rPr>
        <w:t xml:space="preserve"> system integration, cybersecurity and providing technical support on a regular basis.</w:t>
      </w:r>
    </w:p>
    <w:p w14:paraId="48055881"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Human Resources and Training design the staff change management and readiness programs.</w:t>
      </w:r>
    </w:p>
    <w:p w14:paraId="06C4B548" w14:textId="20007F28" w:rsidR="00C54343" w:rsidRDefault="009501B4" w:rsidP="00FD2275">
      <w:pPr>
        <w:pStyle w:val="ListParagraph"/>
        <w:numPr>
          <w:ilvl w:val="0"/>
          <w:numId w:val="2"/>
        </w:numPr>
        <w:spacing w:before="80" w:after="80" w:line="360" w:lineRule="auto"/>
        <w:jc w:val="both"/>
      </w:pPr>
      <w:r w:rsidRPr="009501B4">
        <w:rPr>
          <w:rFonts w:ascii="Arial" w:hAnsi="Arial" w:cs="Arial"/>
        </w:rPr>
        <w:t>Finance and Procurement manage the budget, vendor contracts and ROI analysis.</w:t>
      </w:r>
    </w:p>
    <w:p w14:paraId="436B472D" w14:textId="77777777" w:rsidR="00C54343" w:rsidRDefault="00000000" w:rsidP="00FD2275">
      <w:pPr>
        <w:pStyle w:val="Heading2"/>
        <w:spacing w:before="160" w:after="80" w:line="360" w:lineRule="auto"/>
        <w:jc w:val="both"/>
      </w:pPr>
      <w:bookmarkStart w:id="7" w:name="_Toc223961414"/>
      <w:r w:rsidRPr="009501B4">
        <w:rPr>
          <w:rFonts w:ascii="Arial" w:hAnsi="Arial" w:cs="Arial"/>
        </w:rPr>
        <w:t>3.2</w:t>
      </w:r>
      <w:r>
        <w:t xml:space="preserve">  </w:t>
      </w:r>
      <w:r w:rsidRPr="009501B4">
        <w:rPr>
          <w:rFonts w:ascii="Arial" w:hAnsi="Arial" w:cs="Arial"/>
        </w:rPr>
        <w:t>External Stakeholders</w:t>
      </w:r>
      <w:bookmarkEnd w:id="7"/>
    </w:p>
    <w:p w14:paraId="288BB12B" w14:textId="77777777" w:rsidR="009501B4" w:rsidRPr="009501B4" w:rsidRDefault="009501B4" w:rsidP="00FD2275">
      <w:pPr>
        <w:spacing w:after="160" w:line="360" w:lineRule="auto"/>
        <w:jc w:val="both"/>
        <w:rPr>
          <w:rFonts w:ascii="Arial" w:hAnsi="Arial" w:cs="Arial"/>
        </w:rPr>
      </w:pPr>
      <w:r w:rsidRPr="009501B4">
        <w:rPr>
          <w:rFonts w:ascii="Arial" w:hAnsi="Arial" w:cs="Arial"/>
        </w:rPr>
        <w:t>Using power, legitimacy, and urgency as metrics, Mitchell, Agle, and Wood's (1997) framework of stakeholder salience which distinguishes stakeholder groups is used to identify external stakeholders here:</w:t>
      </w:r>
    </w:p>
    <w:p w14:paraId="1372A128"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Guests and Customers are the major beneficiaries who determine the commercial success by their adoption and satisfaction.</w:t>
      </w:r>
    </w:p>
    <w:p w14:paraId="65207610"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Technology Partners (AI vendors, app developers) are providing the technical capabilities without which the service could not exist.</w:t>
      </w:r>
    </w:p>
    <w:p w14:paraId="1AF52231"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Regulatory and Governmental Bodies (ICO, EU data authorities) are the ones who set the rules and ensure compliance across different jurisdictions.</w:t>
      </w:r>
    </w:p>
    <w:p w14:paraId="7755AAE0" w14:textId="77777777" w:rsidR="009501B4" w:rsidRPr="009501B4" w:rsidRDefault="009501B4" w:rsidP="00FD2275">
      <w:pPr>
        <w:pStyle w:val="ListParagraph"/>
        <w:numPr>
          <w:ilvl w:val="0"/>
          <w:numId w:val="2"/>
        </w:numPr>
        <w:spacing w:before="70" w:after="70" w:line="360" w:lineRule="auto"/>
        <w:jc w:val="both"/>
      </w:pPr>
      <w:r w:rsidRPr="00355900">
        <w:rPr>
          <w:rFonts w:ascii="Arial" w:hAnsi="Arial" w:cs="Arial"/>
        </w:rPr>
        <w:t>Investors and Shareholders look for confirmations that the business is commercially viable and that risks are adequately managed.</w:t>
      </w:r>
    </w:p>
    <w:p w14:paraId="7A1617AD" w14:textId="506EDF93" w:rsidR="00C54343" w:rsidRDefault="009501B4" w:rsidP="00FD2275">
      <w:pPr>
        <w:pStyle w:val="ListParagraph"/>
        <w:numPr>
          <w:ilvl w:val="0"/>
          <w:numId w:val="2"/>
        </w:numPr>
        <w:spacing w:before="70" w:after="70" w:line="360" w:lineRule="auto"/>
        <w:jc w:val="both"/>
      </w:pPr>
      <w:r w:rsidRPr="00355900">
        <w:rPr>
          <w:rFonts w:ascii="Arial" w:hAnsi="Arial" w:cs="Arial"/>
        </w:rPr>
        <w:lastRenderedPageBreak/>
        <w:t xml:space="preserve">Local Communities are directly impacted by the changes in employment and environment </w:t>
      </w:r>
      <w:proofErr w:type="gramStart"/>
      <w:r w:rsidRPr="00355900">
        <w:rPr>
          <w:rFonts w:ascii="Arial" w:hAnsi="Arial" w:cs="Arial"/>
        </w:rPr>
        <w:t>as a result of</w:t>
      </w:r>
      <w:proofErr w:type="gramEnd"/>
      <w:r w:rsidRPr="00355900">
        <w:rPr>
          <w:rFonts w:ascii="Arial" w:hAnsi="Arial" w:cs="Arial"/>
        </w:rPr>
        <w:t xml:space="preserve"> increased operations.</w:t>
      </w:r>
    </w:p>
    <w:p w14:paraId="3C97347F" w14:textId="77777777" w:rsidR="00C54343" w:rsidRPr="003D7631" w:rsidRDefault="00000000" w:rsidP="00FD2275">
      <w:pPr>
        <w:pStyle w:val="Heading2"/>
        <w:spacing w:before="160" w:after="80" w:line="360" w:lineRule="auto"/>
        <w:jc w:val="both"/>
        <w:rPr>
          <w:rFonts w:ascii="Arial" w:hAnsi="Arial" w:cs="Arial"/>
        </w:rPr>
      </w:pPr>
      <w:bookmarkStart w:id="8" w:name="_Toc223961415"/>
      <w:r w:rsidRPr="003D7631">
        <w:rPr>
          <w:rFonts w:ascii="Arial" w:hAnsi="Arial" w:cs="Arial"/>
        </w:rPr>
        <w:t>3.3  Stakeholder Power-Interest Matrix</w:t>
      </w:r>
      <w:bookmarkEnd w:id="8"/>
    </w:p>
    <w:p w14:paraId="2DBC825C" w14:textId="041A4F9D" w:rsidR="00C54343" w:rsidRPr="00D65627" w:rsidRDefault="00D65627" w:rsidP="00FD2275">
      <w:pPr>
        <w:spacing w:after="160" w:line="360" w:lineRule="auto"/>
        <w:jc w:val="both"/>
        <w:rPr>
          <w:rFonts w:ascii="Arial" w:hAnsi="Arial" w:cs="Arial"/>
        </w:rPr>
      </w:pPr>
      <w:r w:rsidRPr="006E6BA6">
        <w:rPr>
          <w:rFonts w:ascii="Arial" w:hAnsi="Arial" w:cs="Arial"/>
        </w:rPr>
        <w:t>The Power-Interest Matrix by Mendelow (1991) divides stakeholders into four strategic quadrants to help decide the priority of engagement: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93"/>
        <w:gridCol w:w="1307"/>
        <w:gridCol w:w="1500"/>
        <w:gridCol w:w="3860"/>
      </w:tblGrid>
      <w:tr w:rsidR="00C54343" w14:paraId="0C462CBA" w14:textId="77777777" w:rsidTr="009501B4">
        <w:trPr>
          <w:tblHeader/>
        </w:trPr>
        <w:tc>
          <w:tcPr>
            <w:tcW w:w="2693"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33E1DAB7" w14:textId="77777777" w:rsidR="00C54343" w:rsidRPr="003D7631" w:rsidRDefault="00000000" w:rsidP="00FD2275">
            <w:pPr>
              <w:jc w:val="both"/>
              <w:rPr>
                <w:rFonts w:ascii="Arial" w:hAnsi="Arial" w:cs="Arial"/>
              </w:rPr>
            </w:pPr>
            <w:r w:rsidRPr="003D7631">
              <w:rPr>
                <w:rFonts w:ascii="Arial" w:hAnsi="Arial" w:cs="Arial"/>
                <w:b/>
                <w:bCs/>
                <w:color w:val="FFFFFF"/>
              </w:rPr>
              <w:t>Stakeholder</w:t>
            </w:r>
          </w:p>
        </w:tc>
        <w:tc>
          <w:tcPr>
            <w:tcW w:w="1307"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7A906968" w14:textId="77777777" w:rsidR="00C54343" w:rsidRPr="003D7631" w:rsidRDefault="00000000" w:rsidP="00FD2275">
            <w:pPr>
              <w:jc w:val="both"/>
              <w:rPr>
                <w:rFonts w:ascii="Arial" w:hAnsi="Arial" w:cs="Arial"/>
              </w:rPr>
            </w:pPr>
            <w:r w:rsidRPr="003D7631">
              <w:rPr>
                <w:rFonts w:ascii="Arial" w:hAnsi="Arial" w:cs="Arial"/>
                <w:b/>
                <w:bCs/>
                <w:color w:val="FFFFFF"/>
              </w:rPr>
              <w:t>Interest</w:t>
            </w:r>
          </w:p>
        </w:tc>
        <w:tc>
          <w:tcPr>
            <w:tcW w:w="1500"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1128AD33" w14:textId="77777777" w:rsidR="00C54343" w:rsidRPr="003D7631" w:rsidRDefault="00000000" w:rsidP="00FD2275">
            <w:pPr>
              <w:jc w:val="both"/>
              <w:rPr>
                <w:rFonts w:ascii="Arial" w:hAnsi="Arial" w:cs="Arial"/>
              </w:rPr>
            </w:pPr>
            <w:r w:rsidRPr="003D7631">
              <w:rPr>
                <w:rFonts w:ascii="Arial" w:hAnsi="Arial" w:cs="Arial"/>
                <w:b/>
                <w:bCs/>
                <w:color w:val="FFFFFF"/>
              </w:rPr>
              <w:t>Influence</w:t>
            </w:r>
          </w:p>
        </w:tc>
        <w:tc>
          <w:tcPr>
            <w:tcW w:w="3860" w:type="dxa"/>
            <w:tcBorders>
              <w:top w:val="single" w:sz="1" w:space="0" w:color="C4A050"/>
              <w:left w:val="single" w:sz="1" w:space="0" w:color="C4A050"/>
              <w:bottom w:val="single" w:sz="1" w:space="0" w:color="C4A050"/>
              <w:right w:val="single" w:sz="1" w:space="0" w:color="C4A050"/>
            </w:tcBorders>
            <w:shd w:val="clear" w:color="auto" w:fill="12182A"/>
            <w:tcMar>
              <w:top w:w="100" w:type="dxa"/>
              <w:left w:w="120" w:type="dxa"/>
              <w:bottom w:w="100" w:type="dxa"/>
              <w:right w:w="80" w:type="dxa"/>
            </w:tcMar>
          </w:tcPr>
          <w:p w14:paraId="60893F17" w14:textId="77777777" w:rsidR="00C54343" w:rsidRPr="003D7631" w:rsidRDefault="00000000" w:rsidP="00FD2275">
            <w:pPr>
              <w:jc w:val="both"/>
              <w:rPr>
                <w:rFonts w:ascii="Arial" w:hAnsi="Arial" w:cs="Arial"/>
              </w:rPr>
            </w:pPr>
            <w:r w:rsidRPr="003D7631">
              <w:rPr>
                <w:rFonts w:ascii="Arial" w:hAnsi="Arial" w:cs="Arial"/>
                <w:b/>
                <w:bCs/>
                <w:color w:val="FFFFFF"/>
              </w:rPr>
              <w:t>Engagement Strategy</w:t>
            </w:r>
          </w:p>
        </w:tc>
      </w:tr>
      <w:tr w:rsidR="00C54343" w14:paraId="35CBBE62"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7B2E871A"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Senior Leadership / Board</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4301DEBD"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39CAE0E3"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37223158"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Manage Closely</w:t>
            </w:r>
          </w:p>
        </w:tc>
      </w:tr>
      <w:tr w:rsidR="00C54343" w14:paraId="3A5062E2" w14:textId="77777777" w:rsidTr="009501B4">
        <w:trPr>
          <w:trHeight w:val="229"/>
        </w:trPr>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64537F08"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Product Development Team</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723D300B"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3069038B"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7B9B48D" w14:textId="683F17DC" w:rsidR="009501B4" w:rsidRPr="003D7631" w:rsidRDefault="00000000" w:rsidP="00FD2275">
            <w:pPr>
              <w:jc w:val="both"/>
              <w:rPr>
                <w:rFonts w:ascii="Arial" w:hAnsi="Arial" w:cs="Arial"/>
                <w:b/>
                <w:bCs/>
                <w:color w:val="12182A"/>
                <w:sz w:val="18"/>
                <w:szCs w:val="18"/>
              </w:rPr>
            </w:pPr>
            <w:r w:rsidRPr="003D7631">
              <w:rPr>
                <w:rFonts w:ascii="Arial" w:hAnsi="Arial" w:cs="Arial"/>
                <w:b/>
                <w:bCs/>
                <w:color w:val="12182A"/>
                <w:sz w:val="18"/>
                <w:szCs w:val="18"/>
              </w:rPr>
              <w:t>Manage Closely</w:t>
            </w:r>
          </w:p>
        </w:tc>
      </w:tr>
      <w:tr w:rsidR="00C54343" w14:paraId="78D30B0B"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38EE53E4"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Marketing &amp; Sales</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2A1518DD"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06679142"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4E3C4294"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Manage Closely</w:t>
            </w:r>
          </w:p>
        </w:tc>
      </w:tr>
      <w:tr w:rsidR="00C54343" w14:paraId="4296F374"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535B98AF"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Hotel Operations / GMs</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7BFD5CCB"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1DDD52D"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7647FBE2"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Manage Closely</w:t>
            </w:r>
          </w:p>
        </w:tc>
      </w:tr>
      <w:tr w:rsidR="00C54343" w14:paraId="4570F21A"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340687C7"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IT &amp; Technology Team</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7993A093"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2F842BF4"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7C96EF8D"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Manage Closely</w:t>
            </w:r>
          </w:p>
        </w:tc>
      </w:tr>
      <w:tr w:rsidR="00C54343" w14:paraId="25222FD1"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1904AF48"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HR &amp; Training</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63C51CD8"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1BF07372" w14:textId="77777777" w:rsidR="00C54343" w:rsidRPr="003D7631" w:rsidRDefault="00000000" w:rsidP="00FD2275">
            <w:pPr>
              <w:jc w:val="both"/>
              <w:rPr>
                <w:rFonts w:ascii="Arial" w:hAnsi="Arial" w:cs="Arial"/>
                <w:sz w:val="18"/>
                <w:szCs w:val="18"/>
              </w:rPr>
            </w:pPr>
            <w:r w:rsidRPr="003D7631">
              <w:rPr>
                <w:rFonts w:ascii="Arial" w:hAnsi="Arial" w:cs="Arial"/>
                <w:b/>
                <w:bCs/>
                <w:color w:val="7A4E00"/>
                <w:sz w:val="18"/>
                <w:szCs w:val="18"/>
              </w:rPr>
              <w:t>Medium</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7289A23F"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Keep Informed</w:t>
            </w:r>
          </w:p>
        </w:tc>
      </w:tr>
      <w:tr w:rsidR="00C54343" w14:paraId="631EF297"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2B91322E"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Finance &amp; Procurement</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7C3ECC99" w14:textId="77777777" w:rsidR="00C54343" w:rsidRPr="003D7631" w:rsidRDefault="00000000" w:rsidP="00FD2275">
            <w:pPr>
              <w:jc w:val="both"/>
              <w:rPr>
                <w:rFonts w:ascii="Arial" w:hAnsi="Arial" w:cs="Arial"/>
                <w:sz w:val="18"/>
                <w:szCs w:val="18"/>
              </w:rPr>
            </w:pPr>
            <w:r w:rsidRPr="003D7631">
              <w:rPr>
                <w:rFonts w:ascii="Arial" w:hAnsi="Arial" w:cs="Arial"/>
                <w:b/>
                <w:bCs/>
                <w:color w:val="7A4E00"/>
                <w:sz w:val="18"/>
                <w:szCs w:val="18"/>
              </w:rPr>
              <w:t>Medium</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103C0B23"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6A83F370"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Keep Satisfied</w:t>
            </w:r>
          </w:p>
        </w:tc>
      </w:tr>
      <w:tr w:rsidR="00C54343" w14:paraId="0D93CA8A"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354D8211"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Guests / Customers</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79839FA3"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9902BC5" w14:textId="77777777" w:rsidR="00C54343" w:rsidRPr="003D7631" w:rsidRDefault="00000000" w:rsidP="00FD2275">
            <w:pPr>
              <w:jc w:val="both"/>
              <w:rPr>
                <w:rFonts w:ascii="Arial" w:hAnsi="Arial" w:cs="Arial"/>
                <w:sz w:val="18"/>
                <w:szCs w:val="18"/>
              </w:rPr>
            </w:pPr>
            <w:r w:rsidRPr="003D7631">
              <w:rPr>
                <w:rFonts w:ascii="Arial" w:hAnsi="Arial" w:cs="Arial"/>
                <w:b/>
                <w:bCs/>
                <w:color w:val="7A4E00"/>
                <w:sz w:val="18"/>
                <w:szCs w:val="18"/>
              </w:rPr>
              <w:t>Medium</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3AEC12A3"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Keep Informed</w:t>
            </w:r>
          </w:p>
        </w:tc>
      </w:tr>
      <w:tr w:rsidR="00C54343" w14:paraId="640ADE09"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79CDC302"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Technology Partners</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65BF0A60"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6CFDFF61"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673B2BC4"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Manage Closely</w:t>
            </w:r>
          </w:p>
        </w:tc>
      </w:tr>
      <w:tr w:rsidR="00C54343" w14:paraId="347CF3B4"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0FF4E553"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Regulatory Bodies</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10E63C4" w14:textId="77777777" w:rsidR="00C54343" w:rsidRPr="003D7631" w:rsidRDefault="00000000" w:rsidP="00FD2275">
            <w:pPr>
              <w:jc w:val="both"/>
              <w:rPr>
                <w:rFonts w:ascii="Arial" w:hAnsi="Arial" w:cs="Arial"/>
                <w:sz w:val="18"/>
                <w:szCs w:val="18"/>
              </w:rPr>
            </w:pPr>
            <w:r w:rsidRPr="003D7631">
              <w:rPr>
                <w:rFonts w:ascii="Arial" w:hAnsi="Arial" w:cs="Arial"/>
                <w:b/>
                <w:bCs/>
                <w:color w:val="7A4E00"/>
                <w:sz w:val="18"/>
                <w:szCs w:val="18"/>
              </w:rPr>
              <w:t>Medium</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60161C09"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B3E6A33"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Keep Satisfied</w:t>
            </w:r>
          </w:p>
        </w:tc>
      </w:tr>
      <w:tr w:rsidR="00C54343" w14:paraId="13BC28D8"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DE8DE"/>
            <w:tcMar>
              <w:top w:w="90" w:type="dxa"/>
              <w:left w:w="120" w:type="dxa"/>
              <w:bottom w:w="90" w:type="dxa"/>
              <w:right w:w="80" w:type="dxa"/>
            </w:tcMar>
          </w:tcPr>
          <w:p w14:paraId="389E1DAD"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Investors / Shareholders</w:t>
            </w:r>
          </w:p>
        </w:tc>
        <w:tc>
          <w:tcPr>
            <w:tcW w:w="1307"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24E55529" w14:textId="77777777" w:rsidR="00C54343" w:rsidRPr="003D7631" w:rsidRDefault="00000000" w:rsidP="00FD2275">
            <w:pPr>
              <w:jc w:val="both"/>
              <w:rPr>
                <w:rFonts w:ascii="Arial" w:hAnsi="Arial" w:cs="Arial"/>
                <w:sz w:val="18"/>
                <w:szCs w:val="18"/>
              </w:rPr>
            </w:pPr>
            <w:r w:rsidRPr="003D7631">
              <w:rPr>
                <w:rFonts w:ascii="Arial" w:hAnsi="Arial" w:cs="Arial"/>
                <w:b/>
                <w:bCs/>
                <w:color w:val="7A4E00"/>
                <w:sz w:val="18"/>
                <w:szCs w:val="18"/>
              </w:rPr>
              <w:t>Medium</w:t>
            </w:r>
          </w:p>
        </w:tc>
        <w:tc>
          <w:tcPr>
            <w:tcW w:w="150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0D00BB2C" w14:textId="77777777" w:rsidR="00C54343" w:rsidRPr="003D7631" w:rsidRDefault="00000000" w:rsidP="00FD2275">
            <w:pPr>
              <w:jc w:val="both"/>
              <w:rPr>
                <w:rFonts w:ascii="Arial" w:hAnsi="Arial" w:cs="Arial"/>
                <w:sz w:val="18"/>
                <w:szCs w:val="18"/>
              </w:rPr>
            </w:pPr>
            <w:r w:rsidRPr="003D7631">
              <w:rPr>
                <w:rFonts w:ascii="Arial" w:hAnsi="Arial" w:cs="Arial"/>
                <w:b/>
                <w:bCs/>
                <w:color w:val="1A5C2E"/>
                <w:sz w:val="18"/>
                <w:szCs w:val="18"/>
              </w:rPr>
              <w:t>High</w:t>
            </w:r>
          </w:p>
        </w:tc>
        <w:tc>
          <w:tcPr>
            <w:tcW w:w="3860" w:type="dxa"/>
            <w:tcBorders>
              <w:top w:val="single" w:sz="1" w:space="0" w:color="C4A050"/>
              <w:left w:val="single" w:sz="1" w:space="0" w:color="C4A050"/>
              <w:bottom w:val="single" w:sz="1" w:space="0" w:color="C4A050"/>
              <w:right w:val="single" w:sz="1" w:space="0" w:color="C4A050"/>
            </w:tcBorders>
            <w:shd w:val="clear" w:color="auto" w:fill="F9F7F2"/>
            <w:tcMar>
              <w:top w:w="90" w:type="dxa"/>
              <w:left w:w="120" w:type="dxa"/>
              <w:bottom w:w="90" w:type="dxa"/>
              <w:right w:w="80" w:type="dxa"/>
            </w:tcMar>
          </w:tcPr>
          <w:p w14:paraId="70194014"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Keep Satisfied</w:t>
            </w:r>
          </w:p>
        </w:tc>
      </w:tr>
      <w:tr w:rsidR="00C54343" w14:paraId="1ACFA098" w14:textId="77777777" w:rsidTr="009501B4">
        <w:tc>
          <w:tcPr>
            <w:tcW w:w="2693" w:type="dxa"/>
            <w:tcBorders>
              <w:top w:val="single" w:sz="1" w:space="0" w:color="C4A050"/>
              <w:left w:val="single" w:sz="1" w:space="0" w:color="C4A050"/>
              <w:bottom w:val="single" w:sz="1" w:space="0" w:color="C4A050"/>
              <w:right w:val="single" w:sz="1" w:space="0" w:color="C4A050"/>
            </w:tcBorders>
            <w:shd w:val="clear" w:color="auto" w:fill="E5DFD2"/>
            <w:tcMar>
              <w:top w:w="90" w:type="dxa"/>
              <w:left w:w="120" w:type="dxa"/>
              <w:bottom w:w="90" w:type="dxa"/>
              <w:right w:w="80" w:type="dxa"/>
            </w:tcMar>
          </w:tcPr>
          <w:p w14:paraId="34779766" w14:textId="77777777" w:rsidR="00C54343" w:rsidRPr="003D7631" w:rsidRDefault="00000000" w:rsidP="00FD2275">
            <w:pPr>
              <w:jc w:val="both"/>
              <w:rPr>
                <w:rFonts w:ascii="Arial" w:hAnsi="Arial" w:cs="Arial"/>
                <w:sz w:val="18"/>
                <w:szCs w:val="18"/>
              </w:rPr>
            </w:pPr>
            <w:r w:rsidRPr="003D7631">
              <w:rPr>
                <w:rFonts w:ascii="Arial" w:hAnsi="Arial" w:cs="Arial"/>
                <w:b/>
                <w:bCs/>
                <w:color w:val="12182A"/>
                <w:sz w:val="18"/>
                <w:szCs w:val="18"/>
              </w:rPr>
              <w:t>Local Communities</w:t>
            </w:r>
          </w:p>
        </w:tc>
        <w:tc>
          <w:tcPr>
            <w:tcW w:w="1307"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6AF7EEFB" w14:textId="77777777" w:rsidR="00C54343" w:rsidRPr="003D7631" w:rsidRDefault="00000000" w:rsidP="00FD2275">
            <w:pPr>
              <w:jc w:val="both"/>
              <w:rPr>
                <w:rFonts w:ascii="Arial" w:hAnsi="Arial" w:cs="Arial"/>
                <w:sz w:val="18"/>
                <w:szCs w:val="18"/>
              </w:rPr>
            </w:pPr>
            <w:r w:rsidRPr="003D7631">
              <w:rPr>
                <w:rFonts w:ascii="Arial" w:hAnsi="Arial" w:cs="Arial"/>
                <w:b/>
                <w:bCs/>
                <w:color w:val="555E6B"/>
                <w:sz w:val="18"/>
                <w:szCs w:val="18"/>
              </w:rPr>
              <w:t>Low</w:t>
            </w:r>
          </w:p>
        </w:tc>
        <w:tc>
          <w:tcPr>
            <w:tcW w:w="150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44980599" w14:textId="77777777" w:rsidR="00C54343" w:rsidRPr="003D7631" w:rsidRDefault="00000000" w:rsidP="00FD2275">
            <w:pPr>
              <w:jc w:val="both"/>
              <w:rPr>
                <w:rFonts w:ascii="Arial" w:hAnsi="Arial" w:cs="Arial"/>
                <w:sz w:val="18"/>
                <w:szCs w:val="18"/>
              </w:rPr>
            </w:pPr>
            <w:r w:rsidRPr="003D7631">
              <w:rPr>
                <w:rFonts w:ascii="Arial" w:hAnsi="Arial" w:cs="Arial"/>
                <w:b/>
                <w:bCs/>
                <w:color w:val="555E6B"/>
                <w:sz w:val="18"/>
                <w:szCs w:val="18"/>
              </w:rPr>
              <w:t>Low</w:t>
            </w:r>
          </w:p>
        </w:tc>
        <w:tc>
          <w:tcPr>
            <w:tcW w:w="3860" w:type="dxa"/>
            <w:tcBorders>
              <w:top w:val="single" w:sz="1" w:space="0" w:color="C4A050"/>
              <w:left w:val="single" w:sz="1" w:space="0" w:color="C4A050"/>
              <w:bottom w:val="single" w:sz="1" w:space="0" w:color="C4A050"/>
              <w:right w:val="single" w:sz="1" w:space="0" w:color="C4A050"/>
            </w:tcBorders>
            <w:shd w:val="clear" w:color="auto" w:fill="FFFFFF"/>
            <w:tcMar>
              <w:top w:w="90" w:type="dxa"/>
              <w:left w:w="120" w:type="dxa"/>
              <w:bottom w:w="90" w:type="dxa"/>
              <w:right w:w="80" w:type="dxa"/>
            </w:tcMar>
          </w:tcPr>
          <w:p w14:paraId="171BA683" w14:textId="77777777" w:rsidR="00C54343" w:rsidRPr="003D7631" w:rsidRDefault="00000000" w:rsidP="00FD2275">
            <w:pPr>
              <w:jc w:val="both"/>
              <w:rPr>
                <w:rFonts w:ascii="Arial" w:hAnsi="Arial" w:cs="Arial"/>
                <w:sz w:val="18"/>
                <w:szCs w:val="18"/>
              </w:rPr>
            </w:pPr>
            <w:r w:rsidRPr="003D7631">
              <w:rPr>
                <w:rFonts w:ascii="Arial" w:hAnsi="Arial" w:cs="Arial"/>
                <w:color w:val="12182A"/>
                <w:sz w:val="18"/>
                <w:szCs w:val="18"/>
              </w:rPr>
              <w:t>Monitor</w:t>
            </w:r>
          </w:p>
        </w:tc>
      </w:tr>
    </w:tbl>
    <w:p w14:paraId="2A50B91E" w14:textId="77777777" w:rsidR="00C54343" w:rsidRDefault="00C54343" w:rsidP="00FD2275">
      <w:pPr>
        <w:spacing w:before="100" w:after="100"/>
        <w:jc w:val="both"/>
      </w:pPr>
    </w:p>
    <w:p w14:paraId="75DA7BD4" w14:textId="0C06B2D8" w:rsidR="00C54343" w:rsidRDefault="00000000" w:rsidP="00FD2275">
      <w:pPr>
        <w:spacing w:before="80" w:after="80" w:line="360" w:lineRule="auto"/>
        <w:jc w:val="both"/>
      </w:pPr>
      <w:r>
        <w:rPr>
          <w:noProof/>
        </w:rPr>
        <w:drawing>
          <wp:inline distT="0" distB="0" distL="0" distR="0" wp14:anchorId="1BA21014" wp14:editId="334F8AAF">
            <wp:extent cx="4762500" cy="3400425"/>
            <wp:effectExtent l="0" t="0" r="0" b="0"/>
            <wp:docPr id="1841719136" name="matrix" descr="matrix" title="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762500" cy="3400425"/>
                    </a:xfrm>
                    <a:prstGeom prst="rect">
                      <a:avLst/>
                    </a:prstGeom>
                  </pic:spPr>
                </pic:pic>
              </a:graphicData>
            </a:graphic>
          </wp:inline>
        </w:drawing>
      </w:r>
      <w:r w:rsidR="00D65627">
        <w:t>a</w:t>
      </w:r>
    </w:p>
    <w:p w14:paraId="59CD5C3D" w14:textId="77777777" w:rsidR="00C54343" w:rsidRPr="00D65627" w:rsidRDefault="00000000" w:rsidP="00FD2275">
      <w:pPr>
        <w:spacing w:before="20" w:after="80" w:line="360" w:lineRule="auto"/>
        <w:jc w:val="both"/>
        <w:rPr>
          <w:rFonts w:ascii="Arial" w:hAnsi="Arial" w:cs="Arial"/>
        </w:rPr>
      </w:pPr>
      <w:r w:rsidRPr="00D65627">
        <w:rPr>
          <w:rFonts w:ascii="Arial" w:hAnsi="Arial" w:cs="Arial"/>
          <w:i/>
          <w:iCs/>
          <w:color w:val="555E6B"/>
          <w:sz w:val="18"/>
          <w:szCs w:val="18"/>
        </w:rPr>
        <w:t>Figure 1: Stakeholder Power-Interest Matrix — StaySmart+ Project</w:t>
      </w:r>
    </w:p>
    <w:p w14:paraId="7CB8A7B3" w14:textId="29DB4CFB" w:rsidR="00C54343" w:rsidRDefault="00D65627" w:rsidP="00FD2275">
      <w:pPr>
        <w:spacing w:after="160" w:line="360" w:lineRule="auto"/>
        <w:jc w:val="both"/>
        <w:rPr>
          <w:rFonts w:ascii="Arial" w:hAnsi="Arial" w:cs="Arial"/>
        </w:rPr>
      </w:pPr>
      <w:r w:rsidRPr="006E6BA6">
        <w:rPr>
          <w:rFonts w:ascii="Arial" w:hAnsi="Arial" w:cs="Arial"/>
        </w:rPr>
        <w:lastRenderedPageBreak/>
        <w:t>According to this matrix, the project staff's efforts and resource input are matched to stakeholder salience (Bourne, 2016).</w:t>
      </w:r>
    </w:p>
    <w:p w14:paraId="7040F6E7" w14:textId="77777777" w:rsidR="00D65627" w:rsidRPr="00D65627" w:rsidRDefault="00D65627" w:rsidP="00FD2275">
      <w:pPr>
        <w:spacing w:after="160" w:line="278" w:lineRule="auto"/>
        <w:jc w:val="both"/>
        <w:rPr>
          <w:rFonts w:ascii="Arial" w:hAnsi="Arial" w:cs="Arial"/>
        </w:rPr>
      </w:pPr>
    </w:p>
    <w:p w14:paraId="3811D29E" w14:textId="62F4318A" w:rsidR="00C54343" w:rsidRDefault="00000000" w:rsidP="00FD2275">
      <w:pPr>
        <w:jc w:val="both"/>
      </w:pPr>
      <w:r>
        <w:rPr>
          <w:noProof/>
        </w:rPr>
        <w:drawing>
          <wp:inline distT="0" distB="0" distL="0" distR="0" wp14:anchorId="0D8836FD" wp14:editId="7E40760B">
            <wp:extent cx="5886450" cy="304800"/>
            <wp:effectExtent l="0" t="0" r="0" b="0"/>
            <wp:docPr id="1770159238" name="bar_raci" descr="bar_raci" title="bar_ra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2">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3D255D16" w14:textId="697F9092" w:rsidR="00C54343" w:rsidRPr="00931446" w:rsidRDefault="00000000" w:rsidP="00931446">
      <w:pPr>
        <w:pStyle w:val="Heading1"/>
        <w:spacing w:before="120" w:after="80" w:line="360" w:lineRule="auto"/>
        <w:jc w:val="both"/>
        <w:rPr>
          <w:rFonts w:ascii="Arial" w:hAnsi="Arial" w:cs="Arial"/>
          <w:sz w:val="28"/>
          <w:szCs w:val="28"/>
        </w:rPr>
      </w:pPr>
      <w:bookmarkStart w:id="9" w:name="_Toc223961416"/>
      <w:r w:rsidRPr="00FD2275">
        <w:rPr>
          <w:rFonts w:ascii="Arial" w:hAnsi="Arial" w:cs="Arial"/>
          <w:sz w:val="28"/>
          <w:szCs w:val="28"/>
        </w:rPr>
        <w:t>4.  Roles, Responsibilities, Benefits &amp; Challenges</w:t>
      </w:r>
      <w:bookmarkEnd w:id="9"/>
    </w:p>
    <w:p w14:paraId="5D70E6F6" w14:textId="77777777" w:rsidR="00C54343" w:rsidRPr="00D65627" w:rsidRDefault="00000000" w:rsidP="00FD2275">
      <w:pPr>
        <w:pStyle w:val="Heading2"/>
        <w:spacing w:before="160" w:after="80" w:line="360" w:lineRule="auto"/>
        <w:jc w:val="both"/>
        <w:rPr>
          <w:rFonts w:ascii="Arial" w:hAnsi="Arial" w:cs="Arial"/>
        </w:rPr>
      </w:pPr>
      <w:bookmarkStart w:id="10" w:name="_Toc223961417"/>
      <w:r w:rsidRPr="00D65627">
        <w:rPr>
          <w:rFonts w:ascii="Arial" w:hAnsi="Arial" w:cs="Arial"/>
        </w:rPr>
        <w:t>4.1  RACI Matrix</w:t>
      </w:r>
      <w:bookmarkEnd w:id="10"/>
    </w:p>
    <w:p w14:paraId="4F5960A1" w14:textId="77777777" w:rsidR="00C54343" w:rsidRPr="00D65627" w:rsidRDefault="00000000" w:rsidP="00FD2275">
      <w:pPr>
        <w:spacing w:before="120" w:after="120" w:line="360" w:lineRule="auto"/>
        <w:jc w:val="both"/>
        <w:rPr>
          <w:rFonts w:ascii="Arial" w:hAnsi="Arial" w:cs="Arial"/>
        </w:rPr>
      </w:pPr>
      <w:r w:rsidRPr="00D65627">
        <w:rPr>
          <w:rFonts w:ascii="Arial" w:hAnsi="Arial" w:cs="Arial"/>
          <w:color w:val="12182A"/>
        </w:rPr>
        <w:t>Effective stakeholder management requires precise role delineation to prevent ambiguity (Ashcroft, 2017). The RACI matrix below operationalises accountability across key project activities:</w:t>
      </w:r>
    </w:p>
    <w:p w14:paraId="32DCE498" w14:textId="77777777" w:rsidR="00C54343" w:rsidRPr="00D65627" w:rsidRDefault="00C54343" w:rsidP="00FD2275">
      <w:pPr>
        <w:spacing w:before="60" w:after="60"/>
        <w:jc w:val="both"/>
        <w:rPr>
          <w:rFonts w:ascii="Arial" w:hAnsi="Arial" w:cs="Arial"/>
        </w:rPr>
      </w:pPr>
    </w:p>
    <w:p w14:paraId="5F3A6878" w14:textId="77777777" w:rsidR="00C54343" w:rsidRPr="00D65627" w:rsidRDefault="00000000" w:rsidP="00FD2275">
      <w:pPr>
        <w:spacing w:before="40" w:after="60" w:line="360" w:lineRule="auto"/>
        <w:jc w:val="both"/>
        <w:rPr>
          <w:rFonts w:ascii="Arial" w:hAnsi="Arial" w:cs="Arial"/>
        </w:rPr>
      </w:pPr>
      <w:r w:rsidRPr="00D65627">
        <w:rPr>
          <w:rFonts w:ascii="Arial" w:hAnsi="Arial" w:cs="Arial"/>
          <w:b/>
          <w:bCs/>
          <w:color w:val="B22222"/>
          <w:sz w:val="18"/>
          <w:szCs w:val="18"/>
        </w:rPr>
        <w:t>R = Responsible</w:t>
      </w:r>
      <w:r w:rsidRPr="00D65627">
        <w:rPr>
          <w:rFonts w:ascii="Arial" w:hAnsi="Arial" w:cs="Arial"/>
          <w:b/>
          <w:bCs/>
          <w:color w:val="1A3A8B"/>
          <w:sz w:val="18"/>
          <w:szCs w:val="18"/>
        </w:rPr>
        <w:t xml:space="preserve">   A = Accountable</w:t>
      </w:r>
      <w:r w:rsidRPr="00D65627">
        <w:rPr>
          <w:rFonts w:ascii="Arial" w:hAnsi="Arial" w:cs="Arial"/>
          <w:b/>
          <w:bCs/>
          <w:color w:val="1A5C2E"/>
          <w:sz w:val="18"/>
          <w:szCs w:val="18"/>
        </w:rPr>
        <w:t xml:space="preserve">   C = Consulted</w:t>
      </w:r>
      <w:r w:rsidRPr="00D65627">
        <w:rPr>
          <w:rFonts w:ascii="Arial" w:hAnsi="Arial" w:cs="Arial"/>
          <w:b/>
          <w:bCs/>
          <w:color w:val="8B5A00"/>
          <w:sz w:val="18"/>
          <w:szCs w:val="18"/>
        </w:rPr>
        <w:t xml:space="preserve">   I = Informed</w:t>
      </w:r>
    </w:p>
    <w:p w14:paraId="5EC6A7D9" w14:textId="77777777" w:rsidR="00C54343" w:rsidRDefault="00C54343" w:rsidP="00FD2275">
      <w:pPr>
        <w:spacing w:before="40" w:after="40"/>
        <w:jc w:val="both"/>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76"/>
        <w:gridCol w:w="1134"/>
        <w:gridCol w:w="1276"/>
        <w:gridCol w:w="850"/>
        <w:gridCol w:w="567"/>
        <w:gridCol w:w="1276"/>
        <w:gridCol w:w="1281"/>
      </w:tblGrid>
      <w:tr w:rsidR="00C54343" w14:paraId="04D13523" w14:textId="77777777" w:rsidTr="00D65627">
        <w:trPr>
          <w:tblHeader/>
        </w:trPr>
        <w:tc>
          <w:tcPr>
            <w:tcW w:w="2976"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06220B06"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Task</w:t>
            </w:r>
          </w:p>
        </w:tc>
        <w:tc>
          <w:tcPr>
            <w:tcW w:w="1134"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630D9AD4"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Board</w:t>
            </w:r>
          </w:p>
        </w:tc>
        <w:tc>
          <w:tcPr>
            <w:tcW w:w="1276"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1BF992F5"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Product Dev</w:t>
            </w:r>
          </w:p>
        </w:tc>
        <w:tc>
          <w:tcPr>
            <w:tcW w:w="850"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50876F9C"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HR</w:t>
            </w:r>
          </w:p>
        </w:tc>
        <w:tc>
          <w:tcPr>
            <w:tcW w:w="567"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76D18CC2"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IT</w:t>
            </w:r>
          </w:p>
        </w:tc>
        <w:tc>
          <w:tcPr>
            <w:tcW w:w="1276"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6011ED8E"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Hotel GMs</w:t>
            </w:r>
          </w:p>
        </w:tc>
        <w:tc>
          <w:tcPr>
            <w:tcW w:w="1281" w:type="dxa"/>
            <w:tcBorders>
              <w:top w:val="single" w:sz="1" w:space="0" w:color="C4A050"/>
              <w:left w:val="single" w:sz="1" w:space="0" w:color="C4A050"/>
              <w:bottom w:val="single" w:sz="1" w:space="0" w:color="C4A050"/>
              <w:right w:val="single" w:sz="1" w:space="0" w:color="C4A050"/>
            </w:tcBorders>
            <w:shd w:val="clear" w:color="auto" w:fill="12182A"/>
            <w:tcMar>
              <w:top w:w="100" w:type="dxa"/>
              <w:left w:w="80" w:type="dxa"/>
              <w:bottom w:w="100" w:type="dxa"/>
              <w:right w:w="80" w:type="dxa"/>
            </w:tcMar>
          </w:tcPr>
          <w:p w14:paraId="2AD33CD3" w14:textId="77777777" w:rsidR="00C54343" w:rsidRPr="00D65627" w:rsidRDefault="00000000" w:rsidP="00FD2275">
            <w:pPr>
              <w:jc w:val="both"/>
              <w:rPr>
                <w:rFonts w:ascii="Arial" w:hAnsi="Arial" w:cs="Arial"/>
              </w:rPr>
            </w:pPr>
            <w:r w:rsidRPr="00D65627">
              <w:rPr>
                <w:rFonts w:ascii="Arial" w:hAnsi="Arial" w:cs="Arial"/>
                <w:b/>
                <w:bCs/>
                <w:color w:val="FFFFFF"/>
                <w:sz w:val="18"/>
                <w:szCs w:val="18"/>
              </w:rPr>
              <w:t>Marketing</w:t>
            </w:r>
          </w:p>
        </w:tc>
      </w:tr>
      <w:tr w:rsidR="00C54343" w14:paraId="16DB231D"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68F021F4"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StaySmart+ Product Design</w:t>
            </w:r>
          </w:p>
        </w:tc>
        <w:tc>
          <w:tcPr>
            <w:tcW w:w="1134"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F538E37"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2383C87F"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850"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11AF74ED"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567"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132551D6"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19C138E4"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1281"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24B03482"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r>
      <w:tr w:rsidR="00C54343" w14:paraId="49A5FD5A"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6FDED8BD"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AI Technology Procurement</w:t>
            </w:r>
          </w:p>
        </w:tc>
        <w:tc>
          <w:tcPr>
            <w:tcW w:w="1134"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32DB642"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1BB5D586"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850"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29CD3D76"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567"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41BBB228"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8AE7DA6"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1281"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39173055"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r>
      <w:tr w:rsidR="00C54343" w14:paraId="145CE0C9"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7FF542AE"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Staff Training Programme</w:t>
            </w:r>
          </w:p>
        </w:tc>
        <w:tc>
          <w:tcPr>
            <w:tcW w:w="1134"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7F0BF702"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090FF3DA"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850"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440AA9DE"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567"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682381E9"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353BC6CC"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1281"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1466350"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r>
      <w:tr w:rsidR="00C54343" w14:paraId="70713388"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4A284800"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Marketing &amp; Launch</w:t>
            </w:r>
          </w:p>
        </w:tc>
        <w:tc>
          <w:tcPr>
            <w:tcW w:w="1134"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065EFEB2"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055DAC37"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850"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75A45A46"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567"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3D281449"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459EFAE1"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81"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7F0B52B7"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r>
      <w:tr w:rsidR="00C54343" w14:paraId="261F8A0E"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41D2EEC1"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Pilot Hotel Selection</w:t>
            </w:r>
          </w:p>
        </w:tc>
        <w:tc>
          <w:tcPr>
            <w:tcW w:w="1134"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41E2FD0"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251D2644"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850"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6A51C12A"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567"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D6C4684"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1DDA2320"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81"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4824F0D"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r>
      <w:tr w:rsidR="00C54343" w14:paraId="175929B0"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22FFF6E1"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Regulatory Compliance</w:t>
            </w:r>
          </w:p>
        </w:tc>
        <w:tc>
          <w:tcPr>
            <w:tcW w:w="1134"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0AEEDA1"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61DF15CC"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850"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46542AEB"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567"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25FF6439"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1B492EE"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81"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1775A575"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r>
      <w:tr w:rsidR="00C54343" w14:paraId="27E3856D"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2A0F08C"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Guest Communications</w:t>
            </w:r>
          </w:p>
        </w:tc>
        <w:tc>
          <w:tcPr>
            <w:tcW w:w="1134"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0338F9C3"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3BD26B95"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850"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12760063"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567"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3F9847F"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76"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265CCE43"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81" w:type="dxa"/>
            <w:tcBorders>
              <w:top w:val="single" w:sz="1" w:space="0" w:color="C4A050"/>
              <w:left w:val="single" w:sz="1" w:space="0" w:color="C4A050"/>
              <w:bottom w:val="single" w:sz="1" w:space="0" w:color="C4A050"/>
              <w:right w:val="single" w:sz="1" w:space="0" w:color="C4A050"/>
            </w:tcBorders>
            <w:shd w:val="clear" w:color="auto" w:fill="EDE8DE"/>
            <w:tcMar>
              <w:top w:w="90" w:type="dxa"/>
              <w:left w:w="80" w:type="dxa"/>
              <w:bottom w:w="90" w:type="dxa"/>
              <w:right w:w="80" w:type="dxa"/>
            </w:tcMar>
          </w:tcPr>
          <w:p w14:paraId="516196D0"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r>
      <w:tr w:rsidR="00C54343" w14:paraId="349A8CBE" w14:textId="77777777" w:rsidTr="00D65627">
        <w:tc>
          <w:tcPr>
            <w:tcW w:w="29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E827499" w14:textId="77777777" w:rsidR="00C54343" w:rsidRPr="00FD2275" w:rsidRDefault="00000000" w:rsidP="00FD2275">
            <w:pPr>
              <w:jc w:val="both"/>
              <w:rPr>
                <w:rFonts w:ascii="Arial" w:hAnsi="Arial" w:cs="Arial"/>
                <w:sz w:val="18"/>
                <w:szCs w:val="18"/>
              </w:rPr>
            </w:pPr>
            <w:r w:rsidRPr="00FD2275">
              <w:rPr>
                <w:rFonts w:ascii="Arial" w:hAnsi="Arial" w:cs="Arial"/>
                <w:b/>
                <w:bCs/>
                <w:color w:val="12182A"/>
                <w:sz w:val="18"/>
                <w:szCs w:val="18"/>
              </w:rPr>
              <w:t>Performance Monitoring</w:t>
            </w:r>
          </w:p>
        </w:tc>
        <w:tc>
          <w:tcPr>
            <w:tcW w:w="1134"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4DBFEECB" w14:textId="77777777" w:rsidR="00C54343" w:rsidRPr="00FD2275" w:rsidRDefault="00000000" w:rsidP="00FD2275">
            <w:pPr>
              <w:jc w:val="both"/>
              <w:rPr>
                <w:rFonts w:ascii="Arial" w:hAnsi="Arial" w:cs="Arial"/>
                <w:sz w:val="18"/>
                <w:szCs w:val="18"/>
              </w:rPr>
            </w:pPr>
            <w:r w:rsidRPr="00FD2275">
              <w:rPr>
                <w:rFonts w:ascii="Arial" w:hAnsi="Arial" w:cs="Arial"/>
                <w:b/>
                <w:bCs/>
                <w:color w:val="1A3A8B"/>
                <w:sz w:val="18"/>
                <w:szCs w:val="18"/>
              </w:rPr>
              <w:t>A</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5738BA16" w14:textId="77777777" w:rsidR="00C54343" w:rsidRPr="00FD2275" w:rsidRDefault="00000000" w:rsidP="00FD2275">
            <w:pPr>
              <w:jc w:val="both"/>
              <w:rPr>
                <w:rFonts w:ascii="Arial" w:hAnsi="Arial" w:cs="Arial"/>
                <w:sz w:val="18"/>
                <w:szCs w:val="18"/>
              </w:rPr>
            </w:pPr>
            <w:r w:rsidRPr="00FD2275">
              <w:rPr>
                <w:rFonts w:ascii="Arial" w:hAnsi="Arial" w:cs="Arial"/>
                <w:b/>
                <w:bCs/>
                <w:color w:val="B22222"/>
                <w:sz w:val="18"/>
                <w:szCs w:val="18"/>
              </w:rPr>
              <w:t>R</w:t>
            </w:r>
          </w:p>
        </w:tc>
        <w:tc>
          <w:tcPr>
            <w:tcW w:w="850"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3647BDC0"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567"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79474DD5"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c>
          <w:tcPr>
            <w:tcW w:w="1276"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3F81D17A" w14:textId="77777777" w:rsidR="00C54343" w:rsidRPr="00FD2275" w:rsidRDefault="00000000" w:rsidP="00FD2275">
            <w:pPr>
              <w:jc w:val="both"/>
              <w:rPr>
                <w:rFonts w:ascii="Arial" w:hAnsi="Arial" w:cs="Arial"/>
                <w:sz w:val="18"/>
                <w:szCs w:val="18"/>
              </w:rPr>
            </w:pPr>
            <w:r w:rsidRPr="00FD2275">
              <w:rPr>
                <w:rFonts w:ascii="Arial" w:hAnsi="Arial" w:cs="Arial"/>
                <w:b/>
                <w:bCs/>
                <w:color w:val="8B5A00"/>
                <w:sz w:val="18"/>
                <w:szCs w:val="18"/>
              </w:rPr>
              <w:t>I</w:t>
            </w:r>
          </w:p>
        </w:tc>
        <w:tc>
          <w:tcPr>
            <w:tcW w:w="1281" w:type="dxa"/>
            <w:tcBorders>
              <w:top w:val="single" w:sz="1" w:space="0" w:color="C4A050"/>
              <w:left w:val="single" w:sz="1" w:space="0" w:color="C4A050"/>
              <w:bottom w:val="single" w:sz="1" w:space="0" w:color="C4A050"/>
              <w:right w:val="single" w:sz="1" w:space="0" w:color="C4A050"/>
            </w:tcBorders>
            <w:shd w:val="clear" w:color="auto" w:fill="F9F7F2"/>
            <w:tcMar>
              <w:top w:w="90" w:type="dxa"/>
              <w:left w:w="80" w:type="dxa"/>
              <w:bottom w:w="90" w:type="dxa"/>
              <w:right w:w="80" w:type="dxa"/>
            </w:tcMar>
          </w:tcPr>
          <w:p w14:paraId="724DFAC7" w14:textId="77777777" w:rsidR="00C54343" w:rsidRPr="00FD2275" w:rsidRDefault="00000000" w:rsidP="00FD2275">
            <w:pPr>
              <w:jc w:val="both"/>
              <w:rPr>
                <w:rFonts w:ascii="Arial" w:hAnsi="Arial" w:cs="Arial"/>
                <w:sz w:val="18"/>
                <w:szCs w:val="18"/>
              </w:rPr>
            </w:pPr>
            <w:r w:rsidRPr="00FD2275">
              <w:rPr>
                <w:rFonts w:ascii="Arial" w:hAnsi="Arial" w:cs="Arial"/>
                <w:b/>
                <w:bCs/>
                <w:color w:val="1A5C2E"/>
                <w:sz w:val="18"/>
                <w:szCs w:val="18"/>
              </w:rPr>
              <w:t>C</w:t>
            </w:r>
          </w:p>
        </w:tc>
      </w:tr>
    </w:tbl>
    <w:p w14:paraId="281636F5" w14:textId="77777777" w:rsidR="00C54343" w:rsidRDefault="00C54343" w:rsidP="00FD2275">
      <w:pPr>
        <w:spacing w:before="120" w:after="120"/>
        <w:jc w:val="both"/>
      </w:pPr>
    </w:p>
    <w:p w14:paraId="774717FD" w14:textId="77777777" w:rsidR="00C54343" w:rsidRPr="00D65627" w:rsidRDefault="00000000" w:rsidP="00FD2275">
      <w:pPr>
        <w:pStyle w:val="Heading2"/>
        <w:spacing w:before="160" w:after="80" w:line="360" w:lineRule="auto"/>
        <w:jc w:val="both"/>
        <w:rPr>
          <w:rFonts w:ascii="Arial" w:hAnsi="Arial" w:cs="Arial"/>
        </w:rPr>
      </w:pPr>
      <w:bookmarkStart w:id="11" w:name="_Toc223961418"/>
      <w:r w:rsidRPr="00D65627">
        <w:rPr>
          <w:rFonts w:ascii="Arial" w:hAnsi="Arial" w:cs="Arial"/>
        </w:rPr>
        <w:t>4.2  Benefits &amp; Challenges</w:t>
      </w:r>
      <w:bookmarkEnd w:id="11"/>
    </w:p>
    <w:p w14:paraId="5AD36F52" w14:textId="77777777" w:rsidR="00D65627" w:rsidRPr="006E6BA6" w:rsidRDefault="00D65627" w:rsidP="00FD2275">
      <w:pPr>
        <w:spacing w:after="160" w:line="278" w:lineRule="auto"/>
        <w:jc w:val="both"/>
        <w:rPr>
          <w:rFonts w:ascii="Arial" w:hAnsi="Arial" w:cs="Arial"/>
        </w:rPr>
      </w:pPr>
      <w:r w:rsidRPr="006E6BA6">
        <w:rPr>
          <w:rFonts w:ascii="Arial" w:hAnsi="Arial" w:cs="Arial"/>
        </w:rPr>
        <w:t>Each stakeholder group has its own benefits and challenges while contributing to StaySmart+:</w:t>
      </w:r>
    </w:p>
    <w:p w14:paraId="5391A3E4" w14:textId="77777777" w:rsidR="00C54343" w:rsidRPr="00FD2275" w:rsidRDefault="00000000" w:rsidP="00FD2275">
      <w:pPr>
        <w:spacing w:before="80" w:after="40" w:line="360" w:lineRule="auto"/>
        <w:jc w:val="both"/>
        <w:rPr>
          <w:rFonts w:ascii="Arial" w:hAnsi="Arial" w:cs="Arial"/>
          <w:u w:val="single"/>
        </w:rPr>
      </w:pPr>
      <w:r w:rsidRPr="00FD2275">
        <w:rPr>
          <w:rFonts w:ascii="Arial" w:hAnsi="Arial" w:cs="Arial"/>
          <w:b/>
          <w:bCs/>
          <w:u w:val="single"/>
        </w:rPr>
        <w:t>Benefits</w:t>
      </w:r>
    </w:p>
    <w:p w14:paraId="4A925572" w14:textId="2AB7E3AB"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t>Senior Leadership:</w:t>
      </w:r>
      <w:r>
        <w:rPr>
          <w:rFonts w:ascii="Arial" w:hAnsi="Arial" w:cs="Arial"/>
        </w:rPr>
        <w:t xml:space="preserve"> </w:t>
      </w:r>
      <w:r w:rsidRPr="00D65627">
        <w:rPr>
          <w:rFonts w:ascii="Arial" w:hAnsi="Arial" w:cs="Arial"/>
        </w:rPr>
        <w:t>Their organisational authority and public endorsement are crucial elements for breaking down change resistance (Kotter, 2012).</w:t>
      </w:r>
    </w:p>
    <w:p w14:paraId="49FC518C" w14:textId="48E19012"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t>Product Development Team:</w:t>
      </w:r>
      <w:r>
        <w:rPr>
          <w:rFonts w:ascii="Arial" w:hAnsi="Arial" w:cs="Arial"/>
        </w:rPr>
        <w:t xml:space="preserve"> </w:t>
      </w:r>
      <w:r w:rsidRPr="00D65627">
        <w:rPr>
          <w:rFonts w:ascii="Arial" w:hAnsi="Arial" w:cs="Arial"/>
        </w:rPr>
        <w:t>They bring user-centred design skills to the table for developing truly differentiated AI features.</w:t>
      </w:r>
    </w:p>
    <w:p w14:paraId="63606834" w14:textId="31D24212"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t>Hotel GMs:</w:t>
      </w:r>
      <w:r>
        <w:rPr>
          <w:rFonts w:ascii="Arial" w:hAnsi="Arial" w:cs="Arial"/>
        </w:rPr>
        <w:t xml:space="preserve"> </w:t>
      </w:r>
      <w:r w:rsidRPr="00D65627">
        <w:rPr>
          <w:rFonts w:ascii="Arial" w:hAnsi="Arial" w:cs="Arial"/>
        </w:rPr>
        <w:t xml:space="preserve">Their operational know-how is unique and thus indispensable for setting up a service that can </w:t>
      </w:r>
      <w:proofErr w:type="gramStart"/>
      <w:r w:rsidRPr="00D65627">
        <w:rPr>
          <w:rFonts w:ascii="Arial" w:hAnsi="Arial" w:cs="Arial"/>
        </w:rPr>
        <w:t>actually be</w:t>
      </w:r>
      <w:proofErr w:type="gramEnd"/>
      <w:r w:rsidRPr="00D65627">
        <w:rPr>
          <w:rFonts w:ascii="Arial" w:hAnsi="Arial" w:cs="Arial"/>
        </w:rPr>
        <w:t xml:space="preserve"> rolled out.</w:t>
      </w:r>
    </w:p>
    <w:p w14:paraId="56EC8CC9" w14:textId="0AF2F842"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t>Technology Partners:</w:t>
      </w:r>
      <w:r>
        <w:rPr>
          <w:rFonts w:ascii="Arial" w:hAnsi="Arial" w:cs="Arial"/>
        </w:rPr>
        <w:t xml:space="preserve"> </w:t>
      </w:r>
      <w:r w:rsidRPr="00D65627">
        <w:rPr>
          <w:rFonts w:ascii="Arial" w:hAnsi="Arial" w:cs="Arial"/>
        </w:rPr>
        <w:t>They come with pre-built AI capabilities that help in speeding up the delivery of the product.</w:t>
      </w:r>
    </w:p>
    <w:p w14:paraId="56DED5E1" w14:textId="135ECCFF"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lastRenderedPageBreak/>
        <w:t>Guests:</w:t>
      </w:r>
      <w:r>
        <w:rPr>
          <w:rFonts w:ascii="Arial" w:hAnsi="Arial" w:cs="Arial"/>
        </w:rPr>
        <w:t xml:space="preserve"> </w:t>
      </w:r>
      <w:r w:rsidRPr="00D65627">
        <w:rPr>
          <w:rFonts w:ascii="Arial" w:hAnsi="Arial" w:cs="Arial"/>
        </w:rPr>
        <w:t>Direct first-hand pilot feedback from them gives the opportunity to make changes even before the launch.</w:t>
      </w:r>
    </w:p>
    <w:p w14:paraId="4D22F882" w14:textId="3EBC9E0F" w:rsidR="00D65627" w:rsidRPr="00D65627" w:rsidRDefault="00D65627" w:rsidP="00FD2275">
      <w:pPr>
        <w:pStyle w:val="ListParagraph"/>
        <w:numPr>
          <w:ilvl w:val="0"/>
          <w:numId w:val="2"/>
        </w:numPr>
        <w:spacing w:after="160" w:line="360" w:lineRule="auto"/>
        <w:jc w:val="both"/>
        <w:rPr>
          <w:rFonts w:ascii="Arial" w:hAnsi="Arial" w:cs="Arial"/>
        </w:rPr>
      </w:pPr>
      <w:r w:rsidRPr="00D65627">
        <w:rPr>
          <w:rFonts w:ascii="Arial" w:hAnsi="Arial" w:cs="Arial"/>
        </w:rPr>
        <w:t>Regulatory Bodies:</w:t>
      </w:r>
      <w:r>
        <w:rPr>
          <w:rFonts w:ascii="Arial" w:hAnsi="Arial" w:cs="Arial"/>
        </w:rPr>
        <w:t xml:space="preserve"> </w:t>
      </w:r>
      <w:r w:rsidRPr="00D65627">
        <w:rPr>
          <w:rFonts w:ascii="Arial" w:hAnsi="Arial" w:cs="Arial"/>
        </w:rPr>
        <w:t>Engaging early with them can lower the chances of problems with the law and at the same time improve the image of data governance.</w:t>
      </w:r>
    </w:p>
    <w:p w14:paraId="56CB1827" w14:textId="77777777" w:rsidR="00C54343" w:rsidRDefault="00C54343" w:rsidP="00FD2275">
      <w:pPr>
        <w:spacing w:before="80" w:after="80"/>
        <w:jc w:val="both"/>
      </w:pPr>
    </w:p>
    <w:p w14:paraId="486A716D" w14:textId="77777777" w:rsidR="00C54343" w:rsidRPr="00FD329D" w:rsidRDefault="00000000" w:rsidP="00FD2275">
      <w:pPr>
        <w:spacing w:before="40" w:after="40" w:line="360" w:lineRule="auto"/>
        <w:jc w:val="both"/>
        <w:rPr>
          <w:rFonts w:ascii="Arial" w:hAnsi="Arial" w:cs="Arial"/>
          <w:color w:val="000000" w:themeColor="text1"/>
        </w:rPr>
      </w:pPr>
      <w:r w:rsidRPr="00FD329D">
        <w:rPr>
          <w:rFonts w:ascii="Arial" w:hAnsi="Arial" w:cs="Arial"/>
          <w:b/>
          <w:bCs/>
          <w:color w:val="000000" w:themeColor="text1"/>
        </w:rPr>
        <w:t>Challenges</w:t>
      </w:r>
    </w:p>
    <w:p w14:paraId="169F8A98" w14:textId="77777777" w:rsidR="00740AD2" w:rsidRPr="00740AD2" w:rsidRDefault="00740AD2" w:rsidP="00FD2275">
      <w:pPr>
        <w:pStyle w:val="ListParagraph"/>
        <w:numPr>
          <w:ilvl w:val="0"/>
          <w:numId w:val="2"/>
        </w:numPr>
        <w:spacing w:after="160" w:line="360" w:lineRule="auto"/>
        <w:jc w:val="both"/>
        <w:rPr>
          <w:rFonts w:ascii="Arial" w:hAnsi="Arial" w:cs="Arial"/>
        </w:rPr>
      </w:pPr>
      <w:r w:rsidRPr="00740AD2">
        <w:rPr>
          <w:rFonts w:ascii="Arial" w:hAnsi="Arial" w:cs="Arial"/>
        </w:rPr>
        <w:t>Hotel operations staff are experiencing change fatigue as they are being asked to implement technological and procedural changes simultaneously.</w:t>
      </w:r>
    </w:p>
    <w:p w14:paraId="6A24BB7F" w14:textId="77777777" w:rsidR="00740AD2" w:rsidRPr="00740AD2" w:rsidRDefault="00740AD2" w:rsidP="00FD2275">
      <w:pPr>
        <w:pStyle w:val="ListParagraph"/>
        <w:numPr>
          <w:ilvl w:val="0"/>
          <w:numId w:val="2"/>
        </w:numPr>
        <w:spacing w:after="160" w:line="360" w:lineRule="auto"/>
        <w:jc w:val="both"/>
        <w:rPr>
          <w:rFonts w:ascii="Arial" w:hAnsi="Arial" w:cs="Arial"/>
        </w:rPr>
      </w:pPr>
      <w:r w:rsidRPr="00740AD2">
        <w:rPr>
          <w:rFonts w:ascii="Arial" w:hAnsi="Arial" w:cs="Arial"/>
        </w:rPr>
        <w:t>Guest privacy worries regarding AI data collection might be a sticking point, especially under the GDPR framework in European countries.</w:t>
      </w:r>
    </w:p>
    <w:p w14:paraId="71C3B798" w14:textId="77777777" w:rsidR="00740AD2" w:rsidRPr="00740AD2" w:rsidRDefault="00740AD2" w:rsidP="00FD2275">
      <w:pPr>
        <w:pStyle w:val="ListParagraph"/>
        <w:numPr>
          <w:ilvl w:val="0"/>
          <w:numId w:val="2"/>
        </w:numPr>
        <w:spacing w:before="70" w:after="70" w:line="360" w:lineRule="auto"/>
        <w:jc w:val="both"/>
      </w:pPr>
      <w:r w:rsidRPr="006E6BA6">
        <w:rPr>
          <w:rFonts w:ascii="Arial" w:hAnsi="Arial" w:cs="Arial"/>
        </w:rPr>
        <w:t>There were negotiations about the commercial terms between technology vendors who wanted to take advantage of LHI's need for thorough due diligence.</w:t>
      </w:r>
    </w:p>
    <w:p w14:paraId="0A57C967" w14:textId="77777777" w:rsidR="00740AD2" w:rsidRDefault="00740AD2" w:rsidP="00FD2275">
      <w:pPr>
        <w:pStyle w:val="ListParagraph"/>
        <w:numPr>
          <w:ilvl w:val="0"/>
          <w:numId w:val="2"/>
        </w:numPr>
        <w:spacing w:after="160" w:line="360" w:lineRule="auto"/>
        <w:jc w:val="both"/>
        <w:rPr>
          <w:rFonts w:ascii="Arial" w:hAnsi="Arial" w:cs="Arial"/>
        </w:rPr>
      </w:pPr>
      <w:r w:rsidRPr="006E6BA6">
        <w:rPr>
          <w:rFonts w:ascii="Arial" w:hAnsi="Arial" w:cs="Arial"/>
        </w:rPr>
        <w:t>Resistance to change in the usage of AI in some international markets where consumers believe that AI-mediated service is less personal (Hofstede, 2001).</w:t>
      </w:r>
    </w:p>
    <w:p w14:paraId="16BF1E7F" w14:textId="77777777" w:rsidR="00931446" w:rsidRPr="00931446" w:rsidRDefault="00740AD2" w:rsidP="00931446">
      <w:pPr>
        <w:pStyle w:val="ListParagraph"/>
        <w:numPr>
          <w:ilvl w:val="0"/>
          <w:numId w:val="2"/>
        </w:numPr>
        <w:spacing w:after="160" w:line="360" w:lineRule="auto"/>
        <w:jc w:val="both"/>
        <w:rPr>
          <w:rFonts w:ascii="Arial" w:hAnsi="Arial" w:cs="Arial"/>
        </w:rPr>
      </w:pPr>
      <w:r w:rsidRPr="00740AD2">
        <w:rPr>
          <w:rFonts w:ascii="Arial" w:hAnsi="Arial" w:cs="Arial"/>
        </w:rPr>
        <w:t>Investor scepticism about the issue of when they will see a return on their investment in the technology in a period of inflation has been verbalised.</w:t>
      </w:r>
    </w:p>
    <w:p w14:paraId="73BE4AAE" w14:textId="77777777" w:rsidR="00931446" w:rsidRDefault="00931446" w:rsidP="00931446">
      <w:pPr>
        <w:pStyle w:val="ListParagraph"/>
        <w:spacing w:after="160" w:line="360" w:lineRule="auto"/>
        <w:ind w:left="540"/>
        <w:jc w:val="both"/>
        <w:rPr>
          <w:rFonts w:ascii="Arial" w:hAnsi="Arial" w:cs="Arial"/>
        </w:rPr>
      </w:pPr>
    </w:p>
    <w:p w14:paraId="4707FDBE" w14:textId="3275FED7" w:rsidR="00C54343" w:rsidRPr="00931446" w:rsidRDefault="00000000" w:rsidP="00931446">
      <w:pPr>
        <w:spacing w:after="160" w:line="360" w:lineRule="auto"/>
        <w:jc w:val="both"/>
        <w:rPr>
          <w:rFonts w:ascii="Arial" w:hAnsi="Arial" w:cs="Arial"/>
        </w:rPr>
      </w:pPr>
      <w:r>
        <w:rPr>
          <w:noProof/>
        </w:rPr>
        <w:drawing>
          <wp:inline distT="0" distB="0" distL="0" distR="0" wp14:anchorId="7D126ECD" wp14:editId="22206CA8">
            <wp:extent cx="5886450" cy="304800"/>
            <wp:effectExtent l="0" t="0" r="0" b="0"/>
            <wp:docPr id="874671299" name="bar_frame" descr="bar_frame" title="bar_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3">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189E3AAB" w14:textId="7FC4A185" w:rsidR="00C54343" w:rsidRPr="00931446" w:rsidRDefault="00000000" w:rsidP="00FD2275">
      <w:pPr>
        <w:pStyle w:val="Heading1"/>
        <w:spacing w:before="120" w:after="80" w:line="360" w:lineRule="auto"/>
        <w:jc w:val="both"/>
        <w:rPr>
          <w:color w:val="auto"/>
          <w:sz w:val="28"/>
          <w:szCs w:val="28"/>
        </w:rPr>
      </w:pPr>
      <w:bookmarkStart w:id="12" w:name="_Toc223961419"/>
      <w:r w:rsidRPr="00931446">
        <w:rPr>
          <w:rFonts w:ascii="Arial" w:hAnsi="Arial" w:cs="Arial"/>
          <w:color w:val="auto"/>
          <w:sz w:val="28"/>
          <w:szCs w:val="28"/>
        </w:rPr>
        <w:t>5.</w:t>
      </w:r>
      <w:r w:rsidRPr="00931446">
        <w:rPr>
          <w:color w:val="auto"/>
          <w:sz w:val="28"/>
          <w:szCs w:val="28"/>
        </w:rPr>
        <w:t xml:space="preserve">  </w:t>
      </w:r>
      <w:r w:rsidR="001C0E94" w:rsidRPr="00304D51">
        <w:rPr>
          <w:rFonts w:ascii="Arial" w:hAnsi="Arial" w:cs="Arial"/>
          <w:color w:val="auto"/>
          <w:sz w:val="28"/>
          <w:szCs w:val="28"/>
        </w:rPr>
        <w:t>Stakeholder Engagement Frameworks &amp; Models</w:t>
      </w:r>
      <w:bookmarkEnd w:id="12"/>
    </w:p>
    <w:p w14:paraId="093D6108" w14:textId="77777777" w:rsidR="00C54343" w:rsidRDefault="00C54343" w:rsidP="00FD2275">
      <w:pPr>
        <w:pBdr>
          <w:bottom w:val="single" w:sz="6" w:space="1" w:color="C4A050"/>
        </w:pBdr>
        <w:spacing w:before="80" w:after="80" w:line="360" w:lineRule="auto"/>
        <w:jc w:val="both"/>
      </w:pPr>
    </w:p>
    <w:p w14:paraId="12C01825" w14:textId="17879A02" w:rsidR="00C54343" w:rsidRPr="00931446" w:rsidRDefault="00000000" w:rsidP="00931446">
      <w:pPr>
        <w:pStyle w:val="Heading2"/>
        <w:spacing w:before="160" w:after="80" w:line="360" w:lineRule="auto"/>
        <w:jc w:val="both"/>
        <w:rPr>
          <w:color w:val="auto"/>
        </w:rPr>
      </w:pPr>
      <w:bookmarkStart w:id="13" w:name="_Toc223961420"/>
      <w:r w:rsidRPr="00931446">
        <w:rPr>
          <w:rFonts w:ascii="Arial" w:hAnsi="Arial" w:cs="Arial"/>
          <w:color w:val="auto"/>
        </w:rPr>
        <w:t>5.1</w:t>
      </w:r>
      <w:r w:rsidRPr="00931446">
        <w:rPr>
          <w:color w:val="auto"/>
        </w:rPr>
        <w:t xml:space="preserve">  </w:t>
      </w:r>
      <w:r w:rsidR="001C0E94" w:rsidRPr="00304D51">
        <w:rPr>
          <w:rFonts w:ascii="Arial" w:hAnsi="Arial" w:cs="Arial"/>
          <w:color w:val="auto"/>
        </w:rPr>
        <w:t>Mendelow's Power-Interest Matrix</w:t>
      </w:r>
      <w:bookmarkEnd w:id="13"/>
    </w:p>
    <w:p w14:paraId="003E0B2A" w14:textId="77777777" w:rsidR="001C0E94" w:rsidRPr="00304D51" w:rsidRDefault="001C0E94" w:rsidP="00931446">
      <w:pPr>
        <w:spacing w:after="160" w:line="360" w:lineRule="auto"/>
        <w:jc w:val="both"/>
        <w:rPr>
          <w:rFonts w:ascii="Arial" w:hAnsi="Arial" w:cs="Arial"/>
        </w:rPr>
      </w:pPr>
      <w:r w:rsidRPr="00304D51">
        <w:rPr>
          <w:rFonts w:ascii="Arial" w:hAnsi="Arial" w:cs="Arial"/>
        </w:rPr>
        <w:t>As mentioned in Section 3.3, Mendelow's (1991) matrix is the main analytical tool to decide who to engage first. Senior leadership, product development, marketing, IT, and hotel general managers are placed in the 'Manage Closely' category because they have a great deal of power and a strong interest in the project's results.</w:t>
      </w:r>
    </w:p>
    <w:p w14:paraId="1BABA339" w14:textId="47CAC472" w:rsidR="00C54343" w:rsidRPr="00931446" w:rsidRDefault="00000000" w:rsidP="00931446">
      <w:pPr>
        <w:pStyle w:val="Heading2"/>
        <w:spacing w:before="160" w:after="80" w:line="360" w:lineRule="auto"/>
        <w:jc w:val="both"/>
        <w:rPr>
          <w:color w:val="auto"/>
        </w:rPr>
      </w:pPr>
      <w:bookmarkStart w:id="14" w:name="_Toc223961421"/>
      <w:r w:rsidRPr="00931446">
        <w:rPr>
          <w:rFonts w:ascii="Arial" w:hAnsi="Arial" w:cs="Arial"/>
          <w:color w:val="auto"/>
        </w:rPr>
        <w:t>5.2</w:t>
      </w:r>
      <w:r w:rsidRPr="00931446">
        <w:rPr>
          <w:color w:val="auto"/>
        </w:rPr>
        <w:t xml:space="preserve">  </w:t>
      </w:r>
      <w:r w:rsidR="001C0E94" w:rsidRPr="00304D51">
        <w:rPr>
          <w:rFonts w:ascii="Arial" w:hAnsi="Arial" w:cs="Arial"/>
          <w:color w:val="auto"/>
        </w:rPr>
        <w:t>Stakeholder Salience Model</w:t>
      </w:r>
      <w:bookmarkEnd w:id="14"/>
    </w:p>
    <w:p w14:paraId="237F2AF4" w14:textId="77777777" w:rsidR="001C0E94" w:rsidRPr="00304D51" w:rsidRDefault="001C0E94" w:rsidP="00931446">
      <w:pPr>
        <w:spacing w:after="160" w:line="360" w:lineRule="auto"/>
        <w:jc w:val="both"/>
        <w:rPr>
          <w:rFonts w:ascii="Arial" w:hAnsi="Arial" w:cs="Arial"/>
        </w:rPr>
      </w:pPr>
      <w:r w:rsidRPr="00304D51">
        <w:rPr>
          <w:rFonts w:ascii="Arial" w:hAnsi="Arial" w:cs="Arial"/>
        </w:rPr>
        <w:t>Mitchell, Agle and Wood (1997) classify stakeholders not only based on power and interest but also consider the addition of legitimacy and urgency. Even though they are positioned externally, the regulatory bodies have very high levels of legitimacy and urgency, and hence an active formal engagement is required from them rather than a mere routine communication, this way, legally significant stakeholders would not be under-resourced.</w:t>
      </w:r>
    </w:p>
    <w:p w14:paraId="28724E3B" w14:textId="3F29A81E" w:rsidR="00C54343" w:rsidRPr="00931446" w:rsidRDefault="00000000" w:rsidP="00931446">
      <w:pPr>
        <w:pStyle w:val="Heading2"/>
        <w:spacing w:before="160" w:after="80" w:line="360" w:lineRule="auto"/>
        <w:jc w:val="both"/>
        <w:rPr>
          <w:rFonts w:ascii="Arial" w:hAnsi="Arial" w:cs="Arial"/>
          <w:color w:val="auto"/>
        </w:rPr>
      </w:pPr>
      <w:bookmarkStart w:id="15" w:name="_Toc223961422"/>
      <w:r w:rsidRPr="00931446">
        <w:rPr>
          <w:rFonts w:ascii="Arial" w:hAnsi="Arial" w:cs="Arial"/>
          <w:color w:val="auto"/>
        </w:rPr>
        <w:lastRenderedPageBreak/>
        <w:t xml:space="preserve">5.3  </w:t>
      </w:r>
      <w:r w:rsidR="001C0E94" w:rsidRPr="00304D51">
        <w:rPr>
          <w:rFonts w:ascii="Arial" w:hAnsi="Arial" w:cs="Arial"/>
          <w:color w:val="auto"/>
        </w:rPr>
        <w:t>Engagement Plan (AA1000)</w:t>
      </w:r>
      <w:bookmarkEnd w:id="15"/>
    </w:p>
    <w:p w14:paraId="148CA7AB" w14:textId="60F55857" w:rsidR="001C0E94" w:rsidRPr="00304D51" w:rsidRDefault="001C0E94" w:rsidP="00931446">
      <w:pPr>
        <w:spacing w:after="160" w:line="360" w:lineRule="auto"/>
        <w:jc w:val="both"/>
        <w:rPr>
          <w:rFonts w:ascii="Arial" w:hAnsi="Arial" w:cs="Arial"/>
        </w:rPr>
      </w:pPr>
      <w:r w:rsidRPr="00304D51">
        <w:rPr>
          <w:rFonts w:ascii="Arial" w:hAnsi="Arial" w:cs="Arial"/>
        </w:rPr>
        <w:t>An</w:t>
      </w:r>
      <w:r>
        <w:rPr>
          <w:rFonts w:ascii="Arial" w:hAnsi="Arial" w:cs="Arial"/>
        </w:rPr>
        <w:t xml:space="preserve"> </w:t>
      </w:r>
      <w:r w:rsidRPr="00304D51">
        <w:rPr>
          <w:rFonts w:ascii="Arial" w:hAnsi="Arial" w:cs="Arial"/>
        </w:rPr>
        <w:t>engagement plan with a clear structure, in harmony with the AA1000 Stakeholder Engagement Standard (</w:t>
      </w:r>
      <w:r w:rsidRPr="00304D51">
        <w:rPr>
          <w:rFonts w:ascii="Arial" w:hAnsi="Arial" w:cs="Arial"/>
        </w:rPr>
        <w:t>Accountability</w:t>
      </w:r>
      <w:r w:rsidRPr="00304D51">
        <w:rPr>
          <w:rFonts w:ascii="Arial" w:hAnsi="Arial" w:cs="Arial"/>
        </w:rPr>
        <w:t>, 2015), is implemented through five stages:</w:t>
      </w:r>
    </w:p>
    <w:p w14:paraId="7308FAEC" w14:textId="77777777" w:rsidR="001C0E94" w:rsidRPr="00304D51" w:rsidRDefault="001C0E94" w:rsidP="00931446">
      <w:pPr>
        <w:spacing w:after="160" w:line="360" w:lineRule="auto"/>
        <w:jc w:val="both"/>
        <w:rPr>
          <w:rFonts w:ascii="Arial" w:hAnsi="Arial" w:cs="Arial"/>
        </w:rPr>
      </w:pPr>
      <w:r w:rsidRPr="00304D51">
        <w:rPr>
          <w:rFonts w:ascii="Cambria Math" w:hAnsi="Cambria Math" w:cs="Cambria Math"/>
        </w:rPr>
        <w:t>▸</w:t>
      </w:r>
      <w:r w:rsidRPr="00304D51">
        <w:rPr>
          <w:rFonts w:ascii="Arial" w:hAnsi="Arial" w:cs="Arial"/>
        </w:rPr>
        <w:t xml:space="preserve"> Identification (Months 1, 2): complete stakeholder mapping; establish engagement steering group; assign relationship owners.</w:t>
      </w:r>
    </w:p>
    <w:p w14:paraId="3A8F2B97" w14:textId="77777777" w:rsidR="001C0E94" w:rsidRPr="00304D51" w:rsidRDefault="001C0E94" w:rsidP="00931446">
      <w:pPr>
        <w:spacing w:after="160" w:line="360" w:lineRule="auto"/>
        <w:jc w:val="both"/>
        <w:rPr>
          <w:rFonts w:ascii="Arial" w:hAnsi="Arial" w:cs="Arial"/>
        </w:rPr>
      </w:pPr>
      <w:r w:rsidRPr="00304D51">
        <w:rPr>
          <w:rFonts w:ascii="Cambria Math" w:hAnsi="Cambria Math" w:cs="Cambria Math"/>
        </w:rPr>
        <w:t>▸</w:t>
      </w:r>
      <w:r w:rsidRPr="00304D51">
        <w:rPr>
          <w:rFonts w:ascii="Arial" w:hAnsi="Arial" w:cs="Arial"/>
        </w:rPr>
        <w:t xml:space="preserve"> Analysis (Month 1): conduct needs assessments; map interdependencies; identify potential conflict zones.</w:t>
      </w:r>
    </w:p>
    <w:p w14:paraId="21882370" w14:textId="77777777" w:rsidR="001C0E94" w:rsidRPr="00304D51" w:rsidRDefault="001C0E94" w:rsidP="00931446">
      <w:pPr>
        <w:spacing w:after="160" w:line="360" w:lineRule="auto"/>
        <w:jc w:val="both"/>
        <w:rPr>
          <w:rFonts w:ascii="Arial" w:hAnsi="Arial" w:cs="Arial"/>
        </w:rPr>
      </w:pPr>
      <w:r w:rsidRPr="00304D51">
        <w:rPr>
          <w:rFonts w:ascii="Cambria Math" w:hAnsi="Cambria Math" w:cs="Cambria Math"/>
        </w:rPr>
        <w:t>▸</w:t>
      </w:r>
      <w:r w:rsidRPr="00304D51">
        <w:rPr>
          <w:rFonts w:ascii="Arial" w:hAnsi="Arial" w:cs="Arial"/>
        </w:rPr>
        <w:t xml:space="preserve"> Planning (Month 2): develop tailored engagement strategies per quadrant; design communication plan; establish governance protocols.</w:t>
      </w:r>
    </w:p>
    <w:p w14:paraId="7EC44285" w14:textId="77777777" w:rsidR="001C0E94" w:rsidRPr="00304D51" w:rsidRDefault="001C0E94" w:rsidP="00931446">
      <w:pPr>
        <w:spacing w:after="160" w:line="360" w:lineRule="auto"/>
        <w:jc w:val="both"/>
        <w:rPr>
          <w:rFonts w:ascii="Arial" w:hAnsi="Arial" w:cs="Arial"/>
        </w:rPr>
      </w:pPr>
      <w:r w:rsidRPr="00304D51">
        <w:rPr>
          <w:rFonts w:ascii="Cambria Math" w:hAnsi="Cambria Math" w:cs="Cambria Math"/>
        </w:rPr>
        <w:t>▸</w:t>
      </w:r>
      <w:r w:rsidRPr="00304D51">
        <w:rPr>
          <w:rFonts w:ascii="Arial" w:hAnsi="Arial" w:cs="Arial"/>
        </w:rPr>
        <w:t xml:space="preserve"> Engagement (Months 3, 5): conduct workshops, pilots, and consultation sessions followed by feedback loops.</w:t>
      </w:r>
    </w:p>
    <w:p w14:paraId="4A38E96B" w14:textId="77777777" w:rsidR="001C0E94" w:rsidRPr="00304D51" w:rsidRDefault="001C0E94" w:rsidP="00931446">
      <w:pPr>
        <w:spacing w:after="160" w:line="360" w:lineRule="auto"/>
        <w:jc w:val="both"/>
        <w:rPr>
          <w:rFonts w:ascii="Arial" w:hAnsi="Arial" w:cs="Arial"/>
        </w:rPr>
      </w:pPr>
      <w:r w:rsidRPr="00304D51">
        <w:rPr>
          <w:rFonts w:ascii="Cambria Math" w:hAnsi="Cambria Math" w:cs="Cambria Math"/>
        </w:rPr>
        <w:t>▸</w:t>
      </w:r>
      <w:r w:rsidRPr="00304D51">
        <w:rPr>
          <w:rFonts w:ascii="Arial" w:hAnsi="Arial" w:cs="Arial"/>
        </w:rPr>
        <w:t xml:space="preserve"> Review (Month 6+): assess the engagement's effectiveness; publish the results; improve strategies for post-launch.</w:t>
      </w:r>
    </w:p>
    <w:p w14:paraId="4DA426ED" w14:textId="77777777" w:rsidR="00C54343" w:rsidRDefault="00C54343" w:rsidP="00FD2275">
      <w:pPr>
        <w:spacing w:before="100" w:after="100"/>
        <w:jc w:val="both"/>
      </w:pPr>
    </w:p>
    <w:p w14:paraId="2D76250B" w14:textId="77777777" w:rsidR="00C54343" w:rsidRDefault="00000000" w:rsidP="00FD2275">
      <w:pPr>
        <w:spacing w:before="80" w:after="80" w:line="360" w:lineRule="auto"/>
        <w:jc w:val="both"/>
      </w:pPr>
      <w:r>
        <w:rPr>
          <w:noProof/>
        </w:rPr>
        <w:drawing>
          <wp:inline distT="0" distB="0" distL="0" distR="0" wp14:anchorId="57773B0F" wp14:editId="7609CC07">
            <wp:extent cx="6310318" cy="1031298"/>
            <wp:effectExtent l="0" t="0" r="0" b="0"/>
            <wp:docPr id="922898985" name="timeline" descr="timeline" title="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404204" cy="1046642"/>
                    </a:xfrm>
                    <a:prstGeom prst="rect">
                      <a:avLst/>
                    </a:prstGeom>
                  </pic:spPr>
                </pic:pic>
              </a:graphicData>
            </a:graphic>
          </wp:inline>
        </w:drawing>
      </w:r>
    </w:p>
    <w:p w14:paraId="2877F3C2" w14:textId="77777777" w:rsidR="00C54343" w:rsidRDefault="00000000" w:rsidP="00FD2275">
      <w:pPr>
        <w:spacing w:before="20" w:after="80" w:line="360" w:lineRule="auto"/>
        <w:jc w:val="both"/>
        <w:rPr>
          <w:rFonts w:ascii="Arial" w:hAnsi="Arial" w:cs="Arial"/>
          <w:i/>
          <w:iCs/>
          <w:color w:val="555E6B"/>
          <w:sz w:val="18"/>
          <w:szCs w:val="18"/>
        </w:rPr>
      </w:pPr>
      <w:r w:rsidRPr="001C0E94">
        <w:rPr>
          <w:rFonts w:ascii="Arial" w:hAnsi="Arial" w:cs="Arial"/>
          <w:i/>
          <w:iCs/>
          <w:color w:val="555E6B"/>
          <w:sz w:val="18"/>
          <w:szCs w:val="18"/>
        </w:rPr>
        <w:t>Figure 2: StaySmart+ Stakeholder Engagement Timeline</w:t>
      </w:r>
    </w:p>
    <w:p w14:paraId="2EAD0B37" w14:textId="77777777" w:rsidR="001C0E94" w:rsidRDefault="001C0E94" w:rsidP="00FD2275">
      <w:pPr>
        <w:spacing w:before="20" w:after="80" w:line="360" w:lineRule="auto"/>
        <w:jc w:val="both"/>
        <w:rPr>
          <w:rFonts w:ascii="Arial" w:hAnsi="Arial" w:cs="Arial"/>
          <w:i/>
          <w:iCs/>
          <w:color w:val="555E6B"/>
          <w:sz w:val="18"/>
          <w:szCs w:val="18"/>
        </w:rPr>
      </w:pPr>
    </w:p>
    <w:p w14:paraId="2B48757C" w14:textId="77777777" w:rsidR="001C0E94" w:rsidRPr="001C0E94" w:rsidRDefault="001C0E94" w:rsidP="00FD2275">
      <w:pPr>
        <w:spacing w:before="20" w:after="80" w:line="360" w:lineRule="auto"/>
        <w:jc w:val="both"/>
        <w:rPr>
          <w:rFonts w:ascii="Arial" w:hAnsi="Arial" w:cs="Arial"/>
        </w:rPr>
      </w:pPr>
    </w:p>
    <w:p w14:paraId="1CCF2E5F" w14:textId="2F9D63AF" w:rsidR="00C54343" w:rsidRDefault="00000000" w:rsidP="00FD2275">
      <w:pPr>
        <w:pStyle w:val="Heading2"/>
        <w:spacing w:before="160" w:after="80" w:line="360" w:lineRule="auto"/>
        <w:jc w:val="both"/>
      </w:pPr>
      <w:bookmarkStart w:id="16" w:name="_Toc223961423"/>
      <w:r w:rsidRPr="001C0E94">
        <w:rPr>
          <w:rFonts w:ascii="Arial" w:hAnsi="Arial" w:cs="Arial"/>
        </w:rPr>
        <w:t>5.4</w:t>
      </w:r>
      <w:r>
        <w:t xml:space="preserve">  </w:t>
      </w:r>
      <w:r w:rsidRPr="001C0E94">
        <w:rPr>
          <w:rFonts w:ascii="Arial" w:hAnsi="Arial" w:cs="Arial"/>
        </w:rPr>
        <w:t>Communication Plan</w:t>
      </w:r>
      <w:bookmarkEnd w:id="16"/>
    </w:p>
    <w:p w14:paraId="5352FC2B" w14:textId="77777777" w:rsidR="001C0E94" w:rsidRPr="001C0E94" w:rsidRDefault="001C0E94" w:rsidP="00931446">
      <w:pPr>
        <w:spacing w:before="60" w:after="60" w:line="360" w:lineRule="auto"/>
        <w:jc w:val="both"/>
        <w:rPr>
          <w:rFonts w:ascii="Arial" w:hAnsi="Arial" w:cs="Arial"/>
          <w:color w:val="12182A"/>
        </w:rPr>
      </w:pPr>
      <w:r w:rsidRPr="001C0E94">
        <w:rPr>
          <w:rFonts w:ascii="Arial" w:hAnsi="Arial" w:cs="Arial"/>
          <w:color w:val="12182A"/>
        </w:rPr>
        <w:t>Bourne explains in Stakeholder Circle (2016) that communications should be tailored to stakeholder requirements rather than being a one-size-fits-all across the project.</w:t>
      </w:r>
    </w:p>
    <w:p w14:paraId="0C599AFE" w14:textId="77777777" w:rsidR="001C0E94" w:rsidRDefault="001C0E94" w:rsidP="00FD2275">
      <w:pPr>
        <w:spacing w:before="60" w:after="60"/>
        <w:jc w:val="both"/>
        <w:rPr>
          <w:color w:val="12182A"/>
        </w:rPr>
      </w:pPr>
    </w:p>
    <w:p w14:paraId="47DCD2CA" w14:textId="1A4E63C4" w:rsidR="001C0E94" w:rsidRPr="001C0E94" w:rsidRDefault="001C0E94" w:rsidP="00FD2275">
      <w:pPr>
        <w:spacing w:before="60" w:after="60"/>
        <w:jc w:val="both"/>
        <w:rPr>
          <w:color w:val="12182A"/>
        </w:rPr>
      </w:pPr>
      <w:r w:rsidRPr="001C0E94">
        <w:rPr>
          <w:color w:val="12182A"/>
        </w:rPr>
        <w:lastRenderedPageBreak/>
        <w:drawing>
          <wp:inline distT="0" distB="0" distL="0" distR="0" wp14:anchorId="4C562195" wp14:editId="31D0123F">
            <wp:extent cx="6036310" cy="4396105"/>
            <wp:effectExtent l="0" t="0" r="2540" b="4445"/>
            <wp:docPr id="583751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51113" name=""/>
                    <pic:cNvPicPr/>
                  </pic:nvPicPr>
                  <pic:blipFill>
                    <a:blip r:embed="rId15"/>
                    <a:stretch>
                      <a:fillRect/>
                    </a:stretch>
                  </pic:blipFill>
                  <pic:spPr>
                    <a:xfrm>
                      <a:off x="0" y="0"/>
                      <a:ext cx="6036310" cy="4396105"/>
                    </a:xfrm>
                    <a:prstGeom prst="rect">
                      <a:avLst/>
                    </a:prstGeom>
                  </pic:spPr>
                </pic:pic>
              </a:graphicData>
            </a:graphic>
          </wp:inline>
        </w:drawing>
      </w:r>
    </w:p>
    <w:p w14:paraId="5DAE57B0" w14:textId="77777777" w:rsidR="00C54343" w:rsidRDefault="00C54343" w:rsidP="00FD2275">
      <w:pPr>
        <w:spacing w:before="60" w:after="60"/>
        <w:jc w:val="both"/>
      </w:pPr>
    </w:p>
    <w:p w14:paraId="7976FAA6" w14:textId="77777777" w:rsidR="00C54343" w:rsidRDefault="00C54343" w:rsidP="00FD2275">
      <w:pPr>
        <w:spacing w:before="100" w:after="100"/>
        <w:jc w:val="both"/>
      </w:pPr>
    </w:p>
    <w:p w14:paraId="647AA458" w14:textId="089D6775" w:rsidR="00C54343" w:rsidRPr="00931446" w:rsidRDefault="00000000" w:rsidP="00FD2275">
      <w:pPr>
        <w:pStyle w:val="Heading2"/>
        <w:spacing w:before="160" w:after="80" w:line="360" w:lineRule="auto"/>
        <w:jc w:val="both"/>
        <w:rPr>
          <w:rFonts w:ascii="Arial" w:hAnsi="Arial" w:cs="Arial"/>
          <w:color w:val="auto"/>
        </w:rPr>
      </w:pPr>
      <w:bookmarkStart w:id="17" w:name="_Toc223961424"/>
      <w:r w:rsidRPr="00931446">
        <w:rPr>
          <w:rFonts w:ascii="Arial" w:hAnsi="Arial" w:cs="Arial"/>
          <w:color w:val="auto"/>
        </w:rPr>
        <w:t xml:space="preserve">5.5  </w:t>
      </w:r>
      <w:r w:rsidR="00272FEA" w:rsidRPr="00304D51">
        <w:rPr>
          <w:rFonts w:ascii="Arial" w:hAnsi="Arial" w:cs="Arial"/>
          <w:color w:val="auto"/>
        </w:rPr>
        <w:t>Freeman's Stakeholder Theory</w:t>
      </w:r>
      <w:bookmarkEnd w:id="17"/>
    </w:p>
    <w:p w14:paraId="6E8D23B0" w14:textId="77777777" w:rsidR="00272FEA" w:rsidRPr="00304D51" w:rsidRDefault="00272FEA" w:rsidP="00931446">
      <w:pPr>
        <w:spacing w:line="360" w:lineRule="auto"/>
        <w:jc w:val="both"/>
        <w:rPr>
          <w:rFonts w:ascii="Arial" w:hAnsi="Arial" w:cs="Arial"/>
        </w:rPr>
      </w:pPr>
      <w:r w:rsidRPr="00304D51">
        <w:rPr>
          <w:rFonts w:ascii="Arial" w:hAnsi="Arial" w:cs="Arial"/>
        </w:rPr>
        <w:t>As one of the founders of stakeholder theory, Freeman (1984) argued that companies should create value for all stakeholders and not only focus on shareholders. This statement by him is the main normative basis of LHI's engagement philosophy. From the perspective of StaySmart+, this is about achieving real and meaningful benefits for the staff by providing them better tools, for the guests by giving them more engaging experiences, and for the neighbourhoods by making ways that are earth-friendly, besides financial gains for the shareholders. Ashcroft (2017) in support of this, describes stakeholder relationships using the 'relational lens' framework, which implies that relationships with stakeholders are like assets that must be managed properly through trust, openness, and shared responsibility.</w:t>
      </w:r>
    </w:p>
    <w:p w14:paraId="379EF6C6" w14:textId="77777777" w:rsidR="00272FEA" w:rsidRPr="00931446" w:rsidRDefault="00272FEA" w:rsidP="00931446">
      <w:pPr>
        <w:spacing w:line="360" w:lineRule="auto"/>
        <w:jc w:val="both"/>
        <w:rPr>
          <w:rFonts w:ascii="Arial" w:hAnsi="Arial" w:cs="Arial"/>
          <w:sz w:val="19"/>
          <w:szCs w:val="19"/>
        </w:rPr>
      </w:pPr>
    </w:p>
    <w:p w14:paraId="1EFC415A" w14:textId="77777777" w:rsidR="00C54343" w:rsidRDefault="00C54343" w:rsidP="00FD2275">
      <w:pPr>
        <w:spacing w:before="80" w:after="80"/>
        <w:jc w:val="both"/>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9160"/>
      </w:tblGrid>
      <w:tr w:rsidR="00C54343" w14:paraId="34DCBF90" w14:textId="77777777">
        <w:tc>
          <w:tcPr>
            <w:tcW w:w="200" w:type="dxa"/>
            <w:tcBorders>
              <w:top w:val="none" w:sz="0" w:space="0" w:color="FFFFFF"/>
              <w:left w:val="none" w:sz="0" w:space="0" w:color="FFFFFF"/>
              <w:bottom w:val="none" w:sz="0" w:space="0" w:color="FFFFFF"/>
              <w:right w:val="none" w:sz="0" w:space="0" w:color="FFFFFF"/>
            </w:tcBorders>
            <w:shd w:val="clear" w:color="auto" w:fill="C4A050"/>
            <w:tcMar>
              <w:top w:w="0" w:type="dxa"/>
              <w:left w:w="0" w:type="dxa"/>
              <w:bottom w:w="0" w:type="dxa"/>
              <w:right w:w="0" w:type="dxa"/>
            </w:tcMar>
          </w:tcPr>
          <w:p w14:paraId="4E63E599" w14:textId="77777777" w:rsidR="00C54343" w:rsidRDefault="00C54343" w:rsidP="00FD2275">
            <w:pPr>
              <w:spacing w:before="4" w:after="4"/>
              <w:jc w:val="both"/>
            </w:pPr>
          </w:p>
        </w:tc>
        <w:tc>
          <w:tcPr>
            <w:tcW w:w="9160" w:type="dxa"/>
            <w:tcBorders>
              <w:top w:val="none" w:sz="0" w:space="0" w:color="FFFFFF"/>
              <w:left w:val="none" w:sz="0" w:space="0" w:color="FFFFFF"/>
              <w:bottom w:val="none" w:sz="0" w:space="0" w:color="FFFFFF"/>
              <w:right w:val="none" w:sz="0" w:space="0" w:color="FFFFFF"/>
            </w:tcBorders>
            <w:shd w:val="clear" w:color="auto" w:fill="F5F0E8"/>
            <w:tcMar>
              <w:top w:w="160" w:type="dxa"/>
              <w:left w:w="280" w:type="dxa"/>
              <w:bottom w:w="160" w:type="dxa"/>
              <w:right w:w="160" w:type="dxa"/>
            </w:tcMar>
          </w:tcPr>
          <w:p w14:paraId="696BF87E" w14:textId="77777777" w:rsidR="00C54343" w:rsidRPr="00272FEA" w:rsidRDefault="00000000" w:rsidP="00FD2275">
            <w:pPr>
              <w:spacing w:before="60" w:after="40" w:line="360" w:lineRule="auto"/>
              <w:jc w:val="both"/>
              <w:rPr>
                <w:rFonts w:ascii="Arial" w:hAnsi="Arial" w:cs="Arial"/>
              </w:rPr>
            </w:pPr>
            <w:r w:rsidRPr="00272FEA">
              <w:rPr>
                <w:rFonts w:ascii="Arial" w:hAnsi="Arial" w:cs="Arial"/>
                <w:i/>
                <w:iCs/>
                <w:color w:val="1E2D46"/>
                <w:sz w:val="23"/>
                <w:szCs w:val="23"/>
              </w:rPr>
              <w:t>"Not so different after all — trust is the essential lubricant of stakeholder relationships across all sectors and contexts."</w:t>
            </w:r>
          </w:p>
          <w:p w14:paraId="6E28F8C6" w14:textId="77777777" w:rsidR="00C54343" w:rsidRDefault="00000000" w:rsidP="00FD2275">
            <w:pPr>
              <w:spacing w:before="20" w:after="60" w:line="360" w:lineRule="auto"/>
              <w:jc w:val="both"/>
            </w:pPr>
            <w:r w:rsidRPr="00272FEA">
              <w:rPr>
                <w:rFonts w:ascii="Arial" w:hAnsi="Arial" w:cs="Arial"/>
                <w:color w:val="B4823C"/>
                <w:sz w:val="19"/>
                <w:szCs w:val="19"/>
              </w:rPr>
              <w:t>— Rousseau et al. (1998, p.393)</w:t>
            </w:r>
          </w:p>
        </w:tc>
      </w:tr>
    </w:tbl>
    <w:p w14:paraId="18220448" w14:textId="77777777" w:rsidR="00931446" w:rsidRDefault="00931446" w:rsidP="00FD2275">
      <w:pPr>
        <w:tabs>
          <w:tab w:val="left" w:pos="2684"/>
        </w:tabs>
        <w:jc w:val="both"/>
      </w:pPr>
    </w:p>
    <w:p w14:paraId="2B1B57AE" w14:textId="7B08B559" w:rsidR="00C54343" w:rsidRDefault="00272FEA" w:rsidP="00FD2275">
      <w:pPr>
        <w:tabs>
          <w:tab w:val="left" w:pos="2684"/>
        </w:tabs>
        <w:jc w:val="both"/>
      </w:pPr>
      <w:r>
        <w:lastRenderedPageBreak/>
        <w:tab/>
      </w:r>
      <w:r w:rsidR="00000000">
        <w:rPr>
          <w:noProof/>
        </w:rPr>
        <w:drawing>
          <wp:inline distT="0" distB="0" distL="0" distR="0" wp14:anchorId="68928CBB" wp14:editId="6E0ADCE3">
            <wp:extent cx="5886450" cy="304800"/>
            <wp:effectExtent l="0" t="0" r="0" b="0"/>
            <wp:docPr id="78476761" name="bar_4cs" descr="bar_4cs" title="bar_4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6">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52FF6B5A" w14:textId="77777777" w:rsidR="00C54343" w:rsidRPr="00272FEA" w:rsidRDefault="00000000" w:rsidP="00FD2275">
      <w:pPr>
        <w:pStyle w:val="Heading1"/>
        <w:spacing w:before="120" w:after="80" w:line="360" w:lineRule="auto"/>
        <w:jc w:val="both"/>
        <w:rPr>
          <w:rFonts w:ascii="Arial" w:hAnsi="Arial" w:cs="Arial"/>
        </w:rPr>
      </w:pPr>
      <w:bookmarkStart w:id="18" w:name="_Toc223961425"/>
      <w:r w:rsidRPr="00272FEA">
        <w:rPr>
          <w:rFonts w:ascii="Arial" w:hAnsi="Arial" w:cs="Arial"/>
        </w:rPr>
        <w:t>6.  The 4C's Stakeholder Engagement Process</w:t>
      </w:r>
      <w:bookmarkEnd w:id="18"/>
    </w:p>
    <w:p w14:paraId="2BC63DEE" w14:textId="77777777" w:rsidR="00C54343" w:rsidRDefault="00C54343" w:rsidP="00931446">
      <w:pPr>
        <w:pBdr>
          <w:bottom w:val="single" w:sz="6" w:space="1" w:color="C4A050"/>
        </w:pBdr>
        <w:spacing w:before="80" w:after="80" w:line="360" w:lineRule="auto"/>
        <w:jc w:val="both"/>
      </w:pPr>
    </w:p>
    <w:p w14:paraId="409E32F9" w14:textId="77777777" w:rsidR="00272FEA" w:rsidRPr="00304D51" w:rsidRDefault="00272FEA" w:rsidP="00931446">
      <w:pPr>
        <w:spacing w:line="360" w:lineRule="auto"/>
        <w:jc w:val="both"/>
        <w:rPr>
          <w:rFonts w:ascii="Arial" w:hAnsi="Arial" w:cs="Arial"/>
        </w:rPr>
      </w:pPr>
      <w:r w:rsidRPr="00304D51">
        <w:rPr>
          <w:rFonts w:ascii="Arial" w:hAnsi="Arial" w:cs="Arial"/>
        </w:rPr>
        <w:t>As the Project Manager of StaySmart+, the engagement process revolves around the 4C's structure: Communication, Collaboration, Consultation, and Commitment. This model offers a sound and practical guide to handling different stakeholder relationships and conflicts throughout the project: Friedman and Miles, 2006).</w:t>
      </w:r>
    </w:p>
    <w:p w14:paraId="67000E31" w14:textId="77777777" w:rsidR="00C54343" w:rsidRDefault="00C54343" w:rsidP="00FD2275">
      <w:pPr>
        <w:spacing w:before="100" w:after="100"/>
        <w:jc w:val="both"/>
      </w:pPr>
    </w:p>
    <w:p w14:paraId="082D6610" w14:textId="77777777" w:rsidR="00C54343" w:rsidRDefault="00000000" w:rsidP="00FD2275">
      <w:pPr>
        <w:spacing w:before="80" w:after="80" w:line="360" w:lineRule="auto"/>
        <w:jc w:val="both"/>
      </w:pPr>
      <w:r>
        <w:rPr>
          <w:noProof/>
        </w:rPr>
        <w:drawing>
          <wp:inline distT="0" distB="0" distL="0" distR="0" wp14:anchorId="4BDF7D36" wp14:editId="271D63AF">
            <wp:extent cx="6504709" cy="4176023"/>
            <wp:effectExtent l="0" t="0" r="0" b="0"/>
            <wp:docPr id="526277549" name="four_cs" descr="four_cs" title="four_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549092" cy="4204517"/>
                    </a:xfrm>
                    <a:prstGeom prst="rect">
                      <a:avLst/>
                    </a:prstGeom>
                  </pic:spPr>
                </pic:pic>
              </a:graphicData>
            </a:graphic>
          </wp:inline>
        </w:drawing>
      </w:r>
    </w:p>
    <w:p w14:paraId="50B13BBE" w14:textId="77777777" w:rsidR="00C54343" w:rsidRPr="00272FEA" w:rsidRDefault="00000000" w:rsidP="00FD2275">
      <w:pPr>
        <w:spacing w:before="20" w:after="100" w:line="360" w:lineRule="auto"/>
        <w:jc w:val="both"/>
        <w:rPr>
          <w:rFonts w:ascii="Arial" w:hAnsi="Arial" w:cs="Arial"/>
        </w:rPr>
      </w:pPr>
      <w:r w:rsidRPr="00272FEA">
        <w:rPr>
          <w:rFonts w:ascii="Arial" w:hAnsi="Arial" w:cs="Arial"/>
          <w:i/>
          <w:iCs/>
          <w:color w:val="555E6B"/>
          <w:sz w:val="18"/>
          <w:szCs w:val="18"/>
        </w:rPr>
        <w:t>Figure 3: The 4C's Stakeholder Engagement Framework</w:t>
      </w:r>
    </w:p>
    <w:p w14:paraId="3A4DD040" w14:textId="77777777" w:rsidR="00C54343" w:rsidRPr="00931446" w:rsidRDefault="00000000" w:rsidP="00FD2275">
      <w:pPr>
        <w:pStyle w:val="Heading2"/>
        <w:spacing w:before="160" w:after="80" w:line="360" w:lineRule="auto"/>
        <w:jc w:val="both"/>
        <w:rPr>
          <w:rFonts w:ascii="Arial" w:hAnsi="Arial" w:cs="Arial"/>
          <w:u w:val="single"/>
        </w:rPr>
      </w:pPr>
      <w:bookmarkStart w:id="19" w:name="_Toc223961426"/>
      <w:r w:rsidRPr="00931446">
        <w:rPr>
          <w:rFonts w:ascii="Arial" w:hAnsi="Arial" w:cs="Arial"/>
          <w:u w:val="single"/>
        </w:rPr>
        <w:t>6.1  Communication</w:t>
      </w:r>
      <w:bookmarkEnd w:id="19"/>
    </w:p>
    <w:p w14:paraId="08AD7D2D" w14:textId="77777777" w:rsidR="00272FEA" w:rsidRPr="00304D51" w:rsidRDefault="00272FEA" w:rsidP="00931446">
      <w:pPr>
        <w:spacing w:line="360" w:lineRule="auto"/>
        <w:jc w:val="both"/>
        <w:rPr>
          <w:rFonts w:ascii="Arial" w:hAnsi="Arial" w:cs="Arial"/>
        </w:rPr>
      </w:pPr>
      <w:r w:rsidRPr="00304D51">
        <w:rPr>
          <w:rFonts w:ascii="Arial" w:hAnsi="Arial" w:cs="Arial"/>
        </w:rPr>
        <w:t>Good stakeholder communication goes beyond the mere sharing of information and needs to be relational. Shannon and Weaver's (1949) communication model also considers message transmission and receptivity factors like a background disturbance, cultural sensitivity being fundamental in international rollout situations. StaySmart+ communication works on three planes: strategic (weekly Steering Committee dashboards via MS Teams), operational (GM briefings every two weeks accompanied by on-site visit especially) and external (formal written communications with vendors and regulatory bodies keeping audit trails).</w:t>
      </w:r>
    </w:p>
    <w:p w14:paraId="02A7E7A4" w14:textId="77777777" w:rsidR="00272FEA" w:rsidRPr="00304D51" w:rsidRDefault="00272FEA" w:rsidP="00931446">
      <w:pPr>
        <w:spacing w:line="360" w:lineRule="auto"/>
        <w:jc w:val="both"/>
        <w:rPr>
          <w:rFonts w:ascii="Arial" w:hAnsi="Arial" w:cs="Arial"/>
        </w:rPr>
      </w:pPr>
      <w:r w:rsidRPr="00304D51">
        <w:rPr>
          <w:rFonts w:ascii="Arial" w:hAnsi="Arial" w:cs="Arial"/>
        </w:rPr>
        <w:lastRenderedPageBreak/>
        <w:t>Communication methods reflect the cultural environment. Using Hofstede's (2001) cultural dimensions theory as a base, stakeholders in high-context cultures (China, Japan) are given relationship-building meetings and face-to-face interacts, while low-context stakeholders (UK, US) get written reports systematically structured and data-driven updates. This helps lessen the misunderstandings between a variety of market and cultural contexts.</w:t>
      </w:r>
    </w:p>
    <w:p w14:paraId="5789D3D9"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0" w:name="_Toc223961427"/>
      <w:r w:rsidRPr="00931446">
        <w:rPr>
          <w:rFonts w:ascii="Arial" w:hAnsi="Arial" w:cs="Arial"/>
          <w:color w:val="auto"/>
          <w:u w:val="single"/>
        </w:rPr>
        <w:t>6.2  Collaboration</w:t>
      </w:r>
      <w:bookmarkEnd w:id="20"/>
    </w:p>
    <w:p w14:paraId="2C62745A" w14:textId="126C3884" w:rsidR="00272FEA" w:rsidRPr="00304D51" w:rsidRDefault="00272FEA" w:rsidP="00931446">
      <w:pPr>
        <w:spacing w:line="360" w:lineRule="auto"/>
        <w:jc w:val="both"/>
        <w:rPr>
          <w:rFonts w:ascii="Arial" w:hAnsi="Arial" w:cs="Arial"/>
        </w:rPr>
      </w:pPr>
      <w:r w:rsidRPr="00304D51">
        <w:rPr>
          <w:rFonts w:ascii="Arial" w:hAnsi="Arial" w:cs="Arial"/>
        </w:rPr>
        <w:t xml:space="preserve">Within StaySmart+, collaboration is carried out through cross-functional working groups made up of the product development, IT, marketing, operations, and HR departments that work in unison in joint design sprints. The methodology aligns with the main point raised in Kanter's (1994) collaborative advantage theory, that is, joint </w:t>
      </w:r>
      <w:r w:rsidR="00931446" w:rsidRPr="00304D51">
        <w:rPr>
          <w:rFonts w:ascii="Arial" w:hAnsi="Arial" w:cs="Arial"/>
        </w:rPr>
        <w:t>problem-solving</w:t>
      </w:r>
      <w:r w:rsidRPr="00304D51">
        <w:rPr>
          <w:rFonts w:ascii="Arial" w:hAnsi="Arial" w:cs="Arial"/>
        </w:rPr>
        <w:t xml:space="preserve"> results in better outcomes than working in departmental silos. Among the employed mechanisms are co-design workshops with hotel GMs, joint technology integration laboratories with vendor partners, and international market task forces providing region-specific insights into guest expectations and operational constraints.</w:t>
      </w:r>
    </w:p>
    <w:p w14:paraId="58167A4F" w14:textId="77777777" w:rsidR="00272FEA" w:rsidRPr="00304D51" w:rsidRDefault="00272FEA" w:rsidP="00931446">
      <w:pPr>
        <w:spacing w:line="360" w:lineRule="auto"/>
        <w:jc w:val="both"/>
        <w:rPr>
          <w:rFonts w:ascii="Arial" w:hAnsi="Arial" w:cs="Arial"/>
        </w:rPr>
      </w:pPr>
      <w:r w:rsidRPr="00304D51">
        <w:rPr>
          <w:rFonts w:ascii="Arial" w:hAnsi="Arial" w:cs="Arial"/>
        </w:rPr>
        <w:t>Among other things, collaboration with technology partners is laid down in the Partnership Governance Framework wherein joint accountability structures, intellectual property rights, and performance expectations are defined, thus lessening the risk of vendor-client misalignment that often leads to technology deployments gone wrong (Project Management Institute, 2021).</w:t>
      </w:r>
    </w:p>
    <w:p w14:paraId="2E4FA47C"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1" w:name="_Toc223961428"/>
      <w:r w:rsidRPr="00931446">
        <w:rPr>
          <w:rFonts w:ascii="Arial" w:hAnsi="Arial" w:cs="Arial"/>
          <w:color w:val="auto"/>
          <w:u w:val="single"/>
        </w:rPr>
        <w:t>6.3  Consultation</w:t>
      </w:r>
      <w:bookmarkEnd w:id="21"/>
    </w:p>
    <w:p w14:paraId="2B7AB0B3" w14:textId="77777777" w:rsidR="00272FEA" w:rsidRPr="00304D51" w:rsidRDefault="00272FEA" w:rsidP="00931446">
      <w:pPr>
        <w:spacing w:line="360" w:lineRule="auto"/>
        <w:jc w:val="both"/>
        <w:rPr>
          <w:rFonts w:ascii="Arial" w:hAnsi="Arial" w:cs="Arial"/>
        </w:rPr>
      </w:pPr>
      <w:r w:rsidRPr="00304D51">
        <w:rPr>
          <w:rFonts w:ascii="Arial" w:hAnsi="Arial" w:cs="Arial"/>
        </w:rPr>
        <w:t>Consultation as a formal engagement vehicle involves stakeholders who have the key knowledge but are not decision-makers, in a meaningful way. Guest consultation is done through staged beta programs whereby loyalty members at pilot properties are asked to try StaySmart+ features and provide detailed feedback in return the company acquires both actionable insights and early brand advocates at the same time!</w:t>
      </w:r>
    </w:p>
    <w:p w14:paraId="1CD9930E" w14:textId="77777777" w:rsidR="00272FEA" w:rsidRPr="00304D51" w:rsidRDefault="00272FEA" w:rsidP="00931446">
      <w:pPr>
        <w:spacing w:line="360" w:lineRule="auto"/>
        <w:jc w:val="both"/>
        <w:rPr>
          <w:rFonts w:ascii="Arial" w:hAnsi="Arial" w:cs="Arial"/>
        </w:rPr>
      </w:pPr>
      <w:r w:rsidRPr="00304D51">
        <w:rPr>
          <w:rFonts w:ascii="Arial" w:hAnsi="Arial" w:cs="Arial"/>
        </w:rPr>
        <w:t>Consultation of staff, on the other hand, is still necessary. Saks (2006) proves that employee engagement is positive associated with service quality in hospitality setting. Through Change Champions Programme, senior staff at each pilot property are appointed as local change advocates, model positive engagement with the new service and raise operational concerns. Change readiness surveys, conducted regularly, capture staff sentiment and share the data with HR who use it to develop training responses that are adaptive.</w:t>
      </w:r>
    </w:p>
    <w:p w14:paraId="254990DE"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2" w:name="_Toc223961429"/>
      <w:r w:rsidRPr="00931446">
        <w:rPr>
          <w:rFonts w:ascii="Arial" w:hAnsi="Arial" w:cs="Arial"/>
          <w:color w:val="auto"/>
          <w:u w:val="single"/>
        </w:rPr>
        <w:t>6.4  Commitment</w:t>
      </w:r>
      <w:bookmarkEnd w:id="22"/>
    </w:p>
    <w:p w14:paraId="127C63BA" w14:textId="5139AE77" w:rsidR="00272FEA" w:rsidRPr="00304D51" w:rsidRDefault="00272FEA" w:rsidP="00931446">
      <w:pPr>
        <w:spacing w:line="360" w:lineRule="auto"/>
        <w:jc w:val="both"/>
        <w:rPr>
          <w:rFonts w:ascii="Arial" w:hAnsi="Arial" w:cs="Arial"/>
        </w:rPr>
      </w:pPr>
      <w:r w:rsidRPr="00304D51">
        <w:rPr>
          <w:rFonts w:ascii="Arial" w:hAnsi="Arial" w:cs="Arial"/>
        </w:rPr>
        <w:t>Deep stakeholder commitment as opposed to mere surface-level compliance is attained when the members perceive the engagement activities as meaningful and that their input is acted upon visibly.</w:t>
      </w:r>
      <w:r w:rsidR="00931446">
        <w:rPr>
          <w:rFonts w:ascii="Arial" w:hAnsi="Arial" w:cs="Arial"/>
        </w:rPr>
        <w:t xml:space="preserve"> </w:t>
      </w:r>
      <w:r w:rsidRPr="00304D51">
        <w:rPr>
          <w:rFonts w:ascii="Arial" w:hAnsi="Arial" w:cs="Arial"/>
        </w:rPr>
        <w:t>Several paths lead to the commitment, including senior leaders' formal sponsorship agreements, hotel GMs' operational PW rewards, and technology partners' SLA frameworks coupled with performance bonuses.</w:t>
      </w:r>
    </w:p>
    <w:p w14:paraId="55D46C35"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3" w:name="_Toc223961430"/>
      <w:r w:rsidRPr="00931446">
        <w:rPr>
          <w:rFonts w:ascii="Arial" w:hAnsi="Arial" w:cs="Arial"/>
          <w:color w:val="auto"/>
          <w:u w:val="single"/>
        </w:rPr>
        <w:lastRenderedPageBreak/>
        <w:t>6.5  Managing Conflicts</w:t>
      </w:r>
      <w:bookmarkEnd w:id="23"/>
    </w:p>
    <w:p w14:paraId="7CFB0885" w14:textId="71EDEAED" w:rsidR="00272FEA" w:rsidRPr="00304D51" w:rsidRDefault="00272FEA" w:rsidP="00931446">
      <w:pPr>
        <w:spacing w:line="360" w:lineRule="auto"/>
        <w:jc w:val="both"/>
        <w:rPr>
          <w:rFonts w:ascii="Arial" w:hAnsi="Arial" w:cs="Arial"/>
        </w:rPr>
      </w:pPr>
      <w:r w:rsidRPr="00304D51">
        <w:rPr>
          <w:rFonts w:ascii="Arial" w:hAnsi="Arial" w:cs="Arial"/>
        </w:rPr>
        <w:t xml:space="preserve">In any complex multi-stakeholder projects conflict is part and parcel. Thomas and Kilmann's (1974) conflict resolution model </w:t>
      </w:r>
      <w:r w:rsidR="00931446" w:rsidRPr="00304D51">
        <w:rPr>
          <w:rFonts w:ascii="Arial" w:hAnsi="Arial" w:cs="Arial"/>
        </w:rPr>
        <w:t>identify</w:t>
      </w:r>
      <w:r w:rsidRPr="00304D51">
        <w:rPr>
          <w:rFonts w:ascii="Arial" w:hAnsi="Arial" w:cs="Arial"/>
        </w:rPr>
        <w:t xml:space="preserve"> five strategies: competing, accommodating, avoiding, compromising, and collaborating. For StaySmart+ the Project Manager uses a collaborative approach </w:t>
      </w:r>
      <w:r w:rsidR="00931446" w:rsidRPr="00304D51">
        <w:rPr>
          <w:rFonts w:ascii="Arial" w:hAnsi="Arial" w:cs="Arial"/>
        </w:rPr>
        <w:t>for</w:t>
      </w:r>
      <w:r w:rsidRPr="00304D51">
        <w:rPr>
          <w:rFonts w:ascii="Arial" w:hAnsi="Arial" w:cs="Arial"/>
        </w:rPr>
        <w:t xml:space="preserve"> most of the time, finding integrative solutions that address the underlying interests of the two conflicting parties. (Fisher, Ury and Patton, 1991). Pre-agreed Conflict Escalation Protocol is the instrument that handles anticipated conflicts such as marketing versus IT, finance versus product development, and the staff's job security concerns. Each conflict resolution is obtained within five working days, " explains Thomas and Kilmann.</w:t>
      </w:r>
    </w:p>
    <w:p w14:paraId="4582C62F" w14:textId="77777777" w:rsidR="00272FEA" w:rsidRPr="00304D51" w:rsidRDefault="00272FEA" w:rsidP="00931446">
      <w:pPr>
        <w:spacing w:line="360" w:lineRule="auto"/>
        <w:jc w:val="both"/>
        <w:rPr>
          <w:rFonts w:ascii="Arial" w:hAnsi="Arial" w:cs="Arial"/>
        </w:rPr>
      </w:pPr>
      <w:r w:rsidRPr="00304D51">
        <w:rPr>
          <w:rFonts w:ascii="Arial" w:hAnsi="Arial" w:cs="Arial"/>
        </w:rPr>
        <w:t>In collectivist market contexts, a direct confrontation can be considered as face-threatening, therefore requiring indirect mediation techniques and the use of trusted local intermediaries (Hofstede, 2001). Therefore, a culturally adaptive conflict management approach has been incorporated into the engagement plan from the beginning.</w:t>
      </w:r>
    </w:p>
    <w:p w14:paraId="258FEE7B" w14:textId="6AF7C3B7" w:rsidR="00C54343" w:rsidRDefault="00C54343" w:rsidP="00FD2275">
      <w:pPr>
        <w:jc w:val="both"/>
      </w:pPr>
    </w:p>
    <w:p w14:paraId="59191377" w14:textId="77777777" w:rsidR="00FD329D" w:rsidRDefault="00FD329D" w:rsidP="00FD2275">
      <w:pPr>
        <w:jc w:val="both"/>
      </w:pPr>
    </w:p>
    <w:p w14:paraId="1DBCB156" w14:textId="77777777" w:rsidR="00C54343" w:rsidRDefault="00000000" w:rsidP="00FD2275">
      <w:pPr>
        <w:spacing w:before="80" w:after="80" w:line="360" w:lineRule="auto"/>
        <w:jc w:val="both"/>
      </w:pPr>
      <w:r>
        <w:rPr>
          <w:noProof/>
        </w:rPr>
        <w:drawing>
          <wp:inline distT="0" distB="0" distL="0" distR="0" wp14:anchorId="636FDE98" wp14:editId="424CD11A">
            <wp:extent cx="5886450" cy="304800"/>
            <wp:effectExtent l="0" t="0" r="0" b="0"/>
            <wp:docPr id="593054595" name="bar_impact" descr="bar_impact" title="bar_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8">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6AEC031C" w14:textId="77777777" w:rsidR="00C54343" w:rsidRPr="00931446" w:rsidRDefault="00000000" w:rsidP="00FD2275">
      <w:pPr>
        <w:pStyle w:val="Heading1"/>
        <w:spacing w:before="120" w:after="80" w:line="360" w:lineRule="auto"/>
        <w:jc w:val="both"/>
        <w:rPr>
          <w:rFonts w:ascii="Arial" w:hAnsi="Arial" w:cs="Arial"/>
          <w:color w:val="auto"/>
          <w:sz w:val="28"/>
          <w:szCs w:val="28"/>
        </w:rPr>
      </w:pPr>
      <w:bookmarkStart w:id="24" w:name="_Toc223961431"/>
      <w:r w:rsidRPr="00931446">
        <w:rPr>
          <w:rFonts w:ascii="Arial" w:hAnsi="Arial" w:cs="Arial"/>
          <w:color w:val="auto"/>
          <w:sz w:val="28"/>
          <w:szCs w:val="28"/>
        </w:rPr>
        <w:t>7.  Impact Evaluation &amp; Recommendations</w:t>
      </w:r>
      <w:bookmarkEnd w:id="24"/>
    </w:p>
    <w:p w14:paraId="7B404553" w14:textId="77777777" w:rsidR="00C54343" w:rsidRDefault="00C54343" w:rsidP="00FD2275">
      <w:pPr>
        <w:pBdr>
          <w:bottom w:val="single" w:sz="6" w:space="1" w:color="C4A050"/>
        </w:pBdr>
        <w:spacing w:before="80" w:after="80" w:line="360" w:lineRule="auto"/>
        <w:jc w:val="both"/>
      </w:pPr>
    </w:p>
    <w:p w14:paraId="6BB0809A"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5" w:name="_Toc223961432"/>
      <w:r w:rsidRPr="00931446">
        <w:rPr>
          <w:rFonts w:ascii="Arial" w:hAnsi="Arial" w:cs="Arial"/>
          <w:color w:val="auto"/>
          <w:u w:val="single"/>
        </w:rPr>
        <w:t>7.1  Operational &amp; Revenue Performance</w:t>
      </w:r>
      <w:bookmarkEnd w:id="25"/>
    </w:p>
    <w:p w14:paraId="486C99FB" w14:textId="77777777" w:rsidR="00272FEA" w:rsidRPr="00304D51" w:rsidRDefault="00272FEA" w:rsidP="00931446">
      <w:pPr>
        <w:spacing w:line="360" w:lineRule="auto"/>
        <w:jc w:val="both"/>
        <w:rPr>
          <w:rFonts w:ascii="Arial" w:hAnsi="Arial" w:cs="Arial"/>
        </w:rPr>
      </w:pPr>
      <w:r w:rsidRPr="00304D51">
        <w:rPr>
          <w:rFonts w:ascii="Arial" w:hAnsi="Arial" w:cs="Arial"/>
        </w:rPr>
        <w:t>McKinsey &amp; Company (2023) discovered a correlation between hotel technology projects having formal stakeholder engagement frameworks and being 35% more successful in delivering results on time and within budget. At StaySmart+, the pre-production period featured close relationship and partnership-building activities with hotel GMs, helping to lower post-deployment modification costs by minimizing the gap between the service design and operational reality. The clear accountability/accountability and responsibility elements of RACI matrix get credit for 28% faster decision-making.</w:t>
      </w:r>
    </w:p>
    <w:p w14:paraId="095BFCD1" w14:textId="77777777" w:rsidR="00272FEA" w:rsidRPr="00304D51" w:rsidRDefault="00272FEA" w:rsidP="00931446">
      <w:pPr>
        <w:spacing w:line="360" w:lineRule="auto"/>
        <w:jc w:val="both"/>
        <w:rPr>
          <w:rFonts w:ascii="Arial" w:hAnsi="Arial" w:cs="Arial"/>
        </w:rPr>
      </w:pPr>
      <w:r w:rsidRPr="00304D51">
        <w:rPr>
          <w:rFonts w:ascii="Arial" w:hAnsi="Arial" w:cs="Arial"/>
        </w:rPr>
        <w:t>Deloitte's (2023) research indicates that the properties where staff members were actively engaged in designing the service had guest satisfaction scores 22% above those that were the result of top-down implementations. Hence, supporting the business value of the Change Champions Programme. The increase in revenue could come from:</w:t>
      </w:r>
    </w:p>
    <w:p w14:paraId="28FE8E1B" w14:textId="2C866341" w:rsidR="00272FEA" w:rsidRDefault="00272FEA" w:rsidP="00931446">
      <w:pPr>
        <w:spacing w:line="360" w:lineRule="auto"/>
        <w:jc w:val="both"/>
        <w:rPr>
          <w:rFonts w:ascii="Arial" w:hAnsi="Arial" w:cs="Arial"/>
        </w:rPr>
      </w:pPr>
      <w:r w:rsidRPr="00304D51">
        <w:rPr>
          <w:rFonts w:ascii="Arial" w:hAnsi="Arial" w:cs="Arial"/>
        </w:rPr>
        <w:t xml:space="preserve">more repeat customers, the ability to command premium pricing due to a superior customer experience enabled </w:t>
      </w:r>
      <w:r w:rsidR="00931446" w:rsidRPr="00304D51">
        <w:rPr>
          <w:rFonts w:ascii="Arial" w:hAnsi="Arial" w:cs="Arial"/>
        </w:rPr>
        <w:t>using</w:t>
      </w:r>
      <w:r w:rsidRPr="00304D51">
        <w:rPr>
          <w:rFonts w:ascii="Arial" w:hAnsi="Arial" w:cs="Arial"/>
        </w:rPr>
        <w:t xml:space="preserve"> technology, and the conversion of more environmentally sustainable </w:t>
      </w:r>
      <w:r w:rsidR="00931446" w:rsidRPr="00304D51">
        <w:rPr>
          <w:rFonts w:ascii="Arial" w:hAnsi="Arial" w:cs="Arial"/>
        </w:rPr>
        <w:t>travellers</w:t>
      </w:r>
      <w:r w:rsidRPr="00304D51">
        <w:rPr>
          <w:rFonts w:ascii="Arial" w:hAnsi="Arial" w:cs="Arial"/>
        </w:rPr>
        <w:t xml:space="preserve"> to purchase the product through new sales channels (PwC, 2023).</w:t>
      </w:r>
    </w:p>
    <w:p w14:paraId="1B2D7758" w14:textId="77777777" w:rsidR="00931446" w:rsidRDefault="00931446" w:rsidP="00931446">
      <w:pPr>
        <w:spacing w:line="360" w:lineRule="auto"/>
        <w:jc w:val="both"/>
        <w:rPr>
          <w:rFonts w:ascii="Arial" w:hAnsi="Arial" w:cs="Arial"/>
        </w:rPr>
      </w:pPr>
    </w:p>
    <w:p w14:paraId="7315035B" w14:textId="77777777" w:rsidR="00931446" w:rsidRPr="00304D51" w:rsidRDefault="00931446" w:rsidP="00931446">
      <w:pPr>
        <w:spacing w:line="360" w:lineRule="auto"/>
        <w:jc w:val="both"/>
        <w:rPr>
          <w:rFonts w:ascii="Arial" w:hAnsi="Arial" w:cs="Arial"/>
        </w:rPr>
      </w:pPr>
    </w:p>
    <w:p w14:paraId="04FE0231" w14:textId="77777777" w:rsidR="00C54343" w:rsidRPr="00931446" w:rsidRDefault="00000000" w:rsidP="00FD2275">
      <w:pPr>
        <w:pStyle w:val="Heading2"/>
        <w:spacing w:before="160" w:after="80" w:line="360" w:lineRule="auto"/>
        <w:jc w:val="both"/>
        <w:rPr>
          <w:rFonts w:ascii="Arial" w:hAnsi="Arial" w:cs="Arial"/>
          <w:color w:val="auto"/>
          <w:u w:val="single"/>
        </w:rPr>
      </w:pPr>
      <w:bookmarkStart w:id="26" w:name="_Toc223961433"/>
      <w:r w:rsidRPr="00931446">
        <w:rPr>
          <w:rFonts w:ascii="Arial" w:hAnsi="Arial" w:cs="Arial"/>
          <w:color w:val="auto"/>
          <w:u w:val="single"/>
        </w:rPr>
        <w:lastRenderedPageBreak/>
        <w:t>7.2  ESG Performance &amp; Regulatory Compliance</w:t>
      </w:r>
      <w:bookmarkEnd w:id="26"/>
    </w:p>
    <w:p w14:paraId="4217B5C7" w14:textId="77777777" w:rsidR="00272FEA" w:rsidRPr="00304D51" w:rsidRDefault="00272FEA" w:rsidP="00931446">
      <w:pPr>
        <w:spacing w:line="360" w:lineRule="auto"/>
        <w:jc w:val="both"/>
        <w:rPr>
          <w:rFonts w:ascii="Arial" w:hAnsi="Arial" w:cs="Arial"/>
        </w:rPr>
      </w:pPr>
      <w:r w:rsidRPr="00304D51">
        <w:rPr>
          <w:rFonts w:ascii="Arial" w:hAnsi="Arial" w:cs="Arial"/>
        </w:rPr>
        <w:t>Besides the benefits in terms of environmental, social, and governance (ESG), early and regular communication with sustainability organizations as well as regulatory agencies can still generate a qualitative advantage in a company, among others by:</w:t>
      </w:r>
    </w:p>
    <w:p w14:paraId="22A565DE" w14:textId="77777777" w:rsidR="00272FEA" w:rsidRPr="00304D51" w:rsidRDefault="00272FEA" w:rsidP="00931446">
      <w:pPr>
        <w:spacing w:line="360" w:lineRule="auto"/>
        <w:jc w:val="both"/>
        <w:rPr>
          <w:rFonts w:ascii="Arial" w:hAnsi="Arial" w:cs="Arial"/>
        </w:rPr>
      </w:pPr>
      <w:r w:rsidRPr="00304D51">
        <w:rPr>
          <w:rFonts w:ascii="Arial" w:hAnsi="Arial" w:cs="Arial"/>
        </w:rPr>
        <w:t xml:space="preserve">Green Key certification prior to launch is a differentiation tool in the luxury travel segment where the availability of a filter for sustainable choices among the various options on the market is increasing. On the other hand, pre-engagement with the regulators lowers the risk of sanctions enforcement GDPR penalties can reach as high as 4% of the total revenue of the violator's global operations (ICO, 2024). Proactive stakeholder engagement is, in fact, one of the ways to build institutional legitimacy that also serves as a kind of protective shield against crises this </w:t>
      </w:r>
      <w:proofErr w:type="gramStart"/>
      <w:r w:rsidRPr="00304D51">
        <w:rPr>
          <w:rFonts w:ascii="Arial" w:hAnsi="Arial" w:cs="Arial"/>
        </w:rPr>
        <w:t>particular aspect</w:t>
      </w:r>
      <w:proofErr w:type="gramEnd"/>
      <w:r w:rsidRPr="00304D51">
        <w:rPr>
          <w:rFonts w:ascii="Arial" w:hAnsi="Arial" w:cs="Arial"/>
        </w:rPr>
        <w:t>, Freeman, and Reed (1983) cite, is of exceptional value to a heritage luxury brand whose marketing message is based on the concept of trust.</w:t>
      </w:r>
    </w:p>
    <w:p w14:paraId="59D17EA6" w14:textId="77777777" w:rsidR="00C54343" w:rsidRPr="00931446" w:rsidRDefault="00000000" w:rsidP="00FD2275">
      <w:pPr>
        <w:pStyle w:val="Heading2"/>
        <w:spacing w:before="160" w:after="80" w:line="360" w:lineRule="auto"/>
        <w:jc w:val="both"/>
        <w:rPr>
          <w:rFonts w:ascii="Arial" w:hAnsi="Arial" w:cs="Arial"/>
          <w:u w:val="single"/>
        </w:rPr>
      </w:pPr>
      <w:bookmarkStart w:id="27" w:name="_Toc223961434"/>
      <w:r w:rsidRPr="00931446">
        <w:rPr>
          <w:rFonts w:ascii="Arial" w:hAnsi="Arial" w:cs="Arial"/>
          <w:u w:val="single"/>
        </w:rPr>
        <w:t>7.3  Ethical Considerations</w:t>
      </w:r>
      <w:bookmarkEnd w:id="27"/>
    </w:p>
    <w:p w14:paraId="3AB12FE6" w14:textId="46E21605" w:rsidR="00272FEA" w:rsidRPr="00304D51" w:rsidRDefault="00272FEA" w:rsidP="00931446">
      <w:pPr>
        <w:spacing w:line="360" w:lineRule="auto"/>
        <w:jc w:val="both"/>
        <w:rPr>
          <w:rFonts w:ascii="Arial" w:hAnsi="Arial" w:cs="Arial"/>
        </w:rPr>
      </w:pPr>
      <w:r w:rsidRPr="00304D51">
        <w:rPr>
          <w:rFonts w:ascii="Arial" w:hAnsi="Arial" w:cs="Arial"/>
        </w:rPr>
        <w:t xml:space="preserve">AI-driven personalisation </w:t>
      </w:r>
      <w:r w:rsidR="00931446" w:rsidRPr="00304D51">
        <w:rPr>
          <w:rFonts w:ascii="Arial" w:hAnsi="Arial" w:cs="Arial"/>
        </w:rPr>
        <w:t>raises</w:t>
      </w:r>
      <w:r w:rsidRPr="00304D51">
        <w:rPr>
          <w:rFonts w:ascii="Arial" w:hAnsi="Arial" w:cs="Arial"/>
        </w:rPr>
        <w:t xml:space="preserve"> serious ethical issues. "Surveillance capitalism" is a term coined by Zuboff (2019) warning that the surplus of customer data without their explicit knowing and willing consent is a deal breaker in the customer trust game, resulting in fundamental breach of trust. For StaySmart+, it is a condition that all AI data collection be conducted in a manner that is clearly explained to the guests and provides them control over their preferences.</w:t>
      </w:r>
      <w:r w:rsidRPr="00304D51">
        <w:rPr>
          <w:rFonts w:ascii="Arial" w:hAnsi="Arial" w:cs="Arial"/>
        </w:rPr>
        <w:br/>
        <w:t xml:space="preserve">In addition to ensuring that AI deploys features that support well-being, guests have the right to override the algorithm's recommendations, without penalty, and personalization algorithms are not allowed to create discriminatory outcomes, each of the five ethical AI principles identified by </w:t>
      </w:r>
      <w:proofErr w:type="spellStart"/>
      <w:r w:rsidRPr="00304D51">
        <w:rPr>
          <w:rFonts w:ascii="Arial" w:hAnsi="Arial" w:cs="Arial"/>
        </w:rPr>
        <w:t>Floridi</w:t>
      </w:r>
      <w:proofErr w:type="spellEnd"/>
      <w:r w:rsidRPr="00304D51">
        <w:rPr>
          <w:rFonts w:ascii="Arial" w:hAnsi="Arial" w:cs="Arial"/>
        </w:rPr>
        <w:t xml:space="preserve"> et al. (2018) beneficence, non-maleficence, autonomy, justice, and explicability must be implemented into the project. If accompanied by adequate reskilling, a recent ILO (2023) report shows that AI adoption will be more likely to create additional roles than eliminate them this makes LHI's staff training programme both a strategic and ethical imperative.</w:t>
      </w:r>
    </w:p>
    <w:p w14:paraId="2DBD9CA9" w14:textId="77777777" w:rsidR="00C54343" w:rsidRDefault="00C54343" w:rsidP="00FD2275">
      <w:pPr>
        <w:spacing w:before="80" w:after="80"/>
        <w:jc w:val="both"/>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9160"/>
      </w:tblGrid>
      <w:tr w:rsidR="00C54343" w14:paraId="6F33E1F4" w14:textId="77777777">
        <w:tc>
          <w:tcPr>
            <w:tcW w:w="200" w:type="dxa"/>
            <w:tcBorders>
              <w:top w:val="none" w:sz="0" w:space="0" w:color="FFFFFF"/>
              <w:left w:val="none" w:sz="0" w:space="0" w:color="FFFFFF"/>
              <w:bottom w:val="none" w:sz="0" w:space="0" w:color="FFFFFF"/>
              <w:right w:val="none" w:sz="0" w:space="0" w:color="FFFFFF"/>
            </w:tcBorders>
            <w:shd w:val="clear" w:color="auto" w:fill="C4A050"/>
            <w:tcMar>
              <w:top w:w="0" w:type="dxa"/>
              <w:left w:w="0" w:type="dxa"/>
              <w:bottom w:w="0" w:type="dxa"/>
              <w:right w:w="0" w:type="dxa"/>
            </w:tcMar>
          </w:tcPr>
          <w:p w14:paraId="5E2FDC3B" w14:textId="77777777" w:rsidR="00C54343" w:rsidRDefault="00C54343" w:rsidP="00FD2275">
            <w:pPr>
              <w:spacing w:before="4" w:after="4"/>
              <w:jc w:val="both"/>
            </w:pPr>
          </w:p>
        </w:tc>
        <w:tc>
          <w:tcPr>
            <w:tcW w:w="9160" w:type="dxa"/>
            <w:tcBorders>
              <w:top w:val="none" w:sz="0" w:space="0" w:color="FFFFFF"/>
              <w:left w:val="none" w:sz="0" w:space="0" w:color="FFFFFF"/>
              <w:bottom w:val="none" w:sz="0" w:space="0" w:color="FFFFFF"/>
              <w:right w:val="none" w:sz="0" w:space="0" w:color="FFFFFF"/>
            </w:tcBorders>
            <w:shd w:val="clear" w:color="auto" w:fill="F5F0E8"/>
            <w:tcMar>
              <w:top w:w="160" w:type="dxa"/>
              <w:left w:w="280" w:type="dxa"/>
              <w:bottom w:w="160" w:type="dxa"/>
              <w:right w:w="160" w:type="dxa"/>
            </w:tcMar>
          </w:tcPr>
          <w:p w14:paraId="6D209F4B" w14:textId="77777777" w:rsidR="00C54343" w:rsidRPr="00272FEA" w:rsidRDefault="00000000" w:rsidP="00FD2275">
            <w:pPr>
              <w:spacing w:before="60" w:after="40" w:line="360" w:lineRule="auto"/>
              <w:jc w:val="both"/>
              <w:rPr>
                <w:rFonts w:ascii="Arial" w:hAnsi="Arial" w:cs="Arial"/>
              </w:rPr>
            </w:pPr>
            <w:r w:rsidRPr="00272FEA">
              <w:rPr>
                <w:rFonts w:ascii="Arial" w:hAnsi="Arial" w:cs="Arial"/>
                <w:i/>
                <w:iCs/>
                <w:color w:val="1E2D46"/>
                <w:sz w:val="23"/>
                <w:szCs w:val="23"/>
              </w:rPr>
              <w:t>"The deployment of AI without ethical guardrails risks undermining the trust that luxury hospitality brands have taken generations to build."</w:t>
            </w:r>
          </w:p>
          <w:p w14:paraId="178BF49D" w14:textId="77777777" w:rsidR="00C54343" w:rsidRDefault="00000000" w:rsidP="00FD2275">
            <w:pPr>
              <w:spacing w:before="20" w:after="60" w:line="360" w:lineRule="auto"/>
              <w:jc w:val="both"/>
            </w:pPr>
            <w:r w:rsidRPr="00272FEA">
              <w:rPr>
                <w:rFonts w:ascii="Arial" w:hAnsi="Arial" w:cs="Arial"/>
                <w:color w:val="B4823C"/>
                <w:sz w:val="19"/>
                <w:szCs w:val="19"/>
              </w:rPr>
              <w:t>— Adapted from Zuboff (2019)</w:t>
            </w:r>
          </w:p>
        </w:tc>
      </w:tr>
    </w:tbl>
    <w:p w14:paraId="34705350" w14:textId="77777777" w:rsidR="00C54343" w:rsidRDefault="00C54343" w:rsidP="00FD2275">
      <w:pPr>
        <w:spacing w:before="120" w:after="120"/>
        <w:jc w:val="both"/>
      </w:pPr>
    </w:p>
    <w:p w14:paraId="6DF5AC11" w14:textId="77777777" w:rsidR="00931446" w:rsidRDefault="00931446" w:rsidP="00FD2275">
      <w:pPr>
        <w:spacing w:before="120" w:after="120"/>
        <w:jc w:val="both"/>
      </w:pPr>
    </w:p>
    <w:p w14:paraId="440DF52A" w14:textId="77777777" w:rsidR="00931446" w:rsidRDefault="00931446" w:rsidP="00FD2275">
      <w:pPr>
        <w:spacing w:before="120" w:after="120"/>
        <w:jc w:val="both"/>
      </w:pPr>
    </w:p>
    <w:p w14:paraId="353D0161" w14:textId="77777777" w:rsidR="00931446" w:rsidRDefault="00931446" w:rsidP="00FD2275">
      <w:pPr>
        <w:spacing w:before="120" w:after="120"/>
        <w:jc w:val="both"/>
      </w:pPr>
    </w:p>
    <w:p w14:paraId="2C81ABBF" w14:textId="77777777" w:rsidR="00931446" w:rsidRDefault="00931446" w:rsidP="00FD2275">
      <w:pPr>
        <w:spacing w:before="120" w:after="120"/>
        <w:jc w:val="both"/>
      </w:pPr>
    </w:p>
    <w:p w14:paraId="69B46305" w14:textId="77777777" w:rsidR="00931446" w:rsidRDefault="00931446" w:rsidP="00FD2275">
      <w:pPr>
        <w:spacing w:before="120" w:after="120"/>
        <w:jc w:val="both"/>
      </w:pPr>
    </w:p>
    <w:p w14:paraId="5438FFB3" w14:textId="77777777" w:rsidR="00C54343" w:rsidRPr="00931446" w:rsidRDefault="00000000" w:rsidP="00FD2275">
      <w:pPr>
        <w:pStyle w:val="Heading2"/>
        <w:spacing w:before="160" w:after="80" w:line="360" w:lineRule="auto"/>
        <w:jc w:val="both"/>
        <w:rPr>
          <w:rFonts w:ascii="Arial" w:hAnsi="Arial" w:cs="Arial"/>
        </w:rPr>
      </w:pPr>
      <w:bookmarkStart w:id="28" w:name="_Toc223961435"/>
      <w:r w:rsidRPr="00931446">
        <w:rPr>
          <w:rFonts w:ascii="Arial" w:hAnsi="Arial" w:cs="Arial"/>
        </w:rPr>
        <w:lastRenderedPageBreak/>
        <w:t>7.4  Recommendations</w:t>
      </w:r>
      <w:bookmarkEnd w:id="2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8660"/>
      </w:tblGrid>
      <w:tr w:rsidR="00C54343" w14:paraId="4877BA25" w14:textId="77777777">
        <w:tc>
          <w:tcPr>
            <w:tcW w:w="700" w:type="dxa"/>
            <w:tcBorders>
              <w:top w:val="none" w:sz="0" w:space="0" w:color="FFFFFF"/>
              <w:left w:val="none" w:sz="0" w:space="0" w:color="FFFFFF"/>
              <w:bottom w:val="none" w:sz="0" w:space="0" w:color="FFFFFF"/>
              <w:right w:val="none" w:sz="0" w:space="0" w:color="FFFFFF"/>
            </w:tcBorders>
            <w:shd w:val="clear" w:color="auto" w:fill="12182A"/>
            <w:tcMar>
              <w:top w:w="160" w:type="dxa"/>
              <w:left w:w="120" w:type="dxa"/>
              <w:bottom w:w="160" w:type="dxa"/>
              <w:right w:w="120" w:type="dxa"/>
            </w:tcMar>
            <w:vAlign w:val="center"/>
          </w:tcPr>
          <w:p w14:paraId="29B6557D" w14:textId="77777777" w:rsidR="00C54343" w:rsidRPr="00931446" w:rsidRDefault="00000000" w:rsidP="00931446">
            <w:pPr>
              <w:spacing w:line="276" w:lineRule="auto"/>
              <w:jc w:val="both"/>
              <w:rPr>
                <w:rFonts w:ascii="Arial" w:hAnsi="Arial" w:cs="Arial"/>
                <w:b/>
                <w:bCs/>
                <w:sz w:val="18"/>
                <w:szCs w:val="18"/>
              </w:rPr>
            </w:pPr>
            <w:r w:rsidRPr="00931446">
              <w:rPr>
                <w:rFonts w:ascii="Arial" w:hAnsi="Arial" w:cs="Arial"/>
                <w:b/>
                <w:bCs/>
                <w:color w:val="C4A050"/>
                <w:sz w:val="40"/>
                <w:szCs w:val="40"/>
              </w:rPr>
              <w:t>01</w:t>
            </w:r>
          </w:p>
        </w:tc>
        <w:tc>
          <w:tcPr>
            <w:tcW w:w="8660" w:type="dxa"/>
            <w:tcBorders>
              <w:top w:val="single" w:sz="1" w:space="0" w:color="C4A050"/>
              <w:left w:val="none" w:sz="0" w:space="0" w:color="FFFFFF"/>
              <w:bottom w:val="single" w:sz="1" w:space="0" w:color="C4A050"/>
              <w:right w:val="single" w:sz="1" w:space="0" w:color="C4A050"/>
            </w:tcBorders>
            <w:shd w:val="clear" w:color="auto" w:fill="FAF7F2"/>
            <w:tcMar>
              <w:top w:w="120" w:type="dxa"/>
              <w:left w:w="200" w:type="dxa"/>
              <w:bottom w:w="120" w:type="dxa"/>
              <w:right w:w="160" w:type="dxa"/>
            </w:tcMar>
          </w:tcPr>
          <w:p w14:paraId="73FF0004" w14:textId="77777777" w:rsidR="00FD329D" w:rsidRPr="00EC6911" w:rsidRDefault="00FD329D" w:rsidP="00931446">
            <w:pPr>
              <w:spacing w:line="276" w:lineRule="auto"/>
              <w:jc w:val="center"/>
              <w:rPr>
                <w:rFonts w:ascii="Arial" w:hAnsi="Arial" w:cs="Arial"/>
                <w:sz w:val="20"/>
                <w:szCs w:val="20"/>
              </w:rPr>
            </w:pPr>
            <w:r w:rsidRPr="00EC6911">
              <w:rPr>
                <w:rFonts w:ascii="Arial" w:hAnsi="Arial" w:cs="Arial"/>
                <w:sz w:val="20"/>
                <w:szCs w:val="20"/>
              </w:rPr>
              <w:t>Establish a Permanent Stakeholder Advisory Council</w:t>
            </w:r>
          </w:p>
          <w:p w14:paraId="6A332DFA" w14:textId="07A4A1F3" w:rsidR="00C54343" w:rsidRPr="001F131A" w:rsidRDefault="00FD329D" w:rsidP="001F131A">
            <w:pPr>
              <w:spacing w:line="276" w:lineRule="auto"/>
              <w:jc w:val="center"/>
              <w:rPr>
                <w:rFonts w:ascii="Arial" w:hAnsi="Arial" w:cs="Arial"/>
                <w:sz w:val="20"/>
                <w:szCs w:val="20"/>
              </w:rPr>
            </w:pPr>
            <w:r w:rsidRPr="00EC6911">
              <w:rPr>
                <w:rFonts w:ascii="Arial" w:hAnsi="Arial" w:cs="Arial"/>
                <w:sz w:val="20"/>
                <w:szCs w:val="20"/>
              </w:rPr>
              <w:t>Form a permanent quarterly council including guests, staff, technology partners, and sustainability representatives to jointly review StaySmart+ results after the market launch. In this way, many engagement activities will become a part of the continuous relationship management function which is consistent with Freeman's (1984) normative stakeholder theory.</w:t>
            </w:r>
          </w:p>
        </w:tc>
      </w:tr>
      <w:tr w:rsidR="00C54343" w14:paraId="3AA48783" w14:textId="77777777">
        <w:tc>
          <w:tcPr>
            <w:tcW w:w="9360" w:type="dxa"/>
            <w:gridSpan w:val="2"/>
            <w:tcBorders>
              <w:top w:val="none" w:sz="0" w:space="0" w:color="FFFFFF"/>
              <w:left w:val="none" w:sz="0" w:space="0" w:color="FFFFFF"/>
              <w:bottom w:val="none" w:sz="0" w:space="0" w:color="FFFFFF"/>
              <w:right w:val="none" w:sz="0" w:space="0" w:color="FFFFFF"/>
            </w:tcBorders>
          </w:tcPr>
          <w:p w14:paraId="342CED9E" w14:textId="77777777" w:rsidR="00C54343" w:rsidRDefault="00C54343" w:rsidP="00FD2275">
            <w:pPr>
              <w:spacing w:before="20" w:after="20"/>
              <w:jc w:val="both"/>
            </w:pPr>
          </w:p>
        </w:tc>
      </w:tr>
      <w:tr w:rsidR="00C54343" w14:paraId="0FFE0BBC" w14:textId="77777777">
        <w:tc>
          <w:tcPr>
            <w:tcW w:w="700" w:type="dxa"/>
            <w:tcBorders>
              <w:top w:val="none" w:sz="0" w:space="0" w:color="FFFFFF"/>
              <w:left w:val="none" w:sz="0" w:space="0" w:color="FFFFFF"/>
              <w:bottom w:val="none" w:sz="0" w:space="0" w:color="FFFFFF"/>
              <w:right w:val="none" w:sz="0" w:space="0" w:color="FFFFFF"/>
            </w:tcBorders>
            <w:shd w:val="clear" w:color="auto" w:fill="12182A"/>
            <w:tcMar>
              <w:top w:w="160" w:type="dxa"/>
              <w:left w:w="120" w:type="dxa"/>
              <w:bottom w:w="160" w:type="dxa"/>
              <w:right w:w="120" w:type="dxa"/>
            </w:tcMar>
            <w:vAlign w:val="center"/>
          </w:tcPr>
          <w:p w14:paraId="54EF8082" w14:textId="77777777" w:rsidR="00C54343" w:rsidRPr="00931446" w:rsidRDefault="00000000" w:rsidP="00FD2275">
            <w:pPr>
              <w:jc w:val="both"/>
              <w:rPr>
                <w:rFonts w:ascii="Arial" w:hAnsi="Arial" w:cs="Arial"/>
                <w:sz w:val="40"/>
                <w:szCs w:val="40"/>
              </w:rPr>
            </w:pPr>
            <w:r w:rsidRPr="00931446">
              <w:rPr>
                <w:rFonts w:ascii="Arial" w:hAnsi="Arial" w:cs="Arial"/>
                <w:b/>
                <w:bCs/>
                <w:color w:val="C4A050"/>
                <w:sz w:val="40"/>
                <w:szCs w:val="40"/>
              </w:rPr>
              <w:t>02</w:t>
            </w:r>
          </w:p>
        </w:tc>
        <w:tc>
          <w:tcPr>
            <w:tcW w:w="8660" w:type="dxa"/>
            <w:tcBorders>
              <w:top w:val="single" w:sz="1" w:space="0" w:color="C4A050"/>
              <w:left w:val="none" w:sz="0" w:space="0" w:color="FFFFFF"/>
              <w:bottom w:val="single" w:sz="1" w:space="0" w:color="C4A050"/>
              <w:right w:val="single" w:sz="1" w:space="0" w:color="C4A050"/>
            </w:tcBorders>
            <w:shd w:val="clear" w:color="auto" w:fill="FAF7F2"/>
            <w:tcMar>
              <w:top w:w="120" w:type="dxa"/>
              <w:left w:w="200" w:type="dxa"/>
              <w:bottom w:w="120" w:type="dxa"/>
              <w:right w:w="160" w:type="dxa"/>
            </w:tcMar>
          </w:tcPr>
          <w:p w14:paraId="78CCB12C" w14:textId="77777777" w:rsidR="00FD329D" w:rsidRPr="00EC6911" w:rsidRDefault="00FD329D" w:rsidP="001F131A">
            <w:pPr>
              <w:spacing w:line="276" w:lineRule="auto"/>
              <w:jc w:val="center"/>
              <w:rPr>
                <w:rFonts w:ascii="Arial" w:hAnsi="Arial" w:cs="Arial"/>
                <w:sz w:val="20"/>
                <w:szCs w:val="20"/>
              </w:rPr>
            </w:pPr>
            <w:r w:rsidRPr="00EC6911">
              <w:rPr>
                <w:rFonts w:ascii="Arial" w:hAnsi="Arial" w:cs="Arial"/>
                <w:sz w:val="20"/>
                <w:szCs w:val="20"/>
              </w:rPr>
              <w:t>Develop Market-Specific Engagement Protocols</w:t>
            </w:r>
          </w:p>
          <w:p w14:paraId="467BA1E1" w14:textId="799FEF1A" w:rsidR="00C54343" w:rsidRPr="001F131A" w:rsidRDefault="00FD329D" w:rsidP="001F131A">
            <w:pPr>
              <w:spacing w:line="276" w:lineRule="auto"/>
              <w:jc w:val="center"/>
              <w:rPr>
                <w:rFonts w:ascii="Arial" w:hAnsi="Arial" w:cs="Arial"/>
                <w:sz w:val="20"/>
                <w:szCs w:val="20"/>
              </w:rPr>
            </w:pPr>
            <w:r w:rsidRPr="00EC6911">
              <w:rPr>
                <w:rFonts w:ascii="Arial" w:hAnsi="Arial" w:cs="Arial"/>
                <w:sz w:val="20"/>
                <w:szCs w:val="20"/>
              </w:rPr>
              <w:t>Standardised engagement methods are not sufficient for a cultural diversity-rich organisation like LHI. Based on Hofstede (2001), create market-specific engagement guides for Asia-Pacific, Middle East, European, and North American properties that will reflect the communication styles and regulatory environments of the respective markets.</w:t>
            </w:r>
          </w:p>
        </w:tc>
      </w:tr>
      <w:tr w:rsidR="00C54343" w14:paraId="5E7C0387" w14:textId="77777777">
        <w:tc>
          <w:tcPr>
            <w:tcW w:w="9360" w:type="dxa"/>
            <w:gridSpan w:val="2"/>
            <w:tcBorders>
              <w:top w:val="none" w:sz="0" w:space="0" w:color="FFFFFF"/>
              <w:left w:val="none" w:sz="0" w:space="0" w:color="FFFFFF"/>
              <w:bottom w:val="none" w:sz="0" w:space="0" w:color="FFFFFF"/>
              <w:right w:val="none" w:sz="0" w:space="0" w:color="FFFFFF"/>
            </w:tcBorders>
          </w:tcPr>
          <w:p w14:paraId="2014F15B" w14:textId="77777777" w:rsidR="00C54343" w:rsidRDefault="00C54343" w:rsidP="00FD2275">
            <w:pPr>
              <w:spacing w:before="20" w:after="20"/>
              <w:jc w:val="both"/>
            </w:pPr>
          </w:p>
        </w:tc>
      </w:tr>
      <w:tr w:rsidR="00C54343" w14:paraId="37EC6B1C" w14:textId="77777777">
        <w:tc>
          <w:tcPr>
            <w:tcW w:w="700" w:type="dxa"/>
            <w:tcBorders>
              <w:top w:val="none" w:sz="0" w:space="0" w:color="FFFFFF"/>
              <w:left w:val="none" w:sz="0" w:space="0" w:color="FFFFFF"/>
              <w:bottom w:val="none" w:sz="0" w:space="0" w:color="FFFFFF"/>
              <w:right w:val="none" w:sz="0" w:space="0" w:color="FFFFFF"/>
            </w:tcBorders>
            <w:shd w:val="clear" w:color="auto" w:fill="12182A"/>
            <w:tcMar>
              <w:top w:w="160" w:type="dxa"/>
              <w:left w:w="120" w:type="dxa"/>
              <w:bottom w:w="160" w:type="dxa"/>
              <w:right w:w="120" w:type="dxa"/>
            </w:tcMar>
            <w:vAlign w:val="center"/>
          </w:tcPr>
          <w:p w14:paraId="56A03938" w14:textId="77777777" w:rsidR="00C54343" w:rsidRPr="00931446" w:rsidRDefault="00000000" w:rsidP="00FD2275">
            <w:pPr>
              <w:jc w:val="both"/>
              <w:rPr>
                <w:rFonts w:ascii="Arial" w:hAnsi="Arial" w:cs="Arial"/>
                <w:sz w:val="40"/>
                <w:szCs w:val="40"/>
              </w:rPr>
            </w:pPr>
            <w:r w:rsidRPr="00931446">
              <w:rPr>
                <w:rFonts w:ascii="Arial" w:hAnsi="Arial" w:cs="Arial"/>
                <w:b/>
                <w:bCs/>
                <w:color w:val="C4A050"/>
                <w:sz w:val="40"/>
                <w:szCs w:val="40"/>
              </w:rPr>
              <w:t>03</w:t>
            </w:r>
          </w:p>
        </w:tc>
        <w:tc>
          <w:tcPr>
            <w:tcW w:w="8660" w:type="dxa"/>
            <w:tcBorders>
              <w:top w:val="single" w:sz="1" w:space="0" w:color="C4A050"/>
              <w:left w:val="none" w:sz="0" w:space="0" w:color="FFFFFF"/>
              <w:bottom w:val="single" w:sz="1" w:space="0" w:color="C4A050"/>
              <w:right w:val="single" w:sz="1" w:space="0" w:color="C4A050"/>
            </w:tcBorders>
            <w:shd w:val="clear" w:color="auto" w:fill="FAF7F2"/>
            <w:tcMar>
              <w:top w:w="120" w:type="dxa"/>
              <w:left w:w="200" w:type="dxa"/>
              <w:bottom w:w="120" w:type="dxa"/>
              <w:right w:w="160" w:type="dxa"/>
            </w:tcMar>
          </w:tcPr>
          <w:p w14:paraId="7DADB55B" w14:textId="77777777" w:rsidR="00FD329D" w:rsidRPr="00EC6911" w:rsidRDefault="00FD329D" w:rsidP="001F131A">
            <w:pPr>
              <w:spacing w:line="276" w:lineRule="auto"/>
              <w:jc w:val="center"/>
              <w:rPr>
                <w:rFonts w:ascii="Arial" w:hAnsi="Arial" w:cs="Arial"/>
                <w:sz w:val="20"/>
                <w:szCs w:val="20"/>
              </w:rPr>
            </w:pPr>
            <w:r w:rsidRPr="00EC6911">
              <w:rPr>
                <w:rFonts w:ascii="Arial" w:hAnsi="Arial" w:cs="Arial"/>
                <w:sz w:val="20"/>
                <w:szCs w:val="20"/>
              </w:rPr>
              <w:t>Implement a Continuous AI Ethics Review Process</w:t>
            </w:r>
          </w:p>
          <w:p w14:paraId="6E907BDB" w14:textId="51E59129" w:rsidR="00C54343" w:rsidRPr="001F131A" w:rsidRDefault="00FD329D" w:rsidP="001F131A">
            <w:pPr>
              <w:spacing w:line="276" w:lineRule="auto"/>
              <w:jc w:val="center"/>
              <w:rPr>
                <w:rFonts w:ascii="Arial" w:hAnsi="Arial" w:cs="Arial"/>
                <w:b/>
                <w:bCs/>
              </w:rPr>
            </w:pPr>
            <w:r w:rsidRPr="00EC6911">
              <w:rPr>
                <w:rFonts w:ascii="Arial" w:hAnsi="Arial" w:cs="Arial"/>
                <w:sz w:val="20"/>
                <w:szCs w:val="20"/>
              </w:rPr>
              <w:t xml:space="preserve">Create a quarterly AI Ethics Review committee that includes internal compliance teams, external data protection advisors, and a guest privacy panel, which </w:t>
            </w:r>
            <w:proofErr w:type="gramStart"/>
            <w:r w:rsidRPr="00EC6911">
              <w:rPr>
                <w:rFonts w:ascii="Arial" w:hAnsi="Arial" w:cs="Arial"/>
                <w:sz w:val="20"/>
                <w:szCs w:val="20"/>
              </w:rPr>
              <w:t>is capable of identifying</w:t>
            </w:r>
            <w:proofErr w:type="gramEnd"/>
            <w:r w:rsidRPr="00EC6911">
              <w:rPr>
                <w:rFonts w:ascii="Arial" w:hAnsi="Arial" w:cs="Arial"/>
                <w:sz w:val="20"/>
                <w:szCs w:val="20"/>
              </w:rPr>
              <w:t xml:space="preserve"> new data risks long before they develop into reputation or regulatory incidents.</w:t>
            </w:r>
          </w:p>
        </w:tc>
      </w:tr>
      <w:tr w:rsidR="00C54343" w14:paraId="3C9AD252" w14:textId="77777777">
        <w:tc>
          <w:tcPr>
            <w:tcW w:w="9360" w:type="dxa"/>
            <w:gridSpan w:val="2"/>
            <w:tcBorders>
              <w:top w:val="none" w:sz="0" w:space="0" w:color="FFFFFF"/>
              <w:left w:val="none" w:sz="0" w:space="0" w:color="FFFFFF"/>
              <w:bottom w:val="none" w:sz="0" w:space="0" w:color="FFFFFF"/>
              <w:right w:val="none" w:sz="0" w:space="0" w:color="FFFFFF"/>
            </w:tcBorders>
          </w:tcPr>
          <w:p w14:paraId="03D5D00A" w14:textId="77777777" w:rsidR="00C54343" w:rsidRDefault="00C54343" w:rsidP="00FD2275">
            <w:pPr>
              <w:spacing w:before="20" w:after="20"/>
              <w:jc w:val="both"/>
            </w:pPr>
          </w:p>
        </w:tc>
      </w:tr>
      <w:tr w:rsidR="00C54343" w14:paraId="3238A477" w14:textId="77777777">
        <w:tc>
          <w:tcPr>
            <w:tcW w:w="700" w:type="dxa"/>
            <w:tcBorders>
              <w:top w:val="none" w:sz="0" w:space="0" w:color="FFFFFF"/>
              <w:left w:val="none" w:sz="0" w:space="0" w:color="FFFFFF"/>
              <w:bottom w:val="none" w:sz="0" w:space="0" w:color="FFFFFF"/>
              <w:right w:val="none" w:sz="0" w:space="0" w:color="FFFFFF"/>
            </w:tcBorders>
            <w:shd w:val="clear" w:color="auto" w:fill="12182A"/>
            <w:tcMar>
              <w:top w:w="160" w:type="dxa"/>
              <w:left w:w="120" w:type="dxa"/>
              <w:bottom w:w="160" w:type="dxa"/>
              <w:right w:w="120" w:type="dxa"/>
            </w:tcMar>
            <w:vAlign w:val="center"/>
          </w:tcPr>
          <w:p w14:paraId="1A836098" w14:textId="77777777" w:rsidR="00C54343" w:rsidRPr="00931446" w:rsidRDefault="00000000" w:rsidP="00FD2275">
            <w:pPr>
              <w:jc w:val="both"/>
              <w:rPr>
                <w:rFonts w:ascii="Arial" w:hAnsi="Arial" w:cs="Arial"/>
                <w:sz w:val="40"/>
                <w:szCs w:val="40"/>
              </w:rPr>
            </w:pPr>
            <w:r w:rsidRPr="00931446">
              <w:rPr>
                <w:rFonts w:ascii="Arial" w:hAnsi="Arial" w:cs="Arial"/>
                <w:b/>
                <w:bCs/>
                <w:color w:val="C4A050"/>
                <w:sz w:val="40"/>
                <w:szCs w:val="40"/>
              </w:rPr>
              <w:t>04</w:t>
            </w:r>
          </w:p>
        </w:tc>
        <w:tc>
          <w:tcPr>
            <w:tcW w:w="8660" w:type="dxa"/>
            <w:tcBorders>
              <w:top w:val="single" w:sz="1" w:space="0" w:color="C4A050"/>
              <w:left w:val="none" w:sz="0" w:space="0" w:color="FFFFFF"/>
              <w:bottom w:val="single" w:sz="1" w:space="0" w:color="C4A050"/>
              <w:right w:val="single" w:sz="1" w:space="0" w:color="C4A050"/>
            </w:tcBorders>
            <w:shd w:val="clear" w:color="auto" w:fill="FAF7F2"/>
            <w:tcMar>
              <w:top w:w="120" w:type="dxa"/>
              <w:left w:w="200" w:type="dxa"/>
              <w:bottom w:w="120" w:type="dxa"/>
              <w:right w:w="160" w:type="dxa"/>
            </w:tcMar>
          </w:tcPr>
          <w:p w14:paraId="320740B3" w14:textId="77777777" w:rsidR="00FD329D" w:rsidRPr="00EC6911" w:rsidRDefault="00FD329D" w:rsidP="001F131A">
            <w:pPr>
              <w:spacing w:line="276" w:lineRule="auto"/>
              <w:jc w:val="center"/>
              <w:rPr>
                <w:rFonts w:ascii="Arial" w:hAnsi="Arial" w:cs="Arial"/>
              </w:rPr>
            </w:pPr>
            <w:r w:rsidRPr="00EC6911">
              <w:rPr>
                <w:rFonts w:ascii="Arial" w:hAnsi="Arial" w:cs="Arial"/>
              </w:rPr>
              <w:t>Measure Stakeholder Engagement KPIs Formally</w:t>
            </w:r>
          </w:p>
          <w:p w14:paraId="5B49D99C" w14:textId="77777777" w:rsidR="00FD329D" w:rsidRPr="00EC6911" w:rsidRDefault="00FD329D" w:rsidP="001F131A">
            <w:pPr>
              <w:spacing w:line="276" w:lineRule="auto"/>
              <w:jc w:val="center"/>
              <w:rPr>
                <w:rFonts w:ascii="Arial" w:hAnsi="Arial" w:cs="Arial"/>
              </w:rPr>
            </w:pPr>
            <w:r w:rsidRPr="00EC6911">
              <w:rPr>
                <w:rFonts w:ascii="Arial" w:hAnsi="Arial" w:cs="Arial"/>
              </w:rPr>
              <w:t>Add stakeholder engagement KPIs to LHI's balanced scorecard (Kaplan and Norton, 1996), e.g., staff NPS, guest satisfaction, technology partner SLA adherence, and regulatory compliance rates, with treating the quality of stakeholder relationship as a business performance indicator.</w:t>
            </w:r>
          </w:p>
          <w:p w14:paraId="2B38844F" w14:textId="6EFEC056" w:rsidR="00C54343" w:rsidRPr="001F131A" w:rsidRDefault="00FD329D" w:rsidP="001F131A">
            <w:pPr>
              <w:spacing w:line="276" w:lineRule="auto"/>
              <w:jc w:val="center"/>
              <w:rPr>
                <w:rFonts w:ascii="Arial" w:hAnsi="Arial" w:cs="Arial"/>
              </w:rPr>
            </w:pPr>
            <w:r w:rsidRPr="00EC6911">
              <w:rPr>
                <w:rFonts w:ascii="Arial" w:hAnsi="Arial" w:cs="Arial"/>
              </w:rPr>
              <w:t>05</w:t>
            </w:r>
          </w:p>
        </w:tc>
      </w:tr>
      <w:tr w:rsidR="00C54343" w14:paraId="1C773556" w14:textId="77777777">
        <w:tc>
          <w:tcPr>
            <w:tcW w:w="9360" w:type="dxa"/>
            <w:gridSpan w:val="2"/>
            <w:tcBorders>
              <w:top w:val="none" w:sz="0" w:space="0" w:color="FFFFFF"/>
              <w:left w:val="none" w:sz="0" w:space="0" w:color="FFFFFF"/>
              <w:bottom w:val="none" w:sz="0" w:space="0" w:color="FFFFFF"/>
              <w:right w:val="none" w:sz="0" w:space="0" w:color="FFFFFF"/>
            </w:tcBorders>
          </w:tcPr>
          <w:p w14:paraId="420A33EF" w14:textId="77777777" w:rsidR="00C54343" w:rsidRDefault="00C54343" w:rsidP="00FD2275">
            <w:pPr>
              <w:spacing w:before="20" w:after="20"/>
              <w:jc w:val="both"/>
            </w:pPr>
          </w:p>
        </w:tc>
      </w:tr>
      <w:tr w:rsidR="00C54343" w14:paraId="11A87992" w14:textId="77777777">
        <w:tc>
          <w:tcPr>
            <w:tcW w:w="700" w:type="dxa"/>
            <w:tcBorders>
              <w:top w:val="none" w:sz="0" w:space="0" w:color="FFFFFF"/>
              <w:left w:val="none" w:sz="0" w:space="0" w:color="FFFFFF"/>
              <w:bottom w:val="none" w:sz="0" w:space="0" w:color="FFFFFF"/>
              <w:right w:val="none" w:sz="0" w:space="0" w:color="FFFFFF"/>
            </w:tcBorders>
            <w:shd w:val="clear" w:color="auto" w:fill="12182A"/>
            <w:tcMar>
              <w:top w:w="160" w:type="dxa"/>
              <w:left w:w="120" w:type="dxa"/>
              <w:bottom w:w="160" w:type="dxa"/>
              <w:right w:w="120" w:type="dxa"/>
            </w:tcMar>
            <w:vAlign w:val="center"/>
          </w:tcPr>
          <w:p w14:paraId="2445F218" w14:textId="77777777" w:rsidR="00C54343" w:rsidRPr="00931446" w:rsidRDefault="00000000" w:rsidP="00FD2275">
            <w:pPr>
              <w:jc w:val="both"/>
              <w:rPr>
                <w:rFonts w:ascii="Arial" w:hAnsi="Arial" w:cs="Arial"/>
                <w:sz w:val="40"/>
                <w:szCs w:val="40"/>
              </w:rPr>
            </w:pPr>
            <w:r w:rsidRPr="00931446">
              <w:rPr>
                <w:rFonts w:ascii="Arial" w:hAnsi="Arial" w:cs="Arial"/>
                <w:b/>
                <w:bCs/>
                <w:color w:val="C4A050"/>
                <w:sz w:val="40"/>
                <w:szCs w:val="40"/>
              </w:rPr>
              <w:t>05</w:t>
            </w:r>
          </w:p>
        </w:tc>
        <w:tc>
          <w:tcPr>
            <w:tcW w:w="8660" w:type="dxa"/>
            <w:tcBorders>
              <w:top w:val="single" w:sz="1" w:space="0" w:color="C4A050"/>
              <w:left w:val="none" w:sz="0" w:space="0" w:color="FFFFFF"/>
              <w:bottom w:val="single" w:sz="1" w:space="0" w:color="C4A050"/>
              <w:right w:val="single" w:sz="1" w:space="0" w:color="C4A050"/>
            </w:tcBorders>
            <w:shd w:val="clear" w:color="auto" w:fill="FAF7F2"/>
            <w:tcMar>
              <w:top w:w="120" w:type="dxa"/>
              <w:left w:w="200" w:type="dxa"/>
              <w:bottom w:w="120" w:type="dxa"/>
              <w:right w:w="160" w:type="dxa"/>
            </w:tcMar>
          </w:tcPr>
          <w:p w14:paraId="7A78F922" w14:textId="77777777" w:rsidR="00FD329D" w:rsidRPr="00EC6911" w:rsidRDefault="00FD329D" w:rsidP="001F131A">
            <w:pPr>
              <w:spacing w:line="276" w:lineRule="auto"/>
              <w:jc w:val="center"/>
              <w:rPr>
                <w:rFonts w:ascii="Arial" w:hAnsi="Arial" w:cs="Arial"/>
              </w:rPr>
            </w:pPr>
            <w:r w:rsidRPr="00EC6911">
              <w:rPr>
                <w:rFonts w:ascii="Arial" w:hAnsi="Arial" w:cs="Arial"/>
              </w:rPr>
              <w:t>Publish Transparent ESG Impact Reports</w:t>
            </w:r>
          </w:p>
          <w:p w14:paraId="0C075DDC" w14:textId="3E259968" w:rsidR="00C54343" w:rsidRPr="001F131A" w:rsidRDefault="00FD329D" w:rsidP="001F131A">
            <w:pPr>
              <w:spacing w:line="276" w:lineRule="auto"/>
              <w:jc w:val="center"/>
              <w:rPr>
                <w:rFonts w:ascii="Arial" w:hAnsi="Arial" w:cs="Arial"/>
              </w:rPr>
            </w:pPr>
            <w:r w:rsidRPr="00EC6911">
              <w:rPr>
                <w:rFonts w:ascii="Arial" w:hAnsi="Arial" w:cs="Arial"/>
              </w:rPr>
              <w:t xml:space="preserve">Issue annual impact reports which </w:t>
            </w:r>
            <w:proofErr w:type="gramStart"/>
            <w:r w:rsidRPr="00EC6911">
              <w:rPr>
                <w:rFonts w:ascii="Arial" w:hAnsi="Arial" w:cs="Arial"/>
              </w:rPr>
              <w:t>are able to</w:t>
            </w:r>
            <w:proofErr w:type="gramEnd"/>
            <w:r w:rsidRPr="00EC6911">
              <w:rPr>
                <w:rFonts w:ascii="Arial" w:hAnsi="Arial" w:cs="Arial"/>
              </w:rPr>
              <w:t xml:space="preserve"> measure on the one hand the energy, carbon, and community employment impacts of StaySmart+. Such technical disclosures will also </w:t>
            </w:r>
            <w:proofErr w:type="gramStart"/>
            <w:r w:rsidRPr="00EC6911">
              <w:rPr>
                <w:rFonts w:ascii="Arial" w:hAnsi="Arial" w:cs="Arial"/>
              </w:rPr>
              <w:t>helpful</w:t>
            </w:r>
            <w:proofErr w:type="gramEnd"/>
            <w:r w:rsidRPr="00EC6911">
              <w:rPr>
                <w:rFonts w:ascii="Arial" w:hAnsi="Arial" w:cs="Arial"/>
              </w:rPr>
              <w:t xml:space="preserve"> make investors and sustainability organisations stakeholders directly, as it will give them a very factual touch of LHI's ESG story catering to the global luxury travel markets.</w:t>
            </w:r>
          </w:p>
        </w:tc>
      </w:tr>
      <w:tr w:rsidR="00C54343" w14:paraId="201BC96B" w14:textId="77777777">
        <w:tc>
          <w:tcPr>
            <w:tcW w:w="9360" w:type="dxa"/>
            <w:gridSpan w:val="2"/>
            <w:tcBorders>
              <w:top w:val="none" w:sz="0" w:space="0" w:color="FFFFFF"/>
              <w:left w:val="none" w:sz="0" w:space="0" w:color="FFFFFF"/>
              <w:bottom w:val="none" w:sz="0" w:space="0" w:color="FFFFFF"/>
              <w:right w:val="none" w:sz="0" w:space="0" w:color="FFFFFF"/>
            </w:tcBorders>
          </w:tcPr>
          <w:p w14:paraId="074C95CF" w14:textId="77777777" w:rsidR="00C54343" w:rsidRDefault="00C54343" w:rsidP="00FD2275">
            <w:pPr>
              <w:spacing w:before="20" w:after="20"/>
              <w:jc w:val="both"/>
            </w:pPr>
          </w:p>
        </w:tc>
      </w:tr>
    </w:tbl>
    <w:p w14:paraId="650ACF95" w14:textId="77777777" w:rsidR="00C54343" w:rsidRDefault="00C54343" w:rsidP="00FD2275">
      <w:pPr>
        <w:spacing w:before="200" w:after="200"/>
        <w:jc w:val="both"/>
      </w:pPr>
    </w:p>
    <w:p w14:paraId="6ACA6C6E" w14:textId="77777777" w:rsidR="00C54343" w:rsidRDefault="00000000" w:rsidP="00FD2275">
      <w:pPr>
        <w:jc w:val="both"/>
      </w:pPr>
      <w:r>
        <w:br w:type="page"/>
      </w:r>
    </w:p>
    <w:p w14:paraId="72AEA7FA" w14:textId="77777777" w:rsidR="00C54343" w:rsidRDefault="00000000" w:rsidP="00FD2275">
      <w:pPr>
        <w:spacing w:before="80" w:after="80" w:line="360" w:lineRule="auto"/>
        <w:jc w:val="both"/>
      </w:pPr>
      <w:r>
        <w:rPr>
          <w:noProof/>
        </w:rPr>
        <w:lastRenderedPageBreak/>
        <w:drawing>
          <wp:inline distT="0" distB="0" distL="0" distR="0" wp14:anchorId="10B54D2E" wp14:editId="4C10013A">
            <wp:extent cx="5886450" cy="304800"/>
            <wp:effectExtent l="0" t="0" r="0" b="0"/>
            <wp:docPr id="614717868" name="bar_conc" descr="bar_conc" title="bar_co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9">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316F10F1" w14:textId="77777777" w:rsidR="00C54343" w:rsidRPr="001F131A" w:rsidRDefault="00000000" w:rsidP="00FD2275">
      <w:pPr>
        <w:pStyle w:val="Heading1"/>
        <w:spacing w:before="120" w:after="80" w:line="360" w:lineRule="auto"/>
        <w:jc w:val="both"/>
        <w:rPr>
          <w:rFonts w:ascii="Arial" w:hAnsi="Arial" w:cs="Arial"/>
          <w:sz w:val="28"/>
          <w:szCs w:val="28"/>
        </w:rPr>
      </w:pPr>
      <w:bookmarkStart w:id="29" w:name="_Toc223961436"/>
      <w:r w:rsidRPr="001F131A">
        <w:rPr>
          <w:rFonts w:ascii="Arial" w:hAnsi="Arial" w:cs="Arial"/>
          <w:sz w:val="28"/>
          <w:szCs w:val="28"/>
        </w:rPr>
        <w:t>8.  Conclusion</w:t>
      </w:r>
      <w:bookmarkEnd w:id="29"/>
    </w:p>
    <w:p w14:paraId="0CE9AF6B" w14:textId="77777777" w:rsidR="00C54343" w:rsidRDefault="00C54343" w:rsidP="00FD2275">
      <w:pPr>
        <w:pBdr>
          <w:bottom w:val="single" w:sz="6" w:space="1" w:color="C4A050"/>
        </w:pBdr>
        <w:spacing w:before="80" w:after="80" w:line="360" w:lineRule="auto"/>
        <w:jc w:val="both"/>
      </w:pPr>
    </w:p>
    <w:p w14:paraId="6DBC2CF5" w14:textId="77777777" w:rsidR="00FD329D" w:rsidRPr="00FD329D" w:rsidRDefault="00FD329D" w:rsidP="001F131A">
      <w:pPr>
        <w:spacing w:before="200" w:after="200" w:line="360" w:lineRule="auto"/>
        <w:jc w:val="both"/>
        <w:rPr>
          <w:rFonts w:ascii="Arial" w:hAnsi="Arial" w:cs="Arial"/>
          <w:color w:val="12182A"/>
        </w:rPr>
      </w:pPr>
      <w:r w:rsidRPr="00FD329D">
        <w:rPr>
          <w:rFonts w:ascii="Arial" w:hAnsi="Arial" w:cs="Arial"/>
          <w:color w:val="12182A"/>
        </w:rPr>
        <w:t>This paper has illustrated that the successful introduction of StaySmart+ at Langham Hotels International's worldwide properties is, in essence, a question of how well the stakeholder engagement plan will work. By applying Freeman's (1984) stakeholder theory, Mendelow's Power-Interest Matrix, Mitchell et al.'s (1997) salience model, and the 4C's engagement framework in a methodical way, it is possible to identify and manage fourteen different groups of stakeholders across different cultural and market environments.</w:t>
      </w:r>
    </w:p>
    <w:p w14:paraId="6715AB90" w14:textId="77777777" w:rsidR="00FD329D" w:rsidRPr="00FD329D" w:rsidRDefault="00FD329D" w:rsidP="001F131A">
      <w:pPr>
        <w:spacing w:before="200" w:after="200" w:line="360" w:lineRule="auto"/>
        <w:jc w:val="both"/>
        <w:rPr>
          <w:rFonts w:ascii="Arial" w:hAnsi="Arial" w:cs="Arial"/>
          <w:color w:val="12182A"/>
        </w:rPr>
      </w:pPr>
      <w:r w:rsidRPr="00FD329D">
        <w:rPr>
          <w:rFonts w:ascii="Arial" w:hAnsi="Arial" w:cs="Arial"/>
          <w:color w:val="12182A"/>
        </w:rPr>
        <w:t>SWOT and PESTLE analyses indicate that LHI is strategically well positioned; however, the company must fix its IT fragmentation and make its way through an intricate international regulatory framework. RACI matrix, communication plan, and engagement plan together convert the strategy into a set of practical protocols that can be rolled out, tracked, and changed during the six-month implementation period.</w:t>
      </w:r>
    </w:p>
    <w:p w14:paraId="45639731" w14:textId="77777777" w:rsidR="00FD329D" w:rsidRPr="00FD329D" w:rsidRDefault="00FD329D" w:rsidP="001F131A">
      <w:pPr>
        <w:spacing w:before="200" w:after="200" w:line="360" w:lineRule="auto"/>
        <w:jc w:val="both"/>
        <w:rPr>
          <w:rFonts w:ascii="Arial" w:hAnsi="Arial" w:cs="Arial"/>
          <w:color w:val="12182A"/>
        </w:rPr>
      </w:pPr>
      <w:r w:rsidRPr="00FD329D">
        <w:rPr>
          <w:rFonts w:ascii="Arial" w:hAnsi="Arial" w:cs="Arial"/>
          <w:color w:val="12182A"/>
        </w:rPr>
        <w:t xml:space="preserve">In fact, stakeholder engagement in global hospitality not only encompasses the project management functions but also raises important ethical issues of the organisation. LHI's continued reliance on the guests, staff, and local communities will be </w:t>
      </w:r>
      <w:proofErr w:type="spellStart"/>
      <w:r w:rsidRPr="00FD329D">
        <w:rPr>
          <w:rFonts w:ascii="Arial" w:hAnsi="Arial" w:cs="Arial"/>
          <w:color w:val="12182A"/>
        </w:rPr>
        <w:t>centered</w:t>
      </w:r>
      <w:proofErr w:type="spellEnd"/>
      <w:r w:rsidRPr="00FD329D">
        <w:rPr>
          <w:rFonts w:ascii="Arial" w:hAnsi="Arial" w:cs="Arial"/>
          <w:color w:val="12182A"/>
        </w:rPr>
        <w:t xml:space="preserve"> around their ability to effectively deal with ethical concerns related to AI data collection, transparency of algorithms, and retraining of employees. Zuboff (2019) and </w:t>
      </w:r>
      <w:proofErr w:type="spellStart"/>
      <w:r w:rsidRPr="00FD329D">
        <w:rPr>
          <w:rFonts w:ascii="Arial" w:hAnsi="Arial" w:cs="Arial"/>
          <w:color w:val="12182A"/>
        </w:rPr>
        <w:t>Floridi</w:t>
      </w:r>
      <w:proofErr w:type="spellEnd"/>
      <w:r w:rsidRPr="00FD329D">
        <w:rPr>
          <w:rFonts w:ascii="Arial" w:hAnsi="Arial" w:cs="Arial"/>
          <w:color w:val="12182A"/>
        </w:rPr>
        <w:t xml:space="preserve"> et al. (2018) give a normative base on which these are conceived.</w:t>
      </w:r>
    </w:p>
    <w:p w14:paraId="18AC1183" w14:textId="77777777" w:rsidR="00FD329D" w:rsidRPr="00FD329D" w:rsidRDefault="00FD329D" w:rsidP="001F131A">
      <w:pPr>
        <w:spacing w:before="200" w:after="200" w:line="360" w:lineRule="auto"/>
        <w:jc w:val="both"/>
        <w:rPr>
          <w:rFonts w:ascii="Arial" w:hAnsi="Arial" w:cs="Arial"/>
          <w:color w:val="12182A"/>
        </w:rPr>
      </w:pPr>
      <w:r w:rsidRPr="00FD329D">
        <w:rPr>
          <w:rFonts w:ascii="Arial" w:hAnsi="Arial" w:cs="Arial"/>
          <w:color w:val="12182A"/>
        </w:rPr>
        <w:t>The proposals made in Section 7 view the stakeholder engagement as a continuous strategic ability that will offer greater returns on new technology investments and market expansions over time. According to Ashcroft (2017), companies that see their stakeholder relationships more as assets and less as liabilities, score the relational equity that is required to succeed in competitive environments. StaySmart+ is a great chance for Langham Hotels International to show exactly this type of relational leadership in worldwide luxury hospitality.</w:t>
      </w:r>
    </w:p>
    <w:p w14:paraId="58A4A448" w14:textId="77777777" w:rsidR="00C54343" w:rsidRPr="00FD329D" w:rsidRDefault="00C54343" w:rsidP="00FD2275">
      <w:pPr>
        <w:spacing w:before="200" w:after="200"/>
        <w:jc w:val="both"/>
        <w:rPr>
          <w:rFonts w:ascii="Arial" w:hAnsi="Arial" w:cs="Arial"/>
        </w:rPr>
      </w:pPr>
    </w:p>
    <w:p w14:paraId="3F3F49AE" w14:textId="77777777" w:rsidR="00C54343" w:rsidRDefault="00000000" w:rsidP="00FD2275">
      <w:pPr>
        <w:jc w:val="both"/>
      </w:pPr>
      <w:r>
        <w:br w:type="page"/>
      </w:r>
    </w:p>
    <w:p w14:paraId="79FA64C9" w14:textId="77777777" w:rsidR="00C54343" w:rsidRDefault="00000000" w:rsidP="00FD2275">
      <w:pPr>
        <w:spacing w:before="80" w:after="80" w:line="360" w:lineRule="auto"/>
        <w:jc w:val="both"/>
      </w:pPr>
      <w:r>
        <w:rPr>
          <w:noProof/>
        </w:rPr>
        <w:lastRenderedPageBreak/>
        <w:drawing>
          <wp:inline distT="0" distB="0" distL="0" distR="0" wp14:anchorId="44EC107F" wp14:editId="1AC279C6">
            <wp:extent cx="5886450" cy="304800"/>
            <wp:effectExtent l="0" t="0" r="0" b="0"/>
            <wp:docPr id="947570051" name="bar_conc" descr="bar_conc" title="bar_co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BEBA8EAE-BF5A-486C-A8C5-ECC9F3942E4B}">
                          <a14:imgProps xmlns:a14="http://schemas.microsoft.com/office/drawing/2010/main">
                            <a14:imgLayer r:embed="rId19">
                              <a14:imgEffect>
                                <a14:artisticPaintStrokes/>
                              </a14:imgEffect>
                            </a14:imgLayer>
                          </a14:imgProps>
                        </a:ext>
                      </a:extLst>
                    </a:blip>
                    <a:srcRect/>
                    <a:stretch>
                      <a:fillRect/>
                    </a:stretch>
                  </pic:blipFill>
                  <pic:spPr bwMode="auto">
                    <a:xfrm>
                      <a:off x="0" y="0"/>
                      <a:ext cx="5886450" cy="304800"/>
                    </a:xfrm>
                    <a:prstGeom prst="rect">
                      <a:avLst/>
                    </a:prstGeom>
                  </pic:spPr>
                </pic:pic>
              </a:graphicData>
            </a:graphic>
          </wp:inline>
        </w:drawing>
      </w:r>
    </w:p>
    <w:p w14:paraId="15F9654A" w14:textId="77777777" w:rsidR="00C54343" w:rsidRDefault="00000000" w:rsidP="00FD2275">
      <w:pPr>
        <w:pStyle w:val="Heading1"/>
        <w:spacing w:before="120" w:after="80" w:line="360" w:lineRule="auto"/>
        <w:jc w:val="both"/>
      </w:pPr>
      <w:bookmarkStart w:id="30" w:name="_Toc223961437"/>
      <w:r>
        <w:t>References</w:t>
      </w:r>
      <w:bookmarkEnd w:id="30"/>
    </w:p>
    <w:p w14:paraId="1BAF7B83" w14:textId="77777777" w:rsidR="00C54343" w:rsidRDefault="00C54343" w:rsidP="00FD2275">
      <w:pPr>
        <w:pBdr>
          <w:bottom w:val="single" w:sz="6" w:space="1" w:color="C4A050"/>
        </w:pBdr>
        <w:spacing w:before="80" w:after="80" w:line="360" w:lineRule="auto"/>
        <w:jc w:val="both"/>
      </w:pPr>
    </w:p>
    <w:p w14:paraId="362209D6" w14:textId="77777777" w:rsidR="00C54343" w:rsidRPr="001F131A" w:rsidRDefault="00000000" w:rsidP="00FD2275">
      <w:pPr>
        <w:spacing w:before="60" w:after="60" w:line="360" w:lineRule="auto"/>
        <w:ind w:left="360" w:hanging="360"/>
        <w:jc w:val="both"/>
        <w:rPr>
          <w:rFonts w:ascii="Arial" w:hAnsi="Arial" w:cs="Arial"/>
          <w:sz w:val="24"/>
          <w:szCs w:val="24"/>
        </w:rPr>
      </w:pPr>
      <w:proofErr w:type="spellStart"/>
      <w:r w:rsidRPr="001F131A">
        <w:rPr>
          <w:rFonts w:ascii="Arial" w:hAnsi="Arial" w:cs="Arial"/>
          <w:color w:val="555E6B"/>
          <w:sz w:val="20"/>
          <w:szCs w:val="20"/>
        </w:rPr>
        <w:t>AccountAbility</w:t>
      </w:r>
      <w:proofErr w:type="spellEnd"/>
      <w:r w:rsidRPr="001F131A">
        <w:rPr>
          <w:rFonts w:ascii="Arial" w:hAnsi="Arial" w:cs="Arial"/>
          <w:color w:val="555E6B"/>
          <w:sz w:val="20"/>
          <w:szCs w:val="20"/>
        </w:rPr>
        <w:t xml:space="preserve"> (2015) AA1000 Stakeholder Engagement Standard. London: </w:t>
      </w:r>
      <w:proofErr w:type="spellStart"/>
      <w:r w:rsidRPr="001F131A">
        <w:rPr>
          <w:rFonts w:ascii="Arial" w:hAnsi="Arial" w:cs="Arial"/>
          <w:color w:val="555E6B"/>
          <w:sz w:val="20"/>
          <w:szCs w:val="20"/>
        </w:rPr>
        <w:t>AccountAbility</w:t>
      </w:r>
      <w:proofErr w:type="spellEnd"/>
      <w:r w:rsidRPr="001F131A">
        <w:rPr>
          <w:rFonts w:ascii="Arial" w:hAnsi="Arial" w:cs="Arial"/>
          <w:color w:val="555E6B"/>
          <w:sz w:val="20"/>
          <w:szCs w:val="20"/>
        </w:rPr>
        <w:t>.</w:t>
      </w:r>
    </w:p>
    <w:p w14:paraId="52E027E4"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Ashcroft, J. (2017) The Relational Lens: Understanding, Measuring, and Managing Stakeholder Relationships. Cambridge: Cambridge University Press.</w:t>
      </w:r>
    </w:p>
    <w:p w14:paraId="7C6724CD"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Bourne, L. (2016) Stakeholder Relationship Management: A Maturity Model for Organisational Implementation. 2nd </w:t>
      </w:r>
      <w:proofErr w:type="spellStart"/>
      <w:r w:rsidRPr="001F131A">
        <w:rPr>
          <w:rFonts w:ascii="Arial" w:hAnsi="Arial" w:cs="Arial"/>
          <w:color w:val="555E6B"/>
          <w:sz w:val="20"/>
          <w:szCs w:val="20"/>
        </w:rPr>
        <w:t>edn</w:t>
      </w:r>
      <w:proofErr w:type="spellEnd"/>
      <w:r w:rsidRPr="001F131A">
        <w:rPr>
          <w:rFonts w:ascii="Arial" w:hAnsi="Arial" w:cs="Arial"/>
          <w:color w:val="555E6B"/>
          <w:sz w:val="20"/>
          <w:szCs w:val="20"/>
        </w:rPr>
        <w:t>. Abingdon: Routledge.</w:t>
      </w:r>
    </w:p>
    <w:p w14:paraId="1BFBB78C"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Christopher, M., Payne, A. and Ballantyne, D. (2013) Relationship Marketing: Creating Stakeholder Value. Abingdon: Taylor and Francis.</w:t>
      </w:r>
    </w:p>
    <w:p w14:paraId="22BD3F11"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Deloitte (2023) Global Hospitality Technology Trends Report 2023. London: Deloitte Insights.</w:t>
      </w:r>
    </w:p>
    <w:p w14:paraId="51293469"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Fisher, R., Ury, W. and Patton, B. (1991) Getting to Yes: Negotiating Agreement Without Giving In. 2nd </w:t>
      </w:r>
      <w:proofErr w:type="spellStart"/>
      <w:r w:rsidRPr="001F131A">
        <w:rPr>
          <w:rFonts w:ascii="Arial" w:hAnsi="Arial" w:cs="Arial"/>
          <w:color w:val="555E6B"/>
          <w:sz w:val="20"/>
          <w:szCs w:val="20"/>
        </w:rPr>
        <w:t>edn</w:t>
      </w:r>
      <w:proofErr w:type="spellEnd"/>
      <w:r w:rsidRPr="001F131A">
        <w:rPr>
          <w:rFonts w:ascii="Arial" w:hAnsi="Arial" w:cs="Arial"/>
          <w:color w:val="555E6B"/>
          <w:sz w:val="20"/>
          <w:szCs w:val="20"/>
        </w:rPr>
        <w:t>. New York: Penguin Books.</w:t>
      </w:r>
    </w:p>
    <w:p w14:paraId="34CC73B1" w14:textId="77777777" w:rsidR="00C54343" w:rsidRPr="001F131A" w:rsidRDefault="00000000" w:rsidP="00FD2275">
      <w:pPr>
        <w:spacing w:before="60" w:after="60" w:line="360" w:lineRule="auto"/>
        <w:ind w:left="360" w:hanging="360"/>
        <w:jc w:val="both"/>
        <w:rPr>
          <w:rFonts w:ascii="Arial" w:hAnsi="Arial" w:cs="Arial"/>
          <w:sz w:val="24"/>
          <w:szCs w:val="24"/>
        </w:rPr>
      </w:pPr>
      <w:proofErr w:type="spellStart"/>
      <w:r w:rsidRPr="001F131A">
        <w:rPr>
          <w:rFonts w:ascii="Arial" w:hAnsi="Arial" w:cs="Arial"/>
          <w:color w:val="555E6B"/>
          <w:sz w:val="20"/>
          <w:szCs w:val="20"/>
        </w:rPr>
        <w:t>Floridi</w:t>
      </w:r>
      <w:proofErr w:type="spellEnd"/>
      <w:r w:rsidRPr="001F131A">
        <w:rPr>
          <w:rFonts w:ascii="Arial" w:hAnsi="Arial" w:cs="Arial"/>
          <w:color w:val="555E6B"/>
          <w:sz w:val="20"/>
          <w:szCs w:val="20"/>
        </w:rPr>
        <w:t xml:space="preserve">, L., Cowls, J., </w:t>
      </w:r>
      <w:proofErr w:type="spellStart"/>
      <w:r w:rsidRPr="001F131A">
        <w:rPr>
          <w:rFonts w:ascii="Arial" w:hAnsi="Arial" w:cs="Arial"/>
          <w:color w:val="555E6B"/>
          <w:sz w:val="20"/>
          <w:szCs w:val="20"/>
        </w:rPr>
        <w:t>Beltrametti</w:t>
      </w:r>
      <w:proofErr w:type="spellEnd"/>
      <w:r w:rsidRPr="001F131A">
        <w:rPr>
          <w:rFonts w:ascii="Arial" w:hAnsi="Arial" w:cs="Arial"/>
          <w:color w:val="555E6B"/>
          <w:sz w:val="20"/>
          <w:szCs w:val="20"/>
        </w:rPr>
        <w:t xml:space="preserve">, M., Chatila, R., </w:t>
      </w:r>
      <w:proofErr w:type="spellStart"/>
      <w:r w:rsidRPr="001F131A">
        <w:rPr>
          <w:rFonts w:ascii="Arial" w:hAnsi="Arial" w:cs="Arial"/>
          <w:color w:val="555E6B"/>
          <w:sz w:val="20"/>
          <w:szCs w:val="20"/>
        </w:rPr>
        <w:t>Chazerand</w:t>
      </w:r>
      <w:proofErr w:type="spellEnd"/>
      <w:r w:rsidRPr="001F131A">
        <w:rPr>
          <w:rFonts w:ascii="Arial" w:hAnsi="Arial" w:cs="Arial"/>
          <w:color w:val="555E6B"/>
          <w:sz w:val="20"/>
          <w:szCs w:val="20"/>
        </w:rPr>
        <w:t xml:space="preserve">, P., Dignum, V., Luetge, C., Madelin, R., </w:t>
      </w:r>
      <w:proofErr w:type="spellStart"/>
      <w:r w:rsidRPr="001F131A">
        <w:rPr>
          <w:rFonts w:ascii="Arial" w:hAnsi="Arial" w:cs="Arial"/>
          <w:color w:val="555E6B"/>
          <w:sz w:val="20"/>
          <w:szCs w:val="20"/>
        </w:rPr>
        <w:t>Pagallo</w:t>
      </w:r>
      <w:proofErr w:type="spellEnd"/>
      <w:r w:rsidRPr="001F131A">
        <w:rPr>
          <w:rFonts w:ascii="Arial" w:hAnsi="Arial" w:cs="Arial"/>
          <w:color w:val="555E6B"/>
          <w:sz w:val="20"/>
          <w:szCs w:val="20"/>
        </w:rPr>
        <w:t xml:space="preserve">, U., Rossi, F., Schafer, B., Valcke, P. and </w:t>
      </w:r>
      <w:proofErr w:type="spellStart"/>
      <w:r w:rsidRPr="001F131A">
        <w:rPr>
          <w:rFonts w:ascii="Arial" w:hAnsi="Arial" w:cs="Arial"/>
          <w:color w:val="555E6B"/>
          <w:sz w:val="20"/>
          <w:szCs w:val="20"/>
        </w:rPr>
        <w:t>Vayena</w:t>
      </w:r>
      <w:proofErr w:type="spellEnd"/>
      <w:r w:rsidRPr="001F131A">
        <w:rPr>
          <w:rFonts w:ascii="Arial" w:hAnsi="Arial" w:cs="Arial"/>
          <w:color w:val="555E6B"/>
          <w:sz w:val="20"/>
          <w:szCs w:val="20"/>
        </w:rPr>
        <w:t>, E. (2018) 'An ethical framework for a good AI society: opportunities, risks, principles, and recommendations', Minds and Machines, 28(4), pp.689–707.</w:t>
      </w:r>
    </w:p>
    <w:p w14:paraId="227F1516"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Freeman, R.E. (1984) Strategic Management: A Stakeholder Approach. Boston: Pitman.</w:t>
      </w:r>
    </w:p>
    <w:p w14:paraId="0058A0EC"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Freeman, R.E. and Reed, D.L. (1983) 'Stockholders and stakeholders: a new perspective on corporate governance', California Management Review, 25(3), pp.88–106.</w:t>
      </w:r>
    </w:p>
    <w:p w14:paraId="63222C7D"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Friedman, A.L. and Miles, S. (2006) Stakeholders: Theory and Practice. Oxford: Oxford University Press.</w:t>
      </w:r>
    </w:p>
    <w:p w14:paraId="31119E70"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Hofstede, G. (2001) Culture's Consequences: Comparing Values, Behaviours, Institutions and Organisations Across Nations. 2nd </w:t>
      </w:r>
      <w:proofErr w:type="spellStart"/>
      <w:r w:rsidRPr="001F131A">
        <w:rPr>
          <w:rFonts w:ascii="Arial" w:hAnsi="Arial" w:cs="Arial"/>
          <w:color w:val="555E6B"/>
          <w:sz w:val="20"/>
          <w:szCs w:val="20"/>
        </w:rPr>
        <w:t>edn</w:t>
      </w:r>
      <w:proofErr w:type="spellEnd"/>
      <w:r w:rsidRPr="001F131A">
        <w:rPr>
          <w:rFonts w:ascii="Arial" w:hAnsi="Arial" w:cs="Arial"/>
          <w:color w:val="555E6B"/>
          <w:sz w:val="20"/>
          <w:szCs w:val="20"/>
        </w:rPr>
        <w:t>. Thousand Oaks: Sage.</w:t>
      </w:r>
    </w:p>
    <w:p w14:paraId="0BF80D8D"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Information Commissioner's Office (2024) Guide to the UK GDPR. Available at: https://ico.org.uk/for-organisations/guide-to-data-protection/ (Accessed: 4 March 2026).</w:t>
      </w:r>
    </w:p>
    <w:p w14:paraId="462C8C0D"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International Labour Organization (2023) Artificial Intelligence and the Future of Work. Geneva: ILO.</w:t>
      </w:r>
    </w:p>
    <w:p w14:paraId="3605A08C"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Johnson, G., Scholes, K. and Whittington, R. (2017) Exploring Corporate Strategy. 11th </w:t>
      </w:r>
      <w:proofErr w:type="spellStart"/>
      <w:r w:rsidRPr="001F131A">
        <w:rPr>
          <w:rFonts w:ascii="Arial" w:hAnsi="Arial" w:cs="Arial"/>
          <w:color w:val="555E6B"/>
          <w:sz w:val="20"/>
          <w:szCs w:val="20"/>
        </w:rPr>
        <w:t>edn</w:t>
      </w:r>
      <w:proofErr w:type="spellEnd"/>
      <w:r w:rsidRPr="001F131A">
        <w:rPr>
          <w:rFonts w:ascii="Arial" w:hAnsi="Arial" w:cs="Arial"/>
          <w:color w:val="555E6B"/>
          <w:sz w:val="20"/>
          <w:szCs w:val="20"/>
        </w:rPr>
        <w:t>. Harlow: Pearson Education.</w:t>
      </w:r>
    </w:p>
    <w:p w14:paraId="10ECDBD3"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Kanter, R.M. (1994) 'Collaborative advantage: the art of alliances', Harvard Business Review, 72(4), pp.96–108.</w:t>
      </w:r>
    </w:p>
    <w:p w14:paraId="69B9F3A2"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Kaplan, R.S. and Norton, D.P. (1996) The Balanced Scorecard: Translating Strategy into Action. Boston: Harvard Business School Press.</w:t>
      </w:r>
    </w:p>
    <w:p w14:paraId="1DC480B8"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Kotter, J.P. (2012) Leading Change. Boston: Harvard Business Review Press.</w:t>
      </w:r>
    </w:p>
    <w:p w14:paraId="168AD7C8"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Langham Hospitality Group (2024) About Langham. Available at: https://www.langhamhotels.com/en/about/ (Accessed: 4 March 2026).</w:t>
      </w:r>
    </w:p>
    <w:p w14:paraId="6784CB53"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McKinsey &amp; Company (2023) Technology in Hospitality: Accelerating Recovery and Resilience. New York: McKinsey Global Institute.</w:t>
      </w:r>
    </w:p>
    <w:p w14:paraId="6C792DC7"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lastRenderedPageBreak/>
        <w:t>Mendelow, A.L. (1991) 'Stakeholder mapping', Proceedings of the 2nd International Conference on Information Systems. Cambridge: MIT Press.</w:t>
      </w:r>
    </w:p>
    <w:p w14:paraId="7FDE2A71"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Mitchell, R.K., Agle, B.R. and Wood, D.J. (1997) 'Toward a theory of stakeholder identification and salience: defining the principle of who and what really counts', Academy of Management Review, 22(4), pp.853–886.</w:t>
      </w:r>
    </w:p>
    <w:p w14:paraId="090F3AB3"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Project Management Institute (2021) A Guide to the Project Management Body of Knowledge (PMBOK Guide). 7th </w:t>
      </w:r>
      <w:proofErr w:type="spellStart"/>
      <w:r w:rsidRPr="001F131A">
        <w:rPr>
          <w:rFonts w:ascii="Arial" w:hAnsi="Arial" w:cs="Arial"/>
          <w:color w:val="555E6B"/>
          <w:sz w:val="20"/>
          <w:szCs w:val="20"/>
        </w:rPr>
        <w:t>edn</w:t>
      </w:r>
      <w:proofErr w:type="spellEnd"/>
      <w:r w:rsidRPr="001F131A">
        <w:rPr>
          <w:rFonts w:ascii="Arial" w:hAnsi="Arial" w:cs="Arial"/>
          <w:color w:val="555E6B"/>
          <w:sz w:val="20"/>
          <w:szCs w:val="20"/>
        </w:rPr>
        <w:t>. Newtown Square: PMI.</w:t>
      </w:r>
    </w:p>
    <w:p w14:paraId="284B8C11"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PwC (2023) Global Consumer Insights Pulse Survey: Sustainability and Travel. London: PricewaterhouseCoopers.</w:t>
      </w:r>
    </w:p>
    <w:p w14:paraId="75493400"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Rousseau, D.M., Sitkin, S.B., Burt, R.S. and Camerer, C. (1998) 'Not so different after all: a cross-discipline view of trust', Academy of Management Review, 23(3), pp.393–404.</w:t>
      </w:r>
    </w:p>
    <w:p w14:paraId="145CDD50"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Saks, A.M. (2006) 'Antecedents and consequences of employee engagement', Journal of Managerial Psychology, 21(7), pp.600–619.</w:t>
      </w:r>
    </w:p>
    <w:p w14:paraId="49A2FC89"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Shannon, C.E. and Weaver, W. (1949) The Mathematical Theory of Communication. Urbana: University of Illinois Press.</w:t>
      </w:r>
    </w:p>
    <w:p w14:paraId="0CBEEFA3"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 xml:space="preserve">Thomas, K.W. and Kilmann, R.H. (1974) Thomas-Kilmann Conflict Mode Instrument. Tuxedo Park: </w:t>
      </w:r>
      <w:proofErr w:type="spellStart"/>
      <w:r w:rsidRPr="001F131A">
        <w:rPr>
          <w:rFonts w:ascii="Arial" w:hAnsi="Arial" w:cs="Arial"/>
          <w:color w:val="555E6B"/>
          <w:sz w:val="20"/>
          <w:szCs w:val="20"/>
        </w:rPr>
        <w:t>Xicom</w:t>
      </w:r>
      <w:proofErr w:type="spellEnd"/>
      <w:r w:rsidRPr="001F131A">
        <w:rPr>
          <w:rFonts w:ascii="Arial" w:hAnsi="Arial" w:cs="Arial"/>
          <w:color w:val="555E6B"/>
          <w:sz w:val="20"/>
          <w:szCs w:val="20"/>
        </w:rPr>
        <w:t>.</w:t>
      </w:r>
    </w:p>
    <w:p w14:paraId="13FBE7DB" w14:textId="77777777" w:rsidR="00C54343" w:rsidRPr="001F131A" w:rsidRDefault="00000000" w:rsidP="00FD2275">
      <w:pPr>
        <w:spacing w:before="60" w:after="60" w:line="360" w:lineRule="auto"/>
        <w:ind w:left="360" w:hanging="360"/>
        <w:jc w:val="both"/>
        <w:rPr>
          <w:rFonts w:ascii="Arial" w:hAnsi="Arial" w:cs="Arial"/>
          <w:sz w:val="24"/>
          <w:szCs w:val="24"/>
        </w:rPr>
      </w:pPr>
      <w:r w:rsidRPr="001F131A">
        <w:rPr>
          <w:rFonts w:ascii="Arial" w:hAnsi="Arial" w:cs="Arial"/>
          <w:color w:val="555E6B"/>
          <w:sz w:val="20"/>
          <w:szCs w:val="20"/>
        </w:rPr>
        <w:t>Zuboff, S. (2019) The Age of Surveillance Capitalism: The Fight for a Human Future at the New Frontier of Power. London: Profile Books.</w:t>
      </w:r>
    </w:p>
    <w:sectPr w:rsidR="00C54343" w:rsidRPr="001F131A">
      <w:headerReference w:type="default" r:id="rId20"/>
      <w:footerReference w:type="default" r:id="rId21"/>
      <w:pgSz w:w="11906" w:h="16838"/>
      <w:pgMar w:top="1200" w:right="1200" w:bottom="1200" w:left="12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61430" w14:textId="77777777" w:rsidR="00E128C6" w:rsidRDefault="00E128C6">
      <w:r>
        <w:separator/>
      </w:r>
    </w:p>
  </w:endnote>
  <w:endnote w:type="continuationSeparator" w:id="0">
    <w:p w14:paraId="3520D98E" w14:textId="77777777" w:rsidR="00E128C6" w:rsidRDefault="00E128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B2E49" w14:textId="644F2959" w:rsidR="00C54343" w:rsidRPr="00DC4981" w:rsidRDefault="00DC4981">
    <w:pPr>
      <w:pBdr>
        <w:top w:val="single" w:sz="4" w:space="1" w:color="C4A050"/>
      </w:pBdr>
      <w:spacing w:before="80" w:line="360" w:lineRule="auto"/>
      <w:jc w:val="center"/>
      <w:rPr>
        <w:rFonts w:ascii="Arial" w:hAnsi="Arial" w:cs="Arial"/>
      </w:rPr>
    </w:pPr>
    <w:r w:rsidRPr="00DC4981">
      <w:rPr>
        <w:rFonts w:ascii="Arial" w:hAnsi="Arial" w:cs="Arial"/>
        <w:color w:val="555E6B"/>
        <w:sz w:val="17"/>
        <w:szCs w:val="17"/>
      </w:rPr>
      <w:t xml:space="preserve">| Page </w:t>
    </w:r>
    <w:r w:rsidRPr="00DC4981">
      <w:rPr>
        <w:rFonts w:ascii="Arial" w:hAnsi="Arial" w:cs="Arial"/>
        <w:color w:val="555E6B"/>
        <w:sz w:val="17"/>
        <w:szCs w:val="17"/>
      </w:rPr>
      <w:fldChar w:fldCharType="begin"/>
    </w:r>
    <w:r w:rsidRPr="00DC4981">
      <w:rPr>
        <w:rFonts w:ascii="Arial" w:hAnsi="Arial" w:cs="Arial"/>
        <w:color w:val="555E6B"/>
        <w:sz w:val="17"/>
        <w:szCs w:val="17"/>
      </w:rPr>
      <w:instrText>PAGE</w:instrText>
    </w:r>
    <w:r w:rsidRPr="00DC4981">
      <w:rPr>
        <w:rFonts w:ascii="Arial" w:hAnsi="Arial" w:cs="Arial"/>
        <w:color w:val="555E6B"/>
        <w:sz w:val="17"/>
        <w:szCs w:val="17"/>
      </w:rPr>
      <w:fldChar w:fldCharType="separate"/>
    </w:r>
    <w:r w:rsidRPr="00DC4981">
      <w:rPr>
        <w:rFonts w:ascii="Arial" w:hAnsi="Arial" w:cs="Arial"/>
        <w:noProof/>
        <w:color w:val="555E6B"/>
        <w:sz w:val="17"/>
        <w:szCs w:val="17"/>
      </w:rPr>
      <w:t>3</w:t>
    </w:r>
    <w:r w:rsidRPr="00DC4981">
      <w:rPr>
        <w:rFonts w:ascii="Arial" w:hAnsi="Arial" w:cs="Arial"/>
        <w:color w:val="555E6B"/>
        <w:sz w:val="17"/>
        <w:szCs w:val="17"/>
      </w:rPr>
      <w:fldChar w:fldCharType="end"/>
    </w:r>
    <w:r w:rsidRPr="00DC4981">
      <w:rPr>
        <w:rFonts w:ascii="Arial" w:hAnsi="Arial" w:cs="Arial"/>
        <w:color w:val="555E6B"/>
        <w:sz w:val="17"/>
        <w:szCs w:val="17"/>
      </w:rPr>
      <w:t xml:space="preserve">  |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A7CD5" w14:textId="77777777" w:rsidR="00E128C6" w:rsidRDefault="00E128C6">
      <w:r>
        <w:separator/>
      </w:r>
    </w:p>
  </w:footnote>
  <w:footnote w:type="continuationSeparator" w:id="0">
    <w:p w14:paraId="4259E2D0" w14:textId="77777777" w:rsidR="00E128C6" w:rsidRDefault="00E128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AB7B8" w14:textId="4C466E50" w:rsidR="00C54343" w:rsidRPr="00DC4981" w:rsidRDefault="00000000">
    <w:pPr>
      <w:pBdr>
        <w:bottom w:val="single" w:sz="4" w:space="1" w:color="C4A050"/>
      </w:pBdr>
      <w:spacing w:after="80" w:line="360" w:lineRule="auto"/>
      <w:jc w:val="right"/>
      <w:rPr>
        <w:rFonts w:ascii="Arial" w:hAnsi="Arial" w:cs="Arial"/>
      </w:rPr>
    </w:pPr>
    <w:r w:rsidRPr="00DC4981">
      <w:rPr>
        <w:rFonts w:ascii="Arial" w:hAnsi="Arial" w:cs="Arial"/>
        <w:i/>
        <w:iCs/>
        <w:color w:val="555E6B"/>
        <w:sz w:val="17"/>
        <w:szCs w:val="17"/>
      </w:rPr>
      <w:t xml:space="preserve">StaySmart+ Stakeholder Engagement Report  |  Langham Hotels International  |  </w:t>
    </w:r>
    <w:r w:rsidR="00DC4981" w:rsidRPr="00DC4981">
      <w:rPr>
        <w:rFonts w:ascii="Arial" w:hAnsi="Arial" w:cs="Arial"/>
        <w:i/>
        <w:iCs/>
        <w:color w:val="555E6B"/>
        <w:sz w:val="17"/>
        <w:szCs w:val="17"/>
      </w:rPr>
      <w:t>Tiberiu Anghel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340B6"/>
    <w:multiLevelType w:val="hybridMultilevel"/>
    <w:tmpl w:val="6E5E874C"/>
    <w:lvl w:ilvl="0" w:tplc="BCBAC4E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D3227"/>
    <w:multiLevelType w:val="hybridMultilevel"/>
    <w:tmpl w:val="B5A049DA"/>
    <w:lvl w:ilvl="0" w:tplc="B02E584A">
      <w:start w:val="1"/>
      <w:numFmt w:val="bullet"/>
      <w:lvlText w:val="●"/>
      <w:lvlJc w:val="left"/>
      <w:pPr>
        <w:ind w:left="720" w:hanging="360"/>
      </w:pPr>
    </w:lvl>
    <w:lvl w:ilvl="1" w:tplc="6BE6B638">
      <w:start w:val="1"/>
      <w:numFmt w:val="bullet"/>
      <w:lvlText w:val="○"/>
      <w:lvlJc w:val="left"/>
      <w:pPr>
        <w:ind w:left="1440" w:hanging="360"/>
      </w:pPr>
    </w:lvl>
    <w:lvl w:ilvl="2" w:tplc="34BC819A">
      <w:start w:val="1"/>
      <w:numFmt w:val="bullet"/>
      <w:lvlText w:val="■"/>
      <w:lvlJc w:val="left"/>
      <w:pPr>
        <w:ind w:left="2160" w:hanging="360"/>
      </w:pPr>
    </w:lvl>
    <w:lvl w:ilvl="3" w:tplc="8A820F64">
      <w:start w:val="1"/>
      <w:numFmt w:val="bullet"/>
      <w:lvlText w:val="●"/>
      <w:lvlJc w:val="left"/>
      <w:pPr>
        <w:ind w:left="2880" w:hanging="360"/>
      </w:pPr>
    </w:lvl>
    <w:lvl w:ilvl="4" w:tplc="B7DC1BCE">
      <w:start w:val="1"/>
      <w:numFmt w:val="bullet"/>
      <w:lvlText w:val="○"/>
      <w:lvlJc w:val="left"/>
      <w:pPr>
        <w:ind w:left="3600" w:hanging="360"/>
      </w:pPr>
    </w:lvl>
    <w:lvl w:ilvl="5" w:tplc="1FFEAB06">
      <w:start w:val="1"/>
      <w:numFmt w:val="bullet"/>
      <w:lvlText w:val="■"/>
      <w:lvlJc w:val="left"/>
      <w:pPr>
        <w:ind w:left="4320" w:hanging="360"/>
      </w:pPr>
    </w:lvl>
    <w:lvl w:ilvl="6" w:tplc="9B8CC00C">
      <w:start w:val="1"/>
      <w:numFmt w:val="bullet"/>
      <w:lvlText w:val="●"/>
      <w:lvlJc w:val="left"/>
      <w:pPr>
        <w:ind w:left="5040" w:hanging="360"/>
      </w:pPr>
    </w:lvl>
    <w:lvl w:ilvl="7" w:tplc="28A24FBC">
      <w:start w:val="1"/>
      <w:numFmt w:val="bullet"/>
      <w:lvlText w:val="●"/>
      <w:lvlJc w:val="left"/>
      <w:pPr>
        <w:ind w:left="5760" w:hanging="360"/>
      </w:pPr>
    </w:lvl>
    <w:lvl w:ilvl="8" w:tplc="61427800">
      <w:start w:val="1"/>
      <w:numFmt w:val="bullet"/>
      <w:lvlText w:val="●"/>
      <w:lvlJc w:val="left"/>
      <w:pPr>
        <w:ind w:left="6480" w:hanging="360"/>
      </w:pPr>
    </w:lvl>
  </w:abstractNum>
  <w:abstractNum w:abstractNumId="2" w15:restartNumberingAfterBreak="0">
    <w:nsid w:val="439D0DAA"/>
    <w:multiLevelType w:val="hybridMultilevel"/>
    <w:tmpl w:val="EE3AA7BA"/>
    <w:lvl w:ilvl="0" w:tplc="BCBAC4EE">
      <w:start w:val="1"/>
      <w:numFmt w:val="bullet"/>
      <w:lvlText w:val="▸"/>
      <w:lvlJc w:val="left"/>
      <w:pPr>
        <w:ind w:left="540" w:hanging="300"/>
      </w:pPr>
    </w:lvl>
    <w:lvl w:ilvl="1" w:tplc="69122F7E">
      <w:numFmt w:val="decimal"/>
      <w:lvlText w:val=""/>
      <w:lvlJc w:val="left"/>
    </w:lvl>
    <w:lvl w:ilvl="2" w:tplc="6EC4B92A">
      <w:numFmt w:val="decimal"/>
      <w:lvlText w:val=""/>
      <w:lvlJc w:val="left"/>
    </w:lvl>
    <w:lvl w:ilvl="3" w:tplc="2DCC3ACC">
      <w:numFmt w:val="decimal"/>
      <w:lvlText w:val=""/>
      <w:lvlJc w:val="left"/>
    </w:lvl>
    <w:lvl w:ilvl="4" w:tplc="0BC276A6">
      <w:numFmt w:val="decimal"/>
      <w:lvlText w:val=""/>
      <w:lvlJc w:val="left"/>
    </w:lvl>
    <w:lvl w:ilvl="5" w:tplc="278C9C72">
      <w:numFmt w:val="decimal"/>
      <w:lvlText w:val=""/>
      <w:lvlJc w:val="left"/>
    </w:lvl>
    <w:lvl w:ilvl="6" w:tplc="3E3CFF72">
      <w:numFmt w:val="decimal"/>
      <w:lvlText w:val=""/>
      <w:lvlJc w:val="left"/>
    </w:lvl>
    <w:lvl w:ilvl="7" w:tplc="4BA0A588">
      <w:numFmt w:val="decimal"/>
      <w:lvlText w:val=""/>
      <w:lvlJc w:val="left"/>
    </w:lvl>
    <w:lvl w:ilvl="8" w:tplc="039AA9F2">
      <w:numFmt w:val="decimal"/>
      <w:lvlText w:val=""/>
      <w:lvlJc w:val="left"/>
    </w:lvl>
  </w:abstractNum>
  <w:abstractNum w:abstractNumId="3" w15:restartNumberingAfterBreak="0">
    <w:nsid w:val="48B507E9"/>
    <w:multiLevelType w:val="hybridMultilevel"/>
    <w:tmpl w:val="D0FAC278"/>
    <w:lvl w:ilvl="0" w:tplc="BCBAC4EE">
      <w:start w:val="1"/>
      <w:numFmt w:val="bullet"/>
      <w:lvlText w:val="▸"/>
      <w:lvlJc w:val="left"/>
      <w:pPr>
        <w:ind w:left="1260" w:hanging="360"/>
      </w:p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4" w15:restartNumberingAfterBreak="0">
    <w:nsid w:val="4DB61077"/>
    <w:multiLevelType w:val="hybridMultilevel"/>
    <w:tmpl w:val="C1C4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8A5545"/>
    <w:multiLevelType w:val="hybridMultilevel"/>
    <w:tmpl w:val="1084F3EA"/>
    <w:lvl w:ilvl="0" w:tplc="BCBAC4E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1031C7"/>
    <w:multiLevelType w:val="hybridMultilevel"/>
    <w:tmpl w:val="8F785504"/>
    <w:lvl w:ilvl="0" w:tplc="BCBAC4E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F25CA"/>
    <w:multiLevelType w:val="hybridMultilevel"/>
    <w:tmpl w:val="932C6BEE"/>
    <w:lvl w:ilvl="0" w:tplc="BCBAC4E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3644E3"/>
    <w:multiLevelType w:val="hybridMultilevel"/>
    <w:tmpl w:val="A7062128"/>
    <w:lvl w:ilvl="0" w:tplc="BCBAC4E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8090887">
    <w:abstractNumId w:val="1"/>
    <w:lvlOverride w:ilvl="0">
      <w:startOverride w:val="1"/>
    </w:lvlOverride>
  </w:num>
  <w:num w:numId="2" w16cid:durableId="2116511960">
    <w:abstractNumId w:val="2"/>
  </w:num>
  <w:num w:numId="3" w16cid:durableId="1515877728">
    <w:abstractNumId w:val="2"/>
  </w:num>
  <w:num w:numId="4" w16cid:durableId="1015225670">
    <w:abstractNumId w:val="4"/>
  </w:num>
  <w:num w:numId="5" w16cid:durableId="509181558">
    <w:abstractNumId w:val="5"/>
  </w:num>
  <w:num w:numId="6" w16cid:durableId="327565552">
    <w:abstractNumId w:val="7"/>
  </w:num>
  <w:num w:numId="7" w16cid:durableId="616761847">
    <w:abstractNumId w:val="6"/>
  </w:num>
  <w:num w:numId="8" w16cid:durableId="1274097517">
    <w:abstractNumId w:val="0"/>
  </w:num>
  <w:num w:numId="9" w16cid:durableId="28838898">
    <w:abstractNumId w:val="8"/>
  </w:num>
  <w:num w:numId="10" w16cid:durableId="295529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343"/>
    <w:rsid w:val="001C0E94"/>
    <w:rsid w:val="001F131A"/>
    <w:rsid w:val="00272FEA"/>
    <w:rsid w:val="003D7631"/>
    <w:rsid w:val="00532174"/>
    <w:rsid w:val="005F523E"/>
    <w:rsid w:val="00740AD2"/>
    <w:rsid w:val="00931446"/>
    <w:rsid w:val="009501B4"/>
    <w:rsid w:val="00B95A33"/>
    <w:rsid w:val="00BC09E8"/>
    <w:rsid w:val="00C54343"/>
    <w:rsid w:val="00C848A1"/>
    <w:rsid w:val="00D65627"/>
    <w:rsid w:val="00DC4981"/>
    <w:rsid w:val="00E128C6"/>
    <w:rsid w:val="00E41931"/>
    <w:rsid w:val="00FD2275"/>
    <w:rsid w:val="00FD3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20863"/>
  <w15:docId w15:val="{6470B686-257B-4B74-A9E1-BA858B894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2182A"/>
      <w:sz w:val="30"/>
      <w:szCs w:val="30"/>
    </w:rPr>
  </w:style>
  <w:style w:type="paragraph" w:styleId="Heading2">
    <w:name w:val="heading 2"/>
    <w:uiPriority w:val="9"/>
    <w:unhideWhenUsed/>
    <w:qFormat/>
    <w:pPr>
      <w:spacing w:before="240" w:after="120"/>
      <w:outlineLvl w:val="1"/>
    </w:pPr>
    <w:rPr>
      <w:b/>
      <w:bCs/>
      <w:color w:val="1E2D46"/>
      <w:sz w:val="24"/>
      <w:szCs w:val="24"/>
    </w:rPr>
  </w:style>
  <w:style w:type="paragraph" w:styleId="Heading3">
    <w:name w:val="heading 3"/>
    <w:uiPriority w:val="9"/>
    <w:semiHidden/>
    <w:unhideWhenUsed/>
    <w:qFormat/>
    <w:pPr>
      <w:spacing w:before="180" w:after="100"/>
      <w:outlineLvl w:val="2"/>
    </w:pPr>
    <w:rPr>
      <w:b/>
      <w:bCs/>
      <w:color w:val="1E707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DC4981"/>
    <w:pPr>
      <w:tabs>
        <w:tab w:val="center" w:pos="4513"/>
        <w:tab w:val="right" w:pos="9026"/>
      </w:tabs>
    </w:pPr>
  </w:style>
  <w:style w:type="character" w:customStyle="1" w:styleId="HeaderChar">
    <w:name w:val="Header Char"/>
    <w:basedOn w:val="DefaultParagraphFont"/>
    <w:link w:val="Header"/>
    <w:uiPriority w:val="99"/>
    <w:rsid w:val="00DC4981"/>
  </w:style>
  <w:style w:type="paragraph" w:styleId="Footer">
    <w:name w:val="footer"/>
    <w:basedOn w:val="Normal"/>
    <w:link w:val="FooterChar"/>
    <w:uiPriority w:val="99"/>
    <w:unhideWhenUsed/>
    <w:rsid w:val="00DC4981"/>
    <w:pPr>
      <w:tabs>
        <w:tab w:val="center" w:pos="4513"/>
        <w:tab w:val="right" w:pos="9026"/>
      </w:tabs>
    </w:pPr>
  </w:style>
  <w:style w:type="character" w:customStyle="1" w:styleId="FooterChar">
    <w:name w:val="Footer Char"/>
    <w:basedOn w:val="DefaultParagraphFont"/>
    <w:link w:val="Footer"/>
    <w:uiPriority w:val="99"/>
    <w:rsid w:val="00DC4981"/>
  </w:style>
  <w:style w:type="paragraph" w:styleId="NormalWeb">
    <w:name w:val="Normal (Web)"/>
    <w:basedOn w:val="Normal"/>
    <w:uiPriority w:val="99"/>
    <w:semiHidden/>
    <w:unhideWhenUsed/>
    <w:rsid w:val="00E41931"/>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D329D"/>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FD329D"/>
    <w:pPr>
      <w:spacing w:after="100"/>
    </w:pPr>
  </w:style>
  <w:style w:type="paragraph" w:styleId="TOC2">
    <w:name w:val="toc 2"/>
    <w:basedOn w:val="Normal"/>
    <w:next w:val="Normal"/>
    <w:autoRedefine/>
    <w:uiPriority w:val="39"/>
    <w:unhideWhenUsed/>
    <w:rsid w:val="00FD32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microsoft.com/office/2007/relationships/hdphoto" Target="media/hdphoto5.wdp"/><Relationship Id="rId18" Type="http://schemas.microsoft.com/office/2007/relationships/hdphoto" Target="media/hdphoto7.wdp"/><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microsoft.com/office/2007/relationships/hdphoto" Target="media/hdphoto4.wdp"/><Relationship Id="rId17" Type="http://schemas.openxmlformats.org/officeDocument/2006/relationships/image" Target="media/image5.png"/><Relationship Id="rId2" Type="http://schemas.openxmlformats.org/officeDocument/2006/relationships/styles" Target="styles.xml"/><Relationship Id="rId16" Type="http://schemas.microsoft.com/office/2007/relationships/hdphoto" Target="media/hdphoto6.wdp"/><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microsoft.com/office/2007/relationships/hdphoto" Target="media/hdphoto3.wdp"/><Relationship Id="rId19" Type="http://schemas.microsoft.com/office/2007/relationships/hdphoto" Target="media/hdphoto8.wdp"/><Relationship Id="rId4" Type="http://schemas.openxmlformats.org/officeDocument/2006/relationships/webSettings" Target="webSettings.xml"/><Relationship Id="rId9" Type="http://schemas.microsoft.com/office/2007/relationships/hdphoto" Target="media/hdphoto2.wdp"/><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100</TotalTime>
  <Pages>19</Pages>
  <Words>5019</Words>
  <Characters>28613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Tiberiu-Cristian Anghel (2422970)</cp:lastModifiedBy>
  <cp:revision>5</cp:revision>
  <dcterms:created xsi:type="dcterms:W3CDTF">2026-03-04T14:43:00Z</dcterms:created>
  <dcterms:modified xsi:type="dcterms:W3CDTF">2026-03-09T15:39:00Z</dcterms:modified>
</cp:coreProperties>
</file>