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2092392"/>
        <w:docPartObj>
          <w:docPartGallery w:val="Cover Pages"/>
          <w:docPartUnique/>
        </w:docPartObj>
      </w:sdtPr>
      <w:sdtEndPr/>
      <w:sdtContent>
        <w:p w14:paraId="761F0197" w14:textId="51C61B8D" w:rsidR="00E46C6B" w:rsidRDefault="00FD42DA">
          <w:r>
            <w:rPr>
              <w:noProof/>
            </w:rPr>
            <mc:AlternateContent>
              <mc:Choice Requires="wpg">
                <w:drawing>
                  <wp:anchor distT="0" distB="0" distL="114300" distR="114300" simplePos="0" relativeHeight="251662336" behindDoc="0" locked="0" layoutInCell="1" allowOverlap="1" wp14:anchorId="1E8CEE7A" wp14:editId="228CA93E">
                    <wp:simplePos x="0" y="0"/>
                    <wp:positionH relativeFrom="margin">
                      <wp:align>center</wp:align>
                    </wp:positionH>
                    <wp:positionV relativeFrom="page">
                      <wp:posOffset>55245</wp:posOffset>
                    </wp:positionV>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B9927E" id="Group 157" o:spid="_x0000_s1026" style="position:absolute;margin-left:0;margin-top:4.3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C/sXWL2gAAAAcBAAAPAAAAZHJz&#10;L2Rvd25yZXYueG1sTI/BTsMwDIbvSLxDZCRuLG0FYypNJ4bEAzDQtKPXmLZa43RNurU8Pd4JjvZv&#10;/d/nYj25Tp1pCK1nA+kiAUVcedtybeDr8/1hBSpEZIudZzIwU4B1eXtTYG79hT/ovI21khIOORpo&#10;YuxzrUPVkMOw8D2xZN9+cBhlHGptB7xIuet0liRL7bBlITTY01tD1XE7OuHus82Y/swz6/3uuOnn&#10;5Wl8PBlzfze9voCKNMW/Y7jqizqU4nTwI9ugOgPySDSwegZ1DdOnTBYHAwJNQZeF/u9f/g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JmMJohwUAAH4bAAAOAAAA&#10;AAAAAAAAAAAAADoCAABkcnMvZTJvRG9jLnhtbFBLAQItAAoAAAAAAAAAIQCbGxQRaGQAAGhkAAAU&#10;AAAAAAAAAAAAAAAAAO0HAABkcnMvbWVkaWEvaW1hZ2UxLnBuZ1BLAQItABQABgAIAAAAIQC/sXWL&#10;2gAAAAcBAAAPAAAAAAAAAAAAAAAAAId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margin" anchory="page"/>
                  </v:group>
                </w:pict>
              </mc:Fallback>
            </mc:AlternateContent>
          </w:r>
          <w:r w:rsidR="00135147">
            <w:rPr>
              <w:noProof/>
            </w:rPr>
            <mc:AlternateContent>
              <mc:Choice Requires="wps">
                <w:drawing>
                  <wp:anchor distT="0" distB="0" distL="114300" distR="114300" simplePos="0" relativeHeight="251659264" behindDoc="0" locked="0" layoutInCell="1" allowOverlap="1" wp14:anchorId="6F592A7D" wp14:editId="1B99CB34">
                    <wp:simplePos x="0" y="0"/>
                    <wp:positionH relativeFrom="margin">
                      <wp:align>center</wp:align>
                    </wp:positionH>
                    <wp:positionV relativeFrom="page">
                      <wp:posOffset>3028950</wp:posOffset>
                    </wp:positionV>
                    <wp:extent cx="7315200" cy="290195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90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572B5" w14:textId="105D3EB2" w:rsidR="00E46C6B" w:rsidRDefault="00BA5AF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5147">
                                      <w:rPr>
                                        <w:caps/>
                                        <w:color w:val="156082" w:themeColor="accent1"/>
                                        <w:sz w:val="64"/>
                                        <w:szCs w:val="64"/>
                                      </w:rPr>
                                      <w:t xml:space="preserve">introduction to </w:t>
                                    </w:r>
                                    <w:r w:rsidR="00135147">
                                      <w:rPr>
                                        <w:caps/>
                                        <w:color w:val="156082" w:themeColor="accent1"/>
                                        <w:sz w:val="64"/>
                                        <w:szCs w:val="64"/>
                                      </w:rPr>
                                      <w:br/>
                                    </w:r>
                                    <w:r w:rsidR="00F06C7B">
                                      <w:rPr>
                                        <w:color w:val="156082" w:themeColor="accent1"/>
                                        <w:sz w:val="64"/>
                                        <w:szCs w:val="64"/>
                                      </w:rPr>
                                      <w:t>HEALTH AND SOCIAL CARE</w:t>
                                    </w:r>
                                    <w:r w:rsidR="00135147">
                                      <w:rPr>
                                        <w:color w:val="156082" w:themeColor="accent1"/>
                                        <w:sz w:val="64"/>
                                        <w:szCs w:val="64"/>
                                      </w:rPr>
                                      <w:br/>
                                      <w:t>LCHS40</w:t>
                                    </w:r>
                                    <w:r w:rsidR="00751E1C">
                                      <w:rPr>
                                        <w:color w:val="156082" w:themeColor="accent1"/>
                                        <w:sz w:val="64"/>
                                        <w:szCs w:val="64"/>
                                      </w:rPr>
                                      <w:t>03</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817D" w14:textId="5F8793AE" w:rsidR="00E46C6B" w:rsidRDefault="0013514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F592A7D" id="_x0000_t202" coordsize="21600,21600" o:spt="202" path="m,l,21600r21600,l21600,xe">
                    <v:stroke joinstyle="miter"/>
                    <v:path gradientshapeok="t" o:connecttype="rect"/>
                  </v:shapetype>
                  <v:shape id="Text Box 163" o:spid="_x0000_s1026" type="#_x0000_t202" style="position:absolute;margin-left:0;margin-top:238.5pt;width:8in;height:22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" filled="f" stroked="f" strokeweight=".5pt">
                    <v:textbox inset="126pt,0,54pt,0">
                      <w:txbxContent>
                        <w:p w14:paraId="671572B5" w14:textId="105D3EB2" w:rsidR="00E46C6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5147">
                                <w:rPr>
                                  <w:caps/>
                                  <w:color w:val="156082" w:themeColor="accent1"/>
                                  <w:sz w:val="64"/>
                                  <w:szCs w:val="64"/>
                                </w:rPr>
                                <w:t xml:space="preserve">introduction to </w:t>
                              </w:r>
                              <w:r w:rsidR="00135147">
                                <w:rPr>
                                  <w:caps/>
                                  <w:color w:val="156082" w:themeColor="accent1"/>
                                  <w:sz w:val="64"/>
                                  <w:szCs w:val="64"/>
                                </w:rPr>
                                <w:br/>
                              </w:r>
                              <w:r w:rsidR="00F06C7B">
                                <w:rPr>
                                  <w:color w:val="156082" w:themeColor="accent1"/>
                                  <w:sz w:val="64"/>
                                  <w:szCs w:val="64"/>
                                </w:rPr>
                                <w:t>HEALTH AND SOCIAL CARE</w:t>
                              </w:r>
                              <w:r w:rsidR="00135147">
                                <w:rPr>
                                  <w:color w:val="156082" w:themeColor="accent1"/>
                                  <w:sz w:val="64"/>
                                  <w:szCs w:val="64"/>
                                </w:rPr>
                                <w:br/>
                                <w:t>LCHS40</w:t>
                              </w:r>
                              <w:r w:rsidR="00751E1C">
                                <w:rPr>
                                  <w:color w:val="156082" w:themeColor="accent1"/>
                                  <w:sz w:val="64"/>
                                  <w:szCs w:val="64"/>
                                </w:rPr>
                                <w:t>03</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DE817D" w14:textId="5F8793AE" w:rsidR="00E46C6B" w:rsidRDefault="0013514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E46C6B">
            <w:rPr>
              <w:noProof/>
            </w:rPr>
            <w:drawing>
              <wp:inline distT="0" distB="0" distL="0" distR="0" wp14:anchorId="756E83CC" wp14:editId="21583B17">
                <wp:extent cx="4324350" cy="2025650"/>
                <wp:effectExtent l="0" t="0" r="0" b="0"/>
                <wp:docPr id="182295161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4350" cy="2025650"/>
                        </a:xfrm>
                        <a:prstGeom prst="rect">
                          <a:avLst/>
                        </a:prstGeom>
                        <a:noFill/>
                        <a:ln>
                          <a:noFill/>
                        </a:ln>
                      </pic:spPr>
                    </pic:pic>
                  </a:graphicData>
                </a:graphic>
              </wp:inline>
            </w:drawing>
          </w:r>
        </w:p>
        <w:p w14:paraId="65AA4641" w14:textId="77777777" w:rsidR="00BE14DF" w:rsidRDefault="00BE14DF" w:rsidP="008D2B35">
          <w:pPr>
            <w:jc w:val="both"/>
            <w:rPr>
              <w:sz w:val="28"/>
              <w:szCs w:val="28"/>
            </w:rPr>
          </w:pPr>
        </w:p>
        <w:p w14:paraId="71EFE724" w14:textId="6993C99C" w:rsidR="008D2B35" w:rsidRPr="001E74E8" w:rsidRDefault="008D2B35" w:rsidP="008D2B35">
          <w:pPr>
            <w:jc w:val="both"/>
            <w:rPr>
              <w:sz w:val="28"/>
              <w:szCs w:val="28"/>
            </w:rPr>
          </w:pPr>
          <w:r w:rsidRPr="001E74E8">
            <w:rPr>
              <w:sz w:val="28"/>
              <w:szCs w:val="28"/>
            </w:rPr>
            <w:t>Student Name:</w:t>
          </w:r>
          <w:r w:rsidRPr="001E74E8">
            <w:rPr>
              <w:sz w:val="28"/>
              <w:szCs w:val="28"/>
            </w:rPr>
            <w:tab/>
          </w:r>
          <w:r w:rsidR="001E74E8">
            <w:rPr>
              <w:sz w:val="28"/>
              <w:szCs w:val="28"/>
            </w:rPr>
            <w:tab/>
          </w:r>
          <w:r w:rsidRPr="001E74E8">
            <w:rPr>
              <w:sz w:val="28"/>
              <w:szCs w:val="28"/>
            </w:rPr>
            <w:t>Sharon Asiimwe</w:t>
          </w:r>
        </w:p>
        <w:p w14:paraId="15580288" w14:textId="5C665629" w:rsidR="008D2B35" w:rsidRPr="001E74E8" w:rsidRDefault="008D2B35" w:rsidP="008D2B35">
          <w:pPr>
            <w:jc w:val="both"/>
            <w:rPr>
              <w:sz w:val="28"/>
              <w:szCs w:val="28"/>
            </w:rPr>
          </w:pPr>
          <w:r w:rsidRPr="001E74E8">
            <w:rPr>
              <w:sz w:val="28"/>
              <w:szCs w:val="28"/>
            </w:rPr>
            <w:t>Student ID:</w:t>
          </w:r>
          <w:r w:rsidRPr="001E74E8">
            <w:rPr>
              <w:sz w:val="28"/>
              <w:szCs w:val="28"/>
            </w:rPr>
            <w:tab/>
          </w:r>
          <w:r w:rsidRPr="001E74E8">
            <w:rPr>
              <w:sz w:val="28"/>
              <w:szCs w:val="28"/>
            </w:rPr>
            <w:tab/>
          </w:r>
          <w:r w:rsidR="001E74E8">
            <w:rPr>
              <w:sz w:val="28"/>
              <w:szCs w:val="28"/>
            </w:rPr>
            <w:tab/>
          </w:r>
          <w:r w:rsidRPr="001E74E8">
            <w:rPr>
              <w:sz w:val="28"/>
              <w:szCs w:val="28"/>
            </w:rPr>
            <w:t>2523565</w:t>
          </w:r>
        </w:p>
        <w:p w14:paraId="37101082" w14:textId="33EE60C2" w:rsidR="008D2B35" w:rsidRPr="001E74E8" w:rsidRDefault="008D2B35" w:rsidP="008D2B35">
          <w:pPr>
            <w:jc w:val="both"/>
            <w:rPr>
              <w:sz w:val="28"/>
              <w:szCs w:val="28"/>
            </w:rPr>
          </w:pPr>
          <w:r w:rsidRPr="001E74E8">
            <w:rPr>
              <w:sz w:val="28"/>
              <w:szCs w:val="28"/>
            </w:rPr>
            <w:t>Module Name:</w:t>
          </w:r>
          <w:r w:rsidRPr="001E74E8">
            <w:rPr>
              <w:sz w:val="28"/>
              <w:szCs w:val="28"/>
            </w:rPr>
            <w:tab/>
          </w:r>
          <w:r w:rsidR="001E74E8">
            <w:rPr>
              <w:sz w:val="28"/>
              <w:szCs w:val="28"/>
            </w:rPr>
            <w:tab/>
          </w:r>
          <w:r w:rsidRPr="001E74E8">
            <w:rPr>
              <w:sz w:val="28"/>
              <w:szCs w:val="28"/>
            </w:rPr>
            <w:t xml:space="preserve">Introduction to </w:t>
          </w:r>
          <w:r w:rsidR="00751E1C">
            <w:rPr>
              <w:sz w:val="28"/>
              <w:szCs w:val="28"/>
            </w:rPr>
            <w:t>Health and Social Care</w:t>
          </w:r>
        </w:p>
        <w:p w14:paraId="5B386482" w14:textId="1B94D2D3" w:rsidR="008D2B35" w:rsidRPr="001E74E8" w:rsidRDefault="008D2B35" w:rsidP="008D2B35">
          <w:pPr>
            <w:jc w:val="both"/>
            <w:rPr>
              <w:sz w:val="28"/>
              <w:szCs w:val="28"/>
            </w:rPr>
          </w:pPr>
          <w:r w:rsidRPr="001E74E8">
            <w:rPr>
              <w:sz w:val="28"/>
              <w:szCs w:val="28"/>
            </w:rPr>
            <w:t>Module Code:</w:t>
          </w:r>
          <w:r w:rsidRPr="001E74E8">
            <w:rPr>
              <w:sz w:val="28"/>
              <w:szCs w:val="28"/>
            </w:rPr>
            <w:tab/>
          </w:r>
          <w:r w:rsidR="001E74E8">
            <w:rPr>
              <w:sz w:val="28"/>
              <w:szCs w:val="28"/>
            </w:rPr>
            <w:tab/>
          </w:r>
          <w:r w:rsidRPr="001E74E8">
            <w:rPr>
              <w:sz w:val="28"/>
              <w:szCs w:val="28"/>
            </w:rPr>
            <w:t>LCHS4</w:t>
          </w:r>
          <w:r w:rsidR="00751E1C">
            <w:rPr>
              <w:sz w:val="28"/>
              <w:szCs w:val="28"/>
            </w:rPr>
            <w:t>003</w:t>
          </w:r>
        </w:p>
        <w:p w14:paraId="05A0DDEA" w14:textId="7B2F8BC5" w:rsidR="008D2B35" w:rsidRPr="001E74E8" w:rsidRDefault="008D2B35" w:rsidP="008D2B35">
          <w:pPr>
            <w:jc w:val="both"/>
            <w:rPr>
              <w:sz w:val="28"/>
              <w:szCs w:val="28"/>
            </w:rPr>
          </w:pPr>
          <w:r w:rsidRPr="001E74E8">
            <w:rPr>
              <w:sz w:val="28"/>
              <w:szCs w:val="28"/>
            </w:rPr>
            <w:t>Lecturer Name:</w:t>
          </w:r>
          <w:r w:rsidRPr="001E74E8">
            <w:rPr>
              <w:sz w:val="28"/>
              <w:szCs w:val="28"/>
            </w:rPr>
            <w:tab/>
          </w:r>
          <w:r w:rsidR="001E74E8">
            <w:rPr>
              <w:sz w:val="28"/>
              <w:szCs w:val="28"/>
            </w:rPr>
            <w:tab/>
          </w:r>
          <w:r w:rsidR="00D90092">
            <w:rPr>
              <w:sz w:val="28"/>
              <w:szCs w:val="28"/>
            </w:rPr>
            <w:t>Muhammad Aliyu</w:t>
          </w:r>
        </w:p>
        <w:p w14:paraId="2AA336A8" w14:textId="203EBA93" w:rsidR="00E46C6B" w:rsidRDefault="00BA5AF3" w:rsidP="008D2B35">
          <w:pPr>
            <w:jc w:val="both"/>
          </w:pPr>
        </w:p>
      </w:sdtContent>
    </w:sdt>
    <w:p w14:paraId="030824DB" w14:textId="7A278579" w:rsidR="00AB396D" w:rsidRDefault="00AB396D"/>
    <w:p w14:paraId="3E16E9E4" w14:textId="77777777" w:rsidR="0045175A" w:rsidRDefault="0045175A"/>
    <w:p w14:paraId="7747E89F" w14:textId="77777777" w:rsidR="0045175A" w:rsidRPr="00CE1D1A" w:rsidRDefault="0045175A">
      <w:pPr>
        <w:rPr>
          <w:i/>
          <w:iCs/>
        </w:rPr>
      </w:pPr>
    </w:p>
    <w:p w14:paraId="3BDF22DD" w14:textId="44127FBF" w:rsidR="005241EB" w:rsidRPr="00CE1D1A" w:rsidRDefault="005D7085" w:rsidP="005241EB">
      <w:pPr>
        <w:spacing w:line="360" w:lineRule="auto"/>
        <w:jc w:val="both"/>
        <w:rPr>
          <w:rFonts w:ascii="Arial" w:hAnsi="Arial" w:cs="Arial"/>
          <w:sz w:val="22"/>
          <w:szCs w:val="22"/>
        </w:rPr>
      </w:pPr>
      <w:r w:rsidRPr="00CE1D1A">
        <w:rPr>
          <w:rFonts w:ascii="Arial" w:hAnsi="Arial" w:cs="Arial"/>
          <w:sz w:val="22"/>
          <w:szCs w:val="22"/>
        </w:rPr>
        <w:t>I used Generative AI to check</w:t>
      </w:r>
      <w:r w:rsidR="007B314F" w:rsidRPr="00CE1D1A">
        <w:rPr>
          <w:rFonts w:ascii="Arial" w:hAnsi="Arial" w:cs="Arial"/>
          <w:sz w:val="22"/>
          <w:szCs w:val="22"/>
        </w:rPr>
        <w:t xml:space="preserve"> my</w:t>
      </w:r>
      <w:r w:rsidR="001777C6" w:rsidRPr="00CE1D1A">
        <w:rPr>
          <w:rFonts w:ascii="Arial" w:hAnsi="Arial" w:cs="Arial"/>
          <w:sz w:val="22"/>
          <w:szCs w:val="22"/>
        </w:rPr>
        <w:t xml:space="preserve"> </w:t>
      </w:r>
      <w:r w:rsidR="007B314F" w:rsidRPr="00CE1D1A">
        <w:rPr>
          <w:rFonts w:ascii="Arial" w:hAnsi="Arial" w:cs="Arial"/>
          <w:sz w:val="22"/>
          <w:szCs w:val="22"/>
        </w:rPr>
        <w:t>ow</w:t>
      </w:r>
      <w:r w:rsidR="001777C6" w:rsidRPr="00CE1D1A">
        <w:rPr>
          <w:rFonts w:ascii="Arial" w:hAnsi="Arial" w:cs="Arial"/>
          <w:sz w:val="22"/>
          <w:szCs w:val="22"/>
        </w:rPr>
        <w:t xml:space="preserve">n </w:t>
      </w:r>
      <w:r w:rsidRPr="00CE1D1A">
        <w:rPr>
          <w:rFonts w:ascii="Arial" w:hAnsi="Arial" w:cs="Arial"/>
          <w:sz w:val="22"/>
          <w:szCs w:val="22"/>
        </w:rPr>
        <w:t xml:space="preserve">text/creation for grammatical and syntactical mistakes, including rephrasing of </w:t>
      </w:r>
      <w:r w:rsidR="007B314F" w:rsidRPr="00CE1D1A">
        <w:rPr>
          <w:rFonts w:ascii="Arial" w:hAnsi="Arial" w:cs="Arial"/>
          <w:sz w:val="22"/>
          <w:szCs w:val="22"/>
        </w:rPr>
        <w:t>my</w:t>
      </w:r>
      <w:r w:rsidRPr="00CE1D1A">
        <w:rPr>
          <w:rFonts w:ascii="Arial" w:hAnsi="Arial" w:cs="Arial"/>
          <w:sz w:val="22"/>
          <w:szCs w:val="22"/>
        </w:rPr>
        <w:t xml:space="preserve"> own work within specific standards</w:t>
      </w:r>
      <w:r w:rsidR="007B314F" w:rsidRPr="00CE1D1A">
        <w:rPr>
          <w:rFonts w:ascii="Arial" w:hAnsi="Arial" w:cs="Arial"/>
          <w:sz w:val="22"/>
          <w:szCs w:val="22"/>
        </w:rPr>
        <w:t>.</w:t>
      </w:r>
    </w:p>
    <w:sdt>
      <w:sdtPr>
        <w:rPr>
          <w:rFonts w:asciiTheme="minorHAnsi" w:eastAsiaTheme="minorHAnsi" w:hAnsiTheme="minorHAnsi" w:cstheme="minorBidi"/>
          <w:color w:val="auto"/>
          <w:kern w:val="2"/>
          <w:sz w:val="24"/>
          <w:szCs w:val="24"/>
          <w:lang w:val="en-GB"/>
          <w14:ligatures w14:val="standardContextual"/>
        </w:rPr>
        <w:id w:val="1360847966"/>
        <w:docPartObj>
          <w:docPartGallery w:val="Table of Contents"/>
          <w:docPartUnique/>
        </w:docPartObj>
      </w:sdtPr>
      <w:sdtEndPr>
        <w:rPr>
          <w:b/>
          <w:bCs/>
          <w:noProof/>
        </w:rPr>
      </w:sdtEndPr>
      <w:sdtContent>
        <w:p w14:paraId="22C026E9" w14:textId="77777777" w:rsidR="00FA13AA" w:rsidRDefault="00FA13AA" w:rsidP="00FA13AA">
          <w:pPr>
            <w:pStyle w:val="TOCHeading"/>
          </w:pPr>
          <w:r>
            <w:t>Table of Contents</w:t>
          </w:r>
        </w:p>
        <w:p w14:paraId="40A16E38"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7792128" w:history="1">
            <w:r w:rsidRPr="009E1A1C">
              <w:rPr>
                <w:rStyle w:val="Hyperlink"/>
                <w:noProof/>
              </w:rPr>
              <w:t>Professional Practice in the Care of Mrs Thompson</w:t>
            </w:r>
            <w:r>
              <w:rPr>
                <w:noProof/>
                <w:webHidden/>
              </w:rPr>
              <w:tab/>
            </w:r>
            <w:r>
              <w:rPr>
                <w:noProof/>
                <w:webHidden/>
              </w:rPr>
              <w:fldChar w:fldCharType="begin"/>
            </w:r>
            <w:r>
              <w:rPr>
                <w:noProof/>
                <w:webHidden/>
              </w:rPr>
              <w:instrText xml:space="preserve"> PAGEREF _Toc237792128 \h </w:instrText>
            </w:r>
            <w:r>
              <w:rPr>
                <w:noProof/>
                <w:webHidden/>
              </w:rPr>
            </w:r>
            <w:r>
              <w:rPr>
                <w:noProof/>
                <w:webHidden/>
              </w:rPr>
              <w:fldChar w:fldCharType="separate"/>
            </w:r>
            <w:r>
              <w:rPr>
                <w:noProof/>
                <w:webHidden/>
              </w:rPr>
              <w:t>1</w:t>
            </w:r>
            <w:r>
              <w:rPr>
                <w:noProof/>
                <w:webHidden/>
              </w:rPr>
              <w:fldChar w:fldCharType="end"/>
            </w:r>
          </w:hyperlink>
        </w:p>
        <w:p w14:paraId="0C0E2F51"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29" w:history="1">
            <w:r w:rsidRPr="009E1A1C">
              <w:rPr>
                <w:rStyle w:val="Hyperlink"/>
                <w:noProof/>
              </w:rPr>
              <w:t>Introduction</w:t>
            </w:r>
            <w:r>
              <w:rPr>
                <w:noProof/>
                <w:webHidden/>
              </w:rPr>
              <w:tab/>
            </w:r>
            <w:r>
              <w:rPr>
                <w:noProof/>
                <w:webHidden/>
              </w:rPr>
              <w:fldChar w:fldCharType="begin"/>
            </w:r>
            <w:r>
              <w:rPr>
                <w:noProof/>
                <w:webHidden/>
              </w:rPr>
              <w:instrText xml:space="preserve"> PAGEREF _Toc237792129 \h </w:instrText>
            </w:r>
            <w:r>
              <w:rPr>
                <w:noProof/>
                <w:webHidden/>
              </w:rPr>
            </w:r>
            <w:r>
              <w:rPr>
                <w:noProof/>
                <w:webHidden/>
              </w:rPr>
              <w:fldChar w:fldCharType="separate"/>
            </w:r>
            <w:r>
              <w:rPr>
                <w:noProof/>
                <w:webHidden/>
              </w:rPr>
              <w:t>1</w:t>
            </w:r>
            <w:r>
              <w:rPr>
                <w:noProof/>
                <w:webHidden/>
              </w:rPr>
              <w:fldChar w:fldCharType="end"/>
            </w:r>
          </w:hyperlink>
        </w:p>
        <w:p w14:paraId="1739E928"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0" w:history="1">
            <w:r w:rsidRPr="009E1A1C">
              <w:rPr>
                <w:rStyle w:val="Hyperlink"/>
                <w:noProof/>
              </w:rPr>
              <w:t>Effective Communication</w:t>
            </w:r>
            <w:r>
              <w:rPr>
                <w:noProof/>
                <w:webHidden/>
              </w:rPr>
              <w:tab/>
            </w:r>
            <w:r>
              <w:rPr>
                <w:noProof/>
                <w:webHidden/>
              </w:rPr>
              <w:fldChar w:fldCharType="begin"/>
            </w:r>
            <w:r>
              <w:rPr>
                <w:noProof/>
                <w:webHidden/>
              </w:rPr>
              <w:instrText xml:space="preserve"> PAGEREF _Toc237792130 \h </w:instrText>
            </w:r>
            <w:r>
              <w:rPr>
                <w:noProof/>
                <w:webHidden/>
              </w:rPr>
            </w:r>
            <w:r>
              <w:rPr>
                <w:noProof/>
                <w:webHidden/>
              </w:rPr>
              <w:fldChar w:fldCharType="separate"/>
            </w:r>
            <w:r>
              <w:rPr>
                <w:noProof/>
                <w:webHidden/>
              </w:rPr>
              <w:t>2</w:t>
            </w:r>
            <w:r>
              <w:rPr>
                <w:noProof/>
                <w:webHidden/>
              </w:rPr>
              <w:fldChar w:fldCharType="end"/>
            </w:r>
          </w:hyperlink>
        </w:p>
        <w:p w14:paraId="23B255E3"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1" w:history="1">
            <w:r w:rsidRPr="009E1A1C">
              <w:rPr>
                <w:rStyle w:val="Hyperlink"/>
                <w:noProof/>
              </w:rPr>
              <w:t>Communicating with Family and Friends</w:t>
            </w:r>
            <w:r>
              <w:rPr>
                <w:noProof/>
                <w:webHidden/>
              </w:rPr>
              <w:tab/>
            </w:r>
            <w:r>
              <w:rPr>
                <w:noProof/>
                <w:webHidden/>
              </w:rPr>
              <w:fldChar w:fldCharType="begin"/>
            </w:r>
            <w:r>
              <w:rPr>
                <w:noProof/>
                <w:webHidden/>
              </w:rPr>
              <w:instrText xml:space="preserve"> PAGEREF _Toc237792131 \h </w:instrText>
            </w:r>
            <w:r>
              <w:rPr>
                <w:noProof/>
                <w:webHidden/>
              </w:rPr>
            </w:r>
            <w:r>
              <w:rPr>
                <w:noProof/>
                <w:webHidden/>
              </w:rPr>
              <w:fldChar w:fldCharType="separate"/>
            </w:r>
            <w:r>
              <w:rPr>
                <w:noProof/>
                <w:webHidden/>
              </w:rPr>
              <w:t>3</w:t>
            </w:r>
            <w:r>
              <w:rPr>
                <w:noProof/>
                <w:webHidden/>
              </w:rPr>
              <w:fldChar w:fldCharType="end"/>
            </w:r>
          </w:hyperlink>
        </w:p>
        <w:p w14:paraId="0B959B58"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2" w:history="1">
            <w:r w:rsidRPr="009E1A1C">
              <w:rPr>
                <w:rStyle w:val="Hyperlink"/>
                <w:noProof/>
              </w:rPr>
              <w:t>The Equality Act 2010</w:t>
            </w:r>
            <w:r>
              <w:rPr>
                <w:noProof/>
                <w:webHidden/>
              </w:rPr>
              <w:tab/>
            </w:r>
            <w:r>
              <w:rPr>
                <w:noProof/>
                <w:webHidden/>
              </w:rPr>
              <w:fldChar w:fldCharType="begin"/>
            </w:r>
            <w:r>
              <w:rPr>
                <w:noProof/>
                <w:webHidden/>
              </w:rPr>
              <w:instrText xml:space="preserve"> PAGEREF _Toc237792132 \h </w:instrText>
            </w:r>
            <w:r>
              <w:rPr>
                <w:noProof/>
                <w:webHidden/>
              </w:rPr>
            </w:r>
            <w:r>
              <w:rPr>
                <w:noProof/>
                <w:webHidden/>
              </w:rPr>
              <w:fldChar w:fldCharType="separate"/>
            </w:r>
            <w:r>
              <w:rPr>
                <w:noProof/>
                <w:webHidden/>
              </w:rPr>
              <w:t>3</w:t>
            </w:r>
            <w:r>
              <w:rPr>
                <w:noProof/>
                <w:webHidden/>
              </w:rPr>
              <w:fldChar w:fldCharType="end"/>
            </w:r>
          </w:hyperlink>
        </w:p>
        <w:p w14:paraId="05752317"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3" w:history="1">
            <w:r w:rsidRPr="009E1A1C">
              <w:rPr>
                <w:rStyle w:val="Hyperlink"/>
                <w:noProof/>
              </w:rPr>
              <w:t>Good Administrative Skills and Record Keeping</w:t>
            </w:r>
            <w:r>
              <w:rPr>
                <w:noProof/>
                <w:webHidden/>
              </w:rPr>
              <w:tab/>
            </w:r>
            <w:r>
              <w:rPr>
                <w:noProof/>
                <w:webHidden/>
              </w:rPr>
              <w:fldChar w:fldCharType="begin"/>
            </w:r>
            <w:r>
              <w:rPr>
                <w:noProof/>
                <w:webHidden/>
              </w:rPr>
              <w:instrText xml:space="preserve"> PAGEREF _Toc237792133 \h </w:instrText>
            </w:r>
            <w:r>
              <w:rPr>
                <w:noProof/>
                <w:webHidden/>
              </w:rPr>
            </w:r>
            <w:r>
              <w:rPr>
                <w:noProof/>
                <w:webHidden/>
              </w:rPr>
              <w:fldChar w:fldCharType="separate"/>
            </w:r>
            <w:r>
              <w:rPr>
                <w:noProof/>
                <w:webHidden/>
              </w:rPr>
              <w:t>4</w:t>
            </w:r>
            <w:r>
              <w:rPr>
                <w:noProof/>
                <w:webHidden/>
              </w:rPr>
              <w:fldChar w:fldCharType="end"/>
            </w:r>
          </w:hyperlink>
        </w:p>
        <w:p w14:paraId="79CFCB98"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4" w:history="1">
            <w:r w:rsidRPr="009E1A1C">
              <w:rPr>
                <w:rStyle w:val="Hyperlink"/>
                <w:noProof/>
              </w:rPr>
              <w:t>Data Protection Act 2018</w:t>
            </w:r>
            <w:r>
              <w:rPr>
                <w:noProof/>
                <w:webHidden/>
              </w:rPr>
              <w:tab/>
            </w:r>
            <w:r>
              <w:rPr>
                <w:noProof/>
                <w:webHidden/>
              </w:rPr>
              <w:fldChar w:fldCharType="begin"/>
            </w:r>
            <w:r>
              <w:rPr>
                <w:noProof/>
                <w:webHidden/>
              </w:rPr>
              <w:instrText xml:space="preserve"> PAGEREF _Toc237792134 \h </w:instrText>
            </w:r>
            <w:r>
              <w:rPr>
                <w:noProof/>
                <w:webHidden/>
              </w:rPr>
            </w:r>
            <w:r>
              <w:rPr>
                <w:noProof/>
                <w:webHidden/>
              </w:rPr>
              <w:fldChar w:fldCharType="separate"/>
            </w:r>
            <w:r>
              <w:rPr>
                <w:noProof/>
                <w:webHidden/>
              </w:rPr>
              <w:t>5</w:t>
            </w:r>
            <w:r>
              <w:rPr>
                <w:noProof/>
                <w:webHidden/>
              </w:rPr>
              <w:fldChar w:fldCharType="end"/>
            </w:r>
          </w:hyperlink>
        </w:p>
        <w:p w14:paraId="33C286CC"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5" w:history="1">
            <w:r w:rsidRPr="009E1A1C">
              <w:rPr>
                <w:rStyle w:val="Hyperlink"/>
                <w:noProof/>
              </w:rPr>
              <w:t>Working Collaboratively with Other Professionals</w:t>
            </w:r>
            <w:r>
              <w:rPr>
                <w:noProof/>
                <w:webHidden/>
              </w:rPr>
              <w:tab/>
            </w:r>
            <w:r>
              <w:rPr>
                <w:noProof/>
                <w:webHidden/>
              </w:rPr>
              <w:fldChar w:fldCharType="begin"/>
            </w:r>
            <w:r>
              <w:rPr>
                <w:noProof/>
                <w:webHidden/>
              </w:rPr>
              <w:instrText xml:space="preserve"> PAGEREF _Toc237792135 \h </w:instrText>
            </w:r>
            <w:r>
              <w:rPr>
                <w:noProof/>
                <w:webHidden/>
              </w:rPr>
            </w:r>
            <w:r>
              <w:rPr>
                <w:noProof/>
                <w:webHidden/>
              </w:rPr>
              <w:fldChar w:fldCharType="separate"/>
            </w:r>
            <w:r>
              <w:rPr>
                <w:noProof/>
                <w:webHidden/>
              </w:rPr>
              <w:t>5</w:t>
            </w:r>
            <w:r>
              <w:rPr>
                <w:noProof/>
                <w:webHidden/>
              </w:rPr>
              <w:fldChar w:fldCharType="end"/>
            </w:r>
          </w:hyperlink>
        </w:p>
        <w:p w14:paraId="48BA0E42"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6" w:history="1">
            <w:r w:rsidRPr="009E1A1C">
              <w:rPr>
                <w:rStyle w:val="Hyperlink"/>
                <w:noProof/>
              </w:rPr>
              <w:t>Approaches to Effective Multi-Agency Working</w:t>
            </w:r>
            <w:r>
              <w:rPr>
                <w:noProof/>
                <w:webHidden/>
              </w:rPr>
              <w:tab/>
            </w:r>
            <w:r>
              <w:rPr>
                <w:noProof/>
                <w:webHidden/>
              </w:rPr>
              <w:fldChar w:fldCharType="begin"/>
            </w:r>
            <w:r>
              <w:rPr>
                <w:noProof/>
                <w:webHidden/>
              </w:rPr>
              <w:instrText xml:space="preserve"> PAGEREF _Toc237792136 \h </w:instrText>
            </w:r>
            <w:r>
              <w:rPr>
                <w:noProof/>
                <w:webHidden/>
              </w:rPr>
            </w:r>
            <w:r>
              <w:rPr>
                <w:noProof/>
                <w:webHidden/>
              </w:rPr>
              <w:fldChar w:fldCharType="separate"/>
            </w:r>
            <w:r>
              <w:rPr>
                <w:noProof/>
                <w:webHidden/>
              </w:rPr>
              <w:t>6</w:t>
            </w:r>
            <w:r>
              <w:rPr>
                <w:noProof/>
                <w:webHidden/>
              </w:rPr>
              <w:fldChar w:fldCharType="end"/>
            </w:r>
          </w:hyperlink>
        </w:p>
        <w:p w14:paraId="24C1E520" w14:textId="77777777" w:rsidR="00FA13AA" w:rsidRDefault="00FA13AA" w:rsidP="00FA13AA">
          <w:pPr>
            <w:pStyle w:val="TOC1"/>
            <w:tabs>
              <w:tab w:val="right" w:leader="dot" w:pos="9016"/>
            </w:tabs>
            <w:rPr>
              <w:rFonts w:cstheme="minorBidi"/>
              <w:noProof/>
              <w:kern w:val="2"/>
              <w:sz w:val="24"/>
              <w:szCs w:val="24"/>
              <w:lang w:val="en-GB" w:eastAsia="en-GB"/>
              <w14:ligatures w14:val="standardContextual"/>
            </w:rPr>
          </w:pPr>
          <w:hyperlink w:anchor="_Toc237792137" w:history="1">
            <w:r w:rsidRPr="009E1A1C">
              <w:rPr>
                <w:rStyle w:val="Hyperlink"/>
                <w:noProof/>
              </w:rPr>
              <w:t>Conclusion</w:t>
            </w:r>
            <w:r>
              <w:rPr>
                <w:noProof/>
                <w:webHidden/>
              </w:rPr>
              <w:tab/>
            </w:r>
            <w:r>
              <w:rPr>
                <w:noProof/>
                <w:webHidden/>
              </w:rPr>
              <w:fldChar w:fldCharType="begin"/>
            </w:r>
            <w:r>
              <w:rPr>
                <w:noProof/>
                <w:webHidden/>
              </w:rPr>
              <w:instrText xml:space="preserve"> PAGEREF _Toc237792137 \h </w:instrText>
            </w:r>
            <w:r>
              <w:rPr>
                <w:noProof/>
                <w:webHidden/>
              </w:rPr>
            </w:r>
            <w:r>
              <w:rPr>
                <w:noProof/>
                <w:webHidden/>
              </w:rPr>
              <w:fldChar w:fldCharType="separate"/>
            </w:r>
            <w:r>
              <w:rPr>
                <w:noProof/>
                <w:webHidden/>
              </w:rPr>
              <w:t>7</w:t>
            </w:r>
            <w:r>
              <w:rPr>
                <w:noProof/>
                <w:webHidden/>
              </w:rPr>
              <w:fldChar w:fldCharType="end"/>
            </w:r>
          </w:hyperlink>
        </w:p>
        <w:p w14:paraId="3D7FCCB9" w14:textId="77777777" w:rsidR="00FA13AA" w:rsidRDefault="00FA13AA" w:rsidP="00FA13AA">
          <w:pPr>
            <w:rPr>
              <w:b/>
              <w:bCs/>
              <w:noProof/>
            </w:rPr>
          </w:pPr>
          <w:r>
            <w:rPr>
              <w:b/>
              <w:bCs/>
              <w:noProof/>
            </w:rPr>
            <w:fldChar w:fldCharType="end"/>
          </w:r>
        </w:p>
      </w:sdtContent>
    </w:sdt>
    <w:p w14:paraId="5D1324CB" w14:textId="77777777" w:rsidR="00A86FF0" w:rsidRDefault="00A86FF0" w:rsidP="005241EB">
      <w:pPr>
        <w:spacing w:line="360" w:lineRule="auto"/>
        <w:jc w:val="both"/>
        <w:rPr>
          <w:rFonts w:ascii="Arial" w:hAnsi="Arial" w:cs="Arial"/>
          <w:b/>
          <w:bCs/>
          <w:sz w:val="22"/>
          <w:szCs w:val="22"/>
        </w:rPr>
      </w:pPr>
    </w:p>
    <w:p w14:paraId="3024AD3F" w14:textId="77777777" w:rsidR="00D86E6B" w:rsidRDefault="00D86E6B" w:rsidP="005241EB">
      <w:pPr>
        <w:spacing w:line="360" w:lineRule="auto"/>
        <w:jc w:val="both"/>
        <w:rPr>
          <w:rFonts w:ascii="Arial" w:hAnsi="Arial" w:cs="Arial"/>
          <w:b/>
          <w:bCs/>
          <w:sz w:val="22"/>
          <w:szCs w:val="22"/>
        </w:rPr>
      </w:pPr>
    </w:p>
    <w:p w14:paraId="3297A134" w14:textId="77777777" w:rsidR="00D86E6B" w:rsidRDefault="00D86E6B" w:rsidP="005241EB">
      <w:pPr>
        <w:spacing w:line="360" w:lineRule="auto"/>
        <w:jc w:val="both"/>
        <w:rPr>
          <w:rFonts w:ascii="Arial" w:hAnsi="Arial" w:cs="Arial"/>
          <w:b/>
          <w:bCs/>
          <w:sz w:val="22"/>
          <w:szCs w:val="22"/>
        </w:rPr>
      </w:pPr>
    </w:p>
    <w:p w14:paraId="4A4FC719" w14:textId="77777777" w:rsidR="00D86E6B" w:rsidRDefault="00D86E6B" w:rsidP="005241EB">
      <w:pPr>
        <w:spacing w:line="360" w:lineRule="auto"/>
        <w:jc w:val="both"/>
        <w:rPr>
          <w:rFonts w:ascii="Arial" w:hAnsi="Arial" w:cs="Arial"/>
          <w:b/>
          <w:bCs/>
          <w:sz w:val="22"/>
          <w:szCs w:val="22"/>
        </w:rPr>
      </w:pPr>
    </w:p>
    <w:p w14:paraId="205B0F21" w14:textId="77777777" w:rsidR="00D86E6B" w:rsidRDefault="00D86E6B" w:rsidP="005241EB">
      <w:pPr>
        <w:spacing w:line="360" w:lineRule="auto"/>
        <w:jc w:val="both"/>
        <w:rPr>
          <w:rFonts w:ascii="Arial" w:hAnsi="Arial" w:cs="Arial"/>
          <w:b/>
          <w:bCs/>
          <w:sz w:val="22"/>
          <w:szCs w:val="22"/>
        </w:rPr>
      </w:pPr>
    </w:p>
    <w:p w14:paraId="655D3372" w14:textId="77777777" w:rsidR="00D86E6B" w:rsidRDefault="00D86E6B" w:rsidP="005241EB">
      <w:pPr>
        <w:spacing w:line="360" w:lineRule="auto"/>
        <w:jc w:val="both"/>
        <w:rPr>
          <w:rFonts w:ascii="Arial" w:hAnsi="Arial" w:cs="Arial"/>
          <w:b/>
          <w:bCs/>
          <w:sz w:val="22"/>
          <w:szCs w:val="22"/>
        </w:rPr>
      </w:pPr>
    </w:p>
    <w:p w14:paraId="5D68F20D" w14:textId="77777777" w:rsidR="00D86E6B" w:rsidRDefault="00D86E6B" w:rsidP="005241EB">
      <w:pPr>
        <w:spacing w:line="360" w:lineRule="auto"/>
        <w:jc w:val="both"/>
        <w:rPr>
          <w:rFonts w:ascii="Arial" w:hAnsi="Arial" w:cs="Arial"/>
          <w:b/>
          <w:bCs/>
          <w:sz w:val="22"/>
          <w:szCs w:val="22"/>
        </w:rPr>
      </w:pPr>
    </w:p>
    <w:p w14:paraId="0663CFBE" w14:textId="77777777" w:rsidR="00D86E6B" w:rsidRDefault="00D86E6B" w:rsidP="005241EB">
      <w:pPr>
        <w:spacing w:line="360" w:lineRule="auto"/>
        <w:jc w:val="both"/>
        <w:rPr>
          <w:rFonts w:ascii="Arial" w:hAnsi="Arial" w:cs="Arial"/>
          <w:b/>
          <w:bCs/>
          <w:sz w:val="22"/>
          <w:szCs w:val="22"/>
        </w:rPr>
      </w:pPr>
    </w:p>
    <w:p w14:paraId="3871DE55" w14:textId="77777777" w:rsidR="00D86E6B" w:rsidRDefault="00D86E6B" w:rsidP="005241EB">
      <w:pPr>
        <w:spacing w:line="360" w:lineRule="auto"/>
        <w:jc w:val="both"/>
        <w:rPr>
          <w:rFonts w:ascii="Arial" w:hAnsi="Arial" w:cs="Arial"/>
          <w:b/>
          <w:bCs/>
          <w:sz w:val="22"/>
          <w:szCs w:val="22"/>
        </w:rPr>
      </w:pPr>
    </w:p>
    <w:p w14:paraId="416A4E85" w14:textId="77777777" w:rsidR="00D86E6B" w:rsidRDefault="00D86E6B" w:rsidP="005241EB">
      <w:pPr>
        <w:spacing w:line="360" w:lineRule="auto"/>
        <w:jc w:val="both"/>
        <w:rPr>
          <w:rFonts w:ascii="Arial" w:hAnsi="Arial" w:cs="Arial"/>
          <w:b/>
          <w:bCs/>
          <w:sz w:val="22"/>
          <w:szCs w:val="22"/>
        </w:rPr>
      </w:pPr>
    </w:p>
    <w:p w14:paraId="5D347C27" w14:textId="77777777" w:rsidR="00D86E6B" w:rsidRDefault="00D86E6B" w:rsidP="005241EB">
      <w:pPr>
        <w:spacing w:line="360" w:lineRule="auto"/>
        <w:jc w:val="both"/>
        <w:rPr>
          <w:rFonts w:ascii="Arial" w:hAnsi="Arial" w:cs="Arial"/>
          <w:b/>
          <w:bCs/>
          <w:sz w:val="22"/>
          <w:szCs w:val="22"/>
        </w:rPr>
      </w:pPr>
    </w:p>
    <w:p w14:paraId="289DA90E" w14:textId="77777777" w:rsidR="00D86E6B" w:rsidRDefault="00D86E6B" w:rsidP="005241EB">
      <w:pPr>
        <w:spacing w:line="360" w:lineRule="auto"/>
        <w:jc w:val="both"/>
        <w:rPr>
          <w:rFonts w:ascii="Arial" w:hAnsi="Arial" w:cs="Arial"/>
          <w:b/>
          <w:bCs/>
          <w:sz w:val="22"/>
          <w:szCs w:val="22"/>
        </w:rPr>
      </w:pPr>
    </w:p>
    <w:p w14:paraId="07443A58" w14:textId="77777777" w:rsidR="00D86E6B" w:rsidRDefault="00D86E6B" w:rsidP="005241EB">
      <w:pPr>
        <w:spacing w:line="360" w:lineRule="auto"/>
        <w:jc w:val="both"/>
        <w:rPr>
          <w:rFonts w:ascii="Arial" w:hAnsi="Arial" w:cs="Arial"/>
          <w:b/>
          <w:bCs/>
          <w:sz w:val="22"/>
          <w:szCs w:val="22"/>
        </w:rPr>
      </w:pPr>
    </w:p>
    <w:p w14:paraId="785599EB" w14:textId="77777777" w:rsidR="00A86FF0" w:rsidRDefault="00A86FF0" w:rsidP="005241EB">
      <w:pPr>
        <w:spacing w:line="360" w:lineRule="auto"/>
        <w:jc w:val="both"/>
        <w:rPr>
          <w:rFonts w:ascii="Arial" w:hAnsi="Arial" w:cs="Arial"/>
          <w:b/>
          <w:bCs/>
          <w:sz w:val="22"/>
          <w:szCs w:val="22"/>
        </w:rPr>
      </w:pPr>
    </w:p>
    <w:p w14:paraId="77D2B6F5" w14:textId="77777777" w:rsidR="00A86FF0" w:rsidRDefault="00A86FF0" w:rsidP="005241EB">
      <w:pPr>
        <w:spacing w:line="360" w:lineRule="auto"/>
        <w:jc w:val="both"/>
        <w:rPr>
          <w:rFonts w:ascii="Arial" w:hAnsi="Arial" w:cs="Arial"/>
          <w:b/>
          <w:bCs/>
          <w:sz w:val="22"/>
          <w:szCs w:val="22"/>
        </w:rPr>
      </w:pPr>
    </w:p>
    <w:p w14:paraId="4A3D1986" w14:textId="77777777" w:rsidR="00A86FF0" w:rsidRDefault="00A86FF0" w:rsidP="005241EB">
      <w:pPr>
        <w:spacing w:line="360" w:lineRule="auto"/>
        <w:jc w:val="both"/>
        <w:rPr>
          <w:rFonts w:ascii="Arial" w:hAnsi="Arial" w:cs="Arial"/>
          <w:b/>
          <w:bCs/>
          <w:sz w:val="22"/>
          <w:szCs w:val="22"/>
        </w:rPr>
      </w:pPr>
    </w:p>
    <w:p w14:paraId="452B0A9F" w14:textId="5AFF2FF1" w:rsidR="005241EB" w:rsidRPr="00DC2913" w:rsidRDefault="005241EB" w:rsidP="00B56B7D">
      <w:pPr>
        <w:pStyle w:val="Heading1"/>
        <w:spacing w:line="360" w:lineRule="auto"/>
        <w:rPr>
          <w:rFonts w:ascii="Arial" w:hAnsi="Arial" w:cs="Arial"/>
          <w:b/>
          <w:bCs/>
          <w:color w:val="auto"/>
          <w:sz w:val="24"/>
          <w:szCs w:val="24"/>
        </w:rPr>
      </w:pPr>
      <w:bookmarkStart w:id="0" w:name="_Toc237792128"/>
      <w:r w:rsidRPr="00DC2913">
        <w:rPr>
          <w:rFonts w:ascii="Arial" w:hAnsi="Arial" w:cs="Arial"/>
          <w:b/>
          <w:bCs/>
          <w:color w:val="auto"/>
          <w:sz w:val="24"/>
          <w:szCs w:val="24"/>
        </w:rPr>
        <w:lastRenderedPageBreak/>
        <w:t>Professional Practice in the Care of Mrs Thompson</w:t>
      </w:r>
      <w:bookmarkEnd w:id="0"/>
    </w:p>
    <w:p w14:paraId="1F434F3A" w14:textId="77777777" w:rsidR="005241EB" w:rsidRPr="00DC2913" w:rsidRDefault="005241EB" w:rsidP="00B56B7D">
      <w:pPr>
        <w:pStyle w:val="Heading1"/>
        <w:spacing w:line="360" w:lineRule="auto"/>
        <w:rPr>
          <w:rFonts w:ascii="Arial" w:hAnsi="Arial" w:cs="Arial"/>
          <w:b/>
          <w:bCs/>
          <w:color w:val="auto"/>
          <w:sz w:val="22"/>
          <w:szCs w:val="22"/>
        </w:rPr>
      </w:pPr>
      <w:bookmarkStart w:id="1" w:name="_Toc237792129"/>
      <w:r w:rsidRPr="00DC2913">
        <w:rPr>
          <w:rFonts w:ascii="Arial" w:hAnsi="Arial" w:cs="Arial"/>
          <w:b/>
          <w:bCs/>
          <w:color w:val="auto"/>
          <w:sz w:val="22"/>
          <w:szCs w:val="22"/>
        </w:rPr>
        <w:t>Introduction</w:t>
      </w:r>
      <w:bookmarkEnd w:id="1"/>
    </w:p>
    <w:p w14:paraId="74433943" w14:textId="520719C2" w:rsidR="005241EB" w:rsidRPr="00B56B7D" w:rsidRDefault="00861C0A" w:rsidP="00B56B7D">
      <w:pPr>
        <w:spacing w:line="360" w:lineRule="auto"/>
        <w:jc w:val="both"/>
        <w:rPr>
          <w:rFonts w:ascii="Arial" w:hAnsi="Arial" w:cs="Arial"/>
          <w:sz w:val="22"/>
          <w:szCs w:val="22"/>
        </w:rPr>
      </w:pPr>
      <w:r w:rsidRPr="00B56B7D">
        <w:rPr>
          <w:rFonts w:ascii="Arial" w:hAnsi="Arial" w:cs="Arial"/>
          <w:sz w:val="22"/>
          <w:szCs w:val="22"/>
        </w:rPr>
        <w:t xml:space="preserve">This report discusses the UK health and social care system and how different professionals can work together to support Mrs Thompson. It will also look at the importance of communication, record-keeping and relevant laws and policies, such as the Care Act 2014 and the Equality Act 2010. These areas can help protect Mrs Thompson’s safety, dignity, rights and independence (Care Act 2014; Equality Act 2010). </w:t>
      </w:r>
      <w:r w:rsidR="005241EB" w:rsidRPr="00B56B7D">
        <w:rPr>
          <w:rFonts w:ascii="Arial" w:hAnsi="Arial" w:cs="Arial"/>
          <w:sz w:val="22"/>
          <w:szCs w:val="22"/>
        </w:rPr>
        <w:t xml:space="preserve"> Mrs Thompson, an 84-year-old woman who has recently returned home from hospital after having pneumonia. She has mild dementia, has missed some of her medication and has been found outside without suitable clothing. These problems show that she may need more support to stay safe while living at home. People with dementia may need extra help with communication, medication and everyday activities because dementia can affect memory, understanding and decision-making (NICE, 2022). This report looks at three important areas of professional practice in Mrs Thompson’s care. These are effective communication, good administrative and record-keeping skills, and working with different health and social care professionals. These areas are supported by legislation, professional guidance and academic research. The Equality Act 2010 supports fair and equal treatment, while the Data Protection Act 2018 provides rules for keeping personal information safe (Government Equalities Office, 2010; Information Commissioner’s Office, 2021). Working together can also help professionals provide safe and person-centred care that respects Mrs Thompson’s choices, dignity and independence (Care Act 2014).</w:t>
      </w:r>
    </w:p>
    <w:p w14:paraId="3A3F908D" w14:textId="20DB40E0" w:rsidR="004C54AE" w:rsidRDefault="005241EB" w:rsidP="00425C09">
      <w:pPr>
        <w:spacing w:line="360" w:lineRule="auto"/>
        <w:jc w:val="both"/>
        <w:rPr>
          <w:rFonts w:ascii="Arial" w:hAnsi="Arial" w:cs="Arial"/>
          <w:sz w:val="22"/>
          <w:szCs w:val="22"/>
        </w:rPr>
      </w:pPr>
      <w:r w:rsidRPr="00B56B7D">
        <w:rPr>
          <w:rFonts w:ascii="Arial" w:hAnsi="Arial" w:cs="Arial"/>
          <w:sz w:val="22"/>
          <w:szCs w:val="22"/>
        </w:rPr>
        <w:t>Health and social care services in the UK help people stay healthy, safe and independent. Good care requires health and social care workers to work together, communicate clearly and keep accurate records. It is also important for workers to follow the laws and policies that protect people’s rights, dignity and wellbeing (NHS England, 2025).</w:t>
      </w:r>
      <w:bookmarkStart w:id="2" w:name="_Toc237792130"/>
    </w:p>
    <w:p w14:paraId="4A6B0C94" w14:textId="4A701F10" w:rsidR="005241EB" w:rsidRPr="00DC2913" w:rsidRDefault="005241EB" w:rsidP="00B56B7D">
      <w:pPr>
        <w:pStyle w:val="Heading1"/>
        <w:spacing w:line="360" w:lineRule="auto"/>
        <w:rPr>
          <w:rFonts w:ascii="Arial" w:hAnsi="Arial" w:cs="Arial"/>
          <w:b/>
          <w:bCs/>
          <w:color w:val="auto"/>
          <w:sz w:val="22"/>
          <w:szCs w:val="22"/>
        </w:rPr>
      </w:pPr>
      <w:r w:rsidRPr="00DC2913">
        <w:rPr>
          <w:rFonts w:ascii="Arial" w:hAnsi="Arial" w:cs="Arial"/>
          <w:b/>
          <w:bCs/>
          <w:color w:val="auto"/>
          <w:sz w:val="22"/>
          <w:szCs w:val="22"/>
        </w:rPr>
        <w:t>Effective Communication</w:t>
      </w:r>
      <w:bookmarkEnd w:id="2"/>
    </w:p>
    <w:p w14:paraId="07CE700C"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Effective communication is an important part of providing safe and person-centred care. In Mrs Thompson’s case, communication is particularly important because she is 84 years old, lives alone and has mild dementia. Missing medication and experiencing increased confusion may show that she needs extra support to understand information and communicate her needs. The NHS (2023) recommends using clear and simple language, speaking slowly and allowing people with dementia enough time to respond.</w:t>
      </w:r>
    </w:p>
    <w:p w14:paraId="15AD2D84"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lastRenderedPageBreak/>
        <w:t>When communicating with Mrs Thompson, care workers should use short and easy-to-understand sentences. They should avoid giving her too much information at once. Care workers should listen carefully, remain patient and check that she has understood the information. For example, when discussing her medication, the care worker could give one instruction at a time and then ask Mrs Thompson to repeat the information in her own words. This can help the care worker identify whether she has understood the instructions and may reduce the risk of her forgetting important information (NHS, 2023).</w:t>
      </w:r>
    </w:p>
    <w:p w14:paraId="2FB7DA6D" w14:textId="267BF27B"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Mrs Thompson should always be treated with dignity and respect. Although she has dementia, she should still be involved in decisions and discussions about her care. The NHS (2025) states that people with dementia should be included in discussions about their health and wellbeing and should be encouraged to speak for themselves when possible. This can help Mrs Thompson maintain her independence and feel that her views and choices are respected (NHS, 2025).</w:t>
      </w:r>
    </w:p>
    <w:p w14:paraId="3B43474A" w14:textId="08F57E39"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 xml:space="preserve">The SOLER communication model can also support effective communication with Mrs Thompson. The model encourages the worker to sit appropriately and face the person, maintain an open posture, lean towards the person when appropriate, use suitable eye contact and remain relaxed (Egan, 2014). For example, a care worker could sit at Mrs Thompson’s level, listen </w:t>
      </w:r>
      <w:r w:rsidR="000F237E" w:rsidRPr="00B56B7D">
        <w:rPr>
          <w:rFonts w:ascii="Arial" w:hAnsi="Arial" w:cs="Arial"/>
          <w:sz w:val="22"/>
          <w:szCs w:val="22"/>
        </w:rPr>
        <w:t>carefully,</w:t>
      </w:r>
      <w:r w:rsidRPr="00B56B7D">
        <w:rPr>
          <w:rFonts w:ascii="Arial" w:hAnsi="Arial" w:cs="Arial"/>
          <w:sz w:val="22"/>
          <w:szCs w:val="22"/>
        </w:rPr>
        <w:t xml:space="preserve"> and use appropriate eye contact while she is speaking. However, the worker should consider whether Mrs Thompson feels comfortable with eye contact because communication should respect each person’s individual preferences.</w:t>
      </w:r>
    </w:p>
    <w:p w14:paraId="1F12A47F" w14:textId="77777777" w:rsidR="005241EB" w:rsidRPr="00DC2913" w:rsidRDefault="005241EB" w:rsidP="00B56B7D">
      <w:pPr>
        <w:pStyle w:val="Heading1"/>
        <w:spacing w:line="360" w:lineRule="auto"/>
        <w:rPr>
          <w:rFonts w:ascii="Arial" w:hAnsi="Arial" w:cs="Arial"/>
          <w:b/>
          <w:bCs/>
          <w:color w:val="auto"/>
          <w:sz w:val="22"/>
          <w:szCs w:val="22"/>
        </w:rPr>
      </w:pPr>
      <w:bookmarkStart w:id="3" w:name="_Toc237792131"/>
      <w:r w:rsidRPr="00DC2913">
        <w:rPr>
          <w:rFonts w:ascii="Arial" w:hAnsi="Arial" w:cs="Arial"/>
          <w:b/>
          <w:bCs/>
          <w:color w:val="auto"/>
          <w:sz w:val="22"/>
          <w:szCs w:val="22"/>
        </w:rPr>
        <w:t>Communicating with Family and Friends</w:t>
      </w:r>
      <w:bookmarkEnd w:id="3"/>
    </w:p>
    <w:p w14:paraId="6753A84C" w14:textId="512400E8" w:rsidR="007E6827" w:rsidRPr="00E87299" w:rsidRDefault="005241EB" w:rsidP="00E87299">
      <w:pPr>
        <w:spacing w:line="360" w:lineRule="auto"/>
        <w:jc w:val="both"/>
        <w:rPr>
          <w:rFonts w:ascii="Arial" w:hAnsi="Arial" w:cs="Arial"/>
          <w:color w:val="0D0D0D" w:themeColor="text1" w:themeTint="F2"/>
          <w:sz w:val="22"/>
          <w:szCs w:val="22"/>
        </w:rPr>
      </w:pPr>
      <w:r w:rsidRPr="00B56B7D">
        <w:rPr>
          <w:rFonts w:ascii="Arial" w:hAnsi="Arial" w:cs="Arial"/>
          <w:sz w:val="22"/>
          <w:szCs w:val="22"/>
        </w:rPr>
        <w:t xml:space="preserve">Communication with Mrs Thompson’s family and friends may also be important. They may be able to provide useful information about her usual behaviour, </w:t>
      </w:r>
      <w:r w:rsidR="008F4A91" w:rsidRPr="00B56B7D">
        <w:rPr>
          <w:rFonts w:ascii="Arial" w:hAnsi="Arial" w:cs="Arial"/>
          <w:sz w:val="22"/>
          <w:szCs w:val="22"/>
        </w:rPr>
        <w:t>medication,</w:t>
      </w:r>
      <w:r w:rsidRPr="00B56B7D">
        <w:rPr>
          <w:rFonts w:ascii="Arial" w:hAnsi="Arial" w:cs="Arial"/>
          <w:sz w:val="22"/>
          <w:szCs w:val="22"/>
        </w:rPr>
        <w:t xml:space="preserve"> and any changes they have noticed. However, information about Mrs Thompson must be kept confidential and shared appropriately. </w:t>
      </w:r>
      <w:r w:rsidR="00C0722A" w:rsidRPr="00B56B7D">
        <w:rPr>
          <w:rFonts w:ascii="Arial" w:hAnsi="Arial" w:cs="Arial"/>
          <w:color w:val="0D0D0D" w:themeColor="text1" w:themeTint="F2"/>
          <w:sz w:val="22"/>
          <w:szCs w:val="22"/>
        </w:rPr>
        <w:t xml:space="preserve">Overall, effective communication can help Mrs Thompson feel safe, </w:t>
      </w:r>
      <w:r w:rsidR="008F4A91" w:rsidRPr="00B56B7D">
        <w:rPr>
          <w:rFonts w:ascii="Arial" w:hAnsi="Arial" w:cs="Arial"/>
          <w:color w:val="0D0D0D" w:themeColor="text1" w:themeTint="F2"/>
          <w:sz w:val="22"/>
          <w:szCs w:val="22"/>
        </w:rPr>
        <w:t>respected,</w:t>
      </w:r>
      <w:r w:rsidR="00C0722A" w:rsidRPr="00B56B7D">
        <w:rPr>
          <w:rFonts w:ascii="Arial" w:hAnsi="Arial" w:cs="Arial"/>
          <w:color w:val="0D0D0D" w:themeColor="text1" w:themeTint="F2"/>
          <w:sz w:val="22"/>
          <w:szCs w:val="22"/>
        </w:rPr>
        <w:t xml:space="preserve"> and listened to. It can also help care workers, family members, </w:t>
      </w:r>
      <w:r w:rsidR="008F4A91" w:rsidRPr="00B56B7D">
        <w:rPr>
          <w:rFonts w:ascii="Arial" w:hAnsi="Arial" w:cs="Arial"/>
          <w:color w:val="0D0D0D" w:themeColor="text1" w:themeTint="F2"/>
          <w:sz w:val="22"/>
          <w:szCs w:val="22"/>
        </w:rPr>
        <w:t>friends,</w:t>
      </w:r>
      <w:r w:rsidR="00C0722A" w:rsidRPr="00B56B7D">
        <w:rPr>
          <w:rFonts w:ascii="Arial" w:hAnsi="Arial" w:cs="Arial"/>
          <w:color w:val="0D0D0D" w:themeColor="text1" w:themeTint="F2"/>
          <w:sz w:val="22"/>
          <w:szCs w:val="22"/>
        </w:rPr>
        <w:t xml:space="preserve"> and other professionals understand her needs and work together effectively. </w:t>
      </w:r>
      <w:r w:rsidR="008F4A91" w:rsidRPr="00B56B7D">
        <w:rPr>
          <w:rFonts w:ascii="Arial" w:hAnsi="Arial" w:cs="Arial"/>
          <w:color w:val="0D0D0D" w:themeColor="text1" w:themeTint="F2"/>
          <w:sz w:val="22"/>
          <w:szCs w:val="22"/>
        </w:rPr>
        <w:t>Honest communication</w:t>
      </w:r>
      <w:r w:rsidR="00C0722A" w:rsidRPr="00B56B7D">
        <w:rPr>
          <w:rFonts w:ascii="Arial" w:hAnsi="Arial" w:cs="Arial"/>
          <w:color w:val="0D0D0D" w:themeColor="text1" w:themeTint="F2"/>
          <w:sz w:val="22"/>
          <w:szCs w:val="22"/>
        </w:rPr>
        <w:t xml:space="preserve"> is therefore important for reducing risks, including medication problems, and for protecting Mrs Thompson’s health, </w:t>
      </w:r>
      <w:r w:rsidR="008F4A91" w:rsidRPr="00B56B7D">
        <w:rPr>
          <w:rFonts w:ascii="Arial" w:hAnsi="Arial" w:cs="Arial"/>
          <w:color w:val="0D0D0D" w:themeColor="text1" w:themeTint="F2"/>
          <w:sz w:val="22"/>
          <w:szCs w:val="22"/>
        </w:rPr>
        <w:t>safety,</w:t>
      </w:r>
      <w:r w:rsidR="00C0722A" w:rsidRPr="00B56B7D">
        <w:rPr>
          <w:rFonts w:ascii="Arial" w:hAnsi="Arial" w:cs="Arial"/>
          <w:color w:val="0D0D0D" w:themeColor="text1" w:themeTint="F2"/>
          <w:sz w:val="22"/>
          <w:szCs w:val="22"/>
        </w:rPr>
        <w:t xml:space="preserve"> and wellbeing (NHS, 2023)</w:t>
      </w:r>
      <w:bookmarkStart w:id="4" w:name="_Toc237792132"/>
    </w:p>
    <w:p w14:paraId="09513584" w14:textId="77777777" w:rsidR="00E87299" w:rsidRDefault="00E87299" w:rsidP="00B56B7D">
      <w:pPr>
        <w:pStyle w:val="Heading1"/>
        <w:spacing w:line="360" w:lineRule="auto"/>
        <w:rPr>
          <w:rFonts w:ascii="Arial" w:hAnsi="Arial" w:cs="Arial"/>
          <w:sz w:val="22"/>
          <w:szCs w:val="22"/>
        </w:rPr>
      </w:pPr>
    </w:p>
    <w:p w14:paraId="32E44C06" w14:textId="2E1C28AD" w:rsidR="005241EB" w:rsidRPr="00DC2913" w:rsidRDefault="005241EB" w:rsidP="00B56B7D">
      <w:pPr>
        <w:pStyle w:val="Heading1"/>
        <w:spacing w:line="360" w:lineRule="auto"/>
        <w:rPr>
          <w:rFonts w:ascii="Arial" w:hAnsi="Arial" w:cs="Arial"/>
          <w:b/>
          <w:bCs/>
          <w:color w:val="auto"/>
          <w:sz w:val="22"/>
          <w:szCs w:val="22"/>
        </w:rPr>
      </w:pPr>
      <w:r w:rsidRPr="00DC2913">
        <w:rPr>
          <w:rFonts w:ascii="Arial" w:hAnsi="Arial" w:cs="Arial"/>
          <w:b/>
          <w:bCs/>
          <w:color w:val="auto"/>
          <w:sz w:val="22"/>
          <w:szCs w:val="22"/>
        </w:rPr>
        <w:t>The Equality Act 2010</w:t>
      </w:r>
      <w:bookmarkEnd w:id="4"/>
    </w:p>
    <w:p w14:paraId="7B454F5A"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 xml:space="preserve">The Equality Act 2010 protects people from discrimination and requires reasonable adjustments to be made where appropriate. For Mrs Thompson, reasonable adjustments </w:t>
      </w:r>
      <w:r w:rsidRPr="00B56B7D">
        <w:rPr>
          <w:rFonts w:ascii="Arial" w:hAnsi="Arial" w:cs="Arial"/>
          <w:sz w:val="22"/>
          <w:szCs w:val="22"/>
        </w:rPr>
        <w:lastRenderedPageBreak/>
        <w:t>could include giving her more time to respond, using easy-to-understand information and changing the way information is communicated to meet her needs. Treating her fairly means recognising that she may require additional support because of her dementia (Equality Act 2010).</w:t>
      </w:r>
    </w:p>
    <w:p w14:paraId="552CDD4D" w14:textId="77777777" w:rsidR="005241EB" w:rsidRPr="00DC2913" w:rsidRDefault="005241EB" w:rsidP="00B56B7D">
      <w:pPr>
        <w:pStyle w:val="Heading1"/>
        <w:spacing w:line="360" w:lineRule="auto"/>
        <w:rPr>
          <w:rFonts w:ascii="Arial" w:hAnsi="Arial" w:cs="Arial"/>
          <w:b/>
          <w:bCs/>
          <w:color w:val="auto"/>
          <w:sz w:val="22"/>
          <w:szCs w:val="22"/>
        </w:rPr>
      </w:pPr>
      <w:bookmarkStart w:id="5" w:name="_Toc237792133"/>
      <w:r w:rsidRPr="00DC2913">
        <w:rPr>
          <w:rFonts w:ascii="Arial" w:hAnsi="Arial" w:cs="Arial"/>
          <w:b/>
          <w:bCs/>
          <w:color w:val="auto"/>
          <w:sz w:val="22"/>
          <w:szCs w:val="22"/>
        </w:rPr>
        <w:t>Good Administrative Skills and Record Keeping</w:t>
      </w:r>
      <w:bookmarkEnd w:id="5"/>
    </w:p>
    <w:p w14:paraId="7455F6A5" w14:textId="1AF29F11"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 xml:space="preserve">Record keeping means writing down </w:t>
      </w:r>
      <w:r w:rsidR="008F4A91" w:rsidRPr="00B56B7D">
        <w:rPr>
          <w:rFonts w:ascii="Arial" w:hAnsi="Arial" w:cs="Arial"/>
          <w:sz w:val="22"/>
          <w:szCs w:val="22"/>
        </w:rPr>
        <w:t>vital information</w:t>
      </w:r>
      <w:r w:rsidRPr="00B56B7D">
        <w:rPr>
          <w:rFonts w:ascii="Arial" w:hAnsi="Arial" w:cs="Arial"/>
          <w:sz w:val="22"/>
          <w:szCs w:val="22"/>
        </w:rPr>
        <w:t xml:space="preserve"> about a person and the care they receive. Records should be clear, correct and kept up to date. Care workers should record </w:t>
      </w:r>
      <w:r w:rsidR="008F4A91" w:rsidRPr="00B56B7D">
        <w:rPr>
          <w:rFonts w:ascii="Arial" w:hAnsi="Arial" w:cs="Arial"/>
          <w:sz w:val="22"/>
          <w:szCs w:val="22"/>
        </w:rPr>
        <w:t>major events</w:t>
      </w:r>
      <w:r w:rsidRPr="00B56B7D">
        <w:rPr>
          <w:rFonts w:ascii="Arial" w:hAnsi="Arial" w:cs="Arial"/>
          <w:sz w:val="22"/>
          <w:szCs w:val="22"/>
        </w:rPr>
        <w:t xml:space="preserve">, changes in a person’s condition, </w:t>
      </w:r>
      <w:r w:rsidR="008F4A91" w:rsidRPr="00B56B7D">
        <w:rPr>
          <w:rFonts w:ascii="Arial" w:hAnsi="Arial" w:cs="Arial"/>
          <w:sz w:val="22"/>
          <w:szCs w:val="22"/>
        </w:rPr>
        <w:t>medication,</w:t>
      </w:r>
      <w:r w:rsidRPr="00B56B7D">
        <w:rPr>
          <w:rFonts w:ascii="Arial" w:hAnsi="Arial" w:cs="Arial"/>
          <w:sz w:val="22"/>
          <w:szCs w:val="22"/>
        </w:rPr>
        <w:t xml:space="preserve"> and any concerns. The Care Quality Commission (CQC) states that care records should be accurate, </w:t>
      </w:r>
      <w:r w:rsidR="008F4A91" w:rsidRPr="00B56B7D">
        <w:rPr>
          <w:rFonts w:ascii="Arial" w:hAnsi="Arial" w:cs="Arial"/>
          <w:sz w:val="22"/>
          <w:szCs w:val="22"/>
        </w:rPr>
        <w:t>complete,</w:t>
      </w:r>
      <w:r w:rsidRPr="00B56B7D">
        <w:rPr>
          <w:rFonts w:ascii="Arial" w:hAnsi="Arial" w:cs="Arial"/>
          <w:sz w:val="22"/>
          <w:szCs w:val="22"/>
        </w:rPr>
        <w:t xml:space="preserve"> and up to date (CQC, 2023).</w:t>
      </w:r>
    </w:p>
    <w:p w14:paraId="20E41200"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In Mrs Thompson’s case, care workers should record when she takes or misses her medication. They should also record any changes in her confusion or behaviour and any concerns about her safety. For example, when Mrs Thompson missed her medication for two days, the care worker should record what happened and report the concern to the appropriate person. The request for a medication review should also be recorded. This means that other care workers and health professionals can see what has happened and what action has been taken. Good record keeping can help reduce mistakes and support safe care (NHS England, 2025).</w:t>
      </w:r>
    </w:p>
    <w:p w14:paraId="332A3BED" w14:textId="1A079312" w:rsidR="005241EB" w:rsidRPr="00DC2913" w:rsidRDefault="005241EB" w:rsidP="00B56B7D">
      <w:pPr>
        <w:pStyle w:val="Heading1"/>
        <w:spacing w:line="360" w:lineRule="auto"/>
        <w:rPr>
          <w:rFonts w:ascii="Arial" w:hAnsi="Arial" w:cs="Arial"/>
          <w:b/>
          <w:bCs/>
          <w:color w:val="auto"/>
          <w:sz w:val="22"/>
          <w:szCs w:val="22"/>
        </w:rPr>
      </w:pPr>
      <w:bookmarkStart w:id="6" w:name="_Toc237792134"/>
      <w:r w:rsidRPr="00DC2913">
        <w:rPr>
          <w:rFonts w:ascii="Arial" w:hAnsi="Arial" w:cs="Arial"/>
          <w:b/>
          <w:bCs/>
          <w:color w:val="auto"/>
          <w:sz w:val="22"/>
          <w:szCs w:val="22"/>
        </w:rPr>
        <w:t>Data Protection Act 2018</w:t>
      </w:r>
      <w:bookmarkEnd w:id="6"/>
    </w:p>
    <w:p w14:paraId="7649C42B"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Care workers must keep Mrs Thompson’s personal information private. The Data Protection Act 2018 gives rules about how personal information should be collected, used, stored and shared. Information about a person’s health needs extra protection because it is sensitive information (Information Commissioner’s Office, 2026).</w:t>
      </w:r>
    </w:p>
    <w:p w14:paraId="06F793FF"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Care workers should only look at information that they need for their work. They should only share Mrs Thompson’s information with people who have a good reason to receive it. For example, information about her missed medication may need to be shared with her GP or pharmacist so they can review her medication. However, her private information should not be shared with people who are not involved in her care (Data Protection Act 2018).</w:t>
      </w:r>
    </w:p>
    <w:p w14:paraId="62F5402D"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Mrs Thompson’s records should also be stored safely. Paper records should be kept in a secure place, and electronic records should be protected from people who are not allowed to see them. Care workers should also avoid talking about Mrs Thompson’s personal information in public places. These steps help protect her privacy and dignity (NHS England, 2025).</w:t>
      </w:r>
    </w:p>
    <w:p w14:paraId="60CD2A5A" w14:textId="58D33D60" w:rsidR="005241EB" w:rsidRPr="00DC2913" w:rsidRDefault="00E87299" w:rsidP="00B56B7D">
      <w:pPr>
        <w:pStyle w:val="Heading1"/>
        <w:spacing w:line="360" w:lineRule="auto"/>
        <w:rPr>
          <w:rFonts w:ascii="Arial" w:hAnsi="Arial" w:cs="Arial"/>
          <w:color w:val="auto"/>
          <w:sz w:val="22"/>
          <w:szCs w:val="22"/>
        </w:rPr>
      </w:pPr>
      <w:bookmarkStart w:id="7" w:name="_Toc237792135"/>
      <w:r w:rsidRPr="00DC2913">
        <w:rPr>
          <w:rFonts w:ascii="Arial" w:hAnsi="Arial" w:cs="Arial"/>
          <w:color w:val="auto"/>
          <w:sz w:val="22"/>
          <w:szCs w:val="22"/>
        </w:rPr>
        <w:lastRenderedPageBreak/>
        <w:t>Collaborating</w:t>
      </w:r>
      <w:r w:rsidR="005241EB" w:rsidRPr="00DC2913">
        <w:rPr>
          <w:rFonts w:ascii="Arial" w:hAnsi="Arial" w:cs="Arial"/>
          <w:color w:val="auto"/>
          <w:sz w:val="22"/>
          <w:szCs w:val="22"/>
        </w:rPr>
        <w:t xml:space="preserve"> with Other Professionals</w:t>
      </w:r>
      <w:bookmarkEnd w:id="7"/>
    </w:p>
    <w:p w14:paraId="2E62F0DA" w14:textId="56A7E6EF"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Different professionals can work together to understand her needs and provide the right support (NHS England, 2025).</w:t>
      </w:r>
      <w:r w:rsidR="00F254F7" w:rsidRPr="00B56B7D">
        <w:rPr>
          <w:rFonts w:ascii="Arial" w:hAnsi="Arial" w:cs="Arial"/>
          <w:sz w:val="22"/>
          <w:szCs w:val="22"/>
        </w:rPr>
        <w:t xml:space="preserve"> </w:t>
      </w:r>
      <w:r w:rsidRPr="00B56B7D">
        <w:rPr>
          <w:rFonts w:ascii="Arial" w:hAnsi="Arial" w:cs="Arial"/>
          <w:sz w:val="22"/>
          <w:szCs w:val="22"/>
        </w:rPr>
        <w:t>The GP can check Mrs Thompson’s health and review her medication. The GP can also investigate the reason for her increased confusion. The community nurse can visit Mrs Thompson at home. They can check her health and report any concerns to the GP or other professionals. Domiciliary care workers visit Mrs Thompson twice a day. They can check her medication and notice changes in her health or behaviour. They should record and report any concerns</w:t>
      </w:r>
      <w:r w:rsidR="00C0722A" w:rsidRPr="00B56B7D">
        <w:rPr>
          <w:rFonts w:ascii="Arial" w:hAnsi="Arial" w:cs="Arial"/>
          <w:sz w:val="22"/>
          <w:szCs w:val="22"/>
        </w:rPr>
        <w:t xml:space="preserve"> (Care Act 2014).</w:t>
      </w:r>
    </w:p>
    <w:p w14:paraId="42BB3160" w14:textId="77777777" w:rsidR="005241EB" w:rsidRPr="00D10702" w:rsidRDefault="005241EB" w:rsidP="00B56B7D">
      <w:pPr>
        <w:pStyle w:val="Heading1"/>
        <w:spacing w:line="360" w:lineRule="auto"/>
        <w:rPr>
          <w:rFonts w:ascii="Arial" w:hAnsi="Arial" w:cs="Arial"/>
          <w:b/>
          <w:bCs/>
          <w:color w:val="auto"/>
          <w:sz w:val="22"/>
          <w:szCs w:val="22"/>
        </w:rPr>
      </w:pPr>
      <w:bookmarkStart w:id="8" w:name="_Toc237792136"/>
      <w:r w:rsidRPr="00D10702">
        <w:rPr>
          <w:rFonts w:ascii="Arial" w:hAnsi="Arial" w:cs="Arial"/>
          <w:b/>
          <w:bCs/>
          <w:color w:val="auto"/>
          <w:sz w:val="22"/>
          <w:szCs w:val="22"/>
        </w:rPr>
        <w:t>Approaches to Effective Multi-Agency Working</w:t>
      </w:r>
      <w:bookmarkEnd w:id="8"/>
    </w:p>
    <w:p w14:paraId="2261F689"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Multi-agency working means different professionals and organisations working together to support the same person. In Mrs Thompson's case, this may include her GP, community nurse, domiciliary care workers, pharmacist and local council. Each professional has different skills and knowledge, so working together can help Mrs Thompson receive safe and suitable care. The Care and Support Statutory Guidance states that professionals should work together and share important information when there are concerns about an adult's safety and wellbeing (Department of Health and Social Care, 2025).</w:t>
      </w:r>
    </w:p>
    <w:p w14:paraId="233BA443" w14:textId="22D0011C"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One important approach to effective collaboration is good communication. Professionals should share clear and up-to-date information about Mrs Thompson's health, medication and behaviour. For example, if a care worker notices that Mrs Thompson has missed her medication and is more confused than usual, this should be reported to the community nurse or GP.</w:t>
      </w:r>
      <w:r w:rsidR="00861C0A" w:rsidRPr="00B56B7D">
        <w:rPr>
          <w:rFonts w:ascii="Arial" w:hAnsi="Arial" w:cs="Arial"/>
          <w:sz w:val="22"/>
          <w:szCs w:val="22"/>
        </w:rPr>
        <w:t xml:space="preserve"> this</w:t>
      </w:r>
      <w:r w:rsidRPr="00B56B7D">
        <w:rPr>
          <w:rFonts w:ascii="Arial" w:hAnsi="Arial" w:cs="Arial"/>
          <w:sz w:val="22"/>
          <w:szCs w:val="22"/>
        </w:rPr>
        <w:t xml:space="preserve"> can help identify problems early and reduce risks (NMC, 2018).</w:t>
      </w:r>
    </w:p>
    <w:p w14:paraId="63333044"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However, multi-agency working can have some challenges. These can include poor communication, lack of time, different professional opinions and problems with sharing information. These challenges can be reduced through regular meetings, clear care plans and agreed ways of communicating. Professionals should listen to each other and respect the knowledge and experience of other team members (NMC, 2018).</w:t>
      </w:r>
    </w:p>
    <w:p w14:paraId="3DCF7FA3"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Information sharing can also be difficult because professionals may worry about confidentiality. However, relevant information should be shared when it is necessary to protect a person's safety. Professionals should follow safeguarding procedures and only share information with appropriate people (Department of Health and Social Care, 2025).</w:t>
      </w:r>
    </w:p>
    <w:p w14:paraId="7A9D8393" w14:textId="77777777" w:rsidR="005241EB" w:rsidRPr="00B56B7D" w:rsidRDefault="005241EB" w:rsidP="00B56B7D">
      <w:pPr>
        <w:spacing w:line="360" w:lineRule="auto"/>
        <w:jc w:val="both"/>
        <w:rPr>
          <w:rFonts w:ascii="Arial" w:hAnsi="Arial" w:cs="Arial"/>
          <w:b/>
          <w:bCs/>
          <w:sz w:val="22"/>
          <w:szCs w:val="22"/>
        </w:rPr>
      </w:pPr>
    </w:p>
    <w:p w14:paraId="69C2378D" w14:textId="77777777" w:rsidR="005241EB" w:rsidRPr="00B56B7D" w:rsidRDefault="005241EB" w:rsidP="00B56B7D">
      <w:pPr>
        <w:spacing w:line="360" w:lineRule="auto"/>
        <w:jc w:val="both"/>
        <w:rPr>
          <w:rFonts w:ascii="Arial" w:hAnsi="Arial" w:cs="Arial"/>
          <w:b/>
          <w:bCs/>
          <w:sz w:val="22"/>
          <w:szCs w:val="22"/>
        </w:rPr>
      </w:pPr>
    </w:p>
    <w:p w14:paraId="7A25AE6D" w14:textId="77777777" w:rsidR="005241EB" w:rsidRPr="00B56B7D" w:rsidRDefault="005241EB" w:rsidP="00B56B7D">
      <w:pPr>
        <w:spacing w:line="360" w:lineRule="auto"/>
        <w:jc w:val="both"/>
        <w:rPr>
          <w:rFonts w:ascii="Arial" w:hAnsi="Arial" w:cs="Arial"/>
          <w:b/>
          <w:bCs/>
          <w:sz w:val="22"/>
          <w:szCs w:val="22"/>
        </w:rPr>
      </w:pPr>
    </w:p>
    <w:p w14:paraId="07CD861B" w14:textId="5ADA0CB0" w:rsidR="005241EB" w:rsidRPr="00D10702" w:rsidRDefault="005241EB" w:rsidP="00B56B7D">
      <w:pPr>
        <w:pStyle w:val="Heading1"/>
        <w:spacing w:line="360" w:lineRule="auto"/>
        <w:rPr>
          <w:rFonts w:ascii="Arial" w:hAnsi="Arial" w:cs="Arial"/>
          <w:b/>
          <w:bCs/>
          <w:color w:val="auto"/>
          <w:sz w:val="22"/>
          <w:szCs w:val="22"/>
        </w:rPr>
      </w:pPr>
      <w:bookmarkStart w:id="9" w:name="_Toc237792137"/>
      <w:r w:rsidRPr="00D10702">
        <w:rPr>
          <w:rFonts w:ascii="Arial" w:hAnsi="Arial" w:cs="Arial"/>
          <w:b/>
          <w:bCs/>
          <w:color w:val="auto"/>
          <w:sz w:val="22"/>
          <w:szCs w:val="22"/>
        </w:rPr>
        <w:lastRenderedPageBreak/>
        <w:t>Conclusion</w:t>
      </w:r>
      <w:bookmarkEnd w:id="9"/>
    </w:p>
    <w:p w14:paraId="729E7C44" w14:textId="77777777" w:rsidR="005241EB" w:rsidRPr="00B56B7D" w:rsidRDefault="005241EB" w:rsidP="00B56B7D">
      <w:pPr>
        <w:spacing w:line="360" w:lineRule="auto"/>
        <w:jc w:val="both"/>
        <w:rPr>
          <w:rFonts w:ascii="Arial" w:hAnsi="Arial" w:cs="Arial"/>
          <w:sz w:val="22"/>
          <w:szCs w:val="22"/>
        </w:rPr>
      </w:pPr>
      <w:r w:rsidRPr="00B56B7D">
        <w:rPr>
          <w:rFonts w:ascii="Arial" w:hAnsi="Arial" w:cs="Arial"/>
          <w:sz w:val="22"/>
          <w:szCs w:val="22"/>
        </w:rPr>
        <w:t xml:space="preserve">To conclude, Mrs Thompson's case shows that good communication, accurate record keeping and teamwork are important for providing safe care. Her dementia, recent hospital </w:t>
      </w:r>
      <w:proofErr w:type="gramStart"/>
      <w:r w:rsidRPr="00B56B7D">
        <w:rPr>
          <w:rFonts w:ascii="Arial" w:hAnsi="Arial" w:cs="Arial"/>
          <w:sz w:val="22"/>
          <w:szCs w:val="22"/>
        </w:rPr>
        <w:t>stay</w:t>
      </w:r>
      <w:proofErr w:type="gramEnd"/>
      <w:r w:rsidRPr="00B56B7D">
        <w:rPr>
          <w:rFonts w:ascii="Arial" w:hAnsi="Arial" w:cs="Arial"/>
          <w:sz w:val="22"/>
          <w:szCs w:val="22"/>
        </w:rPr>
        <w:t>, missed medication and safety concerns mean that different professionals need to work together. Good communication helps staff share information about changes in her health and make sure the right people know about any concerns (NMC, 2018). Keeping accurate records is also important because it provides information about her medication, incidents and safeguarding concerns (NICE, 2015). The GP, community nurse, domiciliary care workers, pharmacist and local council can work together to understand her needs and provide the right support. Professionals should share relevant information when it is needed to protect Mrs Thompson's safety (Department of Health and Social Care, 2025). Most importantly, Mrs Thompson should be listened to, respected and involved in decisions about her care as much as possible. This can help protect her dignity, independence and wellbeing.</w:t>
      </w:r>
    </w:p>
    <w:p w14:paraId="45124154" w14:textId="77777777" w:rsidR="005241EB" w:rsidRPr="00B56B7D" w:rsidRDefault="005241EB" w:rsidP="00B56B7D">
      <w:pPr>
        <w:spacing w:line="360" w:lineRule="auto"/>
        <w:jc w:val="both"/>
        <w:rPr>
          <w:rFonts w:ascii="Arial" w:hAnsi="Arial" w:cs="Arial"/>
          <w:sz w:val="22"/>
          <w:szCs w:val="22"/>
        </w:rPr>
      </w:pPr>
    </w:p>
    <w:p w14:paraId="6860FA78" w14:textId="77777777" w:rsidR="005241EB" w:rsidRPr="00B56B7D" w:rsidRDefault="005241EB" w:rsidP="00B56B7D">
      <w:pPr>
        <w:spacing w:line="360" w:lineRule="auto"/>
        <w:jc w:val="both"/>
        <w:rPr>
          <w:rFonts w:ascii="Arial" w:hAnsi="Arial" w:cs="Arial"/>
          <w:sz w:val="22"/>
          <w:szCs w:val="22"/>
        </w:rPr>
      </w:pPr>
    </w:p>
    <w:p w14:paraId="6B75CE51" w14:textId="77777777" w:rsidR="005241EB" w:rsidRPr="00B56B7D" w:rsidRDefault="005241EB" w:rsidP="00B56B7D">
      <w:pPr>
        <w:spacing w:line="360" w:lineRule="auto"/>
        <w:jc w:val="both"/>
        <w:rPr>
          <w:rFonts w:ascii="Arial" w:hAnsi="Arial" w:cs="Arial"/>
          <w:sz w:val="22"/>
          <w:szCs w:val="22"/>
        </w:rPr>
      </w:pPr>
    </w:p>
    <w:p w14:paraId="2178FBE1" w14:textId="77777777" w:rsidR="005241EB" w:rsidRPr="00B56B7D" w:rsidRDefault="005241EB" w:rsidP="00B56B7D">
      <w:pPr>
        <w:spacing w:line="360" w:lineRule="auto"/>
        <w:jc w:val="both"/>
        <w:rPr>
          <w:rFonts w:ascii="Arial" w:hAnsi="Arial" w:cs="Arial"/>
          <w:sz w:val="22"/>
          <w:szCs w:val="22"/>
        </w:rPr>
      </w:pPr>
    </w:p>
    <w:p w14:paraId="3963A35B" w14:textId="77777777" w:rsidR="005241EB" w:rsidRPr="00B56B7D" w:rsidRDefault="005241EB" w:rsidP="00B56B7D">
      <w:pPr>
        <w:spacing w:line="360" w:lineRule="auto"/>
        <w:jc w:val="both"/>
        <w:rPr>
          <w:rFonts w:ascii="Arial" w:hAnsi="Arial" w:cs="Arial"/>
          <w:b/>
          <w:bCs/>
          <w:sz w:val="22"/>
          <w:szCs w:val="22"/>
        </w:rPr>
      </w:pPr>
    </w:p>
    <w:p w14:paraId="3E7EB1E0" w14:textId="77777777" w:rsidR="005241EB" w:rsidRPr="00B56B7D" w:rsidRDefault="005241EB" w:rsidP="00B56B7D">
      <w:pPr>
        <w:spacing w:line="360" w:lineRule="auto"/>
        <w:jc w:val="both"/>
        <w:rPr>
          <w:rFonts w:ascii="Arial" w:hAnsi="Arial" w:cs="Arial"/>
          <w:b/>
          <w:bCs/>
          <w:sz w:val="22"/>
          <w:szCs w:val="22"/>
        </w:rPr>
      </w:pPr>
    </w:p>
    <w:p w14:paraId="1D7AB3B9" w14:textId="77777777" w:rsidR="005241EB" w:rsidRPr="00B56B7D" w:rsidRDefault="005241EB" w:rsidP="00B56B7D">
      <w:pPr>
        <w:spacing w:line="360" w:lineRule="auto"/>
        <w:jc w:val="both"/>
        <w:rPr>
          <w:rFonts w:ascii="Arial" w:hAnsi="Arial" w:cs="Arial"/>
          <w:b/>
          <w:bCs/>
          <w:sz w:val="22"/>
          <w:szCs w:val="22"/>
        </w:rPr>
      </w:pPr>
    </w:p>
    <w:p w14:paraId="074D6F6A" w14:textId="77777777" w:rsidR="005241EB" w:rsidRPr="00B56B7D" w:rsidRDefault="005241EB" w:rsidP="00B56B7D">
      <w:pPr>
        <w:spacing w:line="360" w:lineRule="auto"/>
        <w:jc w:val="both"/>
        <w:rPr>
          <w:rFonts w:ascii="Arial" w:hAnsi="Arial" w:cs="Arial"/>
          <w:b/>
          <w:bCs/>
          <w:sz w:val="22"/>
          <w:szCs w:val="22"/>
        </w:rPr>
      </w:pPr>
    </w:p>
    <w:p w14:paraId="40B7F99E" w14:textId="77777777" w:rsidR="005241EB" w:rsidRPr="00B56B7D" w:rsidRDefault="005241EB" w:rsidP="00B56B7D">
      <w:pPr>
        <w:spacing w:line="360" w:lineRule="auto"/>
        <w:jc w:val="both"/>
        <w:rPr>
          <w:rFonts w:ascii="Arial" w:hAnsi="Arial" w:cs="Arial"/>
          <w:b/>
          <w:bCs/>
          <w:sz w:val="22"/>
          <w:szCs w:val="22"/>
        </w:rPr>
      </w:pPr>
    </w:p>
    <w:p w14:paraId="6CF00082" w14:textId="77777777" w:rsidR="005241EB" w:rsidRPr="00B56B7D" w:rsidRDefault="005241EB" w:rsidP="00B56B7D">
      <w:pPr>
        <w:spacing w:line="360" w:lineRule="auto"/>
        <w:jc w:val="both"/>
        <w:rPr>
          <w:rFonts w:ascii="Arial" w:hAnsi="Arial" w:cs="Arial"/>
          <w:b/>
          <w:bCs/>
          <w:sz w:val="22"/>
          <w:szCs w:val="22"/>
        </w:rPr>
      </w:pPr>
    </w:p>
    <w:p w14:paraId="4E505A76" w14:textId="77777777" w:rsidR="005241EB" w:rsidRPr="00B56B7D" w:rsidRDefault="005241EB" w:rsidP="00B56B7D">
      <w:pPr>
        <w:spacing w:line="360" w:lineRule="auto"/>
        <w:jc w:val="both"/>
        <w:rPr>
          <w:rFonts w:ascii="Arial" w:hAnsi="Arial" w:cs="Arial"/>
          <w:b/>
          <w:bCs/>
          <w:sz w:val="22"/>
          <w:szCs w:val="22"/>
        </w:rPr>
      </w:pPr>
    </w:p>
    <w:p w14:paraId="7FABD1E8" w14:textId="77777777" w:rsidR="00B56B7D" w:rsidRDefault="00B56B7D" w:rsidP="00B56B7D">
      <w:pPr>
        <w:spacing w:line="360" w:lineRule="auto"/>
        <w:rPr>
          <w:rFonts w:ascii="Arial" w:hAnsi="Arial" w:cs="Arial"/>
          <w:b/>
          <w:bCs/>
        </w:rPr>
      </w:pPr>
    </w:p>
    <w:p w14:paraId="19E526DD" w14:textId="77777777" w:rsidR="00B56B7D" w:rsidRDefault="00B56B7D" w:rsidP="00B56B7D">
      <w:pPr>
        <w:spacing w:line="360" w:lineRule="auto"/>
        <w:rPr>
          <w:rFonts w:ascii="Arial" w:hAnsi="Arial" w:cs="Arial"/>
          <w:b/>
          <w:bCs/>
        </w:rPr>
      </w:pPr>
    </w:p>
    <w:p w14:paraId="26463110" w14:textId="77777777" w:rsidR="00B56B7D" w:rsidRDefault="00B56B7D" w:rsidP="00B56B7D">
      <w:pPr>
        <w:spacing w:line="360" w:lineRule="auto"/>
        <w:rPr>
          <w:rFonts w:ascii="Arial" w:hAnsi="Arial" w:cs="Arial"/>
          <w:b/>
          <w:bCs/>
        </w:rPr>
      </w:pPr>
    </w:p>
    <w:p w14:paraId="2BEDC223" w14:textId="77777777" w:rsidR="00B3268D" w:rsidRDefault="00B3268D" w:rsidP="00B56B7D">
      <w:pPr>
        <w:spacing w:line="360" w:lineRule="auto"/>
        <w:rPr>
          <w:rFonts w:ascii="Arial" w:hAnsi="Arial" w:cs="Arial"/>
          <w:b/>
          <w:bCs/>
        </w:rPr>
      </w:pPr>
    </w:p>
    <w:p w14:paraId="5FA2D781" w14:textId="77777777" w:rsidR="00B3268D" w:rsidRDefault="00B3268D" w:rsidP="00B56B7D">
      <w:pPr>
        <w:spacing w:line="360" w:lineRule="auto"/>
        <w:rPr>
          <w:rFonts w:ascii="Arial" w:hAnsi="Arial" w:cs="Arial"/>
          <w:b/>
          <w:bCs/>
        </w:rPr>
      </w:pPr>
    </w:p>
    <w:p w14:paraId="232290A3" w14:textId="0710B040" w:rsidR="00B56B7D" w:rsidRPr="00B56B7D" w:rsidRDefault="00B56B7D" w:rsidP="00B56B7D">
      <w:pPr>
        <w:spacing w:line="360" w:lineRule="auto"/>
        <w:rPr>
          <w:rFonts w:ascii="Arial" w:hAnsi="Arial" w:cs="Arial"/>
          <w:b/>
          <w:bCs/>
        </w:rPr>
      </w:pPr>
      <w:r w:rsidRPr="00B56B7D">
        <w:rPr>
          <w:rFonts w:ascii="Arial" w:hAnsi="Arial" w:cs="Arial"/>
          <w:b/>
          <w:bCs/>
        </w:rPr>
        <w:lastRenderedPageBreak/>
        <w:t>References</w:t>
      </w:r>
    </w:p>
    <w:p w14:paraId="63A506A4" w14:textId="289CD19F" w:rsidR="00B56B7D" w:rsidRPr="00B56B7D" w:rsidRDefault="00B56B7D" w:rsidP="00B56B7D">
      <w:pPr>
        <w:pStyle w:val="ListParagraph"/>
        <w:numPr>
          <w:ilvl w:val="0"/>
          <w:numId w:val="1"/>
        </w:numPr>
        <w:spacing w:line="360" w:lineRule="auto"/>
        <w:rPr>
          <w:rFonts w:ascii="Arial" w:hAnsi="Arial" w:cs="Arial"/>
        </w:rPr>
      </w:pPr>
      <w:r w:rsidRPr="00B56B7D">
        <w:rPr>
          <w:rFonts w:ascii="Arial" w:hAnsi="Arial" w:cs="Arial"/>
        </w:rPr>
        <w:t xml:space="preserve">Clark, C. and McGhee, J. (eds.) (2008) </w:t>
      </w:r>
      <w:r w:rsidRPr="00B56B7D">
        <w:rPr>
          <w:rFonts w:ascii="Arial" w:hAnsi="Arial" w:cs="Arial"/>
          <w:i/>
          <w:iCs/>
        </w:rPr>
        <w:t>Private and Confidential? Handling Personal Information in Social and Health Services</w:t>
      </w:r>
      <w:r w:rsidRPr="00B56B7D">
        <w:rPr>
          <w:rFonts w:ascii="Arial" w:hAnsi="Arial" w:cs="Arial"/>
        </w:rPr>
        <w:t>. Bristol: Policy Press.</w:t>
      </w:r>
    </w:p>
    <w:p w14:paraId="67DE4538" w14:textId="77777777" w:rsidR="00B56B7D" w:rsidRDefault="00B56B7D" w:rsidP="00B56B7D">
      <w:pPr>
        <w:pStyle w:val="ListParagraph"/>
        <w:spacing w:line="360" w:lineRule="auto"/>
        <w:rPr>
          <w:rFonts w:ascii="Arial" w:hAnsi="Arial" w:cs="Arial"/>
        </w:rPr>
      </w:pPr>
    </w:p>
    <w:p w14:paraId="16893401" w14:textId="57C97D71" w:rsidR="00B56B7D" w:rsidRPr="00B56B7D" w:rsidRDefault="00B56B7D" w:rsidP="00B56B7D">
      <w:pPr>
        <w:pStyle w:val="ListParagraph"/>
        <w:numPr>
          <w:ilvl w:val="0"/>
          <w:numId w:val="1"/>
        </w:numPr>
        <w:spacing w:line="360" w:lineRule="auto"/>
        <w:rPr>
          <w:rFonts w:ascii="Arial" w:hAnsi="Arial" w:cs="Arial"/>
        </w:rPr>
      </w:pPr>
      <w:r w:rsidRPr="00B56B7D">
        <w:rPr>
          <w:rFonts w:ascii="Arial" w:hAnsi="Arial" w:cs="Arial"/>
        </w:rPr>
        <w:t xml:space="preserve">Care Quality Commission (2023) </w:t>
      </w:r>
      <w:r w:rsidRPr="00B56B7D">
        <w:rPr>
          <w:rFonts w:ascii="Arial" w:hAnsi="Arial" w:cs="Arial"/>
          <w:i/>
          <w:iCs/>
        </w:rPr>
        <w:t>What do good digital social care records look like?</w:t>
      </w:r>
      <w:r w:rsidRPr="00B56B7D">
        <w:rPr>
          <w:rFonts w:ascii="Arial" w:hAnsi="Arial" w:cs="Arial"/>
        </w:rPr>
        <w:t xml:space="preserve"> Available at: </w:t>
      </w:r>
      <w:hyperlink r:id="rId12" w:history="1">
        <w:r w:rsidRPr="00B56B7D">
          <w:rPr>
            <w:rStyle w:val="Hyperlink"/>
            <w:rFonts w:ascii="Arial" w:hAnsi="Arial" w:cs="Arial"/>
          </w:rPr>
          <w:t>CQC guidance on social care records</w:t>
        </w:r>
      </w:hyperlink>
      <w:r w:rsidRPr="00B56B7D">
        <w:rPr>
          <w:rFonts w:ascii="Arial" w:hAnsi="Arial" w:cs="Arial"/>
        </w:rPr>
        <w:t xml:space="preserve"> (Accessed: 16 August 2026).</w:t>
      </w:r>
    </w:p>
    <w:p w14:paraId="54DD47AA" w14:textId="26F7A971" w:rsidR="005241EB" w:rsidRPr="00B56B7D" w:rsidRDefault="005241EB" w:rsidP="00B56B7D">
      <w:pPr>
        <w:numPr>
          <w:ilvl w:val="0"/>
          <w:numId w:val="1"/>
        </w:numPr>
        <w:spacing w:line="360" w:lineRule="auto"/>
        <w:rPr>
          <w:rFonts w:ascii="Arial" w:hAnsi="Arial" w:cs="Arial"/>
          <w:sz w:val="22"/>
          <w:szCs w:val="22"/>
        </w:rPr>
      </w:pPr>
      <w:r w:rsidRPr="00B56B7D">
        <w:rPr>
          <w:rFonts w:ascii="Arial" w:hAnsi="Arial" w:cs="Arial"/>
          <w:sz w:val="22"/>
          <w:szCs w:val="22"/>
        </w:rPr>
        <w:t xml:space="preserve">Data Protection Act 2018. Available at: </w:t>
      </w:r>
      <w:hyperlink r:id="rId13" w:tgtFrame="_blank" w:history="1">
        <w:r w:rsidRPr="00B56B7D">
          <w:rPr>
            <w:rStyle w:val="Hyperlink"/>
            <w:rFonts w:ascii="Arial" w:hAnsi="Arial" w:cs="Arial"/>
            <w:sz w:val="22"/>
            <w:szCs w:val="22"/>
          </w:rPr>
          <w:t>https://www.legislation.gov.uk/ukpga/2018/12/contents</w:t>
        </w:r>
      </w:hyperlink>
      <w:r w:rsidRPr="00B56B7D">
        <w:rPr>
          <w:rFonts w:ascii="Arial" w:hAnsi="Arial" w:cs="Arial"/>
          <w:sz w:val="22"/>
          <w:szCs w:val="22"/>
        </w:rPr>
        <w:t xml:space="preserve"> (Accessed: 16 August 2026). </w:t>
      </w:r>
    </w:p>
    <w:p w14:paraId="6A0FC19A" w14:textId="77777777" w:rsidR="00B56B7D" w:rsidRPr="00B56B7D" w:rsidRDefault="00B56B7D" w:rsidP="00B56B7D">
      <w:pPr>
        <w:pStyle w:val="ListParagraph"/>
        <w:numPr>
          <w:ilvl w:val="0"/>
          <w:numId w:val="1"/>
        </w:numPr>
        <w:spacing w:line="360" w:lineRule="auto"/>
        <w:rPr>
          <w:rFonts w:ascii="Arial" w:hAnsi="Arial" w:cs="Arial"/>
        </w:rPr>
      </w:pPr>
      <w:r w:rsidRPr="00B56B7D">
        <w:rPr>
          <w:rFonts w:ascii="Arial" w:hAnsi="Arial" w:cs="Arial"/>
        </w:rPr>
        <w:t xml:space="preserve">Data Protection Act 2018 (2018) </w:t>
      </w:r>
      <w:r w:rsidRPr="00B56B7D">
        <w:rPr>
          <w:rFonts w:ascii="Arial" w:hAnsi="Arial" w:cs="Arial"/>
          <w:i/>
          <w:iCs/>
        </w:rPr>
        <w:t>Data Protection Act 2018</w:t>
      </w:r>
      <w:r w:rsidRPr="00B56B7D">
        <w:rPr>
          <w:rFonts w:ascii="Arial" w:hAnsi="Arial" w:cs="Arial"/>
        </w:rPr>
        <w:t xml:space="preserve">. Available at: </w:t>
      </w:r>
      <w:hyperlink r:id="rId14" w:history="1">
        <w:r w:rsidRPr="00B56B7D">
          <w:rPr>
            <w:rStyle w:val="Hyperlink"/>
            <w:rFonts w:ascii="Arial" w:hAnsi="Arial" w:cs="Arial"/>
          </w:rPr>
          <w:t>Data Protection Act 2018</w:t>
        </w:r>
      </w:hyperlink>
      <w:r w:rsidRPr="00B56B7D">
        <w:rPr>
          <w:rFonts w:ascii="Arial" w:hAnsi="Arial" w:cs="Arial"/>
        </w:rPr>
        <w:t xml:space="preserve"> (Accessed: 16 August 2026).</w:t>
      </w:r>
    </w:p>
    <w:p w14:paraId="4813214B" w14:textId="77777777" w:rsidR="005241EB" w:rsidRPr="00B56B7D" w:rsidRDefault="005241EB" w:rsidP="00B56B7D">
      <w:pPr>
        <w:numPr>
          <w:ilvl w:val="0"/>
          <w:numId w:val="1"/>
        </w:numPr>
        <w:spacing w:line="360" w:lineRule="auto"/>
        <w:rPr>
          <w:rFonts w:ascii="Arial" w:hAnsi="Arial" w:cs="Arial"/>
          <w:sz w:val="22"/>
          <w:szCs w:val="22"/>
        </w:rPr>
      </w:pPr>
      <w:r w:rsidRPr="00B56B7D">
        <w:rPr>
          <w:rFonts w:ascii="Arial" w:hAnsi="Arial" w:cs="Arial"/>
          <w:sz w:val="22"/>
          <w:szCs w:val="22"/>
        </w:rPr>
        <w:t xml:space="preserve">Egan, G. (2014) </w:t>
      </w:r>
      <w:r w:rsidRPr="00B56B7D">
        <w:rPr>
          <w:rFonts w:ascii="Arial" w:hAnsi="Arial" w:cs="Arial"/>
          <w:i/>
          <w:iCs/>
          <w:sz w:val="22"/>
          <w:szCs w:val="22"/>
        </w:rPr>
        <w:t>The skilled helper: A problem-management and opportunity-development approach to helping</w:t>
      </w:r>
      <w:r w:rsidRPr="00B56B7D">
        <w:rPr>
          <w:rFonts w:ascii="Arial" w:hAnsi="Arial" w:cs="Arial"/>
          <w:sz w:val="22"/>
          <w:szCs w:val="22"/>
        </w:rPr>
        <w:t xml:space="preserve">. 10th </w:t>
      </w:r>
      <w:proofErr w:type="spellStart"/>
      <w:r w:rsidRPr="00B56B7D">
        <w:rPr>
          <w:rFonts w:ascii="Arial" w:hAnsi="Arial" w:cs="Arial"/>
          <w:sz w:val="22"/>
          <w:szCs w:val="22"/>
        </w:rPr>
        <w:t>edn</w:t>
      </w:r>
      <w:proofErr w:type="spellEnd"/>
      <w:r w:rsidRPr="00B56B7D">
        <w:rPr>
          <w:rFonts w:ascii="Arial" w:hAnsi="Arial" w:cs="Arial"/>
          <w:sz w:val="22"/>
          <w:szCs w:val="22"/>
        </w:rPr>
        <w:t xml:space="preserve">. Belmont, CA: Brooks/Cole. </w:t>
      </w:r>
    </w:p>
    <w:p w14:paraId="20F1209A" w14:textId="77777777" w:rsidR="005241EB" w:rsidRPr="00B56B7D" w:rsidRDefault="005241EB" w:rsidP="00B56B7D">
      <w:pPr>
        <w:numPr>
          <w:ilvl w:val="0"/>
          <w:numId w:val="1"/>
        </w:numPr>
        <w:spacing w:line="360" w:lineRule="auto"/>
        <w:rPr>
          <w:rFonts w:ascii="Arial" w:hAnsi="Arial" w:cs="Arial"/>
          <w:sz w:val="22"/>
          <w:szCs w:val="22"/>
        </w:rPr>
      </w:pPr>
      <w:r w:rsidRPr="00B56B7D">
        <w:rPr>
          <w:rFonts w:ascii="Arial" w:hAnsi="Arial" w:cs="Arial"/>
          <w:sz w:val="22"/>
          <w:szCs w:val="22"/>
        </w:rPr>
        <w:t xml:space="preserve">Equality Act 2010. Available at: </w:t>
      </w:r>
      <w:hyperlink r:id="rId15" w:tgtFrame="_blank" w:history="1">
        <w:r w:rsidRPr="00B56B7D">
          <w:rPr>
            <w:rStyle w:val="Hyperlink"/>
            <w:rFonts w:ascii="Arial" w:hAnsi="Arial" w:cs="Arial"/>
            <w:sz w:val="22"/>
            <w:szCs w:val="22"/>
          </w:rPr>
          <w:t>https://www.legislation.gov.uk/ukpga/2010/15/contents</w:t>
        </w:r>
      </w:hyperlink>
      <w:r w:rsidRPr="00B56B7D">
        <w:rPr>
          <w:rFonts w:ascii="Arial" w:hAnsi="Arial" w:cs="Arial"/>
          <w:sz w:val="22"/>
          <w:szCs w:val="22"/>
        </w:rPr>
        <w:t xml:space="preserve"> (Accessed: 16 August 2026). </w:t>
      </w:r>
    </w:p>
    <w:p w14:paraId="3276491A" w14:textId="10C2E19D" w:rsidR="00B56B7D" w:rsidRPr="00B56B7D" w:rsidRDefault="00B56B7D" w:rsidP="00B56B7D">
      <w:pPr>
        <w:pStyle w:val="ListParagraph"/>
        <w:numPr>
          <w:ilvl w:val="0"/>
          <w:numId w:val="1"/>
        </w:numPr>
        <w:spacing w:line="360" w:lineRule="auto"/>
        <w:rPr>
          <w:rFonts w:ascii="Arial" w:hAnsi="Arial" w:cs="Arial"/>
        </w:rPr>
      </w:pPr>
      <w:r w:rsidRPr="00B56B7D">
        <w:rPr>
          <w:rFonts w:ascii="Arial" w:hAnsi="Arial" w:cs="Arial"/>
        </w:rPr>
        <w:t xml:space="preserve">Information Commissioner’s Office (2026) </w:t>
      </w:r>
      <w:r w:rsidRPr="00B56B7D">
        <w:rPr>
          <w:rFonts w:ascii="Arial" w:hAnsi="Arial" w:cs="Arial"/>
          <w:i/>
          <w:iCs/>
        </w:rPr>
        <w:t>What is special category data?</w:t>
      </w:r>
      <w:r w:rsidRPr="00B56B7D">
        <w:rPr>
          <w:rFonts w:ascii="Arial" w:hAnsi="Arial" w:cs="Arial"/>
        </w:rPr>
        <w:t xml:space="preserve"> Available at: </w:t>
      </w:r>
      <w:hyperlink r:id="rId16" w:history="1">
        <w:r w:rsidRPr="00B56B7D">
          <w:rPr>
            <w:rStyle w:val="Hyperlink"/>
            <w:rFonts w:ascii="Arial" w:hAnsi="Arial" w:cs="Arial"/>
          </w:rPr>
          <w:t>ICO guidance on special category data</w:t>
        </w:r>
      </w:hyperlink>
      <w:r w:rsidRPr="00B56B7D">
        <w:rPr>
          <w:rFonts w:ascii="Arial" w:hAnsi="Arial" w:cs="Arial"/>
        </w:rPr>
        <w:t xml:space="preserve"> (Accessed: 16 August 2026).</w:t>
      </w:r>
    </w:p>
    <w:p w14:paraId="5D7C6C11" w14:textId="77777777" w:rsidR="005241EB" w:rsidRPr="00B56B7D" w:rsidRDefault="005241EB" w:rsidP="00B56B7D">
      <w:pPr>
        <w:numPr>
          <w:ilvl w:val="0"/>
          <w:numId w:val="1"/>
        </w:numPr>
        <w:spacing w:line="360" w:lineRule="auto"/>
        <w:rPr>
          <w:rFonts w:ascii="Arial" w:hAnsi="Arial" w:cs="Arial"/>
          <w:sz w:val="22"/>
          <w:szCs w:val="22"/>
        </w:rPr>
      </w:pPr>
      <w:r w:rsidRPr="00B56B7D">
        <w:rPr>
          <w:rFonts w:ascii="Arial" w:hAnsi="Arial" w:cs="Arial"/>
          <w:sz w:val="22"/>
          <w:szCs w:val="22"/>
        </w:rPr>
        <w:t xml:space="preserve">NHS (2023) </w:t>
      </w:r>
      <w:r w:rsidRPr="00B56B7D">
        <w:rPr>
          <w:rFonts w:ascii="Arial" w:hAnsi="Arial" w:cs="Arial"/>
          <w:i/>
          <w:iCs/>
          <w:sz w:val="22"/>
          <w:szCs w:val="22"/>
        </w:rPr>
        <w:t>Dementia, communication and understanding</w:t>
      </w:r>
      <w:r w:rsidRPr="00B56B7D">
        <w:rPr>
          <w:rFonts w:ascii="Arial" w:hAnsi="Arial" w:cs="Arial"/>
          <w:sz w:val="22"/>
          <w:szCs w:val="22"/>
        </w:rPr>
        <w:t xml:space="preserve">. NHS. Available at: </w:t>
      </w:r>
      <w:hyperlink r:id="rId17" w:tgtFrame="_blank" w:history="1">
        <w:r w:rsidRPr="00B56B7D">
          <w:rPr>
            <w:rStyle w:val="Hyperlink"/>
            <w:rFonts w:ascii="Arial" w:hAnsi="Arial" w:cs="Arial"/>
            <w:sz w:val="22"/>
            <w:szCs w:val="22"/>
          </w:rPr>
          <w:t>https://www.nhs.uk/conditions/dementia/</w:t>
        </w:r>
      </w:hyperlink>
      <w:r w:rsidRPr="00B56B7D">
        <w:rPr>
          <w:rFonts w:ascii="Arial" w:hAnsi="Arial" w:cs="Arial"/>
          <w:sz w:val="22"/>
          <w:szCs w:val="22"/>
        </w:rPr>
        <w:t xml:space="preserve"> (Accessed: 16 August 2026). </w:t>
      </w:r>
    </w:p>
    <w:p w14:paraId="094AA3E4" w14:textId="77777777" w:rsidR="005241EB" w:rsidRPr="00B56B7D" w:rsidRDefault="005241EB" w:rsidP="00B56B7D">
      <w:pPr>
        <w:numPr>
          <w:ilvl w:val="0"/>
          <w:numId w:val="1"/>
        </w:numPr>
        <w:spacing w:line="360" w:lineRule="auto"/>
        <w:rPr>
          <w:rFonts w:ascii="Arial" w:hAnsi="Arial" w:cs="Arial"/>
          <w:sz w:val="22"/>
          <w:szCs w:val="22"/>
        </w:rPr>
      </w:pPr>
      <w:r w:rsidRPr="00B56B7D">
        <w:rPr>
          <w:rFonts w:ascii="Arial" w:hAnsi="Arial" w:cs="Arial"/>
          <w:sz w:val="22"/>
          <w:szCs w:val="22"/>
        </w:rPr>
        <w:t xml:space="preserve">NHS (2025) </w:t>
      </w:r>
      <w:r w:rsidRPr="00B56B7D">
        <w:rPr>
          <w:rFonts w:ascii="Arial" w:hAnsi="Arial" w:cs="Arial"/>
          <w:i/>
          <w:iCs/>
          <w:sz w:val="22"/>
          <w:szCs w:val="22"/>
        </w:rPr>
        <w:t>Dementia: living well with dementia</w:t>
      </w:r>
      <w:r w:rsidRPr="00B56B7D">
        <w:rPr>
          <w:rFonts w:ascii="Arial" w:hAnsi="Arial" w:cs="Arial"/>
          <w:sz w:val="22"/>
          <w:szCs w:val="22"/>
        </w:rPr>
        <w:t xml:space="preserve">. NHS. Available at: </w:t>
      </w:r>
      <w:hyperlink r:id="rId18" w:tgtFrame="_blank" w:history="1">
        <w:r w:rsidRPr="00B56B7D">
          <w:rPr>
            <w:rStyle w:val="Hyperlink"/>
            <w:rFonts w:ascii="Arial" w:hAnsi="Arial" w:cs="Arial"/>
            <w:sz w:val="22"/>
            <w:szCs w:val="22"/>
          </w:rPr>
          <w:t>https://www.nhs.uk/conditions/dementia/living-with-dementia/</w:t>
        </w:r>
      </w:hyperlink>
      <w:r w:rsidRPr="00B56B7D">
        <w:rPr>
          <w:rFonts w:ascii="Arial" w:hAnsi="Arial" w:cs="Arial"/>
          <w:sz w:val="22"/>
          <w:szCs w:val="22"/>
        </w:rPr>
        <w:t xml:space="preserve"> (Accessed: 16 August 2026). </w:t>
      </w:r>
    </w:p>
    <w:p w14:paraId="1C117550" w14:textId="6EA20E94" w:rsidR="005241EB" w:rsidRPr="00B56B7D" w:rsidRDefault="005241EB" w:rsidP="00B56B7D">
      <w:pPr>
        <w:numPr>
          <w:ilvl w:val="0"/>
          <w:numId w:val="1"/>
        </w:numPr>
        <w:spacing w:line="360" w:lineRule="auto"/>
        <w:rPr>
          <w:rFonts w:ascii="Arial" w:hAnsi="Arial" w:cs="Arial"/>
          <w:sz w:val="22"/>
          <w:szCs w:val="22"/>
        </w:rPr>
      </w:pPr>
      <w:r w:rsidRPr="00B56B7D">
        <w:rPr>
          <w:rFonts w:ascii="Arial" w:hAnsi="Arial" w:cs="Arial"/>
          <w:sz w:val="22"/>
          <w:szCs w:val="22"/>
        </w:rPr>
        <w:t xml:space="preserve">NHS England (2025) </w:t>
      </w:r>
      <w:r w:rsidRPr="00B56B7D">
        <w:rPr>
          <w:rFonts w:ascii="Arial" w:hAnsi="Arial" w:cs="Arial"/>
          <w:i/>
          <w:iCs/>
          <w:sz w:val="22"/>
          <w:szCs w:val="22"/>
        </w:rPr>
        <w:t>Records management code of practice</w:t>
      </w:r>
      <w:r w:rsidRPr="00B56B7D">
        <w:rPr>
          <w:rFonts w:ascii="Arial" w:hAnsi="Arial" w:cs="Arial"/>
          <w:sz w:val="22"/>
          <w:szCs w:val="22"/>
        </w:rPr>
        <w:t xml:space="preserve">. NHS England. Available at: </w:t>
      </w:r>
      <w:hyperlink r:id="rId19" w:tgtFrame="_blank" w:history="1">
        <w:r w:rsidRPr="00B56B7D">
          <w:rPr>
            <w:rStyle w:val="Hyperlink"/>
            <w:rFonts w:ascii="Arial" w:hAnsi="Arial" w:cs="Arial"/>
            <w:sz w:val="22"/>
            <w:szCs w:val="22"/>
          </w:rPr>
          <w:t>https://transform.england.nhs.uk/information-governance/guidance/records-management-code/</w:t>
        </w:r>
      </w:hyperlink>
      <w:r w:rsidRPr="00B56B7D">
        <w:rPr>
          <w:rFonts w:ascii="Arial" w:hAnsi="Arial" w:cs="Arial"/>
          <w:sz w:val="22"/>
          <w:szCs w:val="22"/>
        </w:rPr>
        <w:t xml:space="preserve"> (Accessed: 16 August 2026).</w:t>
      </w:r>
    </w:p>
    <w:p w14:paraId="417FA87C" w14:textId="77777777" w:rsidR="0045175A" w:rsidRDefault="0045175A"/>
    <w:p w14:paraId="23F456DB" w14:textId="77777777" w:rsidR="0045175A" w:rsidRDefault="0045175A"/>
    <w:sectPr w:rsidR="0045175A" w:rsidSect="00E46C6B">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27530" w14:textId="77777777" w:rsidR="00BA5AF3" w:rsidRDefault="00BA5AF3" w:rsidP="00B413DA">
      <w:pPr>
        <w:spacing w:after="0" w:line="240" w:lineRule="auto"/>
      </w:pPr>
      <w:r>
        <w:separator/>
      </w:r>
    </w:p>
  </w:endnote>
  <w:endnote w:type="continuationSeparator" w:id="0">
    <w:p w14:paraId="3779739C" w14:textId="77777777" w:rsidR="00BA5AF3" w:rsidRDefault="00BA5AF3" w:rsidP="00B41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7349683"/>
      <w:docPartObj>
        <w:docPartGallery w:val="Page Numbers (Bottom of Page)"/>
        <w:docPartUnique/>
      </w:docPartObj>
    </w:sdtPr>
    <w:sdtEndPr>
      <w:rPr>
        <w:noProof/>
      </w:rPr>
    </w:sdtEndPr>
    <w:sdtContent>
      <w:p w14:paraId="61A72CAD" w14:textId="27C01032" w:rsidR="00B413DA" w:rsidRDefault="00B413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89363F" w14:textId="77777777" w:rsidR="00B413DA" w:rsidRDefault="00B41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1E7E5" w14:textId="77777777" w:rsidR="00BA5AF3" w:rsidRDefault="00BA5AF3" w:rsidP="00B413DA">
      <w:pPr>
        <w:spacing w:after="0" w:line="240" w:lineRule="auto"/>
      </w:pPr>
      <w:r>
        <w:separator/>
      </w:r>
    </w:p>
  </w:footnote>
  <w:footnote w:type="continuationSeparator" w:id="0">
    <w:p w14:paraId="5FB95278" w14:textId="77777777" w:rsidR="00BA5AF3" w:rsidRDefault="00BA5AF3" w:rsidP="00B413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3D20BF"/>
    <w:multiLevelType w:val="multilevel"/>
    <w:tmpl w:val="10D4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254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C6B"/>
    <w:rsid w:val="00010F14"/>
    <w:rsid w:val="00012539"/>
    <w:rsid w:val="000C5324"/>
    <w:rsid w:val="000C70B0"/>
    <w:rsid w:val="000F237E"/>
    <w:rsid w:val="001005DE"/>
    <w:rsid w:val="0010706E"/>
    <w:rsid w:val="00135147"/>
    <w:rsid w:val="001777C6"/>
    <w:rsid w:val="0018078A"/>
    <w:rsid w:val="00180CEC"/>
    <w:rsid w:val="001976BF"/>
    <w:rsid w:val="001E74E8"/>
    <w:rsid w:val="001F48A9"/>
    <w:rsid w:val="00205A3C"/>
    <w:rsid w:val="002247BE"/>
    <w:rsid w:val="00293E15"/>
    <w:rsid w:val="002B723E"/>
    <w:rsid w:val="002F26E0"/>
    <w:rsid w:val="00301E16"/>
    <w:rsid w:val="00317D1E"/>
    <w:rsid w:val="0034224A"/>
    <w:rsid w:val="00344700"/>
    <w:rsid w:val="00376EED"/>
    <w:rsid w:val="00403327"/>
    <w:rsid w:val="0040377C"/>
    <w:rsid w:val="00403BB4"/>
    <w:rsid w:val="00423EA4"/>
    <w:rsid w:val="00425C09"/>
    <w:rsid w:val="00442C4F"/>
    <w:rsid w:val="0045175A"/>
    <w:rsid w:val="00485E77"/>
    <w:rsid w:val="004C54AE"/>
    <w:rsid w:val="004E441B"/>
    <w:rsid w:val="005241EB"/>
    <w:rsid w:val="00543912"/>
    <w:rsid w:val="00576BE4"/>
    <w:rsid w:val="005D34FC"/>
    <w:rsid w:val="005D7085"/>
    <w:rsid w:val="006B2D91"/>
    <w:rsid w:val="006E68F9"/>
    <w:rsid w:val="006F0ED8"/>
    <w:rsid w:val="007258BF"/>
    <w:rsid w:val="007308A7"/>
    <w:rsid w:val="00744CB1"/>
    <w:rsid w:val="007517BB"/>
    <w:rsid w:val="00751E1C"/>
    <w:rsid w:val="00793059"/>
    <w:rsid w:val="007B314F"/>
    <w:rsid w:val="007C431A"/>
    <w:rsid w:val="007E6827"/>
    <w:rsid w:val="00854C9A"/>
    <w:rsid w:val="00855D6A"/>
    <w:rsid w:val="00861C0A"/>
    <w:rsid w:val="008B7549"/>
    <w:rsid w:val="008C1247"/>
    <w:rsid w:val="008D2B35"/>
    <w:rsid w:val="008E477D"/>
    <w:rsid w:val="008F4A91"/>
    <w:rsid w:val="00930632"/>
    <w:rsid w:val="009468E5"/>
    <w:rsid w:val="00987C33"/>
    <w:rsid w:val="009973C6"/>
    <w:rsid w:val="009C4F61"/>
    <w:rsid w:val="009E6A17"/>
    <w:rsid w:val="00A10B79"/>
    <w:rsid w:val="00A342CF"/>
    <w:rsid w:val="00A82060"/>
    <w:rsid w:val="00A86FF0"/>
    <w:rsid w:val="00A94B47"/>
    <w:rsid w:val="00AB396D"/>
    <w:rsid w:val="00AD117D"/>
    <w:rsid w:val="00AE4357"/>
    <w:rsid w:val="00B05FFD"/>
    <w:rsid w:val="00B064BA"/>
    <w:rsid w:val="00B17E0A"/>
    <w:rsid w:val="00B3268D"/>
    <w:rsid w:val="00B3725B"/>
    <w:rsid w:val="00B413DA"/>
    <w:rsid w:val="00B56B7D"/>
    <w:rsid w:val="00BA3E68"/>
    <w:rsid w:val="00BA5AF3"/>
    <w:rsid w:val="00BB15B7"/>
    <w:rsid w:val="00BD5573"/>
    <w:rsid w:val="00BE14DF"/>
    <w:rsid w:val="00BF7464"/>
    <w:rsid w:val="00C01890"/>
    <w:rsid w:val="00C03429"/>
    <w:rsid w:val="00C0722A"/>
    <w:rsid w:val="00C16AA1"/>
    <w:rsid w:val="00C47F4A"/>
    <w:rsid w:val="00C509F2"/>
    <w:rsid w:val="00C904B2"/>
    <w:rsid w:val="00CA4D9B"/>
    <w:rsid w:val="00CE1D1A"/>
    <w:rsid w:val="00D10702"/>
    <w:rsid w:val="00D86E6B"/>
    <w:rsid w:val="00D90092"/>
    <w:rsid w:val="00DC2913"/>
    <w:rsid w:val="00E3381A"/>
    <w:rsid w:val="00E46C6B"/>
    <w:rsid w:val="00E87299"/>
    <w:rsid w:val="00EA1207"/>
    <w:rsid w:val="00EB17FE"/>
    <w:rsid w:val="00EB49BC"/>
    <w:rsid w:val="00EC01BB"/>
    <w:rsid w:val="00ED42EE"/>
    <w:rsid w:val="00F06C7B"/>
    <w:rsid w:val="00F20B17"/>
    <w:rsid w:val="00F254F7"/>
    <w:rsid w:val="00F85BE8"/>
    <w:rsid w:val="00FA13AA"/>
    <w:rsid w:val="00FA2904"/>
    <w:rsid w:val="00FD42DA"/>
    <w:rsid w:val="00FF030B"/>
    <w:rsid w:val="00FF3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1D48"/>
  <w15:chartTrackingRefBased/>
  <w15:docId w15:val="{5A2F8AC5-A948-4804-AE66-DB477A895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C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6C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6C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46C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46C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46C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46C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46C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46C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C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6C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6C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46C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46C6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46C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46C6B"/>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46C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46C6B"/>
    <w:rPr>
      <w:rFonts w:eastAsiaTheme="majorEastAsia" w:cstheme="majorBidi"/>
      <w:color w:val="272727" w:themeColor="text1" w:themeTint="D8"/>
    </w:rPr>
  </w:style>
  <w:style w:type="paragraph" w:styleId="Title">
    <w:name w:val="Title"/>
    <w:basedOn w:val="Normal"/>
    <w:next w:val="Normal"/>
    <w:link w:val="TitleChar"/>
    <w:uiPriority w:val="10"/>
    <w:qFormat/>
    <w:rsid w:val="00E46C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C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C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C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C6B"/>
    <w:pPr>
      <w:spacing w:before="160"/>
      <w:jc w:val="center"/>
    </w:pPr>
    <w:rPr>
      <w:i/>
      <w:iCs/>
      <w:color w:val="404040" w:themeColor="text1" w:themeTint="BF"/>
    </w:rPr>
  </w:style>
  <w:style w:type="character" w:customStyle="1" w:styleId="QuoteChar">
    <w:name w:val="Quote Char"/>
    <w:basedOn w:val="DefaultParagraphFont"/>
    <w:link w:val="Quote"/>
    <w:uiPriority w:val="29"/>
    <w:rsid w:val="00E46C6B"/>
    <w:rPr>
      <w:i/>
      <w:iCs/>
      <w:color w:val="404040" w:themeColor="text1" w:themeTint="BF"/>
    </w:rPr>
  </w:style>
  <w:style w:type="paragraph" w:styleId="ListParagraph">
    <w:name w:val="List Paragraph"/>
    <w:basedOn w:val="Normal"/>
    <w:uiPriority w:val="34"/>
    <w:qFormat/>
    <w:rsid w:val="00E46C6B"/>
    <w:pPr>
      <w:ind w:left="720"/>
      <w:contextualSpacing/>
    </w:pPr>
  </w:style>
  <w:style w:type="character" w:styleId="IntenseEmphasis">
    <w:name w:val="Intense Emphasis"/>
    <w:basedOn w:val="DefaultParagraphFont"/>
    <w:uiPriority w:val="21"/>
    <w:qFormat/>
    <w:rsid w:val="00E46C6B"/>
    <w:rPr>
      <w:i/>
      <w:iCs/>
      <w:color w:val="0F4761" w:themeColor="accent1" w:themeShade="BF"/>
    </w:rPr>
  </w:style>
  <w:style w:type="paragraph" w:styleId="IntenseQuote">
    <w:name w:val="Intense Quote"/>
    <w:basedOn w:val="Normal"/>
    <w:next w:val="Normal"/>
    <w:link w:val="IntenseQuoteChar"/>
    <w:uiPriority w:val="30"/>
    <w:qFormat/>
    <w:rsid w:val="00E46C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C6B"/>
    <w:rPr>
      <w:i/>
      <w:iCs/>
      <w:color w:val="0F4761" w:themeColor="accent1" w:themeShade="BF"/>
    </w:rPr>
  </w:style>
  <w:style w:type="character" w:styleId="IntenseReference">
    <w:name w:val="Intense Reference"/>
    <w:basedOn w:val="DefaultParagraphFont"/>
    <w:uiPriority w:val="32"/>
    <w:qFormat/>
    <w:rsid w:val="00E46C6B"/>
    <w:rPr>
      <w:b/>
      <w:bCs/>
      <w:smallCaps/>
      <w:color w:val="0F4761" w:themeColor="accent1" w:themeShade="BF"/>
      <w:spacing w:val="5"/>
    </w:rPr>
  </w:style>
  <w:style w:type="paragraph" w:styleId="NoSpacing">
    <w:name w:val="No Spacing"/>
    <w:link w:val="NoSpacingChar"/>
    <w:uiPriority w:val="1"/>
    <w:qFormat/>
    <w:rsid w:val="00E46C6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6C6B"/>
    <w:rPr>
      <w:rFonts w:eastAsiaTheme="minorEastAsia"/>
      <w:kern w:val="0"/>
      <w:sz w:val="22"/>
      <w:szCs w:val="22"/>
      <w:lang w:val="en-US"/>
      <w14:ligatures w14:val="none"/>
    </w:rPr>
  </w:style>
  <w:style w:type="character" w:styleId="Hyperlink">
    <w:name w:val="Hyperlink"/>
    <w:basedOn w:val="DefaultParagraphFont"/>
    <w:uiPriority w:val="99"/>
    <w:unhideWhenUsed/>
    <w:rsid w:val="00B413DA"/>
    <w:rPr>
      <w:color w:val="467886" w:themeColor="hyperlink"/>
      <w:u w:val="single"/>
    </w:rPr>
  </w:style>
  <w:style w:type="character" w:styleId="UnresolvedMention">
    <w:name w:val="Unresolved Mention"/>
    <w:basedOn w:val="DefaultParagraphFont"/>
    <w:uiPriority w:val="99"/>
    <w:semiHidden/>
    <w:unhideWhenUsed/>
    <w:rsid w:val="00B413DA"/>
    <w:rPr>
      <w:color w:val="605E5C"/>
      <w:shd w:val="clear" w:color="auto" w:fill="E1DFDD"/>
    </w:rPr>
  </w:style>
  <w:style w:type="paragraph" w:styleId="Header">
    <w:name w:val="header"/>
    <w:basedOn w:val="Normal"/>
    <w:link w:val="HeaderChar"/>
    <w:uiPriority w:val="99"/>
    <w:unhideWhenUsed/>
    <w:rsid w:val="00B41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3DA"/>
  </w:style>
  <w:style w:type="paragraph" w:styleId="Footer">
    <w:name w:val="footer"/>
    <w:basedOn w:val="Normal"/>
    <w:link w:val="FooterChar"/>
    <w:uiPriority w:val="99"/>
    <w:unhideWhenUsed/>
    <w:rsid w:val="00B41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3DA"/>
  </w:style>
  <w:style w:type="paragraph" w:styleId="TOCHeading">
    <w:name w:val="TOC Heading"/>
    <w:basedOn w:val="Heading1"/>
    <w:next w:val="Normal"/>
    <w:uiPriority w:val="39"/>
    <w:unhideWhenUsed/>
    <w:qFormat/>
    <w:rsid w:val="00FA290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B15B7"/>
    <w:pPr>
      <w:tabs>
        <w:tab w:val="right" w:leader="dot" w:pos="9016"/>
      </w:tabs>
      <w:spacing w:after="100"/>
      <w:ind w:left="240"/>
    </w:pPr>
    <w:rPr>
      <w:noProof/>
      <w:sz w:val="22"/>
      <w:szCs w:val="22"/>
    </w:rPr>
  </w:style>
  <w:style w:type="paragraph" w:styleId="TOC3">
    <w:name w:val="toc 3"/>
    <w:basedOn w:val="Normal"/>
    <w:next w:val="Normal"/>
    <w:autoRedefine/>
    <w:uiPriority w:val="39"/>
    <w:unhideWhenUsed/>
    <w:rsid w:val="007258BF"/>
    <w:pPr>
      <w:spacing w:after="100"/>
      <w:ind w:left="480"/>
    </w:pPr>
  </w:style>
  <w:style w:type="paragraph" w:styleId="TOC1">
    <w:name w:val="toc 1"/>
    <w:basedOn w:val="Normal"/>
    <w:next w:val="Normal"/>
    <w:autoRedefine/>
    <w:uiPriority w:val="39"/>
    <w:unhideWhenUsed/>
    <w:rsid w:val="001F48A9"/>
    <w:pPr>
      <w:spacing w:after="100" w:line="259" w:lineRule="auto"/>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18/12/contents?utm_source=chatgpt.com" TargetMode="External"/><Relationship Id="rId18" Type="http://schemas.openxmlformats.org/officeDocument/2006/relationships/hyperlink" Target="https://www.nhs.uk/conditions/dementia/living-with-dementia/?utm_source=chatgpt.com"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cqc.org.uk/guidance-providers/adult-social-care/digital-record-systems-adult-social-care-services/what-good-records-look-like?utm_source=chatgpt.com" TargetMode="External"/><Relationship Id="rId17" Type="http://schemas.openxmlformats.org/officeDocument/2006/relationships/hyperlink" Target="https://www.nhs.uk/conditions/dementia/?utm_source=chatgpt.com" TargetMode="External"/><Relationship Id="rId2" Type="http://schemas.openxmlformats.org/officeDocument/2006/relationships/customXml" Target="../customXml/item2.xml"/><Relationship Id="rId16" Type="http://schemas.openxmlformats.org/officeDocument/2006/relationships/hyperlink" Target="https://ico.org.uk/for-organisations/uk-gdpr-guidance-and-resources/lawful-basis/special-category-data/what-is-special-category-data/?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legislation.gov.uk/ukpga/2010/15/contents?utm_source=chatgpt.com" TargetMode="External"/><Relationship Id="rId10" Type="http://schemas.openxmlformats.org/officeDocument/2006/relationships/image" Target="media/image2.png"/><Relationship Id="rId19" Type="http://schemas.openxmlformats.org/officeDocument/2006/relationships/hyperlink" Target="https://transform.england.nhs.uk/information-governance/guidance/records-management-code/?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egislation.gov.uk/ukpga/2018/12/contents?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Sharon Asiimwe
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9CD3D0-2FE2-467B-8562-29DC43008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8</Pages>
  <Words>2220</Words>
  <Characters>12658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introduction to 
HEALTH AND SOCIAL CARE
LCHS4003</vt:lpstr>
    </vt:vector>
  </TitlesOfParts>
  <Company/>
  <LinksUpToDate>false</LinksUpToDate>
  <CharactersWithSpaces>14849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
LCHS4003</dc:title>
  <dc:subject/>
  <dc:creator>Sharon Asiimwe (2523565)</dc:creator>
  <cp:keywords/>
  <dc:description/>
  <cp:lastModifiedBy>Sharon Asiimwe (2523565)</cp:lastModifiedBy>
  <cp:revision>16</cp:revision>
  <dcterms:created xsi:type="dcterms:W3CDTF">2026-08-18T07:53:00Z</dcterms:created>
  <dcterms:modified xsi:type="dcterms:W3CDTF">2026-08-18T09:41:00Z</dcterms:modified>
</cp:coreProperties>
</file>