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47908" w14:textId="77777777" w:rsidR="0060625C" w:rsidRDefault="00000000">
      <w:pPr>
        <w:jc w:val="center"/>
      </w:pPr>
      <w:r>
        <w:rPr>
          <w:noProof/>
        </w:rPr>
        <w:drawing>
          <wp:inline distT="114300" distB="114300" distL="114300" distR="114300" wp14:anchorId="06CDFD96" wp14:editId="27862821">
            <wp:extent cx="2762250" cy="15362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62250" cy="1536265"/>
                    </a:xfrm>
                    <a:prstGeom prst="rect">
                      <a:avLst/>
                    </a:prstGeom>
                    <a:ln/>
                  </pic:spPr>
                </pic:pic>
              </a:graphicData>
            </a:graphic>
          </wp:inline>
        </w:drawing>
      </w:r>
    </w:p>
    <w:p w14:paraId="275425A3" w14:textId="77777777" w:rsidR="0060625C" w:rsidRDefault="00000000">
      <w:pPr>
        <w:jc w:val="center"/>
        <w:rPr>
          <w:b/>
          <w:sz w:val="48"/>
          <w:szCs w:val="48"/>
        </w:rPr>
      </w:pPr>
      <w:r>
        <w:rPr>
          <w:b/>
          <w:sz w:val="48"/>
          <w:szCs w:val="48"/>
        </w:rPr>
        <w:t>Module Title: Managing People</w:t>
      </w:r>
    </w:p>
    <w:p w14:paraId="6234B042" w14:textId="77777777" w:rsidR="0060625C" w:rsidRDefault="00000000">
      <w:pPr>
        <w:jc w:val="center"/>
        <w:rPr>
          <w:b/>
          <w:sz w:val="48"/>
          <w:szCs w:val="48"/>
        </w:rPr>
      </w:pPr>
      <w:r>
        <w:rPr>
          <w:b/>
          <w:sz w:val="48"/>
          <w:szCs w:val="48"/>
        </w:rPr>
        <w:t>Module Code: LCBB5004</w:t>
      </w:r>
    </w:p>
    <w:p w14:paraId="1A5AD036" w14:textId="77777777" w:rsidR="0060625C" w:rsidRDefault="0060625C">
      <w:pPr>
        <w:jc w:val="center"/>
        <w:rPr>
          <w:b/>
          <w:sz w:val="60"/>
          <w:szCs w:val="60"/>
        </w:rPr>
      </w:pPr>
    </w:p>
    <w:p w14:paraId="28F2613D" w14:textId="77777777" w:rsidR="0060625C" w:rsidRDefault="0060625C">
      <w:pPr>
        <w:jc w:val="center"/>
        <w:rPr>
          <w:b/>
          <w:sz w:val="60"/>
          <w:szCs w:val="60"/>
        </w:rPr>
      </w:pPr>
    </w:p>
    <w:p w14:paraId="75892EC8" w14:textId="77777777" w:rsidR="0060625C" w:rsidRDefault="0060625C">
      <w:pPr>
        <w:jc w:val="center"/>
        <w:rPr>
          <w:b/>
          <w:sz w:val="60"/>
          <w:szCs w:val="60"/>
        </w:rPr>
      </w:pPr>
    </w:p>
    <w:p w14:paraId="2AD4B5C1" w14:textId="77777777" w:rsidR="0060625C" w:rsidRDefault="00000000">
      <w:pPr>
        <w:jc w:val="center"/>
        <w:rPr>
          <w:b/>
          <w:sz w:val="34"/>
          <w:szCs w:val="34"/>
        </w:rPr>
      </w:pPr>
      <w:r>
        <w:rPr>
          <w:b/>
          <w:sz w:val="34"/>
          <w:szCs w:val="34"/>
        </w:rPr>
        <w:t>Assignment Title: Assessment Component 2</w:t>
      </w:r>
    </w:p>
    <w:p w14:paraId="3D4D73C5" w14:textId="77777777" w:rsidR="0060625C" w:rsidRDefault="00000000">
      <w:pPr>
        <w:jc w:val="center"/>
        <w:rPr>
          <w:b/>
          <w:sz w:val="34"/>
          <w:szCs w:val="34"/>
        </w:rPr>
      </w:pPr>
      <w:r>
        <w:rPr>
          <w:b/>
          <w:sz w:val="34"/>
          <w:szCs w:val="34"/>
        </w:rPr>
        <w:t>Assignment Type: Individual Report</w:t>
      </w:r>
    </w:p>
    <w:p w14:paraId="5F5F316B" w14:textId="77777777" w:rsidR="0060625C" w:rsidRDefault="0060625C">
      <w:pPr>
        <w:jc w:val="center"/>
        <w:rPr>
          <w:b/>
          <w:sz w:val="34"/>
          <w:szCs w:val="34"/>
        </w:rPr>
      </w:pPr>
    </w:p>
    <w:p w14:paraId="61F7C271" w14:textId="77777777" w:rsidR="0060625C" w:rsidRDefault="0060625C">
      <w:pPr>
        <w:jc w:val="center"/>
        <w:rPr>
          <w:b/>
          <w:sz w:val="34"/>
          <w:szCs w:val="34"/>
        </w:rPr>
      </w:pPr>
    </w:p>
    <w:p w14:paraId="78EB4A74" w14:textId="77777777" w:rsidR="0060625C" w:rsidRDefault="0060625C">
      <w:pPr>
        <w:jc w:val="center"/>
        <w:rPr>
          <w:b/>
          <w:sz w:val="34"/>
          <w:szCs w:val="34"/>
        </w:rPr>
      </w:pPr>
    </w:p>
    <w:p w14:paraId="7594496F" w14:textId="77777777" w:rsidR="0060625C" w:rsidRDefault="0060625C">
      <w:pPr>
        <w:jc w:val="left"/>
        <w:rPr>
          <w:b/>
          <w:sz w:val="34"/>
          <w:szCs w:val="34"/>
        </w:rPr>
      </w:pPr>
    </w:p>
    <w:p w14:paraId="54D22CEC" w14:textId="63B09A41" w:rsidR="0060625C" w:rsidRDefault="00000000">
      <w:pPr>
        <w:jc w:val="center"/>
        <w:rPr>
          <w:b/>
          <w:sz w:val="32"/>
          <w:szCs w:val="32"/>
        </w:rPr>
      </w:pPr>
      <w:r>
        <w:rPr>
          <w:b/>
          <w:sz w:val="32"/>
          <w:szCs w:val="32"/>
        </w:rPr>
        <w:t>Student Name:</w:t>
      </w:r>
      <w:r w:rsidR="00E955DE">
        <w:rPr>
          <w:b/>
          <w:sz w:val="32"/>
          <w:szCs w:val="32"/>
        </w:rPr>
        <w:t xml:space="preserve"> Boldeanu Marius</w:t>
      </w:r>
    </w:p>
    <w:p w14:paraId="1E122E7B" w14:textId="19CA51A6" w:rsidR="0060625C" w:rsidRDefault="00000000">
      <w:pPr>
        <w:jc w:val="center"/>
        <w:rPr>
          <w:b/>
          <w:sz w:val="32"/>
          <w:szCs w:val="32"/>
        </w:rPr>
      </w:pPr>
      <w:r>
        <w:rPr>
          <w:b/>
          <w:sz w:val="32"/>
          <w:szCs w:val="32"/>
        </w:rPr>
        <w:t>Student ID:</w:t>
      </w:r>
      <w:r w:rsidR="00E955DE">
        <w:rPr>
          <w:b/>
          <w:sz w:val="32"/>
          <w:szCs w:val="32"/>
        </w:rPr>
        <w:t xml:space="preserve"> 2224837</w:t>
      </w:r>
    </w:p>
    <w:p w14:paraId="3A8DE8DE" w14:textId="77777777" w:rsidR="0060625C" w:rsidRDefault="0060625C">
      <w:pPr>
        <w:jc w:val="center"/>
      </w:pPr>
    </w:p>
    <w:p w14:paraId="712B71B9" w14:textId="77777777" w:rsidR="0060625C" w:rsidRDefault="00000000">
      <w:pPr>
        <w:pStyle w:val="Heading1"/>
        <w:jc w:val="center"/>
      </w:pPr>
      <w:bookmarkStart w:id="0" w:name="_3e9dx5wnbtga" w:colFirst="0" w:colLast="0"/>
      <w:bookmarkEnd w:id="0"/>
      <w:r>
        <w:lastRenderedPageBreak/>
        <w:t>Abstract</w:t>
      </w:r>
    </w:p>
    <w:p w14:paraId="2AB6C7AF" w14:textId="77777777" w:rsidR="0060625C" w:rsidRDefault="00000000">
      <w:r>
        <w:t>This abstract highlights the importance of implementing flexible working measures in AgroTools, pointing out the benefits of increased employee satisfaction and efficiency. It covers the following essential elements of effective implementation: business alignment, which includes changes in compensation systems, as well as growing employee engagement, facilitated by effective communication and rewards. AgroTools aims to support the process of change by employing Kotter’s 8-Step Change Model and The CIPD. The firm seeks that with the appropriate approach, it can ensure a high level of work performance and create a more interactive and open working environment, which is appropriate for further success.</w:t>
      </w:r>
      <w:r>
        <w:br w:type="page"/>
      </w:r>
    </w:p>
    <w:p w14:paraId="4117599E" w14:textId="77777777" w:rsidR="0060625C" w:rsidRDefault="00000000">
      <w:pPr>
        <w:jc w:val="center"/>
        <w:rPr>
          <w:b/>
          <w:sz w:val="28"/>
          <w:szCs w:val="28"/>
        </w:rPr>
      </w:pPr>
      <w:r>
        <w:rPr>
          <w:b/>
          <w:sz w:val="28"/>
          <w:szCs w:val="28"/>
        </w:rPr>
        <w:lastRenderedPageBreak/>
        <w:t>Table of Contents</w:t>
      </w:r>
    </w:p>
    <w:p w14:paraId="37D5E275" w14:textId="77777777" w:rsidR="0060625C" w:rsidRDefault="0060625C">
      <w:pPr>
        <w:jc w:val="center"/>
        <w:rPr>
          <w:b/>
          <w:sz w:val="28"/>
          <w:szCs w:val="28"/>
        </w:rPr>
      </w:pPr>
    </w:p>
    <w:sdt>
      <w:sdtPr>
        <w:id w:val="1512416330"/>
        <w:docPartObj>
          <w:docPartGallery w:val="Table of Contents"/>
          <w:docPartUnique/>
        </w:docPartObj>
      </w:sdtPr>
      <w:sdtContent>
        <w:p w14:paraId="235D771A" w14:textId="77777777" w:rsidR="0060625C" w:rsidRDefault="00000000">
          <w:pPr>
            <w:widowControl w:val="0"/>
            <w:tabs>
              <w:tab w:val="right" w:leader="dot" w:pos="9360"/>
            </w:tabs>
            <w:spacing w:before="60"/>
            <w:jc w:val="left"/>
            <w:rPr>
              <w:color w:val="000000"/>
            </w:rPr>
          </w:pPr>
          <w:r>
            <w:fldChar w:fldCharType="begin"/>
          </w:r>
          <w:r>
            <w:instrText xml:space="preserve"> TOC \h \u \z \t "Heading 1,1,Heading 2,2,Heading 3,3,Heading 4,4,Heading 5,5,Heading 6,6,"</w:instrText>
          </w:r>
          <w:r>
            <w:fldChar w:fldCharType="separate"/>
          </w:r>
          <w:hyperlink w:anchor="_3e9dx5wnbtga">
            <w:r>
              <w:rPr>
                <w:color w:val="000000"/>
              </w:rPr>
              <w:t>Abstract</w:t>
            </w:r>
            <w:r>
              <w:rPr>
                <w:color w:val="000000"/>
              </w:rPr>
              <w:tab/>
            </w:r>
          </w:hyperlink>
          <w:r>
            <w:fldChar w:fldCharType="begin"/>
          </w:r>
          <w:r>
            <w:instrText xml:space="preserve"> PAGEREF _3e9dx5wnbtga \h </w:instrText>
          </w:r>
          <w:r>
            <w:fldChar w:fldCharType="separate"/>
          </w:r>
          <w:r>
            <w:t>1</w:t>
          </w:r>
          <w:r>
            <w:fldChar w:fldCharType="end"/>
          </w:r>
        </w:p>
        <w:p w14:paraId="53AED6B1" w14:textId="77777777" w:rsidR="0060625C" w:rsidRDefault="00000000">
          <w:pPr>
            <w:widowControl w:val="0"/>
            <w:tabs>
              <w:tab w:val="right" w:leader="dot" w:pos="9360"/>
            </w:tabs>
            <w:spacing w:before="60"/>
            <w:jc w:val="left"/>
            <w:rPr>
              <w:color w:val="000000"/>
            </w:rPr>
          </w:pPr>
          <w:hyperlink w:anchor="_75maooesy6kr">
            <w:r>
              <w:rPr>
                <w:color w:val="000000"/>
              </w:rPr>
              <w:t>1.0 Introduction</w:t>
            </w:r>
            <w:r>
              <w:rPr>
                <w:color w:val="000000"/>
              </w:rPr>
              <w:tab/>
            </w:r>
          </w:hyperlink>
          <w:r>
            <w:fldChar w:fldCharType="begin"/>
          </w:r>
          <w:r>
            <w:instrText xml:space="preserve"> PAGEREF _75maooesy6kr \h </w:instrText>
          </w:r>
          <w:r>
            <w:fldChar w:fldCharType="separate"/>
          </w:r>
          <w:r>
            <w:t>3</w:t>
          </w:r>
          <w:r>
            <w:fldChar w:fldCharType="end"/>
          </w:r>
        </w:p>
        <w:p w14:paraId="756F319E" w14:textId="77777777" w:rsidR="0060625C" w:rsidRDefault="00000000">
          <w:pPr>
            <w:widowControl w:val="0"/>
            <w:tabs>
              <w:tab w:val="right" w:leader="dot" w:pos="9360"/>
            </w:tabs>
            <w:spacing w:before="60"/>
            <w:jc w:val="left"/>
            <w:rPr>
              <w:color w:val="000000"/>
            </w:rPr>
          </w:pPr>
          <w:hyperlink w:anchor="_tdjo77gwhbfr">
            <w:r>
              <w:rPr>
                <w:color w:val="000000"/>
              </w:rPr>
              <w:t>2.0 Organisation Overview</w:t>
            </w:r>
            <w:r>
              <w:rPr>
                <w:color w:val="000000"/>
              </w:rPr>
              <w:tab/>
            </w:r>
          </w:hyperlink>
          <w:r>
            <w:fldChar w:fldCharType="begin"/>
          </w:r>
          <w:r>
            <w:instrText xml:space="preserve"> PAGEREF _tdjo77gwhbfr \h </w:instrText>
          </w:r>
          <w:r>
            <w:fldChar w:fldCharType="separate"/>
          </w:r>
          <w:r>
            <w:t>3</w:t>
          </w:r>
          <w:r>
            <w:fldChar w:fldCharType="end"/>
          </w:r>
        </w:p>
        <w:p w14:paraId="45CF7B20" w14:textId="77777777" w:rsidR="0060625C" w:rsidRDefault="00000000">
          <w:pPr>
            <w:widowControl w:val="0"/>
            <w:tabs>
              <w:tab w:val="right" w:leader="dot" w:pos="9360"/>
            </w:tabs>
            <w:spacing w:before="60"/>
            <w:jc w:val="left"/>
            <w:rPr>
              <w:color w:val="000000"/>
            </w:rPr>
          </w:pPr>
          <w:hyperlink w:anchor="_a4a817ojd8kb">
            <w:r>
              <w:rPr>
                <w:color w:val="000000"/>
              </w:rPr>
              <w:t>3.0 Benefits of Implementing Flexible Working</w:t>
            </w:r>
            <w:r>
              <w:rPr>
                <w:color w:val="000000"/>
              </w:rPr>
              <w:tab/>
            </w:r>
          </w:hyperlink>
          <w:r>
            <w:fldChar w:fldCharType="begin"/>
          </w:r>
          <w:r>
            <w:instrText xml:space="preserve"> PAGEREF _a4a817ojd8kb \h </w:instrText>
          </w:r>
          <w:r>
            <w:fldChar w:fldCharType="separate"/>
          </w:r>
          <w:r>
            <w:t>3</w:t>
          </w:r>
          <w:r>
            <w:fldChar w:fldCharType="end"/>
          </w:r>
        </w:p>
        <w:p w14:paraId="43B356DD" w14:textId="77777777" w:rsidR="0060625C" w:rsidRDefault="00000000">
          <w:pPr>
            <w:widowControl w:val="0"/>
            <w:tabs>
              <w:tab w:val="right" w:leader="dot" w:pos="9360"/>
            </w:tabs>
            <w:spacing w:before="60"/>
            <w:jc w:val="left"/>
            <w:rPr>
              <w:color w:val="000000"/>
            </w:rPr>
          </w:pPr>
          <w:hyperlink w:anchor="_tait8oedjj71">
            <w:r>
              <w:rPr>
                <w:color w:val="000000"/>
              </w:rPr>
              <w:t>4.0 Considerations for Implementing Flexible Working</w:t>
            </w:r>
            <w:r>
              <w:rPr>
                <w:color w:val="000000"/>
              </w:rPr>
              <w:tab/>
            </w:r>
          </w:hyperlink>
          <w:r>
            <w:fldChar w:fldCharType="begin"/>
          </w:r>
          <w:r>
            <w:instrText xml:space="preserve"> PAGEREF _tait8oedjj71 \h </w:instrText>
          </w:r>
          <w:r>
            <w:fldChar w:fldCharType="separate"/>
          </w:r>
          <w:r>
            <w:t>4</w:t>
          </w:r>
          <w:r>
            <w:fldChar w:fldCharType="end"/>
          </w:r>
        </w:p>
        <w:p w14:paraId="521826C3" w14:textId="77777777" w:rsidR="0060625C" w:rsidRDefault="00000000">
          <w:pPr>
            <w:widowControl w:val="0"/>
            <w:tabs>
              <w:tab w:val="right" w:leader="dot" w:pos="9360"/>
            </w:tabs>
            <w:spacing w:before="60"/>
            <w:ind w:left="360"/>
            <w:jc w:val="left"/>
            <w:rPr>
              <w:color w:val="000000"/>
            </w:rPr>
          </w:pPr>
          <w:hyperlink w:anchor="_r1n8tqbqw68g">
            <w:r>
              <w:rPr>
                <w:color w:val="000000"/>
              </w:rPr>
              <w:t>4.1 Organisational Perspective</w:t>
            </w:r>
            <w:r>
              <w:rPr>
                <w:color w:val="000000"/>
              </w:rPr>
              <w:tab/>
            </w:r>
          </w:hyperlink>
          <w:r>
            <w:fldChar w:fldCharType="begin"/>
          </w:r>
          <w:r>
            <w:instrText xml:space="preserve"> PAGEREF _r1n8tqbqw68g \h </w:instrText>
          </w:r>
          <w:r>
            <w:fldChar w:fldCharType="separate"/>
          </w:r>
          <w:r>
            <w:t>4</w:t>
          </w:r>
          <w:r>
            <w:fldChar w:fldCharType="end"/>
          </w:r>
        </w:p>
        <w:p w14:paraId="0393F5D0" w14:textId="77777777" w:rsidR="0060625C" w:rsidRDefault="00000000">
          <w:pPr>
            <w:widowControl w:val="0"/>
            <w:tabs>
              <w:tab w:val="right" w:leader="dot" w:pos="9360"/>
            </w:tabs>
            <w:spacing w:before="60"/>
            <w:ind w:left="360"/>
            <w:jc w:val="left"/>
            <w:rPr>
              <w:color w:val="000000"/>
            </w:rPr>
          </w:pPr>
          <w:hyperlink w:anchor="_wr5x2ra1qima">
            <w:r>
              <w:rPr>
                <w:color w:val="000000"/>
              </w:rPr>
              <w:t>4.2 HR Department Perspective</w:t>
            </w:r>
            <w:r>
              <w:rPr>
                <w:color w:val="000000"/>
              </w:rPr>
              <w:tab/>
            </w:r>
          </w:hyperlink>
          <w:r>
            <w:fldChar w:fldCharType="begin"/>
          </w:r>
          <w:r>
            <w:instrText xml:space="preserve"> PAGEREF _wr5x2ra1qima \h </w:instrText>
          </w:r>
          <w:r>
            <w:fldChar w:fldCharType="separate"/>
          </w:r>
          <w:r>
            <w:t>4</w:t>
          </w:r>
          <w:r>
            <w:fldChar w:fldCharType="end"/>
          </w:r>
        </w:p>
        <w:p w14:paraId="5E49E069" w14:textId="77777777" w:rsidR="0060625C" w:rsidRDefault="00000000">
          <w:pPr>
            <w:widowControl w:val="0"/>
            <w:tabs>
              <w:tab w:val="right" w:leader="dot" w:pos="9360"/>
            </w:tabs>
            <w:spacing w:before="60"/>
            <w:jc w:val="left"/>
            <w:rPr>
              <w:color w:val="000000"/>
            </w:rPr>
          </w:pPr>
          <w:hyperlink w:anchor="_4qw47z5aunh">
            <w:r>
              <w:rPr>
                <w:color w:val="000000"/>
              </w:rPr>
              <w:t>5.0 Pay Structure Reconfiguration</w:t>
            </w:r>
            <w:r>
              <w:rPr>
                <w:color w:val="000000"/>
              </w:rPr>
              <w:tab/>
            </w:r>
          </w:hyperlink>
          <w:r>
            <w:fldChar w:fldCharType="begin"/>
          </w:r>
          <w:r>
            <w:instrText xml:space="preserve"> PAGEREF _4qw47z5aunh \h </w:instrText>
          </w:r>
          <w:r>
            <w:fldChar w:fldCharType="separate"/>
          </w:r>
          <w:r>
            <w:t>5</w:t>
          </w:r>
          <w:r>
            <w:fldChar w:fldCharType="end"/>
          </w:r>
        </w:p>
        <w:p w14:paraId="533310A8" w14:textId="77777777" w:rsidR="0060625C" w:rsidRDefault="00000000">
          <w:pPr>
            <w:widowControl w:val="0"/>
            <w:tabs>
              <w:tab w:val="right" w:leader="dot" w:pos="9360"/>
            </w:tabs>
            <w:spacing w:before="60"/>
            <w:jc w:val="left"/>
            <w:rPr>
              <w:color w:val="000000"/>
            </w:rPr>
          </w:pPr>
          <w:hyperlink w:anchor="_dnbyq0l94rv4">
            <w:r>
              <w:rPr>
                <w:color w:val="000000"/>
              </w:rPr>
              <w:t>6.0  Strategies for Promoting Employee Engagement</w:t>
            </w:r>
            <w:r>
              <w:rPr>
                <w:color w:val="000000"/>
              </w:rPr>
              <w:tab/>
            </w:r>
          </w:hyperlink>
          <w:r>
            <w:fldChar w:fldCharType="begin"/>
          </w:r>
          <w:r>
            <w:instrText xml:space="preserve"> PAGEREF _dnbyq0l94rv4 \h </w:instrText>
          </w:r>
          <w:r>
            <w:fldChar w:fldCharType="separate"/>
          </w:r>
          <w:r>
            <w:t>6</w:t>
          </w:r>
          <w:r>
            <w:fldChar w:fldCharType="end"/>
          </w:r>
        </w:p>
        <w:p w14:paraId="6912E82D" w14:textId="77777777" w:rsidR="0060625C" w:rsidRDefault="00000000">
          <w:pPr>
            <w:widowControl w:val="0"/>
            <w:tabs>
              <w:tab w:val="right" w:leader="dot" w:pos="9360"/>
            </w:tabs>
            <w:spacing w:before="60"/>
            <w:jc w:val="left"/>
            <w:rPr>
              <w:color w:val="000000"/>
            </w:rPr>
          </w:pPr>
          <w:hyperlink w:anchor="_eb8tp176h5bb">
            <w:r>
              <w:rPr>
                <w:color w:val="000000"/>
              </w:rPr>
              <w:t>7.0 Implementation Plan</w:t>
            </w:r>
            <w:r>
              <w:rPr>
                <w:color w:val="000000"/>
              </w:rPr>
              <w:tab/>
            </w:r>
          </w:hyperlink>
          <w:r>
            <w:fldChar w:fldCharType="begin"/>
          </w:r>
          <w:r>
            <w:instrText xml:space="preserve"> PAGEREF _eb8tp176h5bb \h </w:instrText>
          </w:r>
          <w:r>
            <w:fldChar w:fldCharType="separate"/>
          </w:r>
          <w:r>
            <w:t>7</w:t>
          </w:r>
          <w:r>
            <w:fldChar w:fldCharType="end"/>
          </w:r>
        </w:p>
        <w:p w14:paraId="1561FCD0" w14:textId="77777777" w:rsidR="0060625C" w:rsidRDefault="00000000">
          <w:pPr>
            <w:widowControl w:val="0"/>
            <w:tabs>
              <w:tab w:val="right" w:leader="dot" w:pos="9360"/>
            </w:tabs>
            <w:spacing w:before="60"/>
            <w:jc w:val="left"/>
            <w:rPr>
              <w:color w:val="000000"/>
            </w:rPr>
          </w:pPr>
          <w:hyperlink w:anchor="_i4q4v3tgcyoe">
            <w:r>
              <w:rPr>
                <w:color w:val="000000"/>
              </w:rPr>
              <w:t>8.0 Conclusion</w:t>
            </w:r>
            <w:r>
              <w:rPr>
                <w:color w:val="000000"/>
              </w:rPr>
              <w:tab/>
            </w:r>
          </w:hyperlink>
          <w:r>
            <w:fldChar w:fldCharType="begin"/>
          </w:r>
          <w:r>
            <w:instrText xml:space="preserve"> PAGEREF _i4q4v3tgcyoe \h </w:instrText>
          </w:r>
          <w:r>
            <w:fldChar w:fldCharType="separate"/>
          </w:r>
          <w:r>
            <w:t>9</w:t>
          </w:r>
          <w:r>
            <w:fldChar w:fldCharType="end"/>
          </w:r>
        </w:p>
        <w:p w14:paraId="6B2C71B4" w14:textId="77777777" w:rsidR="0060625C" w:rsidRDefault="00000000">
          <w:pPr>
            <w:widowControl w:val="0"/>
            <w:tabs>
              <w:tab w:val="right" w:leader="dot" w:pos="9360"/>
            </w:tabs>
            <w:spacing w:before="60"/>
            <w:jc w:val="left"/>
            <w:rPr>
              <w:color w:val="000000"/>
            </w:rPr>
          </w:pPr>
          <w:hyperlink w:anchor="_pmyg28diuv62">
            <w:r>
              <w:rPr>
                <w:color w:val="000000"/>
              </w:rPr>
              <w:t>Reference List</w:t>
            </w:r>
            <w:r>
              <w:rPr>
                <w:color w:val="000000"/>
              </w:rPr>
              <w:tab/>
            </w:r>
          </w:hyperlink>
          <w:r>
            <w:fldChar w:fldCharType="begin"/>
          </w:r>
          <w:r>
            <w:instrText xml:space="preserve"> PAGEREF _pmyg28diuv62 \h </w:instrText>
          </w:r>
          <w:r>
            <w:fldChar w:fldCharType="separate"/>
          </w:r>
          <w:r>
            <w:t>10</w:t>
          </w:r>
          <w:r>
            <w:fldChar w:fldCharType="end"/>
          </w:r>
          <w:r>
            <w:fldChar w:fldCharType="end"/>
          </w:r>
        </w:p>
      </w:sdtContent>
    </w:sdt>
    <w:p w14:paraId="231304CC" w14:textId="77777777" w:rsidR="0060625C" w:rsidRDefault="0060625C">
      <w:pPr>
        <w:jc w:val="center"/>
        <w:rPr>
          <w:b/>
          <w:sz w:val="28"/>
          <w:szCs w:val="28"/>
        </w:rPr>
      </w:pPr>
    </w:p>
    <w:p w14:paraId="2BABCA12" w14:textId="77777777" w:rsidR="0060625C" w:rsidRDefault="00000000">
      <w:r>
        <w:br w:type="page"/>
      </w:r>
    </w:p>
    <w:p w14:paraId="7873E4B6" w14:textId="77777777" w:rsidR="0060625C" w:rsidRDefault="00000000">
      <w:pPr>
        <w:pStyle w:val="Heading1"/>
      </w:pPr>
      <w:bookmarkStart w:id="1" w:name="_75maooesy6kr" w:colFirst="0" w:colLast="0"/>
      <w:bookmarkEnd w:id="1"/>
      <w:r>
        <w:lastRenderedPageBreak/>
        <w:t>1.0 Introduction</w:t>
      </w:r>
    </w:p>
    <w:p w14:paraId="111A0199" w14:textId="77777777" w:rsidR="0060625C" w:rsidRDefault="00000000">
      <w:r>
        <w:t>Good people management has become vital for company success in a forever-changing business world. The desires and expectations of employees alter as corporations expand (</w:t>
      </w:r>
      <w:r>
        <w:rPr>
          <w:highlight w:val="white"/>
        </w:rPr>
        <w:t>Monnagaaratwe and Motatsa, 2021</w:t>
      </w:r>
      <w:r>
        <w:t>). Therefore, effective human resource management is required to generate active and motivated workers. It entails not just attracting and retaining personnel but also overseeing their welfare and progress within the industry. Human resource management is crucial to the overall work climate, fostering creativity and achieving strategy objectives (</w:t>
      </w:r>
      <w:r>
        <w:rPr>
          <w:highlight w:val="white"/>
        </w:rPr>
        <w:t xml:space="preserve">Huo </w:t>
      </w:r>
      <w:r>
        <w:rPr>
          <w:i/>
          <w:highlight w:val="white"/>
        </w:rPr>
        <w:t>et al</w:t>
      </w:r>
      <w:r>
        <w:rPr>
          <w:highlight w:val="white"/>
        </w:rPr>
        <w:t>., 2020</w:t>
      </w:r>
      <w:r>
        <w:t>).  This study seeks to demonstrate how open AgroTools, a farming tool company, will be towards flexible working practices. Various aspects considered include the advantages of varying the working arrangements, the outlook for uncertainties in different corporate roles, changes in salary structures and HR actions to maintain workers involved throughout the transition period. Through employing models such as Kotter’s 8-Step Change Model and insights from The CIPD, this study aims to attempt to propose some thoughts on how to practically implement the merging of functioning flexible practices into the firm.</w:t>
      </w:r>
    </w:p>
    <w:p w14:paraId="2DBBF837" w14:textId="77777777" w:rsidR="0060625C" w:rsidRDefault="00000000">
      <w:pPr>
        <w:pStyle w:val="Heading1"/>
      </w:pPr>
      <w:bookmarkStart w:id="2" w:name="_tdjo77gwhbfr" w:colFirst="0" w:colLast="0"/>
      <w:bookmarkEnd w:id="2"/>
      <w:r>
        <w:t>2.0 Organisation Overview</w:t>
      </w:r>
    </w:p>
    <w:p w14:paraId="1F2E2136" w14:textId="77777777" w:rsidR="0060625C" w:rsidRDefault="00000000">
      <w:r>
        <w:t>AgroTools is a prominent producer and vendor of farming implements with multiple clients in the West Midlands. The company’s keys to success are the provision of high-quality products with exceptional service to customers. It operates in three locations: production and warehouse facilities and sales and administrative offices. It is a company run by dedicated teams that collaborate to study, produce and sell new products that satisfy the dynamic needs of the modern agribusiness. The company’s mission is to strengthen the nation’s farms and raise the farm business’s productivity and health by blending expertise, technology and consumer interaction.</w:t>
      </w:r>
    </w:p>
    <w:p w14:paraId="47BCD62E" w14:textId="77777777" w:rsidR="0060625C" w:rsidRDefault="00000000">
      <w:pPr>
        <w:pStyle w:val="Heading1"/>
      </w:pPr>
      <w:bookmarkStart w:id="3" w:name="_a4a817ojd8kb" w:colFirst="0" w:colLast="0"/>
      <w:bookmarkEnd w:id="3"/>
      <w:r>
        <w:t>3.0 Benefits of Implementing Flexible Working</w:t>
      </w:r>
    </w:p>
    <w:p w14:paraId="32717A14" w14:textId="77777777" w:rsidR="0060625C" w:rsidRDefault="00000000">
      <w:r>
        <w:t>There are several advantages to flexible working arrangements for both workers and businesses. To begin with, it increases employee satisfaction and allows for a healthier work–life balance (</w:t>
      </w:r>
      <w:r>
        <w:rPr>
          <w:highlight w:val="white"/>
        </w:rPr>
        <w:t>White and Maniam, 2020</w:t>
      </w:r>
      <w:r>
        <w:t xml:space="preserve">). When they can handle their schemes to meet their own demands, such as babysitting or transportation restrictions, many professional employees report reduced anxiety and enhanced general well-being. Furthermore, versatile working frequently improves </w:t>
      </w:r>
      <w:r>
        <w:lastRenderedPageBreak/>
        <w:t>productivity and effectiveness in a task (</w:t>
      </w:r>
      <w:r>
        <w:rPr>
          <w:highlight w:val="white"/>
        </w:rPr>
        <w:t>Angelici and Profeta, 2023</w:t>
      </w:r>
      <w:r>
        <w:t>). This is because employees who may select when and where they work can arrange their tasks at times when they function best; thus, their efforts tend to produce higher output and complete assignments more quickly.</w:t>
      </w:r>
    </w:p>
    <w:p w14:paraId="4665232A" w14:textId="77777777" w:rsidR="0060625C" w:rsidRDefault="00000000">
      <w:r>
        <w:t xml:space="preserve">In addition, introducing flexible working methods could cut the company’s extra costs by a large margin. Less people needing specialist office space and resources, mixed with pays for power, office materials and real estate would be saved. It is a good approach to draw and keep top employees while offering open work possibilities. Nowadays, as per </w:t>
      </w:r>
      <w:r>
        <w:rPr>
          <w:highlight w:val="white"/>
        </w:rPr>
        <w:t xml:space="preserve">Ainapur (2022), </w:t>
      </w:r>
      <w:r>
        <w:t>in a competitive job market, individuals regard liberty and work-life balance when deciding on career goals. Firms that show they are willing to meet the top employee requirements make themselves chosen workers. Moreover, flexible working prioritises better diversity and equality at the workplace (</w:t>
      </w:r>
      <w:r>
        <w:rPr>
          <w:highlight w:val="white"/>
        </w:rPr>
        <w:t xml:space="preserve">Forbes </w:t>
      </w:r>
      <w:r>
        <w:rPr>
          <w:i/>
          <w:highlight w:val="white"/>
        </w:rPr>
        <w:t>et al</w:t>
      </w:r>
      <w:r>
        <w:rPr>
          <w:highlight w:val="white"/>
        </w:rPr>
        <w:t>., 2020</w:t>
      </w:r>
      <w:r>
        <w:t>). It enables individuals from all perspectives to commit to percentages of time, including those who are disabled and those responsible for family commitments . This shift leads to a more prosperous and sustainable working climate.</w:t>
      </w:r>
    </w:p>
    <w:p w14:paraId="3102CA31" w14:textId="77777777" w:rsidR="0060625C" w:rsidRDefault="00000000">
      <w:pPr>
        <w:pStyle w:val="Heading1"/>
      </w:pPr>
      <w:bookmarkStart w:id="4" w:name="_tait8oedjj71" w:colFirst="0" w:colLast="0"/>
      <w:bookmarkEnd w:id="4"/>
      <w:r>
        <w:t>4.0 Considerations for Implementing Flexible Working</w:t>
      </w:r>
    </w:p>
    <w:p w14:paraId="53137BA9" w14:textId="77777777" w:rsidR="0060625C" w:rsidRDefault="00000000">
      <w:pPr>
        <w:pStyle w:val="Heading2"/>
      </w:pPr>
      <w:bookmarkStart w:id="5" w:name="_r1n8tqbqw68g" w:colFirst="0" w:colLast="0"/>
      <w:bookmarkEnd w:id="5"/>
      <w:r>
        <w:t>4.1 Organisational Perspective</w:t>
      </w:r>
    </w:p>
    <w:p w14:paraId="2D7BF5A3" w14:textId="77777777" w:rsidR="0060625C" w:rsidRDefault="00000000">
      <w:r>
        <w:t xml:space="preserve">Flexible working may impact AgroTools in general and remains closely tied to the company’s business goals and practical needs from the corporate perspective. More specifically, it is intended to check how many aspects lead to how AgroTools will change itself throughout each area such as Produce/ship and sales/admin. Factors such as output plans, reliable buying, store work and holding customer service standards will be impacted. Moreover, as per </w:t>
      </w:r>
      <w:r>
        <w:rPr>
          <w:highlight w:val="white"/>
        </w:rPr>
        <w:t xml:space="preserve">Wang </w:t>
      </w:r>
      <w:r>
        <w:rPr>
          <w:i/>
          <w:highlight w:val="white"/>
        </w:rPr>
        <w:t>et al</w:t>
      </w:r>
      <w:r>
        <w:rPr>
          <w:highlight w:val="white"/>
        </w:rPr>
        <w:t>. (2023),</w:t>
      </w:r>
      <w:r>
        <w:t xml:space="preserve"> having sufficient covering and communication across many places is critical to keeping work efficient means developing outstanding contact tracks and open timeline plans that include on-site needs and adjust agenda tools are required for making schedules work smoothly in each team.</w:t>
      </w:r>
    </w:p>
    <w:p w14:paraId="078B2FA2" w14:textId="77777777" w:rsidR="0060625C" w:rsidRDefault="00000000">
      <w:pPr>
        <w:pStyle w:val="Heading2"/>
      </w:pPr>
      <w:bookmarkStart w:id="6" w:name="_wr5x2ra1qima" w:colFirst="0" w:colLast="0"/>
      <w:bookmarkEnd w:id="6"/>
      <w:r>
        <w:t>4.2 HR Department Perspective</w:t>
      </w:r>
    </w:p>
    <w:p w14:paraId="01AEFCEC" w14:textId="77777777" w:rsidR="0060625C" w:rsidRDefault="00000000">
      <w:r>
        <w:t>The HR department must handle several essential aspects to guarantee the successful implementation of flexible working capabilities. The first is the policy and system process for online work standards that include policy development and performance to provide rules and standards of work online (</w:t>
      </w:r>
      <w:r>
        <w:rPr>
          <w:highlight w:val="white"/>
        </w:rPr>
        <w:t>Gamage, Silva and Gunawardhana, 2020</w:t>
      </w:r>
      <w:r>
        <w:t xml:space="preserve">). Another one is investment in </w:t>
      </w:r>
      <w:r>
        <w:lastRenderedPageBreak/>
        <w:t>a strong digital infrastructure that allows for interaction and work among distant personnel. Additionally, HR should provide comprehensive training and advancement to managers and workers so that they acquire the competence required to handle and prosper in long-term remote work environments (</w:t>
      </w:r>
      <w:r>
        <w:rPr>
          <w:highlight w:val="white"/>
        </w:rPr>
        <w:t>Saks, 2022</w:t>
      </w:r>
      <w:r>
        <w:t>). Moreover, careful regulation of legal responsibilities and compliance with health and safety standards help secure both employee’s interests and business integrity. By concentrating on these elements, HR can support a smooth transition to the new normal’s flexibility, thereby boosting workers’ morale and productivity.</w:t>
      </w:r>
    </w:p>
    <w:p w14:paraId="31299D83" w14:textId="77777777" w:rsidR="0060625C" w:rsidRDefault="00000000">
      <w:pPr>
        <w:pStyle w:val="Heading1"/>
      </w:pPr>
      <w:bookmarkStart w:id="7" w:name="_4qw47z5aunh" w:colFirst="0" w:colLast="0"/>
      <w:bookmarkEnd w:id="7"/>
      <w:r>
        <w:t>5.0 Pay Structure Reconfiguration</w:t>
      </w:r>
    </w:p>
    <w:p w14:paraId="248C71C7" w14:textId="77777777" w:rsidR="0060625C" w:rsidRDefault="00000000">
      <w:pPr>
        <w:rPr>
          <w:b/>
          <w:i/>
          <w:u w:val="single"/>
        </w:rPr>
      </w:pPr>
      <w:r>
        <w:rPr>
          <w:b/>
          <w:i/>
          <w:u w:val="single"/>
        </w:rPr>
        <w:t>Equity and Fairness</w:t>
      </w:r>
    </w:p>
    <w:p w14:paraId="3AF598D7" w14:textId="77777777" w:rsidR="0060625C" w:rsidRDefault="00000000">
      <w:r>
        <w:t>Fairness and equity also come into the picture, which are priorities when reviewing existing pay designs. It should investigate how working flexibility may affect various industries as well as locations within the company (</w:t>
      </w:r>
      <w:r>
        <w:rPr>
          <w:highlight w:val="white"/>
        </w:rPr>
        <w:t>Cristiano, Ulgiati and Gonella, 2021</w:t>
      </w:r>
      <w:r>
        <w:t>). AgroTools should be able to respond to the disparities by looking at current pay systems and ensuring all employees of all jobs and locations pay fairly and appropriately for their work. This process aids in the retention of employee satisfaction and motivation while also fostering a sense of inclusion.</w:t>
      </w:r>
    </w:p>
    <w:p w14:paraId="7AF536C2" w14:textId="77777777" w:rsidR="0060625C" w:rsidRDefault="00000000">
      <w:pPr>
        <w:rPr>
          <w:b/>
          <w:i/>
          <w:u w:val="single"/>
        </w:rPr>
      </w:pPr>
      <w:r>
        <w:rPr>
          <w:b/>
          <w:i/>
          <w:u w:val="single"/>
        </w:rPr>
        <w:t>Performance Evaluation</w:t>
      </w:r>
    </w:p>
    <w:p w14:paraId="2C42BBB2" w14:textId="77777777" w:rsidR="0060625C" w:rsidRDefault="00000000">
      <w:r>
        <w:t>While the move to online work is being made, it is also critical to analyse the above success measures to guarantee their sustained relevance and measurability (</w:t>
      </w:r>
      <w:r>
        <w:rPr>
          <w:highlight w:val="white"/>
        </w:rPr>
        <w:t>Karal and Soyer, 2024</w:t>
      </w:r>
      <w:r>
        <w:t>). It refers to prioritising results to procedures and applying techniques of measuring teamwork and communication performance in virtual environments. Moreover, the openness and the truth of performance assessments must be emphasised. Crystal sharing of standards, regular feedback meetings and a unified assessment framework help ensure that fairness and alignment with business targets are retained throughout isolated teams, fostering a culture of responsibility or continuing improvement is accomplished.</w:t>
      </w:r>
    </w:p>
    <w:p w14:paraId="17276206" w14:textId="77777777" w:rsidR="0060625C" w:rsidRDefault="00000000">
      <w:pPr>
        <w:rPr>
          <w:b/>
          <w:i/>
          <w:u w:val="single"/>
        </w:rPr>
      </w:pPr>
      <w:r>
        <w:rPr>
          <w:b/>
          <w:i/>
          <w:u w:val="single"/>
        </w:rPr>
        <w:t>Compensation and Benefits</w:t>
      </w:r>
    </w:p>
    <w:p w14:paraId="5CE84929" w14:textId="77777777" w:rsidR="0060625C" w:rsidRDefault="00000000">
      <w:r>
        <w:t xml:space="preserve">According to </w:t>
      </w:r>
      <w:r>
        <w:rPr>
          <w:highlight w:val="white"/>
        </w:rPr>
        <w:t xml:space="preserve">Xiao </w:t>
      </w:r>
      <w:r>
        <w:rPr>
          <w:i/>
          <w:highlight w:val="white"/>
        </w:rPr>
        <w:t>et al</w:t>
      </w:r>
      <w:r>
        <w:rPr>
          <w:highlight w:val="white"/>
        </w:rPr>
        <w:t xml:space="preserve">. (2021), </w:t>
      </w:r>
      <w:r>
        <w:t>AgroTools aims to offer flexible deals for pay and perks, For example; varying the days and kinds of perks to fit the need of remote workers, like granting pay for home offices to support working surroundings and what is more, AgroTools will add perks designated to improve workers’ online working, which is equal treatment and aid for all workers-regardless of where they work.</w:t>
      </w:r>
    </w:p>
    <w:p w14:paraId="564B8096" w14:textId="77777777" w:rsidR="0060625C" w:rsidRDefault="00000000">
      <w:pPr>
        <w:pStyle w:val="Heading1"/>
      </w:pPr>
      <w:bookmarkStart w:id="8" w:name="_dnbyq0l94rv4" w:colFirst="0" w:colLast="0"/>
      <w:bookmarkEnd w:id="8"/>
      <w:r>
        <w:lastRenderedPageBreak/>
        <w:t>6.0  Strategies for Promoting Employee Engagement</w:t>
      </w:r>
    </w:p>
    <w:p w14:paraId="2990DA67" w14:textId="77777777" w:rsidR="0060625C" w:rsidRDefault="00000000">
      <w:pPr>
        <w:rPr>
          <w:b/>
          <w:i/>
          <w:u w:val="single"/>
        </w:rPr>
      </w:pPr>
      <w:r>
        <w:rPr>
          <w:b/>
          <w:i/>
          <w:u w:val="single"/>
        </w:rPr>
        <w:t>Communication and Transparency</w:t>
      </w:r>
    </w:p>
    <w:p w14:paraId="35176814" w14:textId="77777777" w:rsidR="0060625C" w:rsidRDefault="00000000">
      <w:r>
        <w:t>When it comes to using flexible working, communication and an open way of thinking, it may be possible. This entails sharing and providing more information and creating open doors; virtual city gatherings and Q&amp;A meetings are fantastic to keep personnel informed (</w:t>
      </w:r>
      <w:r>
        <w:rPr>
          <w:highlight w:val="white"/>
        </w:rPr>
        <w:t xml:space="preserve">Ramírez-Montoya </w:t>
      </w:r>
      <w:r>
        <w:rPr>
          <w:i/>
          <w:highlight w:val="white"/>
        </w:rPr>
        <w:t>et al</w:t>
      </w:r>
      <w:r>
        <w:rPr>
          <w:highlight w:val="white"/>
        </w:rPr>
        <w:t>., 2022</w:t>
      </w:r>
      <w:r>
        <w:t>). Workers can utilise these events if they have concerns, need concepts to discuss, or receive accurate information about business trends. This way of conveying fosters loyalty, openness and helps people feel connected no matter where they are.</w:t>
      </w:r>
    </w:p>
    <w:p w14:paraId="5E0085C1" w14:textId="77777777" w:rsidR="0060625C" w:rsidRDefault="00000000">
      <w:pPr>
        <w:rPr>
          <w:b/>
          <w:i/>
          <w:u w:val="single"/>
        </w:rPr>
      </w:pPr>
      <w:r>
        <w:rPr>
          <w:b/>
          <w:i/>
          <w:u w:val="single"/>
        </w:rPr>
        <w:t>Recognition and Rewards</w:t>
      </w:r>
    </w:p>
    <w:p w14:paraId="551829AF" w14:textId="77777777" w:rsidR="0060625C" w:rsidRDefault="00000000">
      <w:r>
        <w:t>Recognition and gifts are an important part of a good work attitude. It does not matter where the employers shall notice workers’ effort and reward it. Establish peer-to-peer award programmes to improve the teamwork spirit. Workers feel valued and aided when they see their peers notice good effort in an action, which increases working spirit and productivity (</w:t>
      </w:r>
      <w:r>
        <w:rPr>
          <w:highlight w:val="white"/>
        </w:rPr>
        <w:t>Saari, Leinonen and Tapanila, 2022</w:t>
      </w:r>
      <w:r>
        <w:t>). It not only creates a supportive work atmosphere but also develops a respectful and supportive mindset company-wide, contributing to overall company success and worker satisfaction.</w:t>
      </w:r>
    </w:p>
    <w:p w14:paraId="1B03FFFC" w14:textId="77777777" w:rsidR="0060625C" w:rsidRDefault="00000000">
      <w:pPr>
        <w:rPr>
          <w:b/>
          <w:i/>
          <w:u w:val="single"/>
        </w:rPr>
      </w:pPr>
      <w:r>
        <w:rPr>
          <w:b/>
          <w:i/>
          <w:u w:val="single"/>
        </w:rPr>
        <w:t>Social Connectivity</w:t>
      </w:r>
    </w:p>
    <w:p w14:paraId="03801F1F" w14:textId="77777777" w:rsidR="0060625C" w:rsidRDefault="00000000">
      <w:r>
        <w:t>Social link in a faraway work setting is an important determinant of group harmony and joy. AgroTools might plan interesting virtual team-building events, such as online games, combined projects or online coffee meetings (</w:t>
      </w:r>
      <w:r>
        <w:rPr>
          <w:highlight w:val="white"/>
        </w:rPr>
        <w:t xml:space="preserve">Tomaz </w:t>
      </w:r>
      <w:r>
        <w:rPr>
          <w:i/>
          <w:highlight w:val="white"/>
        </w:rPr>
        <w:t>et al</w:t>
      </w:r>
      <w:r>
        <w:rPr>
          <w:highlight w:val="white"/>
        </w:rPr>
        <w:t>., 2021</w:t>
      </w:r>
      <w:r>
        <w:t>). Additionally, permitting coworkers to engage informally, frequent virtual drinks or chat neighbourhoods devoted to non-work issues, may assist coworkers get to know one another and form connections besides professional duties. These steps promote the sensation of community, as well as cooperation and communication among team members and help in greater general efficiency and employee delight in a combined work setting.</w:t>
      </w:r>
    </w:p>
    <w:p w14:paraId="6536A10E" w14:textId="77777777" w:rsidR="0060625C" w:rsidRDefault="00000000">
      <w:pPr>
        <w:rPr>
          <w:b/>
          <w:i/>
          <w:u w:val="single"/>
        </w:rPr>
      </w:pPr>
      <w:r>
        <w:rPr>
          <w:b/>
          <w:i/>
          <w:u w:val="single"/>
        </w:rPr>
        <w:t>Career Development</w:t>
      </w:r>
    </w:p>
    <w:p w14:paraId="7BCD8A26" w14:textId="77777777" w:rsidR="0060625C" w:rsidRDefault="00000000">
      <w:r>
        <w:t>AgroTools is dedicated to encouraging job growth among its workers by providing tools and techniques that work along with new possibilities. This is done via training classes, workshops and online courses that push and drive an individual where to go (</w:t>
      </w:r>
      <w:r>
        <w:rPr>
          <w:highlight w:val="white"/>
        </w:rPr>
        <w:t>Fiddiyasari and Pustika, 2021</w:t>
      </w:r>
      <w:r>
        <w:t xml:space="preserve">). The mentoring and coaching courses connect workers with knowledgeable specialists who provide encouragement, guidance and exciting ideas in assisting employees in navigating the job path </w:t>
      </w:r>
      <w:r>
        <w:lastRenderedPageBreak/>
        <w:t>effectively as an individual (</w:t>
      </w:r>
      <w:r>
        <w:rPr>
          <w:highlight w:val="white"/>
        </w:rPr>
        <w:t>Hussey and Campbell-Meier, 2021</w:t>
      </w:r>
      <w:r>
        <w:t>). AgroTools allows its workers to shine at work and take advantage of opportunities for individual and professional development by engaging in continuous learning and professional expansion.</w:t>
      </w:r>
    </w:p>
    <w:p w14:paraId="1739BB82" w14:textId="77777777" w:rsidR="0060625C" w:rsidRDefault="00000000">
      <w:pPr>
        <w:pStyle w:val="Heading1"/>
      </w:pPr>
      <w:bookmarkStart w:id="9" w:name="_eb8tp176h5bb" w:colFirst="0" w:colLast="0"/>
      <w:bookmarkEnd w:id="9"/>
      <w:r>
        <w:t>7.0 Implementation Plan</w:t>
      </w:r>
    </w:p>
    <w:p w14:paraId="1CDB2CB1" w14:textId="77777777" w:rsidR="0060625C" w:rsidRDefault="00000000">
      <w:pPr>
        <w:rPr>
          <w:b/>
          <w:i/>
          <w:u w:val="single"/>
        </w:rPr>
      </w:pPr>
      <w:r>
        <w:rPr>
          <w:b/>
          <w:i/>
          <w:u w:val="single"/>
        </w:rPr>
        <w:t>Kotter’s 8-Step Change Model</w:t>
      </w:r>
    </w:p>
    <w:p w14:paraId="1F4E3A33" w14:textId="77777777" w:rsidR="0060625C" w:rsidRDefault="00000000">
      <w:r>
        <w:t>Kotter’s 8-Step Change Model is a structured approach for businesses to manage their transition periods. For starters, it is vital to establish urgency which requires forcing the parties to recognise that there is a need for change. This need may take the form of industry trends or personal issues. Secondly, create a leadership alliance to form a set of powerful people who can initiate the call to action and create urgency for support in all departments (</w:t>
      </w:r>
      <w:r>
        <w:rPr>
          <w:highlight w:val="white"/>
        </w:rPr>
        <w:t xml:space="preserve">Hudson </w:t>
      </w:r>
      <w:r>
        <w:rPr>
          <w:i/>
          <w:highlight w:val="white"/>
        </w:rPr>
        <w:t>et al</w:t>
      </w:r>
      <w:r>
        <w:rPr>
          <w:highlight w:val="white"/>
        </w:rPr>
        <w:t>., 2020</w:t>
      </w:r>
      <w:r>
        <w:t>). Consequently, a strategic plan may be established on that base. The vision outlines the desired future of what is to be, provides direction and serves as instant motivation for everyone.</w:t>
      </w:r>
    </w:p>
    <w:p w14:paraId="171B7D56" w14:textId="77777777" w:rsidR="0060625C" w:rsidRDefault="00000000">
      <w:r>
        <w:t>The other rule that should be all over is that this aim should be broadly common such that every member of the company should understand for whatever reason the change is required and in what way they are available to assist. The fourth item is the enablers such as for explicit reasons, EIT workers will be available to assist in the improvement; limited in the fourth class are the winners such as short-term development in usage of support for change grows by thrilling additional participation and trying by participants. The fifth is consolidating successes whose changes are accompanied into all the business processes and arrangements. The final approach is to find innovative ways to do this; and the change is strengthened. Companies that take Kotter’s method suitably meet change and they consistently achieve successful levels in few to organisational varieties.</w:t>
      </w:r>
    </w:p>
    <w:p w14:paraId="14A418AC" w14:textId="77777777" w:rsidR="0060625C" w:rsidRDefault="00000000">
      <w:pPr>
        <w:jc w:val="center"/>
      </w:pPr>
      <w:r>
        <w:rPr>
          <w:noProof/>
        </w:rPr>
        <w:lastRenderedPageBreak/>
        <w:drawing>
          <wp:inline distT="114300" distB="114300" distL="114300" distR="114300" wp14:anchorId="60BE3C26" wp14:editId="7D16668D">
            <wp:extent cx="3758592" cy="377666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758592" cy="3776663"/>
                    </a:xfrm>
                    <a:prstGeom prst="rect">
                      <a:avLst/>
                    </a:prstGeom>
                    <a:ln w="12700">
                      <a:solidFill>
                        <a:srgbClr val="000000"/>
                      </a:solidFill>
                      <a:prstDash val="solid"/>
                    </a:ln>
                  </pic:spPr>
                </pic:pic>
              </a:graphicData>
            </a:graphic>
          </wp:inline>
        </w:drawing>
      </w:r>
    </w:p>
    <w:p w14:paraId="76533C72" w14:textId="77777777" w:rsidR="0060625C" w:rsidRDefault="00000000">
      <w:pPr>
        <w:jc w:val="center"/>
        <w:rPr>
          <w:b/>
        </w:rPr>
      </w:pPr>
      <w:r>
        <w:rPr>
          <w:b/>
        </w:rPr>
        <w:t>Figure 1: Kotter’s 8-Step Change Model</w:t>
      </w:r>
    </w:p>
    <w:p w14:paraId="7242E9EE" w14:textId="77777777" w:rsidR="0060625C" w:rsidRDefault="00000000">
      <w:pPr>
        <w:jc w:val="center"/>
      </w:pPr>
      <w:r>
        <w:t xml:space="preserve">(Source: </w:t>
      </w:r>
      <w:r>
        <w:rPr>
          <w:highlight w:val="white"/>
        </w:rPr>
        <w:t xml:space="preserve">Ghani </w:t>
      </w:r>
      <w:r>
        <w:rPr>
          <w:i/>
          <w:highlight w:val="white"/>
        </w:rPr>
        <w:t>et al</w:t>
      </w:r>
      <w:r>
        <w:rPr>
          <w:highlight w:val="white"/>
        </w:rPr>
        <w:t>., 2016</w:t>
      </w:r>
      <w:r>
        <w:t>)</w:t>
      </w:r>
    </w:p>
    <w:p w14:paraId="0C154DDE" w14:textId="77777777" w:rsidR="0060625C" w:rsidRDefault="00000000">
      <w:pPr>
        <w:rPr>
          <w:b/>
          <w:i/>
          <w:u w:val="single"/>
        </w:rPr>
      </w:pPr>
      <w:r>
        <w:rPr>
          <w:b/>
          <w:i/>
          <w:u w:val="single"/>
        </w:rPr>
        <w:t>The CIPD Framework</w:t>
      </w:r>
    </w:p>
    <w:p w14:paraId="2859019C" w14:textId="77777777" w:rsidR="0060625C" w:rsidRDefault="00000000">
      <w:r>
        <w:t>The CIPD approach provides a structured method for the implementation of flexible working approaches inside a business such as AgroTools. First, conducting a comprehensive impact study requires assessing how the flexible working arrangements will affect different departments, locations and employees (</w:t>
      </w:r>
      <w:r>
        <w:rPr>
          <w:highlight w:val="white"/>
        </w:rPr>
        <w:t>Dale, 2020</w:t>
      </w:r>
      <w:r>
        <w:t>). The analysis will identify potential barriers and opportunities, which will influence future decisions. Developing written policies and procedures is essential to maintaining clarity and equity across the business. It includes protocols for online work scheduling, communication channels and performance metrics. Finally, training and assistance for managers and workers are essential to ensure a successful transition to flexible working. Managers might need training on how to effectively lead their newly remote teams, while workers may want a course on how to use remote work tools and how to handle their schedules (</w:t>
      </w:r>
      <w:r>
        <w:rPr>
          <w:highlight w:val="white"/>
        </w:rPr>
        <w:t>Newman and Ford, 2021</w:t>
      </w:r>
      <w:r>
        <w:t xml:space="preserve">). Monitoring and assessing the completion process entails monitoring such key measures as output, staff satisfaction and overall business success. This identifies where </w:t>
      </w:r>
      <w:r>
        <w:lastRenderedPageBreak/>
        <w:t>firms require to improve, applying feedback and performance data allowing them to make appropriate adjustments.</w:t>
      </w:r>
    </w:p>
    <w:p w14:paraId="799F8DD8" w14:textId="77777777" w:rsidR="0060625C" w:rsidRDefault="00000000">
      <w:pPr>
        <w:pStyle w:val="Heading1"/>
      </w:pPr>
      <w:bookmarkStart w:id="10" w:name="_i4q4v3tgcyoe" w:colFirst="0" w:colLast="0"/>
      <w:bookmarkEnd w:id="10"/>
      <w:r>
        <w:t>8.0 Conclusion</w:t>
      </w:r>
    </w:p>
    <w:p w14:paraId="79117EF1" w14:textId="77777777" w:rsidR="0060625C" w:rsidRDefault="00000000">
      <w:r>
        <w:t>AgroTools acquiring flexible methods of working can lead to multiple benefits, such as enhanced employee contentment and production. Nonetheless, when this acceptance is to operate successfully across the many locations, a comprehensive review of business and HR perspectives is essential. The vital elements to consider include rewiring the payment system to strike a balance and motivate employees to participate through excellence in communication and reward. Through models like Kotter’s 8-Step Change Model and The CIPD, AgroTools can achieve rapid change. Moreover, if implemented correctly, the future of flexible working at AgroTools looks bright as it will develop a more flexible and open organisational culture.</w:t>
      </w:r>
    </w:p>
    <w:p w14:paraId="2F3FDDE9" w14:textId="77777777" w:rsidR="0060625C" w:rsidRDefault="00000000">
      <w:pPr>
        <w:pStyle w:val="Heading1"/>
      </w:pPr>
      <w:bookmarkStart w:id="11" w:name="_o3depq49dvli" w:colFirst="0" w:colLast="0"/>
      <w:bookmarkEnd w:id="11"/>
      <w:r>
        <w:br w:type="page"/>
      </w:r>
    </w:p>
    <w:p w14:paraId="4030FEF3" w14:textId="77777777" w:rsidR="0060625C" w:rsidRDefault="00000000">
      <w:pPr>
        <w:pStyle w:val="Heading1"/>
      </w:pPr>
      <w:bookmarkStart w:id="12" w:name="_pmyg28diuv62" w:colFirst="0" w:colLast="0"/>
      <w:bookmarkEnd w:id="12"/>
      <w:r>
        <w:lastRenderedPageBreak/>
        <w:t>Reference List</w:t>
      </w:r>
    </w:p>
    <w:p w14:paraId="32B178CF" w14:textId="77777777" w:rsidR="0060625C" w:rsidRDefault="00000000">
      <w:pPr>
        <w:spacing w:after="200"/>
        <w:rPr>
          <w:highlight w:val="white"/>
        </w:rPr>
      </w:pPr>
      <w:r>
        <w:rPr>
          <w:highlight w:val="white"/>
        </w:rPr>
        <w:t xml:space="preserve">Ainapur, P., 2022. MAJOR CHALLENGES AND VIABLE SOLUTIONS FOR WORK LIFE BALANCE IN ORGANIZATIONS IN CURRENT CONTEXT. </w:t>
      </w:r>
      <w:r>
        <w:rPr>
          <w:i/>
          <w:highlight w:val="white"/>
        </w:rPr>
        <w:t>BUSINESS, COMMERCE &amp; MANAGEMENT</w:t>
      </w:r>
      <w:r>
        <w:rPr>
          <w:highlight w:val="white"/>
        </w:rPr>
        <w:t>, p.208.</w:t>
      </w:r>
    </w:p>
    <w:p w14:paraId="5D747071" w14:textId="77777777" w:rsidR="0060625C" w:rsidRDefault="00000000">
      <w:pPr>
        <w:spacing w:after="200"/>
        <w:rPr>
          <w:highlight w:val="white"/>
        </w:rPr>
      </w:pPr>
      <w:r>
        <w:rPr>
          <w:highlight w:val="white"/>
        </w:rPr>
        <w:t xml:space="preserve">Angelici, M. and Profeta, P., 2023. Smart working: work flexibility without constraints. </w:t>
      </w:r>
      <w:r>
        <w:rPr>
          <w:i/>
          <w:highlight w:val="white"/>
        </w:rPr>
        <w:t>Management Science</w:t>
      </w:r>
      <w:r>
        <w:rPr>
          <w:highlight w:val="white"/>
        </w:rPr>
        <w:t>.</w:t>
      </w:r>
    </w:p>
    <w:p w14:paraId="570A97AF" w14:textId="77777777" w:rsidR="0060625C" w:rsidRDefault="00000000">
      <w:pPr>
        <w:spacing w:after="200"/>
        <w:rPr>
          <w:highlight w:val="white"/>
        </w:rPr>
      </w:pPr>
      <w:r>
        <w:rPr>
          <w:highlight w:val="white"/>
        </w:rPr>
        <w:t xml:space="preserve">Cristiano, S., Ulgiati, S. and Gonella, F., 2021. Systemic sustainability and resilience assessment of health systems, addressing global societal priorities: Learnings from a top nonprofit hospital in a bioclimatic building in Africa. </w:t>
      </w:r>
      <w:r>
        <w:rPr>
          <w:i/>
          <w:highlight w:val="white"/>
        </w:rPr>
        <w:t>Renewable and Sustainable Energy Reviews</w:t>
      </w:r>
      <w:r>
        <w:rPr>
          <w:highlight w:val="white"/>
        </w:rPr>
        <w:t xml:space="preserve">, </w:t>
      </w:r>
      <w:r>
        <w:rPr>
          <w:i/>
          <w:highlight w:val="white"/>
        </w:rPr>
        <w:t>141</w:t>
      </w:r>
      <w:r>
        <w:rPr>
          <w:highlight w:val="white"/>
        </w:rPr>
        <w:t>, p.110765.</w:t>
      </w:r>
    </w:p>
    <w:p w14:paraId="4C69FF59" w14:textId="77777777" w:rsidR="0060625C" w:rsidRDefault="00000000">
      <w:pPr>
        <w:spacing w:after="200"/>
        <w:rPr>
          <w:highlight w:val="white"/>
        </w:rPr>
      </w:pPr>
      <w:r>
        <w:rPr>
          <w:highlight w:val="white"/>
        </w:rPr>
        <w:t xml:space="preserve">Dale, G., 2020. </w:t>
      </w:r>
      <w:r>
        <w:rPr>
          <w:i/>
          <w:highlight w:val="white"/>
        </w:rPr>
        <w:t>Flexible working: How to implement flexibility in the workplace to improve employee and business performance</w:t>
      </w:r>
      <w:r>
        <w:rPr>
          <w:highlight w:val="white"/>
        </w:rPr>
        <w:t>. Kogan Page Publishers.</w:t>
      </w:r>
    </w:p>
    <w:p w14:paraId="1975CCF4" w14:textId="77777777" w:rsidR="0060625C" w:rsidRDefault="00000000">
      <w:pPr>
        <w:spacing w:after="200"/>
        <w:rPr>
          <w:highlight w:val="white"/>
        </w:rPr>
      </w:pPr>
      <w:r>
        <w:rPr>
          <w:highlight w:val="white"/>
        </w:rPr>
        <w:t xml:space="preserve">Fiddiyasari, A. and Pustika, R., 2021. Students’ Motivation in English Online Learning during Covid-19 Pandemic at SMA Muhammadiyah Gadingrejo. </w:t>
      </w:r>
      <w:r>
        <w:rPr>
          <w:i/>
          <w:highlight w:val="white"/>
        </w:rPr>
        <w:t>Journal of English Language Teaching and Learning</w:t>
      </w:r>
      <w:r>
        <w:rPr>
          <w:highlight w:val="white"/>
        </w:rPr>
        <w:t xml:space="preserve">, </w:t>
      </w:r>
      <w:r>
        <w:rPr>
          <w:i/>
          <w:highlight w:val="white"/>
        </w:rPr>
        <w:t>2</w:t>
      </w:r>
      <w:r>
        <w:rPr>
          <w:highlight w:val="white"/>
        </w:rPr>
        <w:t>(2), pp.57-61.</w:t>
      </w:r>
    </w:p>
    <w:p w14:paraId="57447B64" w14:textId="77777777" w:rsidR="0060625C" w:rsidRDefault="00000000">
      <w:pPr>
        <w:spacing w:after="200"/>
        <w:rPr>
          <w:highlight w:val="white"/>
        </w:rPr>
      </w:pPr>
      <w:r>
        <w:rPr>
          <w:highlight w:val="white"/>
        </w:rPr>
        <w:t>Forbes, S., Birkett, H., Evans, L., Chung, H. and Whiteman, J., 2020. Managing employees during the COVID-19 pandemic: Flexible working and the future of work.</w:t>
      </w:r>
    </w:p>
    <w:p w14:paraId="793E817E" w14:textId="77777777" w:rsidR="0060625C" w:rsidRDefault="00000000">
      <w:pPr>
        <w:spacing w:after="200"/>
        <w:rPr>
          <w:highlight w:val="white"/>
        </w:rPr>
      </w:pPr>
      <w:r>
        <w:rPr>
          <w:highlight w:val="white"/>
        </w:rPr>
        <w:t xml:space="preserve">Gamage, K.A., Silva, E.K.D. and Gunawardhana, N., 2020. Online delivery and assessment during COVID-19: Safeguarding academic integrity. </w:t>
      </w:r>
      <w:r>
        <w:rPr>
          <w:i/>
          <w:highlight w:val="white"/>
        </w:rPr>
        <w:t>Education Sciences</w:t>
      </w:r>
      <w:r>
        <w:rPr>
          <w:highlight w:val="white"/>
        </w:rPr>
        <w:t xml:space="preserve">, </w:t>
      </w:r>
      <w:r>
        <w:rPr>
          <w:i/>
          <w:highlight w:val="white"/>
        </w:rPr>
        <w:t>10</w:t>
      </w:r>
      <w:r>
        <w:rPr>
          <w:highlight w:val="white"/>
        </w:rPr>
        <w:t>(11), p.301.</w:t>
      </w:r>
    </w:p>
    <w:p w14:paraId="6DFABAA1" w14:textId="77777777" w:rsidR="0060625C" w:rsidRDefault="00000000">
      <w:pPr>
        <w:spacing w:after="200"/>
        <w:rPr>
          <w:highlight w:val="white"/>
        </w:rPr>
      </w:pPr>
      <w:r>
        <w:rPr>
          <w:highlight w:val="white"/>
        </w:rPr>
        <w:t xml:space="preserve">Ghani, I., Jawawi, D.N.A., Niknejad, N., Khan, M. and Jeong, S.R., 2016. A Survey of Agile Transition Models. In </w:t>
      </w:r>
      <w:r>
        <w:rPr>
          <w:i/>
          <w:highlight w:val="white"/>
        </w:rPr>
        <w:t>Emerging Innovations in Agile Software Development</w:t>
      </w:r>
      <w:r>
        <w:rPr>
          <w:highlight w:val="white"/>
        </w:rPr>
        <w:t xml:space="preserve"> (pp. 141-164). IGI Global.</w:t>
      </w:r>
    </w:p>
    <w:p w14:paraId="46D69611" w14:textId="77777777" w:rsidR="0060625C" w:rsidRDefault="00000000">
      <w:pPr>
        <w:spacing w:after="200"/>
        <w:rPr>
          <w:highlight w:val="white"/>
        </w:rPr>
      </w:pPr>
      <w:r>
        <w:rPr>
          <w:highlight w:val="white"/>
        </w:rPr>
        <w:t xml:space="preserve">Hudson, P., Morrison, R.S., Schulz, R., Brody, A.A., Dahlin, C., Kelly, K. and Meier, D.E., 2020. Improving support for family caregivers of people with a serious illness in the United States: Strategic agenda and call to action. </w:t>
      </w:r>
      <w:r>
        <w:rPr>
          <w:i/>
          <w:highlight w:val="white"/>
        </w:rPr>
        <w:t>Palliative Medicine Reports</w:t>
      </w:r>
      <w:r>
        <w:rPr>
          <w:highlight w:val="white"/>
        </w:rPr>
        <w:t xml:space="preserve">, </w:t>
      </w:r>
      <w:r>
        <w:rPr>
          <w:i/>
          <w:highlight w:val="white"/>
        </w:rPr>
        <w:t>1</w:t>
      </w:r>
      <w:r>
        <w:rPr>
          <w:highlight w:val="white"/>
        </w:rPr>
        <w:t>(1), pp.6-17.</w:t>
      </w:r>
    </w:p>
    <w:p w14:paraId="3147F374" w14:textId="77777777" w:rsidR="0060625C" w:rsidRDefault="00000000">
      <w:pPr>
        <w:spacing w:after="200"/>
        <w:rPr>
          <w:highlight w:val="white"/>
        </w:rPr>
      </w:pPr>
      <w:r>
        <w:rPr>
          <w:highlight w:val="white"/>
        </w:rPr>
        <w:t xml:space="preserve">Huo, W., Li, X., Zheng, M., Liu, Y. and Yan, J., 2020. Commitment to human resource management of the top management team for green creativity. </w:t>
      </w:r>
      <w:r>
        <w:rPr>
          <w:i/>
          <w:highlight w:val="white"/>
        </w:rPr>
        <w:t>Sustainability</w:t>
      </w:r>
      <w:r>
        <w:rPr>
          <w:highlight w:val="white"/>
        </w:rPr>
        <w:t xml:space="preserve">, </w:t>
      </w:r>
      <w:r>
        <w:rPr>
          <w:i/>
          <w:highlight w:val="white"/>
        </w:rPr>
        <w:t>12</w:t>
      </w:r>
      <w:r>
        <w:rPr>
          <w:highlight w:val="white"/>
        </w:rPr>
        <w:t>(3), p.1008.</w:t>
      </w:r>
    </w:p>
    <w:p w14:paraId="3053647C" w14:textId="77777777" w:rsidR="0060625C" w:rsidRDefault="00000000">
      <w:pPr>
        <w:spacing w:after="200"/>
        <w:rPr>
          <w:highlight w:val="white"/>
        </w:rPr>
      </w:pPr>
      <w:r>
        <w:rPr>
          <w:highlight w:val="white"/>
        </w:rPr>
        <w:lastRenderedPageBreak/>
        <w:t xml:space="preserve">Hussey, L. and Campbell-Meier, J., 2021. Are you mentoring or coaching? Definitions matter. </w:t>
      </w:r>
      <w:r>
        <w:rPr>
          <w:i/>
          <w:highlight w:val="white"/>
        </w:rPr>
        <w:t>Journal of Librarianship and Information Science</w:t>
      </w:r>
      <w:r>
        <w:rPr>
          <w:highlight w:val="white"/>
        </w:rPr>
        <w:t xml:space="preserve">, </w:t>
      </w:r>
      <w:r>
        <w:rPr>
          <w:i/>
          <w:highlight w:val="white"/>
        </w:rPr>
        <w:t>53</w:t>
      </w:r>
      <w:r>
        <w:rPr>
          <w:highlight w:val="white"/>
        </w:rPr>
        <w:t>(3), pp.510-521.</w:t>
      </w:r>
    </w:p>
    <w:p w14:paraId="0A42BD7F" w14:textId="77777777" w:rsidR="0060625C" w:rsidRDefault="00000000">
      <w:pPr>
        <w:spacing w:after="200"/>
        <w:rPr>
          <w:highlight w:val="white"/>
        </w:rPr>
      </w:pPr>
      <w:r>
        <w:rPr>
          <w:highlight w:val="white"/>
        </w:rPr>
        <w:t xml:space="preserve">Karal, F.S. and Soyer, A., 2024. A systematic literature review: Setting a basis for smart and sustainable city performance measurement. </w:t>
      </w:r>
      <w:r>
        <w:rPr>
          <w:i/>
          <w:highlight w:val="white"/>
        </w:rPr>
        <w:t>Sustainable Development</w:t>
      </w:r>
      <w:r>
        <w:rPr>
          <w:highlight w:val="white"/>
        </w:rPr>
        <w:t xml:space="preserve">, </w:t>
      </w:r>
      <w:r>
        <w:rPr>
          <w:i/>
          <w:highlight w:val="white"/>
        </w:rPr>
        <w:t>32</w:t>
      </w:r>
      <w:r>
        <w:rPr>
          <w:highlight w:val="white"/>
        </w:rPr>
        <w:t>(1), pp.555-573.</w:t>
      </w:r>
    </w:p>
    <w:p w14:paraId="3D6C5973" w14:textId="77777777" w:rsidR="0060625C" w:rsidRDefault="00000000">
      <w:pPr>
        <w:spacing w:after="200"/>
        <w:rPr>
          <w:highlight w:val="white"/>
        </w:rPr>
      </w:pPr>
      <w:r>
        <w:rPr>
          <w:highlight w:val="white"/>
        </w:rPr>
        <w:t xml:space="preserve">Monnagaaratwe, K.F. and Motatsa, K.W., 2021. Enhancing business competitiveness of medium-sized food produce retailers through supply chain management. </w:t>
      </w:r>
      <w:r>
        <w:rPr>
          <w:i/>
          <w:highlight w:val="white"/>
        </w:rPr>
        <w:t>Journal of Transport and Supply Chain Management</w:t>
      </w:r>
      <w:r>
        <w:rPr>
          <w:highlight w:val="white"/>
        </w:rPr>
        <w:t xml:space="preserve">, </w:t>
      </w:r>
      <w:r>
        <w:rPr>
          <w:i/>
          <w:highlight w:val="white"/>
        </w:rPr>
        <w:t>15</w:t>
      </w:r>
      <w:r>
        <w:rPr>
          <w:highlight w:val="white"/>
        </w:rPr>
        <w:t>, p.10.</w:t>
      </w:r>
    </w:p>
    <w:p w14:paraId="00B05FFB" w14:textId="77777777" w:rsidR="0060625C" w:rsidRDefault="00000000">
      <w:pPr>
        <w:spacing w:after="200"/>
        <w:rPr>
          <w:highlight w:val="white"/>
        </w:rPr>
      </w:pPr>
      <w:r>
        <w:rPr>
          <w:highlight w:val="white"/>
        </w:rPr>
        <w:t xml:space="preserve">Newman, S.A. and Ford, R.C., 2021. Five steps to leading your team in the virtual COVID-19 workplace. </w:t>
      </w:r>
      <w:r>
        <w:rPr>
          <w:i/>
          <w:highlight w:val="white"/>
        </w:rPr>
        <w:t>Organizational Dynamics</w:t>
      </w:r>
      <w:r>
        <w:rPr>
          <w:highlight w:val="white"/>
        </w:rPr>
        <w:t xml:space="preserve">, </w:t>
      </w:r>
      <w:r>
        <w:rPr>
          <w:i/>
          <w:highlight w:val="white"/>
        </w:rPr>
        <w:t>50</w:t>
      </w:r>
      <w:r>
        <w:rPr>
          <w:highlight w:val="white"/>
        </w:rPr>
        <w:t>(1), p.100802.</w:t>
      </w:r>
    </w:p>
    <w:p w14:paraId="095ED370" w14:textId="77777777" w:rsidR="0060625C" w:rsidRDefault="00000000">
      <w:pPr>
        <w:spacing w:after="200"/>
        <w:rPr>
          <w:highlight w:val="white"/>
        </w:rPr>
      </w:pPr>
      <w:r>
        <w:rPr>
          <w:highlight w:val="white"/>
        </w:rPr>
        <w:t xml:space="preserve">Ramírez-Montoya, M.S., Castillo-Martínez, I.M., Sanabria-Z, J. and Miranda, J., 2022. Complex thinking in the framework of Education 4.0 and Open Innovation—A systematic literature review. </w:t>
      </w:r>
      <w:r>
        <w:rPr>
          <w:i/>
          <w:highlight w:val="white"/>
        </w:rPr>
        <w:t>Journal of Open Innovation: Technology, Market, and Complexity</w:t>
      </w:r>
      <w:r>
        <w:rPr>
          <w:highlight w:val="white"/>
        </w:rPr>
        <w:t xml:space="preserve">, </w:t>
      </w:r>
      <w:r>
        <w:rPr>
          <w:i/>
          <w:highlight w:val="white"/>
        </w:rPr>
        <w:t>8</w:t>
      </w:r>
      <w:r>
        <w:rPr>
          <w:highlight w:val="white"/>
        </w:rPr>
        <w:t>(1), p.4.</w:t>
      </w:r>
    </w:p>
    <w:p w14:paraId="15E22C75" w14:textId="77777777" w:rsidR="0060625C" w:rsidRDefault="00000000">
      <w:pPr>
        <w:spacing w:after="200"/>
        <w:rPr>
          <w:highlight w:val="white"/>
        </w:rPr>
      </w:pPr>
      <w:r>
        <w:rPr>
          <w:highlight w:val="white"/>
        </w:rPr>
        <w:t xml:space="preserve">Saari, T., Leinonen, M. and Tapanila, K., 2022. Sources of meaningful work for blue-collar workers. </w:t>
      </w:r>
      <w:r>
        <w:rPr>
          <w:i/>
          <w:highlight w:val="white"/>
        </w:rPr>
        <w:t>Social Sciences</w:t>
      </w:r>
      <w:r>
        <w:rPr>
          <w:highlight w:val="white"/>
        </w:rPr>
        <w:t xml:space="preserve">, </w:t>
      </w:r>
      <w:r>
        <w:rPr>
          <w:i/>
          <w:highlight w:val="white"/>
        </w:rPr>
        <w:t>11</w:t>
      </w:r>
      <w:r>
        <w:rPr>
          <w:highlight w:val="white"/>
        </w:rPr>
        <w:t>(1), p.2.</w:t>
      </w:r>
    </w:p>
    <w:p w14:paraId="20D04F66" w14:textId="77777777" w:rsidR="0060625C" w:rsidRDefault="00000000">
      <w:pPr>
        <w:spacing w:after="200"/>
        <w:rPr>
          <w:highlight w:val="white"/>
        </w:rPr>
      </w:pPr>
      <w:r>
        <w:rPr>
          <w:highlight w:val="white"/>
        </w:rPr>
        <w:t xml:space="preserve">Saks, A.M., 2022. Caring human resources management and employee engagement. </w:t>
      </w:r>
      <w:r>
        <w:rPr>
          <w:i/>
          <w:highlight w:val="white"/>
        </w:rPr>
        <w:t>Human Resource Management Review</w:t>
      </w:r>
      <w:r>
        <w:rPr>
          <w:highlight w:val="white"/>
        </w:rPr>
        <w:t xml:space="preserve">, </w:t>
      </w:r>
      <w:r>
        <w:rPr>
          <w:i/>
          <w:highlight w:val="white"/>
        </w:rPr>
        <w:t>32</w:t>
      </w:r>
      <w:r>
        <w:rPr>
          <w:highlight w:val="white"/>
        </w:rPr>
        <w:t>(3), p.100835.</w:t>
      </w:r>
    </w:p>
    <w:p w14:paraId="7282B170" w14:textId="77777777" w:rsidR="0060625C" w:rsidRDefault="00000000">
      <w:pPr>
        <w:spacing w:after="200"/>
        <w:rPr>
          <w:highlight w:val="white"/>
        </w:rPr>
      </w:pPr>
      <w:r>
        <w:rPr>
          <w:highlight w:val="white"/>
        </w:rPr>
        <w:t xml:space="preserve">Tomaz, S.A., Coffee, P., Ryde, G.C., Swales, B., Neely, K.C., Connelly, J., Kirkland, A., McCabe, L., Watchman, K., Andreis, F. and Martin, J.G., 2021. Loneliness, wellbeing, and social activity in Scottish older adults resulting from social distancing during the COVID-19 pandemic. </w:t>
      </w:r>
      <w:r>
        <w:rPr>
          <w:i/>
          <w:highlight w:val="white"/>
        </w:rPr>
        <w:t>International journal of environmental research and public health</w:t>
      </w:r>
      <w:r>
        <w:rPr>
          <w:highlight w:val="white"/>
        </w:rPr>
        <w:t xml:space="preserve">, </w:t>
      </w:r>
      <w:r>
        <w:rPr>
          <w:i/>
          <w:highlight w:val="white"/>
        </w:rPr>
        <w:t>18</w:t>
      </w:r>
      <w:r>
        <w:rPr>
          <w:highlight w:val="white"/>
        </w:rPr>
        <w:t>(9), p.4517.</w:t>
      </w:r>
    </w:p>
    <w:p w14:paraId="1ADE12C8" w14:textId="77777777" w:rsidR="0060625C" w:rsidRDefault="00000000">
      <w:pPr>
        <w:spacing w:after="200"/>
        <w:rPr>
          <w:highlight w:val="white"/>
        </w:rPr>
      </w:pPr>
      <w:r>
        <w:rPr>
          <w:highlight w:val="white"/>
        </w:rPr>
        <w:t xml:space="preserve">Wang, C.X., You, X., Gao, X., Zhu, X., Li, Z., Zhang, C., Wang, H., Huang, Y., Chen, Y., Haas, H. and Thompson, J.S., 2023. On the road to 6G: Visions, requirements, key technologies and testbeds. </w:t>
      </w:r>
      <w:r>
        <w:rPr>
          <w:i/>
          <w:highlight w:val="white"/>
        </w:rPr>
        <w:t>IEEE Communications Surveys &amp; Tutorials</w:t>
      </w:r>
      <w:r>
        <w:rPr>
          <w:highlight w:val="white"/>
        </w:rPr>
        <w:t>.</w:t>
      </w:r>
    </w:p>
    <w:p w14:paraId="548352E7" w14:textId="77777777" w:rsidR="0060625C" w:rsidRDefault="00000000">
      <w:pPr>
        <w:spacing w:after="200"/>
        <w:rPr>
          <w:highlight w:val="white"/>
        </w:rPr>
      </w:pPr>
      <w:r>
        <w:rPr>
          <w:highlight w:val="white"/>
        </w:rPr>
        <w:t xml:space="preserve">White, C. and Maniam, B., 2020. Flexible working arrangements, worklife balance, and working women. </w:t>
      </w:r>
      <w:r>
        <w:rPr>
          <w:i/>
          <w:highlight w:val="white"/>
        </w:rPr>
        <w:t>Journal of Business and Accounting</w:t>
      </w:r>
      <w:r>
        <w:rPr>
          <w:highlight w:val="white"/>
        </w:rPr>
        <w:t xml:space="preserve">, </w:t>
      </w:r>
      <w:r>
        <w:rPr>
          <w:i/>
          <w:highlight w:val="white"/>
        </w:rPr>
        <w:t>13</w:t>
      </w:r>
      <w:r>
        <w:rPr>
          <w:highlight w:val="white"/>
        </w:rPr>
        <w:t>(1), pp.59-73.</w:t>
      </w:r>
    </w:p>
    <w:p w14:paraId="4D10565D" w14:textId="77777777" w:rsidR="0060625C" w:rsidRDefault="00000000">
      <w:pPr>
        <w:spacing w:after="200"/>
      </w:pPr>
      <w:r>
        <w:rPr>
          <w:highlight w:val="white"/>
        </w:rPr>
        <w:lastRenderedPageBreak/>
        <w:t xml:space="preserve">Xiao, Y., Becerik-Gerber, B., Lucas, G. and Roll, S.C., 2021. Impacts of working from home during COVID-19 pandemic on physical and mental well-being of office workstation users. </w:t>
      </w:r>
      <w:r>
        <w:rPr>
          <w:i/>
          <w:highlight w:val="white"/>
        </w:rPr>
        <w:t>Journal of occupational and environmental medicine</w:t>
      </w:r>
      <w:r>
        <w:rPr>
          <w:highlight w:val="white"/>
        </w:rPr>
        <w:t xml:space="preserve">, </w:t>
      </w:r>
      <w:r>
        <w:rPr>
          <w:i/>
          <w:highlight w:val="white"/>
        </w:rPr>
        <w:t>63</w:t>
      </w:r>
      <w:r>
        <w:rPr>
          <w:highlight w:val="white"/>
        </w:rPr>
        <w:t>(3), pp.181-190.</w:t>
      </w:r>
    </w:p>
    <w:sectPr w:rsidR="0060625C">
      <w:footerReference w:type="default" r:id="rId8"/>
      <w:foot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E43E9E" w14:textId="77777777" w:rsidR="00156C68" w:rsidRDefault="00156C68">
      <w:pPr>
        <w:spacing w:line="240" w:lineRule="auto"/>
      </w:pPr>
      <w:r>
        <w:separator/>
      </w:r>
    </w:p>
  </w:endnote>
  <w:endnote w:type="continuationSeparator" w:id="0">
    <w:p w14:paraId="762071AD" w14:textId="77777777" w:rsidR="00156C68" w:rsidRDefault="00156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8E2FE2" w14:textId="77777777" w:rsidR="0060625C" w:rsidRDefault="00000000">
    <w:pPr>
      <w:jc w:val="right"/>
    </w:pPr>
    <w:r>
      <w:fldChar w:fldCharType="begin"/>
    </w:r>
    <w:r>
      <w:instrText>PAGE</w:instrText>
    </w:r>
    <w:r>
      <w:fldChar w:fldCharType="separate"/>
    </w:r>
    <w:r w:rsidR="00E955DE">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01EAAF" w14:textId="77777777" w:rsidR="0060625C" w:rsidRDefault="0060625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42BA68" w14:textId="77777777" w:rsidR="00156C68" w:rsidRDefault="00156C68">
      <w:pPr>
        <w:spacing w:line="240" w:lineRule="auto"/>
      </w:pPr>
      <w:r>
        <w:separator/>
      </w:r>
    </w:p>
  </w:footnote>
  <w:footnote w:type="continuationSeparator" w:id="0">
    <w:p w14:paraId="194AA93C" w14:textId="77777777" w:rsidR="00156C68" w:rsidRDefault="00156C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25C"/>
    <w:rsid w:val="00156C68"/>
    <w:rsid w:val="0060625C"/>
    <w:rsid w:val="00E9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E57CF"/>
  <w15:docId w15:val="{0F6720E5-94B6-4954-A245-E4C593786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783F04"/>
      <w:sz w:val="28"/>
      <w:szCs w:val="28"/>
    </w:rPr>
  </w:style>
  <w:style w:type="paragraph" w:styleId="Heading2">
    <w:name w:val="heading 2"/>
    <w:basedOn w:val="Normal"/>
    <w:next w:val="Normal"/>
    <w:uiPriority w:val="9"/>
    <w:unhideWhenUsed/>
    <w:qFormat/>
    <w:pPr>
      <w:keepNext/>
      <w:keepLines/>
      <w:spacing w:before="360" w:after="120"/>
      <w:outlineLvl w:val="1"/>
    </w:pPr>
    <w:rPr>
      <w:b/>
      <w:color w:val="B45F06"/>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2962</Words>
  <Characters>16885</Characters>
  <Application>Microsoft Office Word</Application>
  <DocSecurity>0</DocSecurity>
  <Lines>140</Lines>
  <Paragraphs>39</Paragraphs>
  <ScaleCrop>false</ScaleCrop>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User-IWF</dc:creator>
  <cp:lastModifiedBy>User-IWF</cp:lastModifiedBy>
  <cp:revision>2</cp:revision>
  <dcterms:created xsi:type="dcterms:W3CDTF">2024-03-26T20:11:00Z</dcterms:created>
  <dcterms:modified xsi:type="dcterms:W3CDTF">2024-03-26T20:11:00Z</dcterms:modified>
</cp:coreProperties>
</file>