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41E477" w14:textId="77777777" w:rsidR="00DF256C" w:rsidRDefault="00DF256C" w:rsidP="004954E5">
      <w:pPr>
        <w:spacing w:line="360" w:lineRule="auto"/>
        <w:rPr>
          <w:rFonts w:ascii="Arial" w:hAnsi="Arial" w:cs="Arial"/>
          <w:b/>
          <w:bCs/>
          <w:i/>
          <w:iCs/>
          <w:sz w:val="22"/>
          <w:szCs w:val="22"/>
        </w:rPr>
      </w:pPr>
    </w:p>
    <w:p w14:paraId="7F190ED9" w14:textId="3ABE5E36" w:rsidR="00DF256C" w:rsidRDefault="00DE6440">
      <w:pPr>
        <w:rPr>
          <w:rFonts w:ascii="Arial" w:hAnsi="Arial" w:cs="Arial"/>
          <w:b/>
          <w:bCs/>
          <w:i/>
          <w:iCs/>
          <w:sz w:val="22"/>
          <w:szCs w:val="22"/>
        </w:rPr>
      </w:pPr>
      <w:r>
        <w:rPr>
          <w:rFonts w:ascii="Arial" w:hAnsi="Arial" w:cs="Arial"/>
          <w:b/>
          <w:bCs/>
          <w:i/>
          <w:iCs/>
          <w:noProof/>
          <w:sz w:val="22"/>
          <w:szCs w:val="22"/>
        </w:rPr>
        <w:drawing>
          <wp:anchor distT="0" distB="0" distL="114300" distR="114300" simplePos="0" relativeHeight="251659264" behindDoc="0" locked="0" layoutInCell="1" allowOverlap="1" wp14:anchorId="04906764" wp14:editId="6F5C1476">
            <wp:simplePos x="0" y="0"/>
            <wp:positionH relativeFrom="column">
              <wp:posOffset>0</wp:posOffset>
            </wp:positionH>
            <wp:positionV relativeFrom="paragraph">
              <wp:posOffset>288290</wp:posOffset>
            </wp:positionV>
            <wp:extent cx="5731510" cy="3009265"/>
            <wp:effectExtent l="0" t="0" r="2540" b="635"/>
            <wp:wrapTopAndBottom/>
            <wp:docPr id="1387444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444620" name="Picture 1387444620"/>
                    <pic:cNvPicPr/>
                  </pic:nvPicPr>
                  <pic:blipFill>
                    <a:blip r:embed="rId4">
                      <a:extLst>
                        <a:ext uri="{28A0092B-C50C-407E-A947-70E740481C1C}">
                          <a14:useLocalDpi xmlns:a14="http://schemas.microsoft.com/office/drawing/2010/main" val="0"/>
                        </a:ext>
                      </a:extLst>
                    </a:blip>
                    <a:stretch>
                      <a:fillRect/>
                    </a:stretch>
                  </pic:blipFill>
                  <pic:spPr>
                    <a:xfrm>
                      <a:off x="0" y="0"/>
                      <a:ext cx="5731510" cy="3009265"/>
                    </a:xfrm>
                    <a:prstGeom prst="rect">
                      <a:avLst/>
                    </a:prstGeom>
                  </pic:spPr>
                </pic:pic>
              </a:graphicData>
            </a:graphic>
          </wp:anchor>
        </w:drawing>
      </w:r>
    </w:p>
    <w:p w14:paraId="5BA28690" w14:textId="77777777" w:rsidR="00723707" w:rsidRDefault="00723707">
      <w:pPr>
        <w:rPr>
          <w:rFonts w:ascii="Arial" w:hAnsi="Arial" w:cs="Arial"/>
          <w:b/>
          <w:bCs/>
          <w:i/>
          <w:iCs/>
          <w:sz w:val="22"/>
          <w:szCs w:val="22"/>
        </w:rPr>
      </w:pPr>
    </w:p>
    <w:p w14:paraId="7B947FCB" w14:textId="77777777" w:rsidR="00723707" w:rsidRDefault="00723707">
      <w:pPr>
        <w:rPr>
          <w:rFonts w:ascii="Arial" w:hAnsi="Arial" w:cs="Arial"/>
          <w:b/>
          <w:bCs/>
          <w:i/>
          <w:iCs/>
          <w:sz w:val="22"/>
          <w:szCs w:val="22"/>
        </w:rPr>
      </w:pPr>
    </w:p>
    <w:p w14:paraId="57B220BF" w14:textId="1DC19F33" w:rsidR="00723707" w:rsidRDefault="00A261E2">
      <w:pPr>
        <w:rPr>
          <w:rFonts w:ascii="Arial" w:hAnsi="Arial" w:cs="Arial"/>
          <w:sz w:val="22"/>
          <w:szCs w:val="22"/>
        </w:rPr>
      </w:pPr>
      <w:r>
        <w:rPr>
          <w:rFonts w:ascii="Arial" w:hAnsi="Arial" w:cs="Arial"/>
          <w:b/>
          <w:bCs/>
          <w:sz w:val="22"/>
          <w:szCs w:val="22"/>
        </w:rPr>
        <w:t xml:space="preserve">Name: </w:t>
      </w:r>
      <w:r>
        <w:rPr>
          <w:rFonts w:ascii="Arial" w:hAnsi="Arial" w:cs="Arial"/>
          <w:sz w:val="22"/>
          <w:szCs w:val="22"/>
        </w:rPr>
        <w:t xml:space="preserve">Nazmin Malik </w:t>
      </w:r>
    </w:p>
    <w:p w14:paraId="67E6BBA7" w14:textId="652EA1F1" w:rsidR="00A261E2" w:rsidRDefault="00A261E2">
      <w:pPr>
        <w:rPr>
          <w:rFonts w:ascii="Arial" w:hAnsi="Arial" w:cs="Arial"/>
          <w:sz w:val="22"/>
          <w:szCs w:val="22"/>
        </w:rPr>
      </w:pPr>
      <w:r>
        <w:rPr>
          <w:rFonts w:ascii="Arial" w:hAnsi="Arial" w:cs="Arial"/>
          <w:b/>
          <w:bCs/>
          <w:sz w:val="22"/>
          <w:szCs w:val="22"/>
        </w:rPr>
        <w:t>Student no:</w:t>
      </w:r>
      <w:r w:rsidR="00AC3BFC">
        <w:rPr>
          <w:rFonts w:ascii="Arial" w:hAnsi="Arial" w:cs="Arial"/>
          <w:b/>
          <w:bCs/>
          <w:sz w:val="22"/>
          <w:szCs w:val="22"/>
        </w:rPr>
        <w:t xml:space="preserve"> </w:t>
      </w:r>
      <w:r w:rsidR="00AC3BFC">
        <w:rPr>
          <w:rFonts w:ascii="Arial" w:hAnsi="Arial" w:cs="Arial"/>
          <w:sz w:val="22"/>
          <w:szCs w:val="22"/>
        </w:rPr>
        <w:t>2242813</w:t>
      </w:r>
    </w:p>
    <w:p w14:paraId="40C37293" w14:textId="7405AFD7" w:rsidR="00AC3BFC" w:rsidRPr="00F07380" w:rsidRDefault="00AC3BFC">
      <w:pPr>
        <w:rPr>
          <w:rFonts w:ascii="Arial" w:hAnsi="Arial" w:cs="Arial"/>
          <w:sz w:val="22"/>
          <w:szCs w:val="22"/>
        </w:rPr>
      </w:pPr>
      <w:r>
        <w:rPr>
          <w:rFonts w:ascii="Arial" w:hAnsi="Arial" w:cs="Arial"/>
          <w:b/>
          <w:bCs/>
          <w:sz w:val="22"/>
          <w:szCs w:val="22"/>
        </w:rPr>
        <w:t>Module:</w:t>
      </w:r>
      <w:r w:rsidR="00F07380">
        <w:rPr>
          <w:rFonts w:ascii="Arial" w:hAnsi="Arial" w:cs="Arial"/>
          <w:b/>
          <w:bCs/>
          <w:sz w:val="22"/>
          <w:szCs w:val="22"/>
        </w:rPr>
        <w:t xml:space="preserve"> </w:t>
      </w:r>
      <w:r w:rsidR="00F07380" w:rsidRPr="00F07380">
        <w:rPr>
          <w:rFonts w:ascii="Arial" w:hAnsi="Arial" w:cs="Arial"/>
          <w:sz w:val="22"/>
          <w:szCs w:val="22"/>
        </w:rPr>
        <w:t>Health, Wellbeing and Sustainable Development</w:t>
      </w:r>
    </w:p>
    <w:p w14:paraId="53C63789" w14:textId="26004D2B" w:rsidR="00AC3BFC" w:rsidRDefault="00AC3BFC">
      <w:pPr>
        <w:rPr>
          <w:rFonts w:ascii="Arial" w:hAnsi="Arial" w:cs="Arial"/>
          <w:b/>
          <w:bCs/>
          <w:sz w:val="22"/>
          <w:szCs w:val="22"/>
        </w:rPr>
      </w:pPr>
      <w:r>
        <w:rPr>
          <w:rFonts w:ascii="Arial" w:hAnsi="Arial" w:cs="Arial"/>
          <w:b/>
          <w:bCs/>
          <w:sz w:val="22"/>
          <w:szCs w:val="22"/>
        </w:rPr>
        <w:t>Module Code:</w:t>
      </w:r>
      <w:r w:rsidR="00F07380">
        <w:rPr>
          <w:rFonts w:ascii="Arial" w:hAnsi="Arial" w:cs="Arial"/>
          <w:b/>
          <w:bCs/>
          <w:sz w:val="22"/>
          <w:szCs w:val="22"/>
        </w:rPr>
        <w:t xml:space="preserve"> </w:t>
      </w:r>
      <w:r w:rsidR="000C4DB5" w:rsidRPr="000C4DB5">
        <w:rPr>
          <w:rFonts w:ascii="Arial" w:hAnsi="Arial" w:cs="Arial"/>
          <w:sz w:val="22"/>
          <w:szCs w:val="22"/>
        </w:rPr>
        <w:t>BMHP6030</w:t>
      </w:r>
    </w:p>
    <w:p w14:paraId="3676C461" w14:textId="52E6DF79" w:rsidR="00AC3BFC" w:rsidRPr="000C4DB5" w:rsidRDefault="00AC3BFC">
      <w:pPr>
        <w:rPr>
          <w:rFonts w:ascii="Arial" w:hAnsi="Arial" w:cs="Arial"/>
          <w:sz w:val="22"/>
          <w:szCs w:val="22"/>
        </w:rPr>
      </w:pPr>
      <w:r>
        <w:rPr>
          <w:rFonts w:ascii="Arial" w:hAnsi="Arial" w:cs="Arial"/>
          <w:b/>
          <w:bCs/>
          <w:sz w:val="22"/>
          <w:szCs w:val="22"/>
        </w:rPr>
        <w:t>Assignment Title:</w:t>
      </w:r>
      <w:r w:rsidR="000C4DB5">
        <w:rPr>
          <w:rFonts w:ascii="Arial" w:hAnsi="Arial" w:cs="Arial"/>
          <w:b/>
          <w:bCs/>
          <w:sz w:val="22"/>
          <w:szCs w:val="22"/>
        </w:rPr>
        <w:t xml:space="preserve"> </w:t>
      </w:r>
      <w:r w:rsidR="000C4DB5">
        <w:rPr>
          <w:rFonts w:ascii="Arial" w:hAnsi="Arial" w:cs="Arial"/>
          <w:sz w:val="22"/>
          <w:szCs w:val="22"/>
        </w:rPr>
        <w:t xml:space="preserve">Component 2 / written assignment </w:t>
      </w:r>
    </w:p>
    <w:p w14:paraId="61904688" w14:textId="3EFFFB81" w:rsidR="00AC3BFC" w:rsidRPr="00AC3BFC" w:rsidRDefault="00AC3BFC">
      <w:pPr>
        <w:rPr>
          <w:rFonts w:ascii="Arial" w:hAnsi="Arial" w:cs="Arial"/>
          <w:b/>
          <w:bCs/>
          <w:sz w:val="22"/>
          <w:szCs w:val="22"/>
        </w:rPr>
      </w:pPr>
      <w:r>
        <w:rPr>
          <w:rFonts w:ascii="Arial" w:hAnsi="Arial" w:cs="Arial"/>
          <w:b/>
          <w:bCs/>
          <w:sz w:val="22"/>
          <w:szCs w:val="22"/>
        </w:rPr>
        <w:t>Lecture:</w:t>
      </w:r>
      <w:r w:rsidR="000C4DB5" w:rsidRPr="00EB5B8B">
        <w:rPr>
          <w:rFonts w:ascii="Arial" w:hAnsi="Arial" w:cs="Arial"/>
          <w:sz w:val="22"/>
          <w:szCs w:val="22"/>
        </w:rPr>
        <w:t xml:space="preserve"> </w:t>
      </w:r>
      <w:r w:rsidR="00EB5B8B" w:rsidRPr="00EB5B8B">
        <w:rPr>
          <w:rFonts w:ascii="Arial" w:hAnsi="Arial" w:cs="Arial"/>
          <w:sz w:val="22"/>
          <w:szCs w:val="22"/>
        </w:rPr>
        <w:t>Tomy Adattu Chacko</w:t>
      </w:r>
    </w:p>
    <w:p w14:paraId="619F8950" w14:textId="77777777" w:rsidR="00723707" w:rsidRDefault="00723707">
      <w:pPr>
        <w:rPr>
          <w:rFonts w:ascii="Arial" w:hAnsi="Arial" w:cs="Arial"/>
          <w:b/>
          <w:bCs/>
          <w:i/>
          <w:iCs/>
          <w:sz w:val="22"/>
          <w:szCs w:val="22"/>
        </w:rPr>
      </w:pPr>
    </w:p>
    <w:p w14:paraId="4AD08287" w14:textId="77777777" w:rsidR="00723707" w:rsidRDefault="00723707">
      <w:pPr>
        <w:rPr>
          <w:rFonts w:ascii="Arial" w:hAnsi="Arial" w:cs="Arial"/>
          <w:b/>
          <w:bCs/>
          <w:i/>
          <w:iCs/>
          <w:sz w:val="22"/>
          <w:szCs w:val="22"/>
        </w:rPr>
      </w:pPr>
    </w:p>
    <w:p w14:paraId="0900BB1E" w14:textId="77777777" w:rsidR="00723707" w:rsidRDefault="00723707">
      <w:pPr>
        <w:rPr>
          <w:rFonts w:ascii="Arial" w:hAnsi="Arial" w:cs="Arial"/>
          <w:b/>
          <w:bCs/>
          <w:i/>
          <w:iCs/>
          <w:sz w:val="22"/>
          <w:szCs w:val="22"/>
        </w:rPr>
      </w:pPr>
    </w:p>
    <w:p w14:paraId="1CC1A48F" w14:textId="77777777" w:rsidR="00723707" w:rsidRDefault="00723707">
      <w:pPr>
        <w:rPr>
          <w:rFonts w:ascii="Arial" w:hAnsi="Arial" w:cs="Arial"/>
          <w:b/>
          <w:bCs/>
          <w:i/>
          <w:iCs/>
          <w:sz w:val="22"/>
          <w:szCs w:val="22"/>
        </w:rPr>
      </w:pPr>
    </w:p>
    <w:p w14:paraId="7204B489" w14:textId="77777777" w:rsidR="00723707" w:rsidRDefault="00723707">
      <w:pPr>
        <w:rPr>
          <w:rFonts w:ascii="Arial" w:hAnsi="Arial" w:cs="Arial"/>
          <w:b/>
          <w:bCs/>
          <w:i/>
          <w:iCs/>
          <w:sz w:val="22"/>
          <w:szCs w:val="22"/>
        </w:rPr>
      </w:pPr>
    </w:p>
    <w:p w14:paraId="3B1C3FE9" w14:textId="77777777" w:rsidR="00723707" w:rsidRDefault="00723707">
      <w:pPr>
        <w:rPr>
          <w:rFonts w:ascii="Arial" w:hAnsi="Arial" w:cs="Arial"/>
          <w:b/>
          <w:bCs/>
          <w:i/>
          <w:iCs/>
          <w:sz w:val="22"/>
          <w:szCs w:val="22"/>
        </w:rPr>
      </w:pPr>
    </w:p>
    <w:p w14:paraId="74ACE137" w14:textId="77777777" w:rsidR="00723707" w:rsidRDefault="00723707">
      <w:pPr>
        <w:rPr>
          <w:rFonts w:ascii="Arial" w:hAnsi="Arial" w:cs="Arial"/>
          <w:b/>
          <w:bCs/>
          <w:i/>
          <w:iCs/>
          <w:sz w:val="22"/>
          <w:szCs w:val="22"/>
        </w:rPr>
      </w:pPr>
    </w:p>
    <w:p w14:paraId="71DC6F54" w14:textId="77777777" w:rsidR="00723707" w:rsidRDefault="00723707">
      <w:pPr>
        <w:rPr>
          <w:rFonts w:ascii="Arial" w:hAnsi="Arial" w:cs="Arial"/>
          <w:b/>
          <w:bCs/>
          <w:i/>
          <w:iCs/>
          <w:sz w:val="22"/>
          <w:szCs w:val="22"/>
        </w:rPr>
      </w:pPr>
    </w:p>
    <w:p w14:paraId="3422D093" w14:textId="77777777" w:rsidR="00723707" w:rsidRDefault="00723707">
      <w:pPr>
        <w:rPr>
          <w:rFonts w:ascii="Arial" w:hAnsi="Arial" w:cs="Arial"/>
          <w:b/>
          <w:bCs/>
          <w:i/>
          <w:iCs/>
          <w:sz w:val="22"/>
          <w:szCs w:val="22"/>
        </w:rPr>
      </w:pPr>
    </w:p>
    <w:p w14:paraId="12D4BAF6" w14:textId="77777777" w:rsidR="00723707" w:rsidRDefault="00723707">
      <w:pPr>
        <w:rPr>
          <w:rFonts w:ascii="Arial" w:hAnsi="Arial" w:cs="Arial"/>
          <w:b/>
          <w:bCs/>
          <w:i/>
          <w:iCs/>
          <w:sz w:val="22"/>
          <w:szCs w:val="22"/>
        </w:rPr>
      </w:pPr>
    </w:p>
    <w:p w14:paraId="3845D5C2" w14:textId="59E69CC5" w:rsidR="00291155" w:rsidRPr="0084053B" w:rsidRDefault="004F0368" w:rsidP="004954E5">
      <w:pPr>
        <w:spacing w:line="360" w:lineRule="auto"/>
        <w:rPr>
          <w:rFonts w:ascii="Arial" w:hAnsi="Arial" w:cs="Arial"/>
          <w:b/>
          <w:bCs/>
          <w:i/>
          <w:iCs/>
          <w:sz w:val="22"/>
          <w:szCs w:val="22"/>
        </w:rPr>
      </w:pPr>
      <w:r w:rsidRPr="0084053B">
        <w:rPr>
          <w:rFonts w:ascii="Arial" w:hAnsi="Arial" w:cs="Arial"/>
          <w:b/>
          <w:bCs/>
          <w:i/>
          <w:iCs/>
          <w:sz w:val="22"/>
          <w:szCs w:val="22"/>
        </w:rPr>
        <w:lastRenderedPageBreak/>
        <w:t>“A Critical Examination of Health, Wellbeing, and Sustainability Policies: Analysing the Impact of SDG 3 and SDG 11 at Global, National, and Local Levels”</w:t>
      </w:r>
    </w:p>
    <w:p w14:paraId="72089C8E" w14:textId="6E934000" w:rsidR="00D30446" w:rsidRPr="002C5BB7" w:rsidRDefault="00DF22DA" w:rsidP="002C5BB7">
      <w:pPr>
        <w:spacing w:line="360" w:lineRule="auto"/>
        <w:rPr>
          <w:rFonts w:ascii="Arial" w:hAnsi="Arial" w:cs="Arial"/>
          <w:b/>
          <w:bCs/>
          <w:sz w:val="22"/>
          <w:szCs w:val="22"/>
        </w:rPr>
      </w:pPr>
      <w:r w:rsidRPr="004954E5">
        <w:rPr>
          <w:rFonts w:ascii="Arial" w:hAnsi="Arial" w:cs="Arial"/>
          <w:b/>
          <w:bCs/>
          <w:sz w:val="22"/>
          <w:szCs w:val="22"/>
        </w:rPr>
        <w:t>Introduction</w:t>
      </w:r>
    </w:p>
    <w:p w14:paraId="4F6AEDF1" w14:textId="77777777" w:rsidR="00D30446" w:rsidRPr="00D30446" w:rsidRDefault="00D30446" w:rsidP="00D30446">
      <w:pPr>
        <w:pStyle w:val="NormalWeb"/>
        <w:spacing w:line="360" w:lineRule="auto"/>
        <w:rPr>
          <w:rFonts w:ascii="Arial" w:hAnsi="Arial" w:cs="Arial"/>
          <w:sz w:val="22"/>
          <w:szCs w:val="22"/>
        </w:rPr>
      </w:pPr>
      <w:r w:rsidRPr="00D30446">
        <w:rPr>
          <w:rFonts w:ascii="Arial" w:hAnsi="Arial" w:cs="Arial"/>
          <w:sz w:val="22"/>
          <w:szCs w:val="22"/>
        </w:rPr>
        <w:t>Health and wellbeing are important for individuals and communities worldwide and are closely linked to sustainable development. Governments and international organisations have recognised that improving health outcomes requires coordinated action across social, economic and environmental factors. The Sustainable Development Goals (SDGs), introduced by the United Nations in 2015, provide a global framework to address these challenges and improve quality of life (United Nations, 2015). In particular, SDG 3 focuses on ensuring healthy lives and promoting wellbeing for all.</w:t>
      </w:r>
    </w:p>
    <w:p w14:paraId="54372837" w14:textId="77777777" w:rsidR="00D30446" w:rsidRPr="00D30446" w:rsidRDefault="00D30446" w:rsidP="00D30446">
      <w:pPr>
        <w:pStyle w:val="NormalWeb"/>
        <w:spacing w:line="360" w:lineRule="auto"/>
        <w:rPr>
          <w:rFonts w:ascii="Arial" w:hAnsi="Arial" w:cs="Arial"/>
          <w:sz w:val="22"/>
          <w:szCs w:val="22"/>
        </w:rPr>
      </w:pPr>
      <w:r w:rsidRPr="00D30446">
        <w:rPr>
          <w:rFonts w:ascii="Arial" w:hAnsi="Arial" w:cs="Arial"/>
          <w:sz w:val="22"/>
          <w:szCs w:val="22"/>
        </w:rPr>
        <w:t>This report critically examines the impact of SDG 3 and SDG 11, Sustainable Cities and Communities, on health and wellbeing at global, national and local levels. These goals are interconnected, as factors such as housing, transport and access to green spaces can significantly influence physical and mental health (World Health Organization, 2022).</w:t>
      </w:r>
    </w:p>
    <w:p w14:paraId="010BDE55" w14:textId="2BEDAFE8" w:rsidR="00D30446" w:rsidRPr="003F33FB" w:rsidRDefault="00D30446" w:rsidP="003F33FB">
      <w:pPr>
        <w:pStyle w:val="NormalWeb"/>
        <w:spacing w:line="360" w:lineRule="auto"/>
        <w:rPr>
          <w:rFonts w:ascii="Arial" w:hAnsi="Arial" w:cs="Arial"/>
          <w:sz w:val="22"/>
          <w:szCs w:val="22"/>
        </w:rPr>
      </w:pPr>
      <w:r w:rsidRPr="00D30446">
        <w:rPr>
          <w:rFonts w:ascii="Arial" w:hAnsi="Arial" w:cs="Arial"/>
          <w:sz w:val="22"/>
          <w:szCs w:val="22"/>
        </w:rPr>
        <w:t>The report will first analyse SDG 3 and related policies, followed by an evaluation of SDG 11. Relevant theories will be applied, and recommendations will be provided to improve future health and sustainability initiatives.</w:t>
      </w:r>
    </w:p>
    <w:p w14:paraId="4A5F1370" w14:textId="58CC6EEF" w:rsidR="003B2FB2" w:rsidRPr="004954E5" w:rsidRDefault="003B2FB2" w:rsidP="004954E5">
      <w:pPr>
        <w:spacing w:line="360" w:lineRule="auto"/>
        <w:rPr>
          <w:rFonts w:ascii="Arial" w:hAnsi="Arial" w:cs="Arial"/>
          <w:b/>
          <w:bCs/>
          <w:sz w:val="22"/>
          <w:szCs w:val="22"/>
        </w:rPr>
      </w:pPr>
      <w:r w:rsidRPr="004954E5">
        <w:rPr>
          <w:rFonts w:ascii="Arial" w:hAnsi="Arial" w:cs="Arial"/>
          <w:b/>
          <w:bCs/>
          <w:sz w:val="22"/>
          <w:szCs w:val="22"/>
        </w:rPr>
        <w:t>Section 1: SDG 3 – Good Health and Wellbeing</w:t>
      </w:r>
    </w:p>
    <w:p w14:paraId="1B6EBAE9" w14:textId="6F02D8D7" w:rsidR="003B2FB2" w:rsidRPr="004954E5" w:rsidRDefault="003B2FB2" w:rsidP="004954E5">
      <w:pPr>
        <w:spacing w:line="360" w:lineRule="auto"/>
        <w:rPr>
          <w:rFonts w:ascii="Arial" w:hAnsi="Arial" w:cs="Arial"/>
          <w:sz w:val="22"/>
          <w:szCs w:val="22"/>
        </w:rPr>
      </w:pPr>
      <w:r w:rsidRPr="004954E5">
        <w:rPr>
          <w:rFonts w:ascii="Arial" w:hAnsi="Arial" w:cs="Arial"/>
          <w:sz w:val="22"/>
          <w:szCs w:val="22"/>
        </w:rPr>
        <w:t>Sustainable Development Goal 3 (SDG 3) focuses on ensuring healthy lives and promoting wellbeing for people of all ages. Health is widely recognised as a key component of sustainable development because healthier populations are more able to participate in education, employment and economic development. According to the United Nations (2015), SDG 3 aims to reduce maternal and child mortality, end epidemics of major communicable diseases, promote mental health and strengthen health systems globally. Despite improvements in healthcare worldwide, significant health inequalities continue to affect many populations, particularly those living in disadvantaged communities.</w:t>
      </w:r>
    </w:p>
    <w:p w14:paraId="1BEBA8BF" w14:textId="70C87849" w:rsidR="003B2FB2" w:rsidRPr="004954E5" w:rsidRDefault="003B2FB2" w:rsidP="004954E5">
      <w:pPr>
        <w:spacing w:line="360" w:lineRule="auto"/>
        <w:rPr>
          <w:rFonts w:ascii="Arial" w:hAnsi="Arial" w:cs="Arial"/>
          <w:sz w:val="22"/>
          <w:szCs w:val="22"/>
        </w:rPr>
      </w:pPr>
      <w:r w:rsidRPr="004954E5">
        <w:rPr>
          <w:rFonts w:ascii="Arial" w:hAnsi="Arial" w:cs="Arial"/>
          <w:sz w:val="22"/>
          <w:szCs w:val="22"/>
        </w:rPr>
        <w:t>At a global level, organisations such as the World Health Organization (WHO) play a key role in promoting health policies and initiatives that support SDG 3. One major global strategy is the WHO Global Action Plan for the Prevention and Control of Non</w:t>
      </w:r>
      <w:r w:rsidR="002E5D13" w:rsidRPr="004954E5">
        <w:rPr>
          <w:rFonts w:ascii="Arial" w:hAnsi="Arial" w:cs="Arial"/>
          <w:sz w:val="22"/>
          <w:szCs w:val="22"/>
        </w:rPr>
        <w:t xml:space="preserve"> </w:t>
      </w:r>
      <w:r w:rsidRPr="004954E5">
        <w:rPr>
          <w:rFonts w:ascii="Arial" w:hAnsi="Arial" w:cs="Arial"/>
          <w:sz w:val="22"/>
          <w:szCs w:val="22"/>
        </w:rPr>
        <w:t>communicable Diseases. According to the World Health Organization (2022), non-communicable diseases such as cardiovascular disease, cancer and diabetes account for approximately</w:t>
      </w:r>
      <w:r w:rsidRPr="004954E5">
        <w:rPr>
          <w:rFonts w:ascii="Arial" w:hAnsi="Arial" w:cs="Arial"/>
          <w:b/>
          <w:bCs/>
          <w:sz w:val="22"/>
          <w:szCs w:val="22"/>
        </w:rPr>
        <w:t xml:space="preserve"> 74%</w:t>
      </w:r>
      <w:r w:rsidRPr="004954E5">
        <w:rPr>
          <w:rFonts w:ascii="Arial" w:hAnsi="Arial" w:cs="Arial"/>
          <w:sz w:val="22"/>
          <w:szCs w:val="22"/>
        </w:rPr>
        <w:t xml:space="preserve"> of all deaths globally, highlighting the scale of this public health challenge. The initiative </w:t>
      </w:r>
      <w:r w:rsidRPr="004954E5">
        <w:rPr>
          <w:rFonts w:ascii="Arial" w:hAnsi="Arial" w:cs="Arial"/>
          <w:sz w:val="22"/>
          <w:szCs w:val="22"/>
        </w:rPr>
        <w:lastRenderedPageBreak/>
        <w:t xml:space="preserve">encourages governments to implement policies that promote healthier lifestyles, improve early diagnosis and strengthen healthcare systems. However, the success of these strategies can vary significantly between countries. According to the World Health Organization (2021), low- and middle-income countries account for around </w:t>
      </w:r>
      <w:r w:rsidRPr="004954E5">
        <w:rPr>
          <w:rFonts w:ascii="Arial" w:hAnsi="Arial" w:cs="Arial"/>
          <w:b/>
          <w:bCs/>
          <w:sz w:val="22"/>
          <w:szCs w:val="22"/>
        </w:rPr>
        <w:t>77%</w:t>
      </w:r>
      <w:r w:rsidRPr="004954E5">
        <w:rPr>
          <w:rFonts w:ascii="Arial" w:hAnsi="Arial" w:cs="Arial"/>
          <w:sz w:val="22"/>
          <w:szCs w:val="22"/>
        </w:rPr>
        <w:t xml:space="preserve"> of deaths from non-communicable diseases, suggesting that limited resources and weaker healthcare infrastructure can reduce the effectiveness of global health initiatives.</w:t>
      </w:r>
    </w:p>
    <w:p w14:paraId="5D40185E" w14:textId="25CA58B1" w:rsidR="003B2FB2" w:rsidRPr="004954E5" w:rsidRDefault="003B2FB2" w:rsidP="004954E5">
      <w:pPr>
        <w:spacing w:line="360" w:lineRule="auto"/>
        <w:rPr>
          <w:rFonts w:ascii="Arial" w:hAnsi="Arial" w:cs="Arial"/>
          <w:sz w:val="22"/>
          <w:szCs w:val="22"/>
        </w:rPr>
      </w:pPr>
      <w:r w:rsidRPr="004954E5">
        <w:rPr>
          <w:rFonts w:ascii="Arial" w:hAnsi="Arial" w:cs="Arial"/>
          <w:sz w:val="22"/>
          <w:szCs w:val="22"/>
        </w:rPr>
        <w:t>At the national level in the United Kingdom, several policies have been introduced to support improvements in health and wellbeing. The National Health Service (NHS) plays a central role in delivering healthcare services to the population. One key national strategy is the NHS Long Term Plan, which aims to improve health services by focusing on prevention, early diagnosis and integrated care. According to NHS England (2019), the plan prioritises major health challenges such as cancer, cardiovascular disease and mental health conditions. The strategy also emphasises the importance of preventative healthcare, recognising that many long-term conditions are linked to lifestyle factors such as smoking, poor diet and lack of physical activity. However, challenges remain within the UK healthcare system. The King’s Fund (2022) suggests that increasing demand for healthcare services, workforce shortages and financial pressures have placed significant strain on the NHS, which may limit the effectiveness of national health initiatives.</w:t>
      </w:r>
    </w:p>
    <w:p w14:paraId="686B9972" w14:textId="37F5E67F" w:rsidR="003B2FB2" w:rsidRPr="004954E5" w:rsidRDefault="003B2FB2" w:rsidP="004954E5">
      <w:pPr>
        <w:spacing w:line="360" w:lineRule="auto"/>
        <w:rPr>
          <w:rFonts w:ascii="Arial" w:hAnsi="Arial" w:cs="Arial"/>
          <w:sz w:val="22"/>
          <w:szCs w:val="22"/>
        </w:rPr>
      </w:pPr>
      <w:r w:rsidRPr="004954E5">
        <w:rPr>
          <w:rFonts w:ascii="Arial" w:hAnsi="Arial" w:cs="Arial"/>
          <w:sz w:val="22"/>
          <w:szCs w:val="22"/>
        </w:rPr>
        <w:t xml:space="preserve">Local initiatives are also essential for improving health outcomes within communities. Local authorities are responsible for delivering a range of public health programmes that aim to reduce health inequalities and encourage healthier lifestyles. According to Public Health England (2020), local interventions such as smoking cessation services, weight management programmes and mental health support can help improve health outcomes at a community level. For example, public health campaigns aimed at reducing smoking have contributed to a gradual decline in smoking rates in the UK. According to the Office for National Statistics (2023), the proportion of adults who smoke in the UK has fallen to around </w:t>
      </w:r>
      <w:r w:rsidRPr="004954E5">
        <w:rPr>
          <w:rFonts w:ascii="Arial" w:hAnsi="Arial" w:cs="Arial"/>
          <w:b/>
          <w:bCs/>
          <w:sz w:val="22"/>
          <w:szCs w:val="22"/>
        </w:rPr>
        <w:t>12.9%</w:t>
      </w:r>
      <w:r w:rsidR="0030211A" w:rsidRPr="004954E5">
        <w:rPr>
          <w:rFonts w:ascii="Arial" w:hAnsi="Arial" w:cs="Arial"/>
          <w:sz w:val="22"/>
          <w:szCs w:val="22"/>
        </w:rPr>
        <w:t>,</w:t>
      </w:r>
      <w:r w:rsidRPr="004954E5">
        <w:rPr>
          <w:rFonts w:ascii="Arial" w:hAnsi="Arial" w:cs="Arial"/>
          <w:sz w:val="22"/>
          <w:szCs w:val="22"/>
        </w:rPr>
        <w:t xml:space="preserve"> compared with much higher levels in previous decades. This suggests that targeted public health initiatives can have a positive impact when supported by strong national policies and community engagement.</w:t>
      </w:r>
    </w:p>
    <w:p w14:paraId="7CC0622D" w14:textId="45E7D985" w:rsidR="003B2FB2" w:rsidRPr="004954E5" w:rsidRDefault="003B2FB2" w:rsidP="004954E5">
      <w:pPr>
        <w:spacing w:line="360" w:lineRule="auto"/>
        <w:rPr>
          <w:rFonts w:ascii="Arial" w:hAnsi="Arial" w:cs="Arial"/>
          <w:sz w:val="22"/>
          <w:szCs w:val="22"/>
        </w:rPr>
      </w:pPr>
      <w:r w:rsidRPr="004954E5">
        <w:rPr>
          <w:rFonts w:ascii="Arial" w:hAnsi="Arial" w:cs="Arial"/>
          <w:sz w:val="22"/>
          <w:szCs w:val="22"/>
        </w:rPr>
        <w:t xml:space="preserve">Behavioural theories are often used to support health promotion initiatives and help explain why individuals choose to adopt healthier behaviours. One commonly used framework is the Health Belief Model. Rosenstock (1974) suggests that individuals are more likely to change their behaviour if they believe they are personally at risk of a health problem and understand the benefits of taking preventative action. Public health campaigns frequently apply this model by highlighting the dangers associated with unhealthy behaviours such as smoking or </w:t>
      </w:r>
      <w:r w:rsidRPr="004954E5">
        <w:rPr>
          <w:rFonts w:ascii="Arial" w:hAnsi="Arial" w:cs="Arial"/>
          <w:sz w:val="22"/>
          <w:szCs w:val="22"/>
        </w:rPr>
        <w:lastRenderedPageBreak/>
        <w:t>poor diet. For example, anti-smoking campaigns often focus on increasing awareness of the health risks associated with smoking, which can increase individuals’ perception of threat and encourage behaviour change.</w:t>
      </w:r>
    </w:p>
    <w:p w14:paraId="75F7E3C7" w14:textId="269B170B" w:rsidR="003B2FB2" w:rsidRPr="004954E5" w:rsidRDefault="003B2FB2" w:rsidP="004954E5">
      <w:pPr>
        <w:spacing w:line="360" w:lineRule="auto"/>
        <w:rPr>
          <w:rFonts w:ascii="Arial" w:hAnsi="Arial" w:cs="Arial"/>
          <w:sz w:val="22"/>
          <w:szCs w:val="22"/>
        </w:rPr>
      </w:pPr>
      <w:r w:rsidRPr="004954E5">
        <w:rPr>
          <w:rFonts w:ascii="Arial" w:hAnsi="Arial" w:cs="Arial"/>
          <w:sz w:val="22"/>
          <w:szCs w:val="22"/>
        </w:rPr>
        <w:t>Another important theory used in health promotion is Social Cognitive Theory. Bandura (1986) suggests that behaviour is influenced by the interaction between personal beliefs, environmental factors and social influences. According to this theory, individuals are more likely to adopt healthy behaviours when they observe positive role models and receive encouragement from their social environment. Many community-based health initiatives use this approach by providing group activities, health education programmes and peer support networks. These programmes aim to increase individuals’ confidence, or self-efficacy, which can improve their ability to make healthier choices.</w:t>
      </w:r>
    </w:p>
    <w:p w14:paraId="537CE59C" w14:textId="10DEEA4A" w:rsidR="003B2FB2" w:rsidRPr="004954E5" w:rsidRDefault="003B2FB2" w:rsidP="004954E5">
      <w:pPr>
        <w:spacing w:line="360" w:lineRule="auto"/>
        <w:rPr>
          <w:rFonts w:ascii="Arial" w:hAnsi="Arial" w:cs="Arial"/>
          <w:sz w:val="22"/>
          <w:szCs w:val="22"/>
        </w:rPr>
      </w:pPr>
      <w:r w:rsidRPr="004954E5">
        <w:rPr>
          <w:rFonts w:ascii="Arial" w:hAnsi="Arial" w:cs="Arial"/>
          <w:sz w:val="22"/>
          <w:szCs w:val="22"/>
        </w:rPr>
        <w:t>Despite the range of global, national and local initiatives aimed at improving health and wellbeing, several challenges remain. One of the most significant issues is the persistence of health inequalities. Marmot (2020) highlights that people living in more deprived areas of England experience poorer health outcomes and shorter life expectancy compared with those living in more affluent areas. This suggests that wider social determinants of health, including income, education, housing and employment, play an important role in shaping health outcomes. As a result, policies that focus solely on healthcare services may not be sufficient to fully achieve the targets set out in SDG 3.</w:t>
      </w:r>
    </w:p>
    <w:p w14:paraId="02B701FB" w14:textId="27950E58" w:rsidR="004954E5" w:rsidRPr="00FA60F5" w:rsidRDefault="003B2FB2" w:rsidP="004954E5">
      <w:pPr>
        <w:spacing w:line="360" w:lineRule="auto"/>
        <w:rPr>
          <w:rFonts w:ascii="Arial" w:hAnsi="Arial" w:cs="Arial"/>
          <w:sz w:val="22"/>
          <w:szCs w:val="22"/>
        </w:rPr>
      </w:pPr>
      <w:r w:rsidRPr="004954E5">
        <w:rPr>
          <w:rFonts w:ascii="Arial" w:hAnsi="Arial" w:cs="Arial"/>
          <w:sz w:val="22"/>
          <w:szCs w:val="22"/>
        </w:rPr>
        <w:t>In order to improve the effectiveness of initiatives linked to SDG 3, several recommendations can be made. Firstly, governments should increase investment in preventative healthcare and public health programmes, as prevention can reduce long-term pressure on healthcare systems. Secondly, stronger collaboration between healthcare providers, local authorities and community organisations could help develop more integrated approaches to health promotion. Finally, policies should place greater emphasis on addressing the wider social determinants of health in order to reduce inequalities and improve overall wellbeing. By adopting a more comprehensive and collaborative approach, governments may be better able to achieve the targets of SDG 3 and support healthier populations.</w:t>
      </w:r>
    </w:p>
    <w:p w14:paraId="44B834BF" w14:textId="01327BF5" w:rsidR="00A62D10" w:rsidRPr="008E7A01" w:rsidRDefault="00A62D10" w:rsidP="004954E5">
      <w:pPr>
        <w:spacing w:line="360" w:lineRule="auto"/>
        <w:rPr>
          <w:rFonts w:ascii="Arial" w:hAnsi="Arial" w:cs="Arial"/>
          <w:b/>
          <w:bCs/>
          <w:sz w:val="22"/>
          <w:szCs w:val="22"/>
        </w:rPr>
      </w:pPr>
      <w:r w:rsidRPr="004954E5">
        <w:rPr>
          <w:rFonts w:ascii="Arial" w:hAnsi="Arial" w:cs="Arial"/>
          <w:b/>
          <w:bCs/>
          <w:sz w:val="22"/>
          <w:szCs w:val="22"/>
        </w:rPr>
        <w:t>Section 2: SDG 11 – Sustainable Cities and Communities</w:t>
      </w:r>
    </w:p>
    <w:p w14:paraId="62C1ED7A" w14:textId="0C33B643" w:rsidR="00A62D10" w:rsidRPr="004954E5" w:rsidRDefault="00A62D10" w:rsidP="004954E5">
      <w:pPr>
        <w:spacing w:line="360" w:lineRule="auto"/>
        <w:rPr>
          <w:rFonts w:ascii="Arial" w:hAnsi="Arial" w:cs="Arial"/>
          <w:sz w:val="22"/>
          <w:szCs w:val="22"/>
        </w:rPr>
      </w:pPr>
      <w:r w:rsidRPr="004954E5">
        <w:rPr>
          <w:rFonts w:ascii="Arial" w:hAnsi="Arial" w:cs="Arial"/>
          <w:sz w:val="22"/>
          <w:szCs w:val="22"/>
        </w:rPr>
        <w:t>Sustainable Development Goal 11 (SDG 11) focuses on making cities and human settlements inclusive, safe, resilient and sustainable</w:t>
      </w:r>
      <w:r w:rsidR="00A523A3">
        <w:rPr>
          <w:rFonts w:ascii="Arial" w:hAnsi="Arial" w:cs="Arial"/>
          <w:sz w:val="22"/>
          <w:szCs w:val="22"/>
        </w:rPr>
        <w:t>.</w:t>
      </w:r>
      <w:r w:rsidRPr="004954E5">
        <w:rPr>
          <w:rFonts w:ascii="Arial" w:hAnsi="Arial" w:cs="Arial"/>
          <w:sz w:val="22"/>
          <w:szCs w:val="22"/>
        </w:rPr>
        <w:t xml:space="preserve"> Urban environments have a major influence on people’s health and wellbeing because factors such as housing conditions, transport systems, air quality and access to green spaces can directly affect both physical and mental health. According to the United Nations (2015), SDG 11 aims to improve urban living conditions by promoting safe housing, sustainable transport, reduced environmental </w:t>
      </w:r>
      <w:r w:rsidRPr="004954E5">
        <w:rPr>
          <w:rFonts w:ascii="Arial" w:hAnsi="Arial" w:cs="Arial"/>
          <w:sz w:val="22"/>
          <w:szCs w:val="22"/>
        </w:rPr>
        <w:lastRenderedPageBreak/>
        <w:t>impact and greater access to public spaces. As the global population continues to urbanise, creating healthier and more sustainable cities has become increasingly important.</w:t>
      </w:r>
    </w:p>
    <w:p w14:paraId="228FAD2F" w14:textId="5E9D33C4" w:rsidR="00A62D10" w:rsidRPr="004954E5" w:rsidRDefault="00A62D10" w:rsidP="004954E5">
      <w:pPr>
        <w:spacing w:line="360" w:lineRule="auto"/>
        <w:rPr>
          <w:rFonts w:ascii="Arial" w:hAnsi="Arial" w:cs="Arial"/>
          <w:sz w:val="22"/>
          <w:szCs w:val="22"/>
        </w:rPr>
      </w:pPr>
      <w:r w:rsidRPr="004954E5">
        <w:rPr>
          <w:rFonts w:ascii="Arial" w:hAnsi="Arial" w:cs="Arial"/>
          <w:sz w:val="22"/>
          <w:szCs w:val="22"/>
        </w:rPr>
        <w:t xml:space="preserve">At a global level, many international organisations recognise the strong link between urban environments and public health. The World Health Organization suggests that the way cities are designed can significantly influence levels of physical activity, air pollution exposure and mental wellbeing (World Health Organization, 2022). For example, poor urban planning can lead to increased traffic congestion, limited access to green spaces and higher levels of pollution. According to the World Health Organization (2021), air pollution contributes to approximately </w:t>
      </w:r>
      <w:r w:rsidRPr="004954E5">
        <w:rPr>
          <w:rFonts w:ascii="Arial" w:hAnsi="Arial" w:cs="Arial"/>
          <w:b/>
          <w:bCs/>
          <w:sz w:val="22"/>
          <w:szCs w:val="22"/>
        </w:rPr>
        <w:t>7 million</w:t>
      </w:r>
      <w:r w:rsidRPr="004954E5">
        <w:rPr>
          <w:rFonts w:ascii="Arial" w:hAnsi="Arial" w:cs="Arial"/>
          <w:sz w:val="22"/>
          <w:szCs w:val="22"/>
        </w:rPr>
        <w:t xml:space="preserve"> premature deaths worldwide each year, demonstrating the serious health risks associated with environmental factors in urban areas. As a result, global policies encourage governments to develop more sustainable urban environments that support healthier lifestyles and reduce environmental harm.</w:t>
      </w:r>
    </w:p>
    <w:p w14:paraId="28EA03CF" w14:textId="7EF37968" w:rsidR="00A62D10" w:rsidRPr="00BC283B" w:rsidRDefault="00F26F55" w:rsidP="004954E5">
      <w:pPr>
        <w:spacing w:line="360" w:lineRule="auto"/>
        <w:rPr>
          <w:rFonts w:ascii="Arial" w:hAnsi="Arial" w:cs="Arial"/>
          <w:b/>
          <w:bCs/>
          <w:sz w:val="22"/>
          <w:szCs w:val="22"/>
        </w:rPr>
      </w:pPr>
      <w:r>
        <w:rPr>
          <w:rFonts w:ascii="Arial" w:hAnsi="Arial" w:cs="Arial"/>
          <w:sz w:val="22"/>
          <w:szCs w:val="22"/>
        </w:rPr>
        <w:t>In addition to global initiatives, several national policies in the United Kingdom have been introduced to support improvements in health and wellbeing.</w:t>
      </w:r>
      <w:r w:rsidR="00A62D10" w:rsidRPr="004954E5">
        <w:rPr>
          <w:rFonts w:ascii="Arial" w:hAnsi="Arial" w:cs="Arial"/>
          <w:sz w:val="22"/>
          <w:szCs w:val="22"/>
        </w:rPr>
        <w:t xml:space="preserve"> One example is the UK Government’s Clean Air Strategy, which aims to reduce air pollution and improve environmental conditions. According to the Department for Environment, Food and Rural Affairs (2019), air pollution is considered the largest environmental risk to public health in the UK. Poor air quality has been linked to respiratory diseases, cardiovascular conditions and reduced life expectancy. The strategy aims to reduce emissions from transport, industry and agriculture in order to improve air quality and protect public health. However, some critics suggest that national policies may not always be implemented effectively at a local level due to funding limitations or slow policy enforcement</w:t>
      </w:r>
      <w:r w:rsidR="00BC283B">
        <w:rPr>
          <w:rFonts w:ascii="Arial" w:hAnsi="Arial" w:cs="Arial"/>
          <w:sz w:val="22"/>
          <w:szCs w:val="22"/>
        </w:rPr>
        <w:t xml:space="preserve">, </w:t>
      </w:r>
      <w:r w:rsidR="00AA1FD3">
        <w:rPr>
          <w:rFonts w:ascii="Arial" w:hAnsi="Arial" w:cs="Arial"/>
          <w:sz w:val="22"/>
          <w:szCs w:val="22"/>
        </w:rPr>
        <w:t xml:space="preserve">as discussed by Briggs </w:t>
      </w:r>
      <w:r w:rsidR="002060A0">
        <w:rPr>
          <w:rFonts w:ascii="Arial" w:hAnsi="Arial" w:cs="Arial"/>
          <w:sz w:val="22"/>
          <w:szCs w:val="22"/>
        </w:rPr>
        <w:t>(2023).</w:t>
      </w:r>
    </w:p>
    <w:p w14:paraId="1BCCC92C" w14:textId="702D0B9A" w:rsidR="00A62D10" w:rsidRPr="004954E5" w:rsidRDefault="00A62D10" w:rsidP="004954E5">
      <w:pPr>
        <w:spacing w:line="360" w:lineRule="auto"/>
        <w:rPr>
          <w:rFonts w:ascii="Arial" w:hAnsi="Arial" w:cs="Arial"/>
          <w:sz w:val="22"/>
          <w:szCs w:val="22"/>
        </w:rPr>
      </w:pPr>
      <w:r w:rsidRPr="004954E5">
        <w:rPr>
          <w:rFonts w:ascii="Arial" w:hAnsi="Arial" w:cs="Arial"/>
          <w:sz w:val="22"/>
          <w:szCs w:val="22"/>
        </w:rPr>
        <w:t>Housing is another key factor connected to SDG 11 and population health. Poor housing conditions such as overcrowding, damp and inadequate heating can have negative effects on both physical and mental health. According to the UK Government (2020), improving housing standards is an important step in reducing health inequalities and supporting wellbeing. The Housing Health and Safety Rating System is used to assess risks within homes and ensure that living environments are safe and suitable for residents. However, Marmot (2020) suggests that housing inequalities remain a significant issue in the UK, particularly in disadvantaged communities where poor housing conditions are more common. This highlights the importance of addressing social and environmental factors as part of sustainable development policies.</w:t>
      </w:r>
    </w:p>
    <w:p w14:paraId="4C29313E" w14:textId="7506CD0C" w:rsidR="00A62D10" w:rsidRPr="004954E5" w:rsidRDefault="00A62D10" w:rsidP="004954E5">
      <w:pPr>
        <w:spacing w:line="360" w:lineRule="auto"/>
        <w:rPr>
          <w:rFonts w:ascii="Arial" w:hAnsi="Arial" w:cs="Arial"/>
          <w:sz w:val="22"/>
          <w:szCs w:val="22"/>
        </w:rPr>
      </w:pPr>
      <w:r w:rsidRPr="004954E5">
        <w:rPr>
          <w:rFonts w:ascii="Arial" w:hAnsi="Arial" w:cs="Arial"/>
          <w:sz w:val="22"/>
          <w:szCs w:val="22"/>
        </w:rPr>
        <w:t>Local initiatives also play an important role in supporting the aims of SDG 11 and improving the health and wellbeing of communities</w:t>
      </w:r>
      <w:r w:rsidR="005A32EC">
        <w:rPr>
          <w:rFonts w:ascii="Arial" w:hAnsi="Arial" w:cs="Arial"/>
          <w:sz w:val="22"/>
          <w:szCs w:val="22"/>
        </w:rPr>
        <w:t>,</w:t>
      </w:r>
      <w:r w:rsidR="005A32EC" w:rsidRPr="005A32EC">
        <w:rPr>
          <w:rFonts w:eastAsia="Times New Roman"/>
        </w:rPr>
        <w:t xml:space="preserve"> </w:t>
      </w:r>
      <w:r w:rsidR="005A32EC" w:rsidRPr="00ED1F02">
        <w:rPr>
          <w:rFonts w:ascii="Arial" w:eastAsia="Times New Roman" w:hAnsi="Arial" w:cs="Arial"/>
          <w:sz w:val="22"/>
          <w:szCs w:val="22"/>
        </w:rPr>
        <w:t>However, their effectiveness can vary depending on funding, community engagement and local government support.</w:t>
      </w:r>
      <w:r w:rsidRPr="004954E5">
        <w:rPr>
          <w:rFonts w:ascii="Arial" w:hAnsi="Arial" w:cs="Arial"/>
          <w:sz w:val="22"/>
          <w:szCs w:val="22"/>
        </w:rPr>
        <w:t xml:space="preserve"> Local authorities are </w:t>
      </w:r>
      <w:r w:rsidRPr="004954E5">
        <w:rPr>
          <w:rFonts w:ascii="Arial" w:hAnsi="Arial" w:cs="Arial"/>
          <w:sz w:val="22"/>
          <w:szCs w:val="22"/>
        </w:rPr>
        <w:lastRenderedPageBreak/>
        <w:t>responsible for many aspects of urban planning, including housing development, transport infrastructure and environmental management. For example, local councils often promote sustainable transport options such as cycling lanes, pedestrian areas and improved public transport systems. According to Public Health England (2020), encouraging active travel can help increase physical activity levels and reduce health risks associated with sedentary lifestyles. Increased physical activity is associated with lower risks of obesity, cardiovascular disease and mental health problems.</w:t>
      </w:r>
    </w:p>
    <w:p w14:paraId="7FF6CEF9" w14:textId="784474F2" w:rsidR="00A62D10" w:rsidRPr="004954E5" w:rsidRDefault="00A62D10" w:rsidP="004954E5">
      <w:pPr>
        <w:spacing w:line="360" w:lineRule="auto"/>
        <w:rPr>
          <w:rFonts w:ascii="Arial" w:hAnsi="Arial" w:cs="Arial"/>
          <w:sz w:val="22"/>
          <w:szCs w:val="22"/>
        </w:rPr>
      </w:pPr>
      <w:r w:rsidRPr="004954E5">
        <w:rPr>
          <w:rFonts w:ascii="Arial" w:hAnsi="Arial" w:cs="Arial"/>
          <w:sz w:val="22"/>
          <w:szCs w:val="22"/>
        </w:rPr>
        <w:t>Access to green spaces is another important factor that can support both environmental sustainability and wellbeing. Green spaces such as parks, gardens and natural areas provide opportunities for exercise, relaxation and social interaction. According to Natural England (2020), spending time in green spaces has been linked to improved mental wellbeing and reduced stress levels. In urban areas where green spaces are limited, residents may experience lower levels of physical activity and higher levels of stress. Therefore, policies that promote the development and protection of green spaces can contribute to both environmental sustainability and improved health outcomes.</w:t>
      </w:r>
    </w:p>
    <w:p w14:paraId="51D259AE" w14:textId="556BDC65" w:rsidR="00A62D10" w:rsidRPr="004954E5" w:rsidRDefault="00A62D10" w:rsidP="004954E5">
      <w:pPr>
        <w:spacing w:line="360" w:lineRule="auto"/>
        <w:rPr>
          <w:rFonts w:ascii="Arial" w:hAnsi="Arial" w:cs="Arial"/>
          <w:sz w:val="22"/>
          <w:szCs w:val="22"/>
        </w:rPr>
      </w:pPr>
      <w:r w:rsidRPr="004954E5">
        <w:rPr>
          <w:rFonts w:ascii="Arial" w:hAnsi="Arial" w:cs="Arial"/>
          <w:sz w:val="22"/>
          <w:szCs w:val="22"/>
        </w:rPr>
        <w:t>The impact of sustainable urban policies can also be analysed using behavioural theories. Social Cognitive Theory suggests that people’s behaviour is influenced by interactions between personal, environmental and social factors (Bandura, 1986). For example, individuals may be more likely to walk or cycle if their local environment provides safe paths and accessible routes. When communities have supportive environments that encourage healthy behaviours, individuals may feel more confident in making positive lifestyle choices. This demonstrates how urban design and environmental policies can influence behaviour and contribute to improved health outcomes.</w:t>
      </w:r>
    </w:p>
    <w:p w14:paraId="3149125E" w14:textId="0F03F3E4" w:rsidR="00A62D10" w:rsidRPr="004954E5" w:rsidRDefault="00A62D10" w:rsidP="004954E5">
      <w:pPr>
        <w:spacing w:line="360" w:lineRule="auto"/>
        <w:rPr>
          <w:rFonts w:ascii="Arial" w:hAnsi="Arial" w:cs="Arial"/>
          <w:sz w:val="22"/>
          <w:szCs w:val="22"/>
        </w:rPr>
      </w:pPr>
      <w:r w:rsidRPr="004954E5">
        <w:rPr>
          <w:rFonts w:ascii="Arial" w:hAnsi="Arial" w:cs="Arial"/>
          <w:sz w:val="22"/>
          <w:szCs w:val="22"/>
        </w:rPr>
        <w:t xml:space="preserve">Despite the progress made through global and national initiatives, several challenges remain in achieving the targets of SDG 11. Rapid urbanisation, population growth and economic inequalities can create additional pressure on housing, infrastructure and environmental resources. According to the United Nations (2022), more than </w:t>
      </w:r>
      <w:r w:rsidRPr="004954E5">
        <w:rPr>
          <w:rFonts w:ascii="Arial" w:hAnsi="Arial" w:cs="Arial"/>
          <w:b/>
          <w:bCs/>
          <w:sz w:val="22"/>
          <w:szCs w:val="22"/>
        </w:rPr>
        <w:t>55%</w:t>
      </w:r>
      <w:r w:rsidRPr="004954E5">
        <w:rPr>
          <w:rFonts w:ascii="Arial" w:hAnsi="Arial" w:cs="Arial"/>
          <w:sz w:val="22"/>
          <w:szCs w:val="22"/>
        </w:rPr>
        <w:t xml:space="preserve"> of the world’s population currently lives in urban areas, and this figure is expected to increase in the coming decades. Without effective planning and investment, cities may struggle to provide safe housing, clean environments and accessible services for growing populations.</w:t>
      </w:r>
    </w:p>
    <w:p w14:paraId="5B5279E9" w14:textId="58E21B52" w:rsidR="00A62D10" w:rsidRPr="004954E5" w:rsidRDefault="00A62D10" w:rsidP="004954E5">
      <w:pPr>
        <w:spacing w:line="360" w:lineRule="auto"/>
        <w:rPr>
          <w:rFonts w:ascii="Arial" w:hAnsi="Arial" w:cs="Arial"/>
          <w:sz w:val="22"/>
          <w:szCs w:val="22"/>
        </w:rPr>
      </w:pPr>
      <w:r w:rsidRPr="004954E5">
        <w:rPr>
          <w:rFonts w:ascii="Arial" w:hAnsi="Arial" w:cs="Arial"/>
          <w:sz w:val="22"/>
          <w:szCs w:val="22"/>
        </w:rPr>
        <w:t>In order to improve the effectiveness of initiatives linked to SDG 11, several recommendations can be made. Firstly, governments should prioritise sustainable urban planning that integrates health considerations into transport, housing and environmental policies. Secondly, greater investment in green spaces and active travel infrastructure could help encourage healthier lifestyles and reduce pollution levels</w:t>
      </w:r>
      <w:r w:rsidR="004447D0">
        <w:rPr>
          <w:rFonts w:ascii="Arial" w:hAnsi="Arial" w:cs="Arial"/>
          <w:sz w:val="22"/>
          <w:szCs w:val="22"/>
        </w:rPr>
        <w:t xml:space="preserve"> </w:t>
      </w:r>
      <w:r w:rsidR="00E07345">
        <w:rPr>
          <w:rFonts w:ascii="Arial" w:hAnsi="Arial" w:cs="Arial"/>
          <w:sz w:val="22"/>
          <w:szCs w:val="22"/>
        </w:rPr>
        <w:t>(</w:t>
      </w:r>
      <w:r w:rsidR="004447D0" w:rsidRPr="00676FAB">
        <w:rPr>
          <w:rFonts w:ascii="Arial" w:eastAsia="Times New Roman" w:hAnsi="Arial" w:cs="Arial"/>
          <w:sz w:val="22"/>
          <w:szCs w:val="22"/>
        </w:rPr>
        <w:t xml:space="preserve">Russell-Bennett, R. </w:t>
      </w:r>
      <w:r w:rsidR="004447D0" w:rsidRPr="00676FAB">
        <w:rPr>
          <w:rFonts w:ascii="Arial" w:eastAsia="Times New Roman" w:hAnsi="Arial" w:cs="Arial"/>
          <w:i/>
          <w:iCs/>
          <w:sz w:val="22"/>
          <w:szCs w:val="22"/>
        </w:rPr>
        <w:t>et al.</w:t>
      </w:r>
      <w:r w:rsidR="004447D0" w:rsidRPr="00676FAB">
        <w:rPr>
          <w:rFonts w:ascii="Arial" w:eastAsia="Times New Roman" w:hAnsi="Arial" w:cs="Arial"/>
          <w:sz w:val="22"/>
          <w:szCs w:val="22"/>
        </w:rPr>
        <w:t xml:space="preserve"> </w:t>
      </w:r>
      <w:r w:rsidR="004447D0" w:rsidRPr="00676FAB">
        <w:rPr>
          <w:rFonts w:ascii="Arial" w:eastAsia="Times New Roman" w:hAnsi="Arial" w:cs="Arial"/>
          <w:sz w:val="22"/>
          <w:szCs w:val="22"/>
        </w:rPr>
        <w:lastRenderedPageBreak/>
        <w:t>(2024)</w:t>
      </w:r>
      <w:r w:rsidR="00E07345">
        <w:rPr>
          <w:rFonts w:ascii="Arial" w:eastAsia="Times New Roman" w:hAnsi="Arial" w:cs="Arial"/>
          <w:sz w:val="22"/>
          <w:szCs w:val="22"/>
        </w:rPr>
        <w:t xml:space="preserve">. </w:t>
      </w:r>
      <w:r w:rsidRPr="004954E5">
        <w:rPr>
          <w:rFonts w:ascii="Arial" w:hAnsi="Arial" w:cs="Arial"/>
          <w:sz w:val="22"/>
          <w:szCs w:val="22"/>
        </w:rPr>
        <w:t>Finally, stronger collaboration between national governments, local authorities and community organisations may help ensure that sustainability initiatives are effectively implemented at a local level. By adopting more integrated and community-focused approaches, cities can become healthier, more sustainable environments that support the wellbeing of their residents.</w:t>
      </w:r>
    </w:p>
    <w:p w14:paraId="4B34BDF8" w14:textId="77777777" w:rsidR="002E073B" w:rsidRDefault="00ED7F0A" w:rsidP="002E073B">
      <w:pPr>
        <w:spacing w:line="360" w:lineRule="auto"/>
        <w:rPr>
          <w:rFonts w:ascii="Arial" w:hAnsi="Arial" w:cs="Arial"/>
          <w:b/>
          <w:bCs/>
          <w:sz w:val="22"/>
          <w:szCs w:val="22"/>
        </w:rPr>
      </w:pPr>
      <w:r w:rsidRPr="008E7A01">
        <w:rPr>
          <w:rFonts w:ascii="Arial" w:hAnsi="Arial" w:cs="Arial"/>
          <w:b/>
          <w:bCs/>
          <w:sz w:val="22"/>
          <w:szCs w:val="22"/>
        </w:rPr>
        <w:t>Conclusion</w:t>
      </w:r>
    </w:p>
    <w:p w14:paraId="7EA10E55" w14:textId="73B393A9" w:rsidR="004366FD" w:rsidRPr="002E073B" w:rsidRDefault="004366FD" w:rsidP="002E073B">
      <w:pPr>
        <w:spacing w:line="360" w:lineRule="auto"/>
        <w:rPr>
          <w:rFonts w:ascii="Arial" w:hAnsi="Arial" w:cs="Arial"/>
          <w:b/>
          <w:bCs/>
          <w:sz w:val="22"/>
          <w:szCs w:val="22"/>
        </w:rPr>
      </w:pPr>
      <w:r w:rsidRPr="004366FD">
        <w:rPr>
          <w:rFonts w:ascii="Arial" w:hAnsi="Arial" w:cs="Arial"/>
          <w:sz w:val="22"/>
          <w:szCs w:val="22"/>
        </w:rPr>
        <w:t>In conclusion, this report has examined the impact of SDG 3, Good Health and Wellbeing, and SDG 11, Sustainable Cities and Communities, on health and wellbeing at global, national and local levels. The findings highlight that health is influenced not only by healthcare services but also by wider social, economic and environmental factors.</w:t>
      </w:r>
    </w:p>
    <w:p w14:paraId="03AFC8D2" w14:textId="77777777" w:rsidR="004366FD" w:rsidRPr="004366FD" w:rsidRDefault="004366FD" w:rsidP="004366FD">
      <w:pPr>
        <w:pStyle w:val="NormalWeb"/>
        <w:spacing w:line="360" w:lineRule="auto"/>
        <w:rPr>
          <w:rFonts w:ascii="Arial" w:hAnsi="Arial" w:cs="Arial"/>
          <w:sz w:val="22"/>
          <w:szCs w:val="22"/>
        </w:rPr>
      </w:pPr>
      <w:r w:rsidRPr="004366FD">
        <w:rPr>
          <w:rFonts w:ascii="Arial" w:hAnsi="Arial" w:cs="Arial"/>
          <w:sz w:val="22"/>
          <w:szCs w:val="22"/>
        </w:rPr>
        <w:t>The discussion of SDG 3 showed the importance of global and national initiatives, such as those led by the World Health Organization and the NHS Long Term Plan, in improving health outcomes. However, limitations remain, including health inequalities and the impact of social determinants such as income, education and housing (Marmot, 2020).</w:t>
      </w:r>
    </w:p>
    <w:p w14:paraId="09B7D006" w14:textId="77777777" w:rsidR="004366FD" w:rsidRPr="004366FD" w:rsidRDefault="004366FD" w:rsidP="004366FD">
      <w:pPr>
        <w:pStyle w:val="NormalWeb"/>
        <w:spacing w:line="360" w:lineRule="auto"/>
        <w:rPr>
          <w:rFonts w:ascii="Arial" w:hAnsi="Arial" w:cs="Arial"/>
          <w:sz w:val="22"/>
          <w:szCs w:val="22"/>
        </w:rPr>
      </w:pPr>
      <w:r w:rsidRPr="004366FD">
        <w:rPr>
          <w:rFonts w:ascii="Arial" w:hAnsi="Arial" w:cs="Arial"/>
          <w:sz w:val="22"/>
          <w:szCs w:val="22"/>
        </w:rPr>
        <w:t>The evaluation of SDG 11 demonstrated how urban environments, including housing, air quality and access to green spaces, can affect physical and mental health. Despite existing policies, challenges such as urbanisation and inequality continue.</w:t>
      </w:r>
    </w:p>
    <w:p w14:paraId="6BB41E57" w14:textId="77777777" w:rsidR="004366FD" w:rsidRPr="004366FD" w:rsidRDefault="004366FD" w:rsidP="004366FD">
      <w:pPr>
        <w:pStyle w:val="NormalWeb"/>
        <w:spacing w:line="360" w:lineRule="auto"/>
        <w:rPr>
          <w:rFonts w:ascii="Arial" w:hAnsi="Arial" w:cs="Arial"/>
          <w:sz w:val="22"/>
          <w:szCs w:val="22"/>
        </w:rPr>
      </w:pPr>
      <w:r w:rsidRPr="004366FD">
        <w:rPr>
          <w:rFonts w:ascii="Arial" w:hAnsi="Arial" w:cs="Arial"/>
          <w:sz w:val="22"/>
          <w:szCs w:val="22"/>
        </w:rPr>
        <w:t>Overall, achieving improvements in health and wellbeing requires integrated and collaborative approaches across sectors.</w:t>
      </w:r>
    </w:p>
    <w:p w14:paraId="2BA9BFEA" w14:textId="77777777" w:rsidR="001363D0" w:rsidRPr="008E7A01" w:rsidRDefault="001363D0" w:rsidP="004954E5">
      <w:pPr>
        <w:spacing w:line="360" w:lineRule="auto"/>
        <w:rPr>
          <w:rFonts w:ascii="Arial" w:hAnsi="Arial" w:cs="Arial"/>
          <w:b/>
          <w:bCs/>
          <w:sz w:val="22"/>
          <w:szCs w:val="22"/>
        </w:rPr>
      </w:pPr>
    </w:p>
    <w:p w14:paraId="739F026D" w14:textId="77777777" w:rsidR="003B2FB2" w:rsidRDefault="003B2FB2" w:rsidP="004954E5">
      <w:pPr>
        <w:spacing w:line="360" w:lineRule="auto"/>
        <w:rPr>
          <w:rFonts w:ascii="Arial" w:hAnsi="Arial" w:cs="Arial"/>
          <w:sz w:val="22"/>
          <w:szCs w:val="22"/>
        </w:rPr>
      </w:pPr>
    </w:p>
    <w:p w14:paraId="2978F96A" w14:textId="77777777" w:rsidR="006B4FBB" w:rsidRDefault="006B4FBB" w:rsidP="004954E5">
      <w:pPr>
        <w:spacing w:line="360" w:lineRule="auto"/>
        <w:rPr>
          <w:rFonts w:ascii="Arial" w:hAnsi="Arial" w:cs="Arial"/>
          <w:sz w:val="22"/>
          <w:szCs w:val="22"/>
        </w:rPr>
      </w:pPr>
    </w:p>
    <w:p w14:paraId="5C91140A" w14:textId="77777777" w:rsidR="006B4FBB" w:rsidRDefault="006B4FBB" w:rsidP="004954E5">
      <w:pPr>
        <w:spacing w:line="360" w:lineRule="auto"/>
        <w:rPr>
          <w:rFonts w:ascii="Arial" w:hAnsi="Arial" w:cs="Arial"/>
          <w:sz w:val="22"/>
          <w:szCs w:val="22"/>
        </w:rPr>
      </w:pPr>
    </w:p>
    <w:p w14:paraId="4AA489AD" w14:textId="77777777" w:rsidR="006B4FBB" w:rsidRDefault="006B4FBB" w:rsidP="004954E5">
      <w:pPr>
        <w:spacing w:line="360" w:lineRule="auto"/>
        <w:rPr>
          <w:rFonts w:ascii="Arial" w:hAnsi="Arial" w:cs="Arial"/>
          <w:sz w:val="22"/>
          <w:szCs w:val="22"/>
        </w:rPr>
      </w:pPr>
    </w:p>
    <w:p w14:paraId="42C68D0B" w14:textId="77777777" w:rsidR="006B4FBB" w:rsidRDefault="006B4FBB" w:rsidP="004954E5">
      <w:pPr>
        <w:spacing w:line="360" w:lineRule="auto"/>
        <w:rPr>
          <w:rFonts w:ascii="Arial" w:hAnsi="Arial" w:cs="Arial"/>
          <w:sz w:val="22"/>
          <w:szCs w:val="22"/>
        </w:rPr>
      </w:pPr>
    </w:p>
    <w:p w14:paraId="65561BEE" w14:textId="77777777" w:rsidR="006B4FBB" w:rsidRPr="004954E5" w:rsidRDefault="006B4FBB" w:rsidP="004954E5">
      <w:pPr>
        <w:spacing w:line="360" w:lineRule="auto"/>
        <w:rPr>
          <w:rFonts w:ascii="Arial" w:hAnsi="Arial" w:cs="Arial"/>
          <w:sz w:val="22"/>
          <w:szCs w:val="22"/>
        </w:rPr>
      </w:pPr>
    </w:p>
    <w:p w14:paraId="082FFE7B" w14:textId="77777777" w:rsidR="00BD76BE" w:rsidRDefault="00BD76BE" w:rsidP="00256720">
      <w:pPr>
        <w:pStyle w:val="Heading2"/>
        <w:spacing w:line="360" w:lineRule="auto"/>
        <w:rPr>
          <w:rStyle w:val="Strong"/>
          <w:rFonts w:ascii="Arial" w:eastAsia="Times New Roman" w:hAnsi="Arial" w:cs="Arial"/>
          <w:color w:val="000000" w:themeColor="text1"/>
          <w:sz w:val="22"/>
          <w:szCs w:val="22"/>
        </w:rPr>
      </w:pPr>
    </w:p>
    <w:p w14:paraId="367ADC82" w14:textId="0C35D4C3" w:rsidR="001E1F73" w:rsidRPr="00256720" w:rsidRDefault="001E1F73" w:rsidP="00256720">
      <w:pPr>
        <w:pStyle w:val="Heading2"/>
        <w:spacing w:line="360" w:lineRule="auto"/>
        <w:rPr>
          <w:rFonts w:ascii="Arial" w:eastAsia="Times New Roman" w:hAnsi="Arial" w:cs="Arial"/>
          <w:kern w:val="0"/>
          <w:sz w:val="22"/>
          <w:szCs w:val="22"/>
          <w14:ligatures w14:val="none"/>
        </w:rPr>
      </w:pPr>
      <w:r w:rsidRPr="00256720">
        <w:rPr>
          <w:rStyle w:val="Strong"/>
          <w:rFonts w:ascii="Arial" w:eastAsia="Times New Roman" w:hAnsi="Arial" w:cs="Arial"/>
          <w:color w:val="000000" w:themeColor="text1"/>
          <w:sz w:val="22"/>
          <w:szCs w:val="22"/>
        </w:rPr>
        <w:t>Reference</w:t>
      </w:r>
      <w:r w:rsidRPr="00256720">
        <w:rPr>
          <w:rStyle w:val="Strong"/>
          <w:rFonts w:ascii="Arial" w:eastAsia="Times New Roman" w:hAnsi="Arial" w:cs="Arial"/>
          <w:b w:val="0"/>
          <w:bCs w:val="0"/>
          <w:sz w:val="22"/>
          <w:szCs w:val="22"/>
        </w:rPr>
        <w:t xml:space="preserve"> </w:t>
      </w:r>
    </w:p>
    <w:p w14:paraId="226A29EA" w14:textId="77777777" w:rsidR="001E1F73" w:rsidRDefault="001E1F73" w:rsidP="00256720">
      <w:pPr>
        <w:pStyle w:val="NormalWeb"/>
        <w:spacing w:line="360" w:lineRule="auto"/>
        <w:rPr>
          <w:rFonts w:ascii="Arial" w:hAnsi="Arial" w:cs="Arial"/>
          <w:sz w:val="22"/>
          <w:szCs w:val="22"/>
        </w:rPr>
      </w:pPr>
      <w:r w:rsidRPr="00256720">
        <w:rPr>
          <w:rFonts w:ascii="Arial" w:hAnsi="Arial" w:cs="Arial"/>
          <w:sz w:val="22"/>
          <w:szCs w:val="22"/>
        </w:rPr>
        <w:t xml:space="preserve">Bandura, A. (1986) </w:t>
      </w:r>
      <w:r w:rsidRPr="00256720">
        <w:rPr>
          <w:rStyle w:val="Emphasis"/>
          <w:rFonts w:ascii="Arial" w:hAnsi="Arial" w:cs="Arial"/>
          <w:sz w:val="22"/>
          <w:szCs w:val="22"/>
        </w:rPr>
        <w:t>Social foundations of thought and action: A social cognitive theory</w:t>
      </w:r>
      <w:r w:rsidRPr="00256720">
        <w:rPr>
          <w:rFonts w:ascii="Arial" w:hAnsi="Arial" w:cs="Arial"/>
          <w:sz w:val="22"/>
          <w:szCs w:val="22"/>
        </w:rPr>
        <w:t>. Englewood Cliffs: Prentice Hall.</w:t>
      </w:r>
    </w:p>
    <w:p w14:paraId="07AF6E57" w14:textId="2CAF10F5" w:rsidR="002342EF" w:rsidRDefault="002342EF" w:rsidP="00256720">
      <w:pPr>
        <w:pStyle w:val="NormalWeb"/>
        <w:spacing w:line="360" w:lineRule="auto"/>
        <w:rPr>
          <w:rFonts w:ascii="Arial" w:eastAsia="Times New Roman" w:hAnsi="Arial" w:cs="Arial"/>
          <w:sz w:val="22"/>
          <w:szCs w:val="22"/>
        </w:rPr>
      </w:pPr>
      <w:r w:rsidRPr="002342EF">
        <w:rPr>
          <w:rStyle w:val="Strong"/>
          <w:rFonts w:ascii="Arial" w:eastAsia="Times New Roman" w:hAnsi="Arial" w:cs="Arial"/>
          <w:b w:val="0"/>
          <w:bCs w:val="0"/>
          <w:sz w:val="22"/>
          <w:szCs w:val="22"/>
        </w:rPr>
        <w:t xml:space="preserve">Beauchamp, E. </w:t>
      </w:r>
      <w:r w:rsidRPr="002342EF">
        <w:rPr>
          <w:rStyle w:val="Emphasis"/>
          <w:rFonts w:ascii="Arial" w:eastAsia="Times New Roman" w:hAnsi="Arial" w:cs="Arial"/>
          <w:b/>
          <w:bCs/>
          <w:sz w:val="22"/>
          <w:szCs w:val="22"/>
        </w:rPr>
        <w:t>et al.</w:t>
      </w:r>
      <w:r w:rsidRPr="002342EF">
        <w:rPr>
          <w:rStyle w:val="Strong"/>
          <w:rFonts w:ascii="Arial" w:eastAsia="Times New Roman" w:hAnsi="Arial" w:cs="Arial"/>
          <w:b w:val="0"/>
          <w:bCs w:val="0"/>
          <w:sz w:val="22"/>
          <w:szCs w:val="22"/>
        </w:rPr>
        <w:t xml:space="preserve"> (2022)</w:t>
      </w:r>
      <w:r w:rsidRPr="002342EF">
        <w:rPr>
          <w:rFonts w:ascii="Arial" w:eastAsia="Times New Roman" w:hAnsi="Arial" w:cs="Arial"/>
          <w:b/>
          <w:bCs/>
          <w:sz w:val="22"/>
          <w:szCs w:val="22"/>
        </w:rPr>
        <w:t xml:space="preserve"> </w:t>
      </w:r>
      <w:r w:rsidRPr="002342EF">
        <w:rPr>
          <w:rFonts w:ascii="Arial" w:eastAsia="Times New Roman" w:hAnsi="Arial" w:cs="Arial"/>
          <w:sz w:val="22"/>
          <w:szCs w:val="22"/>
        </w:rPr>
        <w:t xml:space="preserve">‘SDG 3: Good health and well-being’, in </w:t>
      </w:r>
      <w:r w:rsidRPr="002342EF">
        <w:rPr>
          <w:rStyle w:val="Emphasis"/>
          <w:rFonts w:ascii="Arial" w:eastAsia="Times New Roman" w:hAnsi="Arial" w:cs="Arial"/>
          <w:sz w:val="22"/>
          <w:szCs w:val="22"/>
        </w:rPr>
        <w:t>From what works to what will work: Integrating climate risks into sustainable development evaluation — a practical guide</w:t>
      </w:r>
      <w:r w:rsidRPr="002342EF">
        <w:rPr>
          <w:rFonts w:ascii="Arial" w:eastAsia="Times New Roman" w:hAnsi="Arial" w:cs="Arial"/>
          <w:sz w:val="22"/>
          <w:szCs w:val="22"/>
        </w:rPr>
        <w:t xml:space="preserve">. London: International Institute for Environment and Development, pp. 86–90. Available at: </w:t>
      </w:r>
      <w:hyperlink r:id="rId5" w:history="1">
        <w:r w:rsidR="00BE49DA" w:rsidRPr="0078032A">
          <w:rPr>
            <w:rStyle w:val="Hyperlink"/>
            <w:rFonts w:ascii="Arial" w:eastAsia="Times New Roman" w:hAnsi="Arial" w:cs="Arial"/>
            <w:sz w:val="22"/>
            <w:szCs w:val="22"/>
          </w:rPr>
          <w:t>http://www.jstor.org/stable/resrep43052.15</w:t>
        </w:r>
      </w:hyperlink>
      <w:r w:rsidR="00BE49DA">
        <w:rPr>
          <w:rFonts w:ascii="Arial" w:eastAsia="Times New Roman" w:hAnsi="Arial" w:cs="Arial"/>
          <w:sz w:val="22"/>
          <w:szCs w:val="22"/>
        </w:rPr>
        <w:t xml:space="preserve"> </w:t>
      </w:r>
      <w:r w:rsidRPr="002342EF">
        <w:rPr>
          <w:rFonts w:ascii="Arial" w:eastAsia="Times New Roman" w:hAnsi="Arial" w:cs="Arial"/>
          <w:sz w:val="22"/>
          <w:szCs w:val="22"/>
        </w:rPr>
        <w:t xml:space="preserve"> (Accessed: </w:t>
      </w:r>
      <w:r w:rsidR="00BE49DA">
        <w:rPr>
          <w:rFonts w:ascii="Arial" w:eastAsia="Times New Roman" w:hAnsi="Arial" w:cs="Arial"/>
          <w:sz w:val="22"/>
          <w:szCs w:val="22"/>
        </w:rPr>
        <w:t xml:space="preserve">10 </w:t>
      </w:r>
      <w:r w:rsidRPr="002342EF">
        <w:rPr>
          <w:rFonts w:ascii="Arial" w:eastAsia="Times New Roman" w:hAnsi="Arial" w:cs="Arial"/>
          <w:sz w:val="22"/>
          <w:szCs w:val="22"/>
        </w:rPr>
        <w:t>March 2026).</w:t>
      </w:r>
    </w:p>
    <w:p w14:paraId="7A584194" w14:textId="3575D1D9" w:rsidR="00E07FD5" w:rsidRPr="00A76852" w:rsidRDefault="00E07FD5" w:rsidP="00256720">
      <w:pPr>
        <w:pStyle w:val="NormalWeb"/>
        <w:spacing w:line="360" w:lineRule="auto"/>
        <w:rPr>
          <w:rFonts w:ascii="Arial" w:hAnsi="Arial" w:cs="Arial"/>
          <w:sz w:val="22"/>
          <w:szCs w:val="22"/>
        </w:rPr>
      </w:pPr>
      <w:r w:rsidRPr="00A76852">
        <w:rPr>
          <w:rFonts w:ascii="Arial" w:eastAsia="Times New Roman" w:hAnsi="Arial" w:cs="Arial"/>
          <w:sz w:val="22"/>
          <w:szCs w:val="22"/>
        </w:rPr>
        <w:t xml:space="preserve">Briggs, D. (20203) ‘Environmental pollution and the global burden of disease’, </w:t>
      </w:r>
      <w:r w:rsidRPr="00A76852">
        <w:rPr>
          <w:rStyle w:val="Emphasis"/>
          <w:rFonts w:ascii="Arial" w:eastAsia="Times New Roman" w:hAnsi="Arial" w:cs="Arial"/>
          <w:sz w:val="22"/>
          <w:szCs w:val="22"/>
        </w:rPr>
        <w:t>British Medical Bulletin</w:t>
      </w:r>
      <w:r w:rsidRPr="00A76852">
        <w:rPr>
          <w:rFonts w:ascii="Arial" w:eastAsia="Times New Roman" w:hAnsi="Arial" w:cs="Arial"/>
          <w:sz w:val="22"/>
          <w:szCs w:val="22"/>
        </w:rPr>
        <w:t xml:space="preserve">, 68(1), pp. 1–24. Available at: </w:t>
      </w:r>
      <w:hyperlink r:id="rId6" w:history="1">
        <w:r w:rsidR="00A33A45" w:rsidRPr="0078032A">
          <w:rPr>
            <w:rStyle w:val="Hyperlink"/>
            <w:rFonts w:ascii="Arial" w:eastAsia="Times New Roman" w:hAnsi="Arial" w:cs="Arial"/>
            <w:sz w:val="22"/>
            <w:szCs w:val="22"/>
          </w:rPr>
          <w:t>https://academic.oup.com/bmb/article/68/1/1/421547</w:t>
        </w:r>
      </w:hyperlink>
      <w:r w:rsidR="00A33A45">
        <w:rPr>
          <w:rFonts w:ascii="Arial" w:eastAsia="Times New Roman" w:hAnsi="Arial" w:cs="Arial"/>
          <w:sz w:val="22"/>
          <w:szCs w:val="22"/>
        </w:rPr>
        <w:t xml:space="preserve"> </w:t>
      </w:r>
      <w:r w:rsidRPr="00A76852">
        <w:rPr>
          <w:rFonts w:ascii="Arial" w:eastAsia="Times New Roman" w:hAnsi="Arial" w:cs="Arial"/>
          <w:sz w:val="22"/>
          <w:szCs w:val="22"/>
        </w:rPr>
        <w:t xml:space="preserve"> (Accessed: </w:t>
      </w:r>
      <w:r w:rsidR="00A76852" w:rsidRPr="00A76852">
        <w:rPr>
          <w:rFonts w:ascii="Arial" w:eastAsia="Times New Roman" w:hAnsi="Arial" w:cs="Arial"/>
          <w:sz w:val="22"/>
          <w:szCs w:val="22"/>
        </w:rPr>
        <w:t>10</w:t>
      </w:r>
      <w:r w:rsidRPr="00A76852">
        <w:rPr>
          <w:rFonts w:ascii="Arial" w:eastAsia="Times New Roman" w:hAnsi="Arial" w:cs="Arial"/>
          <w:sz w:val="22"/>
          <w:szCs w:val="22"/>
        </w:rPr>
        <w:t xml:space="preserve"> March 2026).</w:t>
      </w:r>
    </w:p>
    <w:p w14:paraId="5DD6C2CF" w14:textId="16B876CC" w:rsidR="001E1F73" w:rsidRDefault="001E1F73" w:rsidP="00256720">
      <w:pPr>
        <w:pStyle w:val="NormalWeb"/>
        <w:spacing w:line="360" w:lineRule="auto"/>
        <w:rPr>
          <w:rFonts w:ascii="Arial" w:hAnsi="Arial" w:cs="Arial"/>
          <w:sz w:val="22"/>
          <w:szCs w:val="22"/>
        </w:rPr>
      </w:pPr>
      <w:r w:rsidRPr="00256720">
        <w:rPr>
          <w:rFonts w:ascii="Arial" w:hAnsi="Arial" w:cs="Arial"/>
          <w:sz w:val="22"/>
          <w:szCs w:val="22"/>
        </w:rPr>
        <w:t xml:space="preserve">Department for Environment, Food and Rural Affairs (2019) </w:t>
      </w:r>
      <w:r w:rsidRPr="00256720">
        <w:rPr>
          <w:rStyle w:val="Emphasis"/>
          <w:rFonts w:ascii="Arial" w:hAnsi="Arial" w:cs="Arial"/>
          <w:sz w:val="22"/>
          <w:szCs w:val="22"/>
        </w:rPr>
        <w:t>Clean Air Strategy 2019: executive summary</w:t>
      </w:r>
      <w:r w:rsidRPr="00256720">
        <w:rPr>
          <w:rFonts w:ascii="Arial" w:hAnsi="Arial" w:cs="Arial"/>
          <w:sz w:val="22"/>
          <w:szCs w:val="22"/>
        </w:rPr>
        <w:t xml:space="preserve">. Available at: </w:t>
      </w:r>
      <w:hyperlink r:id="rId7" w:tgtFrame="_new" w:history="1">
        <w:r w:rsidRPr="00256720">
          <w:rPr>
            <w:rStyle w:val="Hyperlink"/>
            <w:rFonts w:ascii="Arial" w:hAnsi="Arial" w:cs="Arial"/>
            <w:sz w:val="22"/>
            <w:szCs w:val="22"/>
          </w:rPr>
          <w:t>https://www.gov.uk/government/publications/clean-air-strategy-2019/clean-air-strategy-2019-executive-summary</w:t>
        </w:r>
      </w:hyperlink>
      <w:r w:rsidRPr="00256720">
        <w:rPr>
          <w:rFonts w:ascii="Arial" w:hAnsi="Arial" w:cs="Arial"/>
          <w:sz w:val="22"/>
          <w:szCs w:val="22"/>
        </w:rPr>
        <w:t xml:space="preserve"> (Accessed: </w:t>
      </w:r>
      <w:r w:rsidR="008B71A8">
        <w:rPr>
          <w:rFonts w:ascii="Arial" w:hAnsi="Arial" w:cs="Arial"/>
          <w:sz w:val="22"/>
          <w:szCs w:val="22"/>
        </w:rPr>
        <w:t>15</w:t>
      </w:r>
      <w:r w:rsidRPr="00256720">
        <w:rPr>
          <w:rFonts w:ascii="Arial" w:hAnsi="Arial" w:cs="Arial"/>
          <w:sz w:val="22"/>
          <w:szCs w:val="22"/>
        </w:rPr>
        <w:t xml:space="preserve"> March 2026). </w:t>
      </w:r>
    </w:p>
    <w:p w14:paraId="72CC3EEE" w14:textId="74808608" w:rsidR="008B3E8D" w:rsidRDefault="008B3E8D" w:rsidP="00256720">
      <w:pPr>
        <w:pStyle w:val="NormalWeb"/>
        <w:spacing w:line="360" w:lineRule="auto"/>
        <w:rPr>
          <w:rFonts w:ascii="Arial" w:hAnsi="Arial" w:cs="Arial"/>
          <w:sz w:val="22"/>
          <w:szCs w:val="22"/>
        </w:rPr>
      </w:pPr>
      <w:r w:rsidRPr="00256720">
        <w:rPr>
          <w:rFonts w:ascii="Arial" w:hAnsi="Arial" w:cs="Arial"/>
          <w:sz w:val="22"/>
          <w:szCs w:val="22"/>
        </w:rPr>
        <w:t xml:space="preserve">Department of Health and Social Care (2021) </w:t>
      </w:r>
      <w:r w:rsidRPr="00256720">
        <w:rPr>
          <w:rStyle w:val="Emphasis"/>
          <w:rFonts w:ascii="Arial" w:hAnsi="Arial" w:cs="Arial"/>
          <w:sz w:val="22"/>
          <w:szCs w:val="22"/>
        </w:rPr>
        <w:t>Advancing our health: Prevention in the 2020s</w:t>
      </w:r>
      <w:r w:rsidRPr="00256720">
        <w:rPr>
          <w:rFonts w:ascii="Arial" w:hAnsi="Arial" w:cs="Arial"/>
          <w:sz w:val="22"/>
          <w:szCs w:val="22"/>
        </w:rPr>
        <w:t xml:space="preserve">. London: DHSC. Available at: </w:t>
      </w:r>
      <w:hyperlink r:id="rId8" w:history="1">
        <w:r w:rsidR="00CC1C1D" w:rsidRPr="0078032A">
          <w:rPr>
            <w:rStyle w:val="Hyperlink"/>
            <w:rFonts w:ascii="Arial" w:hAnsi="Arial" w:cs="Arial"/>
            <w:sz w:val="22"/>
            <w:szCs w:val="22"/>
          </w:rPr>
          <w:t>https://www.gov.uk/government/publications/advancing-our-health-prevention-in-the-2020s</w:t>
        </w:r>
      </w:hyperlink>
      <w:r w:rsidR="00CC1C1D">
        <w:rPr>
          <w:rFonts w:ascii="Arial" w:hAnsi="Arial" w:cs="Arial"/>
          <w:sz w:val="22"/>
          <w:szCs w:val="22"/>
        </w:rPr>
        <w:t xml:space="preserve"> </w:t>
      </w:r>
      <w:r w:rsidRPr="00256720">
        <w:rPr>
          <w:rFonts w:ascii="Arial" w:hAnsi="Arial" w:cs="Arial"/>
          <w:sz w:val="22"/>
          <w:szCs w:val="22"/>
        </w:rPr>
        <w:t xml:space="preserve"> (Accessed: </w:t>
      </w:r>
      <w:r w:rsidR="008B71A8">
        <w:rPr>
          <w:rFonts w:ascii="Arial" w:hAnsi="Arial" w:cs="Arial"/>
          <w:sz w:val="22"/>
          <w:szCs w:val="22"/>
        </w:rPr>
        <w:t>16</w:t>
      </w:r>
      <w:r w:rsidRPr="00256720">
        <w:rPr>
          <w:rFonts w:ascii="Arial" w:hAnsi="Arial" w:cs="Arial"/>
          <w:sz w:val="22"/>
          <w:szCs w:val="22"/>
        </w:rPr>
        <w:t xml:space="preserve"> March 2026).</w:t>
      </w:r>
    </w:p>
    <w:p w14:paraId="0E41343E" w14:textId="75368E93" w:rsidR="00705406" w:rsidRDefault="00705406" w:rsidP="00256720">
      <w:pPr>
        <w:pStyle w:val="NormalWeb"/>
        <w:spacing w:line="360" w:lineRule="auto"/>
        <w:rPr>
          <w:rFonts w:ascii="Arial" w:hAnsi="Arial" w:cs="Arial"/>
          <w:sz w:val="22"/>
          <w:szCs w:val="22"/>
        </w:rPr>
      </w:pPr>
      <w:r w:rsidRPr="00256720">
        <w:rPr>
          <w:rFonts w:ascii="Arial" w:hAnsi="Arial" w:cs="Arial"/>
          <w:sz w:val="22"/>
          <w:szCs w:val="22"/>
        </w:rPr>
        <w:t xml:space="preserve">Local Government Association (2021) </w:t>
      </w:r>
      <w:r w:rsidRPr="00256720">
        <w:rPr>
          <w:rStyle w:val="Emphasis"/>
          <w:rFonts w:ascii="Arial" w:hAnsi="Arial" w:cs="Arial"/>
          <w:sz w:val="22"/>
          <w:szCs w:val="22"/>
        </w:rPr>
        <w:t>Public health transformation and reform</w:t>
      </w:r>
      <w:r w:rsidRPr="00256720">
        <w:rPr>
          <w:rFonts w:ascii="Arial" w:hAnsi="Arial" w:cs="Arial"/>
          <w:sz w:val="22"/>
          <w:szCs w:val="22"/>
        </w:rPr>
        <w:t xml:space="preserve">. Available at: </w:t>
      </w:r>
      <w:hyperlink r:id="rId9" w:history="1">
        <w:r w:rsidRPr="0078032A">
          <w:rPr>
            <w:rStyle w:val="Hyperlink"/>
            <w:rFonts w:ascii="Arial" w:hAnsi="Arial" w:cs="Arial"/>
            <w:sz w:val="22"/>
            <w:szCs w:val="22"/>
          </w:rPr>
          <w:t>https://www.local.gov.uk/publications/public-health-transformation-reform</w:t>
        </w:r>
      </w:hyperlink>
      <w:r>
        <w:rPr>
          <w:rFonts w:ascii="Arial" w:hAnsi="Arial" w:cs="Arial"/>
          <w:sz w:val="22"/>
          <w:szCs w:val="22"/>
        </w:rPr>
        <w:t xml:space="preserve"> </w:t>
      </w:r>
      <w:r w:rsidRPr="00256720">
        <w:rPr>
          <w:rFonts w:ascii="Arial" w:hAnsi="Arial" w:cs="Arial"/>
          <w:sz w:val="22"/>
          <w:szCs w:val="22"/>
        </w:rPr>
        <w:t xml:space="preserve"> (Accessed: </w:t>
      </w:r>
      <w:r w:rsidR="008B71A8">
        <w:rPr>
          <w:rFonts w:ascii="Arial" w:hAnsi="Arial" w:cs="Arial"/>
          <w:sz w:val="22"/>
          <w:szCs w:val="22"/>
        </w:rPr>
        <w:t>1</w:t>
      </w:r>
      <w:r w:rsidR="009E06CF">
        <w:rPr>
          <w:rFonts w:ascii="Arial" w:hAnsi="Arial" w:cs="Arial"/>
          <w:sz w:val="22"/>
          <w:szCs w:val="22"/>
        </w:rPr>
        <w:t>5</w:t>
      </w:r>
      <w:r w:rsidRPr="00256720">
        <w:rPr>
          <w:rFonts w:ascii="Arial" w:hAnsi="Arial" w:cs="Arial"/>
          <w:sz w:val="22"/>
          <w:szCs w:val="22"/>
        </w:rPr>
        <w:t xml:space="preserve"> March 2026).</w:t>
      </w:r>
    </w:p>
    <w:p w14:paraId="3204193B" w14:textId="77777777" w:rsidR="0026188F" w:rsidRDefault="0026188F" w:rsidP="002763E4">
      <w:pPr>
        <w:pStyle w:val="NormalWeb"/>
        <w:spacing w:line="360" w:lineRule="auto"/>
        <w:rPr>
          <w:rFonts w:ascii="Arial" w:hAnsi="Arial" w:cs="Arial"/>
          <w:sz w:val="22"/>
          <w:szCs w:val="22"/>
        </w:rPr>
      </w:pPr>
      <w:r w:rsidRPr="00256720">
        <w:rPr>
          <w:rFonts w:ascii="Arial" w:hAnsi="Arial" w:cs="Arial"/>
          <w:sz w:val="22"/>
          <w:szCs w:val="22"/>
        </w:rPr>
        <w:t xml:space="preserve">Marmot, M. (2020) </w:t>
      </w:r>
      <w:r w:rsidRPr="00256720">
        <w:rPr>
          <w:rStyle w:val="Emphasis"/>
          <w:rFonts w:ascii="Arial" w:hAnsi="Arial" w:cs="Arial"/>
          <w:sz w:val="22"/>
          <w:szCs w:val="22"/>
        </w:rPr>
        <w:t>Health equity in England: The Marmot Review 10 years on</w:t>
      </w:r>
      <w:r w:rsidRPr="00256720">
        <w:rPr>
          <w:rFonts w:ascii="Arial" w:hAnsi="Arial" w:cs="Arial"/>
          <w:sz w:val="22"/>
          <w:szCs w:val="22"/>
        </w:rPr>
        <w:t>. London: Institute of Health Equity.</w:t>
      </w:r>
    </w:p>
    <w:p w14:paraId="58A44BFD" w14:textId="26F0DEFC" w:rsidR="0026188F" w:rsidRPr="0026188F" w:rsidRDefault="0026188F" w:rsidP="0026188F">
      <w:pPr>
        <w:spacing w:line="360" w:lineRule="auto"/>
        <w:rPr>
          <w:rFonts w:ascii="Arial" w:eastAsia="Times New Roman" w:hAnsi="Arial" w:cs="Arial"/>
          <w:kern w:val="0"/>
          <w:sz w:val="22"/>
          <w:szCs w:val="22"/>
          <w14:ligatures w14:val="none"/>
        </w:rPr>
      </w:pPr>
      <w:proofErr w:type="spellStart"/>
      <w:r w:rsidRPr="00CC1C1D">
        <w:rPr>
          <w:rFonts w:ascii="Arial" w:eastAsia="Times New Roman" w:hAnsi="Arial" w:cs="Arial"/>
          <w:sz w:val="22"/>
          <w:szCs w:val="22"/>
        </w:rPr>
        <w:t>Macassa</w:t>
      </w:r>
      <w:proofErr w:type="spellEnd"/>
      <w:r w:rsidRPr="00CC1C1D">
        <w:rPr>
          <w:rFonts w:ascii="Arial" w:eastAsia="Times New Roman" w:hAnsi="Arial" w:cs="Arial"/>
          <w:sz w:val="22"/>
          <w:szCs w:val="22"/>
        </w:rPr>
        <w:t>, G. (2021) “Can Sustainable Health Behaviour Contribute to Ensure Healthy Lives and Wellbeing for All at All Ages (</w:t>
      </w:r>
      <w:proofErr w:type="spellStart"/>
      <w:r w:rsidRPr="00CC1C1D">
        <w:rPr>
          <w:rFonts w:ascii="Arial" w:eastAsia="Times New Roman" w:hAnsi="Arial" w:cs="Arial"/>
          <w:sz w:val="22"/>
          <w:szCs w:val="22"/>
        </w:rPr>
        <w:t>Sdg</w:t>
      </w:r>
      <w:proofErr w:type="spellEnd"/>
      <w:r w:rsidRPr="00CC1C1D">
        <w:rPr>
          <w:rFonts w:ascii="Arial" w:eastAsia="Times New Roman" w:hAnsi="Arial" w:cs="Arial"/>
          <w:sz w:val="22"/>
          <w:szCs w:val="22"/>
        </w:rPr>
        <w:t xml:space="preserve"> 3)? A Viewpoint,” </w:t>
      </w:r>
      <w:r w:rsidRPr="00CC1C1D">
        <w:rPr>
          <w:rFonts w:ascii="Arial" w:eastAsia="Times New Roman" w:hAnsi="Arial" w:cs="Arial"/>
          <w:i/>
          <w:iCs/>
          <w:sz w:val="22"/>
          <w:szCs w:val="22"/>
        </w:rPr>
        <w:t>Journal of public health research</w:t>
      </w:r>
      <w:r w:rsidRPr="00CC1C1D">
        <w:rPr>
          <w:rFonts w:ascii="Arial" w:eastAsia="Times New Roman" w:hAnsi="Arial" w:cs="Arial"/>
          <w:sz w:val="22"/>
          <w:szCs w:val="22"/>
        </w:rPr>
        <w:t xml:space="preserve">, 10(3). Available at: </w:t>
      </w:r>
      <w:hyperlink r:id="rId10" w:history="1">
        <w:r w:rsidRPr="0078032A">
          <w:rPr>
            <w:rStyle w:val="Hyperlink"/>
            <w:rFonts w:ascii="Arial" w:eastAsia="Times New Roman" w:hAnsi="Arial" w:cs="Arial"/>
            <w:sz w:val="22"/>
            <w:szCs w:val="22"/>
          </w:rPr>
          <w:t>https://doi.org/10.4081/jphr.2021.2051</w:t>
        </w:r>
      </w:hyperlink>
      <w:r>
        <w:rPr>
          <w:rFonts w:ascii="Arial" w:eastAsia="Times New Roman" w:hAnsi="Arial" w:cs="Arial"/>
          <w:sz w:val="22"/>
          <w:szCs w:val="22"/>
        </w:rPr>
        <w:t xml:space="preserve">. </w:t>
      </w:r>
    </w:p>
    <w:p w14:paraId="76FBFA46" w14:textId="77777777" w:rsidR="001E1F73" w:rsidRPr="00256720" w:rsidRDefault="001E1F73" w:rsidP="00256720">
      <w:pPr>
        <w:pStyle w:val="NormalWeb"/>
        <w:spacing w:line="360" w:lineRule="auto"/>
        <w:rPr>
          <w:rFonts w:ascii="Arial" w:hAnsi="Arial" w:cs="Arial"/>
          <w:sz w:val="22"/>
          <w:szCs w:val="22"/>
        </w:rPr>
      </w:pPr>
      <w:r w:rsidRPr="00256720">
        <w:rPr>
          <w:rFonts w:ascii="Arial" w:hAnsi="Arial" w:cs="Arial"/>
          <w:sz w:val="22"/>
          <w:szCs w:val="22"/>
        </w:rPr>
        <w:t xml:space="preserve">Natural England (2020) </w:t>
      </w:r>
      <w:r w:rsidRPr="00256720">
        <w:rPr>
          <w:rStyle w:val="Emphasis"/>
          <w:rFonts w:ascii="Arial" w:hAnsi="Arial" w:cs="Arial"/>
          <w:sz w:val="22"/>
          <w:szCs w:val="22"/>
        </w:rPr>
        <w:t>The People and Nature Survey for England: Key findings</w:t>
      </w:r>
      <w:r w:rsidRPr="00256720">
        <w:rPr>
          <w:rFonts w:ascii="Arial" w:hAnsi="Arial" w:cs="Arial"/>
          <w:sz w:val="22"/>
          <w:szCs w:val="22"/>
        </w:rPr>
        <w:t xml:space="preserve">. Available at: </w:t>
      </w:r>
      <w:hyperlink r:id="rId11" w:tgtFrame="_new" w:history="1">
        <w:r w:rsidRPr="00256720">
          <w:rPr>
            <w:rStyle w:val="Hyperlink"/>
            <w:rFonts w:ascii="Arial" w:hAnsi="Arial" w:cs="Arial"/>
            <w:sz w:val="22"/>
            <w:szCs w:val="22"/>
          </w:rPr>
          <w:t>https://www.gov.uk/government/collections/people-and-nature-survey-for-england</w:t>
        </w:r>
      </w:hyperlink>
      <w:r w:rsidRPr="00256720">
        <w:rPr>
          <w:rFonts w:ascii="Arial" w:hAnsi="Arial" w:cs="Arial"/>
          <w:sz w:val="22"/>
          <w:szCs w:val="22"/>
        </w:rPr>
        <w:t xml:space="preserve"> (Accessed: 8 March 2026).</w:t>
      </w:r>
    </w:p>
    <w:p w14:paraId="3BBD4F8F" w14:textId="7BF34FCA" w:rsidR="001E1F73" w:rsidRDefault="001E1F73" w:rsidP="00256720">
      <w:pPr>
        <w:pStyle w:val="NormalWeb"/>
        <w:spacing w:line="360" w:lineRule="auto"/>
        <w:rPr>
          <w:rFonts w:ascii="Arial" w:hAnsi="Arial" w:cs="Arial"/>
          <w:sz w:val="22"/>
          <w:szCs w:val="22"/>
        </w:rPr>
      </w:pPr>
      <w:r w:rsidRPr="00256720">
        <w:rPr>
          <w:rFonts w:ascii="Arial" w:hAnsi="Arial" w:cs="Arial"/>
          <w:sz w:val="22"/>
          <w:szCs w:val="22"/>
        </w:rPr>
        <w:lastRenderedPageBreak/>
        <w:t xml:space="preserve">NHS England (2019) </w:t>
      </w:r>
      <w:r w:rsidRPr="00256720">
        <w:rPr>
          <w:rStyle w:val="Emphasis"/>
          <w:rFonts w:ascii="Arial" w:hAnsi="Arial" w:cs="Arial"/>
          <w:sz w:val="22"/>
          <w:szCs w:val="22"/>
        </w:rPr>
        <w:t>The NHS Long Term Plan</w:t>
      </w:r>
      <w:r w:rsidRPr="00256720">
        <w:rPr>
          <w:rFonts w:ascii="Arial" w:hAnsi="Arial" w:cs="Arial"/>
          <w:sz w:val="22"/>
          <w:szCs w:val="22"/>
        </w:rPr>
        <w:t xml:space="preserve">. Available at: </w:t>
      </w:r>
      <w:hyperlink r:id="rId12" w:tgtFrame="_new" w:history="1">
        <w:r w:rsidRPr="00256720">
          <w:rPr>
            <w:rStyle w:val="Hyperlink"/>
            <w:rFonts w:ascii="Arial" w:hAnsi="Arial" w:cs="Arial"/>
            <w:sz w:val="22"/>
            <w:szCs w:val="22"/>
          </w:rPr>
          <w:t>https://www.longtermplan.nhs.uk/</w:t>
        </w:r>
      </w:hyperlink>
      <w:r w:rsidRPr="00256720">
        <w:rPr>
          <w:rFonts w:ascii="Arial" w:hAnsi="Arial" w:cs="Arial"/>
          <w:sz w:val="22"/>
          <w:szCs w:val="22"/>
        </w:rPr>
        <w:t xml:space="preserve"> (Accessed: </w:t>
      </w:r>
      <w:r w:rsidR="008B71A8">
        <w:rPr>
          <w:rFonts w:ascii="Arial" w:hAnsi="Arial" w:cs="Arial"/>
          <w:sz w:val="22"/>
          <w:szCs w:val="22"/>
        </w:rPr>
        <w:t xml:space="preserve">11 </w:t>
      </w:r>
      <w:r w:rsidRPr="00256720">
        <w:rPr>
          <w:rFonts w:ascii="Arial" w:hAnsi="Arial" w:cs="Arial"/>
          <w:sz w:val="22"/>
          <w:szCs w:val="22"/>
        </w:rPr>
        <w:t>March 2026).</w:t>
      </w:r>
    </w:p>
    <w:p w14:paraId="68A1EBA7" w14:textId="20601778" w:rsidR="001E1F73" w:rsidRPr="00256720" w:rsidRDefault="001E1F73" w:rsidP="00256720">
      <w:pPr>
        <w:pStyle w:val="NormalWeb"/>
        <w:spacing w:line="360" w:lineRule="auto"/>
        <w:rPr>
          <w:rFonts w:ascii="Arial" w:hAnsi="Arial" w:cs="Arial"/>
          <w:sz w:val="22"/>
          <w:szCs w:val="22"/>
        </w:rPr>
      </w:pPr>
      <w:r w:rsidRPr="00256720">
        <w:rPr>
          <w:rFonts w:ascii="Arial" w:hAnsi="Arial" w:cs="Arial"/>
          <w:sz w:val="22"/>
          <w:szCs w:val="22"/>
        </w:rPr>
        <w:t xml:space="preserve">Office for National Statistics (2024) </w:t>
      </w:r>
      <w:r w:rsidRPr="00256720">
        <w:rPr>
          <w:rStyle w:val="Emphasis"/>
          <w:rFonts w:ascii="Arial" w:hAnsi="Arial" w:cs="Arial"/>
          <w:sz w:val="22"/>
          <w:szCs w:val="22"/>
        </w:rPr>
        <w:t>Adult smoking habits in the UK: 2024</w:t>
      </w:r>
      <w:r w:rsidRPr="00256720">
        <w:rPr>
          <w:rFonts w:ascii="Arial" w:hAnsi="Arial" w:cs="Arial"/>
          <w:sz w:val="22"/>
          <w:szCs w:val="22"/>
        </w:rPr>
        <w:t xml:space="preserve">. Available at: </w:t>
      </w:r>
      <w:hyperlink r:id="rId13" w:tgtFrame="_new" w:history="1">
        <w:r w:rsidRPr="00256720">
          <w:rPr>
            <w:rStyle w:val="Hyperlink"/>
            <w:rFonts w:ascii="Arial" w:hAnsi="Arial" w:cs="Arial"/>
            <w:sz w:val="22"/>
            <w:szCs w:val="22"/>
          </w:rPr>
          <w:t>https://www.ons.gov.uk/peoplepopulationandcommunity/healthandsocialcare/healthandlifeexpectancies/bulletins/adultsmokinghabitsingreatbritain/2024</w:t>
        </w:r>
      </w:hyperlink>
      <w:r w:rsidRPr="00256720">
        <w:rPr>
          <w:rFonts w:ascii="Arial" w:hAnsi="Arial" w:cs="Arial"/>
          <w:sz w:val="22"/>
          <w:szCs w:val="22"/>
        </w:rPr>
        <w:t xml:space="preserve"> (Accessed: </w:t>
      </w:r>
      <w:r w:rsidR="002F0130">
        <w:rPr>
          <w:rFonts w:ascii="Arial" w:hAnsi="Arial" w:cs="Arial"/>
          <w:sz w:val="22"/>
          <w:szCs w:val="22"/>
        </w:rPr>
        <w:t>12</w:t>
      </w:r>
      <w:r w:rsidRPr="00256720">
        <w:rPr>
          <w:rFonts w:ascii="Arial" w:hAnsi="Arial" w:cs="Arial"/>
          <w:sz w:val="22"/>
          <w:szCs w:val="22"/>
        </w:rPr>
        <w:t xml:space="preserve"> March 2026). </w:t>
      </w:r>
    </w:p>
    <w:p w14:paraId="26DA432E" w14:textId="0090C311" w:rsidR="001E1F73" w:rsidRDefault="001E1F73" w:rsidP="00256720">
      <w:pPr>
        <w:pStyle w:val="NormalWeb"/>
        <w:spacing w:line="360" w:lineRule="auto"/>
        <w:rPr>
          <w:rFonts w:ascii="Arial" w:hAnsi="Arial" w:cs="Arial"/>
          <w:sz w:val="22"/>
          <w:szCs w:val="22"/>
        </w:rPr>
      </w:pPr>
      <w:r w:rsidRPr="00256720">
        <w:rPr>
          <w:rFonts w:ascii="Arial" w:hAnsi="Arial" w:cs="Arial"/>
          <w:sz w:val="22"/>
          <w:szCs w:val="22"/>
        </w:rPr>
        <w:t xml:space="preserve">Public Health England (2020) </w:t>
      </w:r>
      <w:r w:rsidRPr="00256720">
        <w:rPr>
          <w:rStyle w:val="Emphasis"/>
          <w:rFonts w:ascii="Arial" w:hAnsi="Arial" w:cs="Arial"/>
          <w:sz w:val="22"/>
          <w:szCs w:val="22"/>
        </w:rPr>
        <w:t>Health profile for England 2020</w:t>
      </w:r>
      <w:r w:rsidRPr="00256720">
        <w:rPr>
          <w:rFonts w:ascii="Arial" w:hAnsi="Arial" w:cs="Arial"/>
          <w:sz w:val="22"/>
          <w:szCs w:val="22"/>
        </w:rPr>
        <w:t xml:space="preserve">. Available at: </w:t>
      </w:r>
      <w:hyperlink r:id="rId14" w:tgtFrame="_new" w:history="1">
        <w:r w:rsidRPr="00256720">
          <w:rPr>
            <w:rStyle w:val="Hyperlink"/>
            <w:rFonts w:ascii="Arial" w:hAnsi="Arial" w:cs="Arial"/>
            <w:sz w:val="22"/>
            <w:szCs w:val="22"/>
          </w:rPr>
          <w:t>https://fingertips.phe.org.uk/profile/health-profiles</w:t>
        </w:r>
      </w:hyperlink>
      <w:r w:rsidRPr="00256720">
        <w:rPr>
          <w:rFonts w:ascii="Arial" w:hAnsi="Arial" w:cs="Arial"/>
          <w:sz w:val="22"/>
          <w:szCs w:val="22"/>
        </w:rPr>
        <w:t xml:space="preserve"> (Accessed: </w:t>
      </w:r>
      <w:r w:rsidR="002F0130">
        <w:rPr>
          <w:rFonts w:ascii="Arial" w:hAnsi="Arial" w:cs="Arial"/>
          <w:sz w:val="22"/>
          <w:szCs w:val="22"/>
        </w:rPr>
        <w:t>15</w:t>
      </w:r>
      <w:r w:rsidRPr="00256720">
        <w:rPr>
          <w:rFonts w:ascii="Arial" w:hAnsi="Arial" w:cs="Arial"/>
          <w:sz w:val="22"/>
          <w:szCs w:val="22"/>
        </w:rPr>
        <w:t xml:space="preserve"> March 2026).</w:t>
      </w:r>
    </w:p>
    <w:p w14:paraId="4682587A" w14:textId="6089017B" w:rsidR="00904187" w:rsidRPr="00256720" w:rsidRDefault="00904187" w:rsidP="00256720">
      <w:pPr>
        <w:pStyle w:val="NormalWeb"/>
        <w:spacing w:line="360" w:lineRule="auto"/>
        <w:rPr>
          <w:rFonts w:ascii="Arial" w:hAnsi="Arial" w:cs="Arial"/>
          <w:sz w:val="22"/>
          <w:szCs w:val="22"/>
        </w:rPr>
      </w:pPr>
      <w:r w:rsidRPr="00256720">
        <w:rPr>
          <w:rFonts w:ascii="Arial" w:hAnsi="Arial" w:cs="Arial"/>
          <w:sz w:val="22"/>
          <w:szCs w:val="22"/>
        </w:rPr>
        <w:t xml:space="preserve">Public Health England (2019) </w:t>
      </w:r>
      <w:r w:rsidRPr="00256720">
        <w:rPr>
          <w:rStyle w:val="Emphasis"/>
          <w:rFonts w:ascii="Arial" w:hAnsi="Arial" w:cs="Arial"/>
          <w:sz w:val="22"/>
          <w:szCs w:val="22"/>
        </w:rPr>
        <w:t>Improving access to green space: A review for 2020</w:t>
      </w:r>
      <w:r w:rsidRPr="00256720">
        <w:rPr>
          <w:rFonts w:ascii="Arial" w:hAnsi="Arial" w:cs="Arial"/>
          <w:sz w:val="22"/>
          <w:szCs w:val="22"/>
        </w:rPr>
        <w:t xml:space="preserve">. Available at: </w:t>
      </w:r>
      <w:hyperlink r:id="rId15" w:history="1">
        <w:r w:rsidRPr="0078032A">
          <w:rPr>
            <w:rStyle w:val="Hyperlink"/>
            <w:rFonts w:ascii="Arial" w:hAnsi="Arial" w:cs="Arial"/>
            <w:sz w:val="22"/>
            <w:szCs w:val="22"/>
          </w:rPr>
          <w:t>https://www.gov.uk/government/publications/improving-access-to-green-space</w:t>
        </w:r>
      </w:hyperlink>
      <w:r>
        <w:rPr>
          <w:rFonts w:ascii="Arial" w:hAnsi="Arial" w:cs="Arial"/>
          <w:sz w:val="22"/>
          <w:szCs w:val="22"/>
        </w:rPr>
        <w:t xml:space="preserve"> </w:t>
      </w:r>
      <w:r w:rsidRPr="00256720">
        <w:rPr>
          <w:rFonts w:ascii="Arial" w:hAnsi="Arial" w:cs="Arial"/>
          <w:sz w:val="22"/>
          <w:szCs w:val="22"/>
        </w:rPr>
        <w:t xml:space="preserve"> (Accessed: </w:t>
      </w:r>
      <w:r w:rsidR="001964C5">
        <w:rPr>
          <w:rFonts w:ascii="Arial" w:hAnsi="Arial" w:cs="Arial"/>
          <w:sz w:val="22"/>
          <w:szCs w:val="22"/>
        </w:rPr>
        <w:t>1</w:t>
      </w:r>
      <w:r w:rsidRPr="00256720">
        <w:rPr>
          <w:rFonts w:ascii="Arial" w:hAnsi="Arial" w:cs="Arial"/>
          <w:sz w:val="22"/>
          <w:szCs w:val="22"/>
        </w:rPr>
        <w:t>8 March 2026).</w:t>
      </w:r>
    </w:p>
    <w:p w14:paraId="1E500990" w14:textId="77777777" w:rsidR="001E1F73" w:rsidRDefault="001E1F73" w:rsidP="00256720">
      <w:pPr>
        <w:pStyle w:val="NormalWeb"/>
        <w:spacing w:line="360" w:lineRule="auto"/>
        <w:rPr>
          <w:rFonts w:ascii="Arial" w:hAnsi="Arial" w:cs="Arial"/>
          <w:sz w:val="22"/>
          <w:szCs w:val="22"/>
        </w:rPr>
      </w:pPr>
      <w:r w:rsidRPr="00256720">
        <w:rPr>
          <w:rFonts w:ascii="Arial" w:hAnsi="Arial" w:cs="Arial"/>
          <w:sz w:val="22"/>
          <w:szCs w:val="22"/>
        </w:rPr>
        <w:t xml:space="preserve">Rosenstock, I. (1974) ‘The health belief model and preventive health behaviour’, </w:t>
      </w:r>
      <w:r w:rsidRPr="00256720">
        <w:rPr>
          <w:rStyle w:val="Emphasis"/>
          <w:rFonts w:ascii="Arial" w:hAnsi="Arial" w:cs="Arial"/>
          <w:sz w:val="22"/>
          <w:szCs w:val="22"/>
        </w:rPr>
        <w:t>Health Education Monographs</w:t>
      </w:r>
      <w:r w:rsidRPr="00256720">
        <w:rPr>
          <w:rFonts w:ascii="Arial" w:hAnsi="Arial" w:cs="Arial"/>
          <w:sz w:val="22"/>
          <w:szCs w:val="22"/>
        </w:rPr>
        <w:t>, 2(4), pp. 354–386.</w:t>
      </w:r>
    </w:p>
    <w:p w14:paraId="7BC3EF5F" w14:textId="51E666E0" w:rsidR="00676FAB" w:rsidRPr="00676FAB" w:rsidRDefault="00676FAB" w:rsidP="00676FAB">
      <w:pPr>
        <w:spacing w:line="360" w:lineRule="auto"/>
        <w:rPr>
          <w:rFonts w:ascii="Arial" w:eastAsia="Times New Roman" w:hAnsi="Arial" w:cs="Arial"/>
          <w:kern w:val="0"/>
          <w:sz w:val="22"/>
          <w:szCs w:val="22"/>
          <w14:ligatures w14:val="none"/>
        </w:rPr>
      </w:pPr>
      <w:r w:rsidRPr="00676FAB">
        <w:rPr>
          <w:rFonts w:ascii="Arial" w:eastAsia="Times New Roman" w:hAnsi="Arial" w:cs="Arial"/>
          <w:sz w:val="22"/>
          <w:szCs w:val="22"/>
        </w:rPr>
        <w:t xml:space="preserve">Russell-Bennett, R. </w:t>
      </w:r>
      <w:r w:rsidRPr="00676FAB">
        <w:rPr>
          <w:rFonts w:ascii="Arial" w:eastAsia="Times New Roman" w:hAnsi="Arial" w:cs="Arial"/>
          <w:i/>
          <w:iCs/>
          <w:sz w:val="22"/>
          <w:szCs w:val="22"/>
        </w:rPr>
        <w:t>et al.</w:t>
      </w:r>
      <w:r w:rsidRPr="00676FAB">
        <w:rPr>
          <w:rFonts w:ascii="Arial" w:eastAsia="Times New Roman" w:hAnsi="Arial" w:cs="Arial"/>
          <w:sz w:val="22"/>
          <w:szCs w:val="22"/>
        </w:rPr>
        <w:t xml:space="preserve"> (2024) “SDG editorial: improving life on planet earth – a call to action for service research to achieve the sustainable development goals (SDGs),” </w:t>
      </w:r>
      <w:r w:rsidRPr="00676FAB">
        <w:rPr>
          <w:rFonts w:ascii="Arial" w:eastAsia="Times New Roman" w:hAnsi="Arial" w:cs="Arial"/>
          <w:i/>
          <w:iCs/>
          <w:sz w:val="22"/>
          <w:szCs w:val="22"/>
        </w:rPr>
        <w:t>The Journal of services marketing</w:t>
      </w:r>
      <w:r w:rsidRPr="00676FAB">
        <w:rPr>
          <w:rFonts w:ascii="Arial" w:eastAsia="Times New Roman" w:hAnsi="Arial" w:cs="Arial"/>
          <w:sz w:val="22"/>
          <w:szCs w:val="22"/>
        </w:rPr>
        <w:t xml:space="preserve">, 38(2), pp. 145–152. Available at: </w:t>
      </w:r>
      <w:hyperlink r:id="rId16" w:history="1">
        <w:r w:rsidR="00A61437" w:rsidRPr="0078032A">
          <w:rPr>
            <w:rStyle w:val="Hyperlink"/>
            <w:rFonts w:ascii="Arial" w:eastAsia="Times New Roman" w:hAnsi="Arial" w:cs="Arial"/>
            <w:sz w:val="22"/>
            <w:szCs w:val="22"/>
          </w:rPr>
          <w:t>https://doi.org/10.1108/JSM-11-2023-0425</w:t>
        </w:r>
      </w:hyperlink>
      <w:r w:rsidR="00A61437">
        <w:rPr>
          <w:rFonts w:ascii="Arial" w:eastAsia="Times New Roman" w:hAnsi="Arial" w:cs="Arial"/>
          <w:sz w:val="22"/>
          <w:szCs w:val="22"/>
        </w:rPr>
        <w:t xml:space="preserve"> </w:t>
      </w:r>
    </w:p>
    <w:p w14:paraId="7F8BA895" w14:textId="432AEB13" w:rsidR="001E1F73" w:rsidRDefault="001E1F73" w:rsidP="00256720">
      <w:pPr>
        <w:pStyle w:val="NormalWeb"/>
        <w:spacing w:line="360" w:lineRule="auto"/>
        <w:rPr>
          <w:rFonts w:ascii="Arial" w:hAnsi="Arial" w:cs="Arial"/>
          <w:sz w:val="22"/>
          <w:szCs w:val="22"/>
        </w:rPr>
      </w:pPr>
      <w:r w:rsidRPr="00256720">
        <w:rPr>
          <w:rFonts w:ascii="Arial" w:hAnsi="Arial" w:cs="Arial"/>
          <w:sz w:val="22"/>
          <w:szCs w:val="22"/>
        </w:rPr>
        <w:t xml:space="preserve">The King’s Fund (2022) </w:t>
      </w:r>
      <w:r w:rsidRPr="00256720">
        <w:rPr>
          <w:rStyle w:val="Emphasis"/>
          <w:rFonts w:ascii="Arial" w:hAnsi="Arial" w:cs="Arial"/>
          <w:sz w:val="22"/>
          <w:szCs w:val="22"/>
        </w:rPr>
        <w:t>The NHS in a nutshell</w:t>
      </w:r>
      <w:r w:rsidRPr="00256720">
        <w:rPr>
          <w:rFonts w:ascii="Arial" w:hAnsi="Arial" w:cs="Arial"/>
          <w:sz w:val="22"/>
          <w:szCs w:val="22"/>
        </w:rPr>
        <w:t xml:space="preserve">. Available at: </w:t>
      </w:r>
      <w:hyperlink r:id="rId17" w:history="1">
        <w:r w:rsidR="00A61437" w:rsidRPr="0078032A">
          <w:rPr>
            <w:rStyle w:val="Hyperlink"/>
            <w:rFonts w:ascii="Arial" w:hAnsi="Arial" w:cs="Arial"/>
            <w:sz w:val="22"/>
            <w:szCs w:val="22"/>
          </w:rPr>
          <w:t>https://www.kingsfund.org.uk/publications/nhs-in-a-nutshell</w:t>
        </w:r>
      </w:hyperlink>
      <w:r w:rsidR="00A61437">
        <w:rPr>
          <w:rFonts w:ascii="Arial" w:hAnsi="Arial" w:cs="Arial"/>
          <w:sz w:val="22"/>
          <w:szCs w:val="22"/>
        </w:rPr>
        <w:t xml:space="preserve"> </w:t>
      </w:r>
      <w:r w:rsidRPr="00256720">
        <w:rPr>
          <w:rFonts w:ascii="Arial" w:hAnsi="Arial" w:cs="Arial"/>
          <w:sz w:val="22"/>
          <w:szCs w:val="22"/>
        </w:rPr>
        <w:t xml:space="preserve">(Accessed: </w:t>
      </w:r>
      <w:r w:rsidR="001964C5">
        <w:rPr>
          <w:rFonts w:ascii="Arial" w:hAnsi="Arial" w:cs="Arial"/>
          <w:sz w:val="22"/>
          <w:szCs w:val="22"/>
        </w:rPr>
        <w:t>10</w:t>
      </w:r>
      <w:r w:rsidRPr="00256720">
        <w:rPr>
          <w:rFonts w:ascii="Arial" w:hAnsi="Arial" w:cs="Arial"/>
          <w:sz w:val="22"/>
          <w:szCs w:val="22"/>
        </w:rPr>
        <w:t xml:space="preserve"> March 2026).</w:t>
      </w:r>
    </w:p>
    <w:p w14:paraId="30E6063B" w14:textId="473D6E3F" w:rsidR="003B3917" w:rsidRDefault="003B3917" w:rsidP="00256720">
      <w:pPr>
        <w:pStyle w:val="NormalWeb"/>
        <w:spacing w:line="360" w:lineRule="auto"/>
        <w:rPr>
          <w:rFonts w:ascii="Arial" w:hAnsi="Arial" w:cs="Arial"/>
          <w:sz w:val="22"/>
          <w:szCs w:val="22"/>
        </w:rPr>
      </w:pPr>
      <w:r w:rsidRPr="00256720">
        <w:rPr>
          <w:rFonts w:ascii="Arial" w:hAnsi="Arial" w:cs="Arial"/>
          <w:sz w:val="22"/>
          <w:szCs w:val="22"/>
        </w:rPr>
        <w:t xml:space="preserve">Transport for the North (2022) </w:t>
      </w:r>
      <w:r w:rsidRPr="00256720">
        <w:rPr>
          <w:rStyle w:val="Emphasis"/>
          <w:rFonts w:ascii="Arial" w:hAnsi="Arial" w:cs="Arial"/>
          <w:sz w:val="22"/>
          <w:szCs w:val="22"/>
        </w:rPr>
        <w:t>Active travel and public health report</w:t>
      </w:r>
      <w:r w:rsidRPr="00256720">
        <w:rPr>
          <w:rFonts w:ascii="Arial" w:hAnsi="Arial" w:cs="Arial"/>
          <w:sz w:val="22"/>
          <w:szCs w:val="22"/>
        </w:rPr>
        <w:t xml:space="preserve">. Manchester: </w:t>
      </w:r>
      <w:proofErr w:type="spellStart"/>
      <w:r w:rsidRPr="00256720">
        <w:rPr>
          <w:rFonts w:ascii="Arial" w:hAnsi="Arial" w:cs="Arial"/>
          <w:sz w:val="22"/>
          <w:szCs w:val="22"/>
        </w:rPr>
        <w:t>TfN</w:t>
      </w:r>
      <w:proofErr w:type="spellEnd"/>
      <w:r w:rsidRPr="00256720">
        <w:rPr>
          <w:rFonts w:ascii="Arial" w:hAnsi="Arial" w:cs="Arial"/>
          <w:sz w:val="22"/>
          <w:szCs w:val="22"/>
        </w:rPr>
        <w:t xml:space="preserve">. Available at: </w:t>
      </w:r>
      <w:hyperlink r:id="rId18" w:history="1">
        <w:r w:rsidR="008D4C98" w:rsidRPr="0078032A">
          <w:rPr>
            <w:rStyle w:val="Hyperlink"/>
            <w:rFonts w:ascii="Arial" w:hAnsi="Arial" w:cs="Arial"/>
            <w:sz w:val="22"/>
            <w:szCs w:val="22"/>
          </w:rPr>
          <w:t>https://transportforthenorth.com/active-travel-and-public-health-report</w:t>
        </w:r>
      </w:hyperlink>
      <w:r w:rsidR="008D4C98">
        <w:rPr>
          <w:rFonts w:ascii="Arial" w:hAnsi="Arial" w:cs="Arial"/>
          <w:sz w:val="22"/>
          <w:szCs w:val="22"/>
        </w:rPr>
        <w:t xml:space="preserve"> </w:t>
      </w:r>
      <w:r w:rsidRPr="00256720">
        <w:rPr>
          <w:rFonts w:ascii="Arial" w:hAnsi="Arial" w:cs="Arial"/>
          <w:sz w:val="22"/>
          <w:szCs w:val="22"/>
        </w:rPr>
        <w:t xml:space="preserve"> (Accessed: </w:t>
      </w:r>
      <w:r w:rsidR="001964C5">
        <w:rPr>
          <w:rFonts w:ascii="Arial" w:hAnsi="Arial" w:cs="Arial"/>
          <w:sz w:val="22"/>
          <w:szCs w:val="22"/>
        </w:rPr>
        <w:t>12</w:t>
      </w:r>
      <w:r w:rsidRPr="00256720">
        <w:rPr>
          <w:rFonts w:ascii="Arial" w:hAnsi="Arial" w:cs="Arial"/>
          <w:sz w:val="22"/>
          <w:szCs w:val="22"/>
        </w:rPr>
        <w:t xml:space="preserve"> March 2026).</w:t>
      </w:r>
    </w:p>
    <w:p w14:paraId="42F6D09E" w14:textId="593B97FC" w:rsidR="008D4C98" w:rsidRPr="00256720" w:rsidRDefault="008D4C98" w:rsidP="00256720">
      <w:pPr>
        <w:pStyle w:val="NormalWeb"/>
        <w:spacing w:line="360" w:lineRule="auto"/>
        <w:rPr>
          <w:rFonts w:ascii="Arial" w:hAnsi="Arial" w:cs="Arial"/>
          <w:sz w:val="22"/>
          <w:szCs w:val="22"/>
        </w:rPr>
      </w:pPr>
      <w:r w:rsidRPr="00256720">
        <w:rPr>
          <w:rFonts w:ascii="Arial" w:hAnsi="Arial" w:cs="Arial"/>
          <w:sz w:val="22"/>
          <w:szCs w:val="22"/>
        </w:rPr>
        <w:t xml:space="preserve">UK Government (2020) </w:t>
      </w:r>
      <w:r w:rsidRPr="00256720">
        <w:rPr>
          <w:rStyle w:val="Emphasis"/>
          <w:rFonts w:ascii="Arial" w:hAnsi="Arial" w:cs="Arial"/>
          <w:sz w:val="22"/>
          <w:szCs w:val="22"/>
        </w:rPr>
        <w:t>The housing health and safety rating system (HHSRS): Guidance for landlords and property professionals</w:t>
      </w:r>
      <w:r w:rsidRPr="00256720">
        <w:rPr>
          <w:rFonts w:ascii="Arial" w:hAnsi="Arial" w:cs="Arial"/>
          <w:sz w:val="22"/>
          <w:szCs w:val="22"/>
        </w:rPr>
        <w:t xml:space="preserve">. London: Ministry of Housing, Communities and Local Government. Available at: </w:t>
      </w:r>
      <w:hyperlink r:id="rId19" w:history="1">
        <w:r w:rsidR="00761C29" w:rsidRPr="0078032A">
          <w:rPr>
            <w:rStyle w:val="Hyperlink"/>
            <w:rFonts w:ascii="Arial" w:hAnsi="Arial" w:cs="Arial"/>
            <w:sz w:val="22"/>
            <w:szCs w:val="22"/>
          </w:rPr>
          <w:t>https://www.gov.uk/government/publications/hhsrs-operating-guidance-housing-act-2004-guidance-about-inspections-and-assessment-of-hazards-provide</w:t>
        </w:r>
      </w:hyperlink>
      <w:r w:rsidR="00761C29">
        <w:rPr>
          <w:rFonts w:ascii="Arial" w:hAnsi="Arial" w:cs="Arial"/>
          <w:sz w:val="22"/>
          <w:szCs w:val="22"/>
        </w:rPr>
        <w:t xml:space="preserve"> </w:t>
      </w:r>
      <w:r w:rsidRPr="00256720">
        <w:rPr>
          <w:rFonts w:ascii="Arial" w:hAnsi="Arial" w:cs="Arial"/>
          <w:sz w:val="22"/>
          <w:szCs w:val="22"/>
        </w:rPr>
        <w:t xml:space="preserve"> </w:t>
      </w:r>
      <w:r w:rsidR="00761C29">
        <w:rPr>
          <w:rFonts w:ascii="Arial" w:hAnsi="Arial" w:cs="Arial"/>
          <w:sz w:val="22"/>
          <w:szCs w:val="22"/>
        </w:rPr>
        <w:t xml:space="preserve"> </w:t>
      </w:r>
      <w:r w:rsidRPr="00256720">
        <w:rPr>
          <w:rFonts w:ascii="Arial" w:hAnsi="Arial" w:cs="Arial"/>
          <w:sz w:val="22"/>
          <w:szCs w:val="22"/>
        </w:rPr>
        <w:t xml:space="preserve">(Accessed: </w:t>
      </w:r>
      <w:r w:rsidR="001964C5">
        <w:rPr>
          <w:rFonts w:ascii="Arial" w:hAnsi="Arial" w:cs="Arial"/>
          <w:sz w:val="22"/>
          <w:szCs w:val="22"/>
        </w:rPr>
        <w:t xml:space="preserve">15 </w:t>
      </w:r>
      <w:r w:rsidRPr="00256720">
        <w:rPr>
          <w:rFonts w:ascii="Arial" w:hAnsi="Arial" w:cs="Arial"/>
          <w:sz w:val="22"/>
          <w:szCs w:val="22"/>
        </w:rPr>
        <w:t xml:space="preserve"> March 2026).</w:t>
      </w:r>
    </w:p>
    <w:p w14:paraId="2BCF6314" w14:textId="3FFEA602" w:rsidR="001E1F73" w:rsidRPr="00256720" w:rsidRDefault="001E1F73" w:rsidP="00256720">
      <w:pPr>
        <w:pStyle w:val="NormalWeb"/>
        <w:spacing w:line="360" w:lineRule="auto"/>
        <w:rPr>
          <w:rFonts w:ascii="Arial" w:hAnsi="Arial" w:cs="Arial"/>
          <w:sz w:val="22"/>
          <w:szCs w:val="22"/>
        </w:rPr>
      </w:pPr>
      <w:r w:rsidRPr="00256720">
        <w:rPr>
          <w:rFonts w:ascii="Arial" w:hAnsi="Arial" w:cs="Arial"/>
          <w:sz w:val="22"/>
          <w:szCs w:val="22"/>
        </w:rPr>
        <w:t xml:space="preserve">United Nations (2015) </w:t>
      </w:r>
      <w:r w:rsidRPr="00256720">
        <w:rPr>
          <w:rStyle w:val="Emphasis"/>
          <w:rFonts w:ascii="Arial" w:hAnsi="Arial" w:cs="Arial"/>
          <w:sz w:val="22"/>
          <w:szCs w:val="22"/>
        </w:rPr>
        <w:t>Transforming our world: The 2030 agenda for sustainable development</w:t>
      </w:r>
      <w:r w:rsidRPr="00256720">
        <w:rPr>
          <w:rFonts w:ascii="Arial" w:hAnsi="Arial" w:cs="Arial"/>
          <w:sz w:val="22"/>
          <w:szCs w:val="22"/>
        </w:rPr>
        <w:t xml:space="preserve">. New York: United Nations. Available at: </w:t>
      </w:r>
      <w:hyperlink r:id="rId20" w:tgtFrame="_new" w:history="1">
        <w:r w:rsidRPr="00256720">
          <w:rPr>
            <w:rStyle w:val="Hyperlink"/>
            <w:rFonts w:ascii="Arial" w:hAnsi="Arial" w:cs="Arial"/>
            <w:sz w:val="22"/>
            <w:szCs w:val="22"/>
          </w:rPr>
          <w:t>https://sdgs.un.org/2030agenda</w:t>
        </w:r>
      </w:hyperlink>
      <w:r w:rsidRPr="00256720">
        <w:rPr>
          <w:rFonts w:ascii="Arial" w:hAnsi="Arial" w:cs="Arial"/>
          <w:sz w:val="22"/>
          <w:szCs w:val="22"/>
        </w:rPr>
        <w:t xml:space="preserve"> (Accessed: </w:t>
      </w:r>
      <w:r w:rsidR="003B3B0A">
        <w:rPr>
          <w:rFonts w:ascii="Arial" w:hAnsi="Arial" w:cs="Arial"/>
          <w:sz w:val="22"/>
          <w:szCs w:val="22"/>
        </w:rPr>
        <w:t xml:space="preserve">10 </w:t>
      </w:r>
      <w:r w:rsidRPr="00256720">
        <w:rPr>
          <w:rFonts w:ascii="Arial" w:hAnsi="Arial" w:cs="Arial"/>
          <w:sz w:val="22"/>
          <w:szCs w:val="22"/>
        </w:rPr>
        <w:t>March 2026).</w:t>
      </w:r>
    </w:p>
    <w:p w14:paraId="4E18AEFC" w14:textId="2400EC29" w:rsidR="001E1F73" w:rsidRPr="00256720" w:rsidRDefault="001E1F73" w:rsidP="00256720">
      <w:pPr>
        <w:pStyle w:val="NormalWeb"/>
        <w:spacing w:line="360" w:lineRule="auto"/>
        <w:rPr>
          <w:rFonts w:ascii="Arial" w:hAnsi="Arial" w:cs="Arial"/>
          <w:sz w:val="22"/>
          <w:szCs w:val="22"/>
        </w:rPr>
      </w:pPr>
      <w:r w:rsidRPr="00256720">
        <w:rPr>
          <w:rFonts w:ascii="Arial" w:hAnsi="Arial" w:cs="Arial"/>
          <w:sz w:val="22"/>
          <w:szCs w:val="22"/>
        </w:rPr>
        <w:lastRenderedPageBreak/>
        <w:t xml:space="preserve">United Nations (2022) </w:t>
      </w:r>
      <w:r w:rsidRPr="00256720">
        <w:rPr>
          <w:rStyle w:val="Emphasis"/>
          <w:rFonts w:ascii="Arial" w:hAnsi="Arial" w:cs="Arial"/>
          <w:sz w:val="22"/>
          <w:szCs w:val="22"/>
        </w:rPr>
        <w:t>World urbanization prospects 2022</w:t>
      </w:r>
      <w:r w:rsidRPr="00256720">
        <w:rPr>
          <w:rFonts w:ascii="Arial" w:hAnsi="Arial" w:cs="Arial"/>
          <w:sz w:val="22"/>
          <w:szCs w:val="22"/>
        </w:rPr>
        <w:t xml:space="preserve">. New York: United Nations. Available at: </w:t>
      </w:r>
      <w:hyperlink r:id="rId21" w:tgtFrame="_new" w:history="1">
        <w:r w:rsidRPr="00256720">
          <w:rPr>
            <w:rStyle w:val="Hyperlink"/>
            <w:rFonts w:ascii="Arial" w:hAnsi="Arial" w:cs="Arial"/>
            <w:sz w:val="22"/>
            <w:szCs w:val="22"/>
          </w:rPr>
          <w:t>https://population.un.org/wup/</w:t>
        </w:r>
      </w:hyperlink>
      <w:r w:rsidRPr="00256720">
        <w:rPr>
          <w:rFonts w:ascii="Arial" w:hAnsi="Arial" w:cs="Arial"/>
          <w:sz w:val="22"/>
          <w:szCs w:val="22"/>
        </w:rPr>
        <w:t xml:space="preserve"> (Accessed: </w:t>
      </w:r>
      <w:r w:rsidR="003B3B0A">
        <w:rPr>
          <w:rFonts w:ascii="Arial" w:hAnsi="Arial" w:cs="Arial"/>
          <w:sz w:val="22"/>
          <w:szCs w:val="22"/>
        </w:rPr>
        <w:t xml:space="preserve">12 </w:t>
      </w:r>
      <w:r w:rsidRPr="00256720">
        <w:rPr>
          <w:rFonts w:ascii="Arial" w:hAnsi="Arial" w:cs="Arial"/>
          <w:sz w:val="22"/>
          <w:szCs w:val="22"/>
        </w:rPr>
        <w:t>March 2026).</w:t>
      </w:r>
    </w:p>
    <w:p w14:paraId="23FDE6A5" w14:textId="681DB790" w:rsidR="001E1F73" w:rsidRPr="00256720" w:rsidRDefault="001E1F73" w:rsidP="00256720">
      <w:pPr>
        <w:pStyle w:val="NormalWeb"/>
        <w:spacing w:line="360" w:lineRule="auto"/>
        <w:rPr>
          <w:rFonts w:ascii="Arial" w:hAnsi="Arial" w:cs="Arial"/>
          <w:sz w:val="22"/>
          <w:szCs w:val="22"/>
        </w:rPr>
      </w:pPr>
      <w:r w:rsidRPr="00256720">
        <w:rPr>
          <w:rFonts w:ascii="Arial" w:hAnsi="Arial" w:cs="Arial"/>
          <w:sz w:val="22"/>
          <w:szCs w:val="22"/>
        </w:rPr>
        <w:t xml:space="preserve">World Health Organization (2018) </w:t>
      </w:r>
      <w:r w:rsidRPr="00256720">
        <w:rPr>
          <w:rStyle w:val="Emphasis"/>
          <w:rFonts w:ascii="Arial" w:hAnsi="Arial" w:cs="Arial"/>
          <w:sz w:val="22"/>
          <w:szCs w:val="22"/>
        </w:rPr>
        <w:t xml:space="preserve">Global action plan for the prevention and control of </w:t>
      </w:r>
      <w:r w:rsidR="00734614" w:rsidRPr="00256720">
        <w:rPr>
          <w:rStyle w:val="Emphasis"/>
          <w:rFonts w:ascii="Arial" w:hAnsi="Arial" w:cs="Arial"/>
          <w:sz w:val="22"/>
          <w:szCs w:val="22"/>
        </w:rPr>
        <w:t>no communicable</w:t>
      </w:r>
      <w:r w:rsidRPr="00256720">
        <w:rPr>
          <w:rStyle w:val="Emphasis"/>
          <w:rFonts w:ascii="Arial" w:hAnsi="Arial" w:cs="Arial"/>
          <w:sz w:val="22"/>
          <w:szCs w:val="22"/>
        </w:rPr>
        <w:t xml:space="preserve"> diseases 2013–2020</w:t>
      </w:r>
      <w:r w:rsidRPr="00256720">
        <w:rPr>
          <w:rFonts w:ascii="Arial" w:hAnsi="Arial" w:cs="Arial"/>
          <w:sz w:val="22"/>
          <w:szCs w:val="22"/>
        </w:rPr>
        <w:t xml:space="preserve">. Geneva: WHO. Available at: </w:t>
      </w:r>
      <w:hyperlink r:id="rId22" w:tgtFrame="_new" w:history="1">
        <w:r w:rsidRPr="00256720">
          <w:rPr>
            <w:rStyle w:val="Hyperlink"/>
            <w:rFonts w:ascii="Arial" w:hAnsi="Arial" w:cs="Arial"/>
            <w:sz w:val="22"/>
            <w:szCs w:val="22"/>
          </w:rPr>
          <w:t>https://iris.who.int/handle/10665/94384</w:t>
        </w:r>
      </w:hyperlink>
      <w:r w:rsidRPr="00256720">
        <w:rPr>
          <w:rFonts w:ascii="Arial" w:hAnsi="Arial" w:cs="Arial"/>
          <w:sz w:val="22"/>
          <w:szCs w:val="22"/>
        </w:rPr>
        <w:t xml:space="preserve"> (Accessed: </w:t>
      </w:r>
      <w:r w:rsidR="009E06CF">
        <w:rPr>
          <w:rFonts w:ascii="Arial" w:hAnsi="Arial" w:cs="Arial"/>
          <w:sz w:val="22"/>
          <w:szCs w:val="22"/>
        </w:rPr>
        <w:t>1</w:t>
      </w:r>
      <w:r w:rsidRPr="00256720">
        <w:rPr>
          <w:rFonts w:ascii="Arial" w:hAnsi="Arial" w:cs="Arial"/>
          <w:sz w:val="22"/>
          <w:szCs w:val="22"/>
        </w:rPr>
        <w:t xml:space="preserve">8 March 2026). </w:t>
      </w:r>
    </w:p>
    <w:p w14:paraId="5E860D66" w14:textId="77777777" w:rsidR="001E1F73" w:rsidRPr="00256720" w:rsidRDefault="001E1F73" w:rsidP="00256720">
      <w:pPr>
        <w:pStyle w:val="NormalWeb"/>
        <w:spacing w:line="360" w:lineRule="auto"/>
        <w:rPr>
          <w:rFonts w:ascii="Arial" w:hAnsi="Arial" w:cs="Arial"/>
          <w:sz w:val="22"/>
          <w:szCs w:val="22"/>
        </w:rPr>
      </w:pPr>
      <w:r w:rsidRPr="00256720">
        <w:rPr>
          <w:rFonts w:ascii="Arial" w:hAnsi="Arial" w:cs="Arial"/>
          <w:sz w:val="22"/>
          <w:szCs w:val="22"/>
        </w:rPr>
        <w:t xml:space="preserve">World Health Organization (2021) </w:t>
      </w:r>
      <w:proofErr w:type="spellStart"/>
      <w:r w:rsidRPr="00256720">
        <w:rPr>
          <w:rStyle w:val="Emphasis"/>
          <w:rFonts w:ascii="Arial" w:hAnsi="Arial" w:cs="Arial"/>
          <w:sz w:val="22"/>
          <w:szCs w:val="22"/>
        </w:rPr>
        <w:t>Noncommunicable</w:t>
      </w:r>
      <w:proofErr w:type="spellEnd"/>
      <w:r w:rsidRPr="00256720">
        <w:rPr>
          <w:rStyle w:val="Emphasis"/>
          <w:rFonts w:ascii="Arial" w:hAnsi="Arial" w:cs="Arial"/>
          <w:sz w:val="22"/>
          <w:szCs w:val="22"/>
        </w:rPr>
        <w:t xml:space="preserve"> diseases progress monitor 2020</w:t>
      </w:r>
      <w:r w:rsidRPr="00256720">
        <w:rPr>
          <w:rFonts w:ascii="Arial" w:hAnsi="Arial" w:cs="Arial"/>
          <w:sz w:val="22"/>
          <w:szCs w:val="22"/>
        </w:rPr>
        <w:t>. Geneva: WHO.</w:t>
      </w:r>
    </w:p>
    <w:p w14:paraId="57BCEA81" w14:textId="4CC9F0C8" w:rsidR="001E1F73" w:rsidRPr="00256720" w:rsidRDefault="001E1F73" w:rsidP="00256720">
      <w:pPr>
        <w:pStyle w:val="NormalWeb"/>
        <w:spacing w:line="360" w:lineRule="auto"/>
        <w:rPr>
          <w:rFonts w:ascii="Arial" w:hAnsi="Arial" w:cs="Arial"/>
          <w:sz w:val="22"/>
          <w:szCs w:val="22"/>
        </w:rPr>
      </w:pPr>
      <w:r w:rsidRPr="00256720">
        <w:rPr>
          <w:rFonts w:ascii="Arial" w:hAnsi="Arial" w:cs="Arial"/>
          <w:sz w:val="22"/>
          <w:szCs w:val="22"/>
        </w:rPr>
        <w:t xml:space="preserve">World Health Organization (2022) </w:t>
      </w:r>
      <w:r w:rsidRPr="00256720">
        <w:rPr>
          <w:rStyle w:val="Emphasis"/>
          <w:rFonts w:ascii="Arial" w:hAnsi="Arial" w:cs="Arial"/>
          <w:sz w:val="22"/>
          <w:szCs w:val="22"/>
        </w:rPr>
        <w:t>Global health estimates 2022: Leading causes of death</w:t>
      </w:r>
      <w:r w:rsidRPr="00256720">
        <w:rPr>
          <w:rFonts w:ascii="Arial" w:hAnsi="Arial" w:cs="Arial"/>
          <w:sz w:val="22"/>
          <w:szCs w:val="22"/>
        </w:rPr>
        <w:t xml:space="preserve">. Geneva: WHO. Available at: </w:t>
      </w:r>
      <w:hyperlink r:id="rId23" w:tgtFrame="_new" w:history="1">
        <w:r w:rsidRPr="00256720">
          <w:rPr>
            <w:rStyle w:val="Hyperlink"/>
            <w:rFonts w:ascii="Arial" w:hAnsi="Arial" w:cs="Arial"/>
            <w:sz w:val="22"/>
            <w:szCs w:val="22"/>
          </w:rPr>
          <w:t>https://www.who.int/data/gho/publications/world-health-statistics</w:t>
        </w:r>
      </w:hyperlink>
      <w:r w:rsidRPr="00256720">
        <w:rPr>
          <w:rFonts w:ascii="Arial" w:hAnsi="Arial" w:cs="Arial"/>
          <w:sz w:val="22"/>
          <w:szCs w:val="22"/>
        </w:rPr>
        <w:t xml:space="preserve"> (Accessed: </w:t>
      </w:r>
      <w:r w:rsidR="009E06CF">
        <w:rPr>
          <w:rFonts w:ascii="Arial" w:hAnsi="Arial" w:cs="Arial"/>
          <w:sz w:val="22"/>
          <w:szCs w:val="22"/>
        </w:rPr>
        <w:t>12</w:t>
      </w:r>
      <w:r w:rsidRPr="00256720">
        <w:rPr>
          <w:rFonts w:ascii="Arial" w:hAnsi="Arial" w:cs="Arial"/>
          <w:sz w:val="22"/>
          <w:szCs w:val="22"/>
        </w:rPr>
        <w:t xml:space="preserve"> March 2026).</w:t>
      </w:r>
    </w:p>
    <w:p w14:paraId="057D38A6" w14:textId="1A0FB84A" w:rsidR="001E1F73" w:rsidRPr="00256720" w:rsidRDefault="001E1F73" w:rsidP="00256720">
      <w:pPr>
        <w:pStyle w:val="NormalWeb"/>
        <w:spacing w:line="360" w:lineRule="auto"/>
        <w:rPr>
          <w:rFonts w:ascii="Arial" w:hAnsi="Arial" w:cs="Arial"/>
          <w:sz w:val="22"/>
          <w:szCs w:val="22"/>
        </w:rPr>
      </w:pPr>
      <w:r w:rsidRPr="00256720">
        <w:rPr>
          <w:rFonts w:ascii="Arial" w:hAnsi="Arial" w:cs="Arial"/>
          <w:sz w:val="22"/>
          <w:szCs w:val="22"/>
        </w:rPr>
        <w:t xml:space="preserve">World Health Organization (2022) </w:t>
      </w:r>
      <w:r w:rsidRPr="00256720">
        <w:rPr>
          <w:rStyle w:val="Emphasis"/>
          <w:rFonts w:ascii="Arial" w:hAnsi="Arial" w:cs="Arial"/>
          <w:sz w:val="22"/>
          <w:szCs w:val="22"/>
        </w:rPr>
        <w:t>Urban health</w:t>
      </w:r>
      <w:r w:rsidRPr="00256720">
        <w:rPr>
          <w:rFonts w:ascii="Arial" w:hAnsi="Arial" w:cs="Arial"/>
          <w:sz w:val="22"/>
          <w:szCs w:val="22"/>
        </w:rPr>
        <w:t xml:space="preserve">. Geneva: WHO. Available at: </w:t>
      </w:r>
      <w:hyperlink r:id="rId24" w:tgtFrame="_new" w:history="1">
        <w:r w:rsidRPr="00256720">
          <w:rPr>
            <w:rStyle w:val="Hyperlink"/>
            <w:rFonts w:ascii="Arial" w:hAnsi="Arial" w:cs="Arial"/>
            <w:sz w:val="22"/>
            <w:szCs w:val="22"/>
          </w:rPr>
          <w:t>https://www.who.int/health-topics/urban-health</w:t>
        </w:r>
      </w:hyperlink>
      <w:r w:rsidRPr="00256720">
        <w:rPr>
          <w:rFonts w:ascii="Arial" w:hAnsi="Arial" w:cs="Arial"/>
          <w:sz w:val="22"/>
          <w:szCs w:val="22"/>
        </w:rPr>
        <w:t xml:space="preserve"> (Accessed: </w:t>
      </w:r>
      <w:r w:rsidR="009E06CF">
        <w:rPr>
          <w:rFonts w:ascii="Arial" w:hAnsi="Arial" w:cs="Arial"/>
          <w:sz w:val="22"/>
          <w:szCs w:val="22"/>
        </w:rPr>
        <w:t xml:space="preserve">18 </w:t>
      </w:r>
      <w:r w:rsidRPr="00256720">
        <w:rPr>
          <w:rFonts w:ascii="Arial" w:hAnsi="Arial" w:cs="Arial"/>
          <w:sz w:val="22"/>
          <w:szCs w:val="22"/>
        </w:rPr>
        <w:t>March 2026).</w:t>
      </w:r>
    </w:p>
    <w:p w14:paraId="20BA9A33" w14:textId="43A7AB66" w:rsidR="001E1F73" w:rsidRPr="00256720" w:rsidRDefault="001E1F73" w:rsidP="00256720">
      <w:pPr>
        <w:spacing w:line="360" w:lineRule="auto"/>
        <w:rPr>
          <w:rFonts w:ascii="Arial" w:eastAsia="Times New Roman" w:hAnsi="Arial" w:cs="Arial"/>
          <w:sz w:val="22"/>
          <w:szCs w:val="22"/>
        </w:rPr>
      </w:pPr>
    </w:p>
    <w:sectPr w:rsidR="001E1F73" w:rsidRPr="002567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155"/>
    <w:rsid w:val="0003692A"/>
    <w:rsid w:val="0007602E"/>
    <w:rsid w:val="00083784"/>
    <w:rsid w:val="000A6E42"/>
    <w:rsid w:val="000B21FE"/>
    <w:rsid w:val="000C4DB5"/>
    <w:rsid w:val="001363D0"/>
    <w:rsid w:val="001964C5"/>
    <w:rsid w:val="001E1F73"/>
    <w:rsid w:val="002060A0"/>
    <w:rsid w:val="00221D8C"/>
    <w:rsid w:val="00227132"/>
    <w:rsid w:val="002342EF"/>
    <w:rsid w:val="002410E0"/>
    <w:rsid w:val="00256720"/>
    <w:rsid w:val="0026188F"/>
    <w:rsid w:val="00291155"/>
    <w:rsid w:val="002C5BB7"/>
    <w:rsid w:val="002E073B"/>
    <w:rsid w:val="002E5D13"/>
    <w:rsid w:val="002F0130"/>
    <w:rsid w:val="0030211A"/>
    <w:rsid w:val="00347B37"/>
    <w:rsid w:val="003B2FB2"/>
    <w:rsid w:val="003B3917"/>
    <w:rsid w:val="003B3B0A"/>
    <w:rsid w:val="003F33FB"/>
    <w:rsid w:val="0040244C"/>
    <w:rsid w:val="004366FD"/>
    <w:rsid w:val="004447D0"/>
    <w:rsid w:val="0045433A"/>
    <w:rsid w:val="004954E5"/>
    <w:rsid w:val="004F0368"/>
    <w:rsid w:val="004F6368"/>
    <w:rsid w:val="005A32EC"/>
    <w:rsid w:val="00617B26"/>
    <w:rsid w:val="00676FAB"/>
    <w:rsid w:val="006B4FBB"/>
    <w:rsid w:val="00705406"/>
    <w:rsid w:val="00715880"/>
    <w:rsid w:val="00723707"/>
    <w:rsid w:val="00734614"/>
    <w:rsid w:val="00761C29"/>
    <w:rsid w:val="0081503B"/>
    <w:rsid w:val="00816767"/>
    <w:rsid w:val="008205C2"/>
    <w:rsid w:val="0084053B"/>
    <w:rsid w:val="008B3E8D"/>
    <w:rsid w:val="008B71A8"/>
    <w:rsid w:val="008D4C98"/>
    <w:rsid w:val="008E7A01"/>
    <w:rsid w:val="008F43AF"/>
    <w:rsid w:val="00904187"/>
    <w:rsid w:val="009411C5"/>
    <w:rsid w:val="009E06CF"/>
    <w:rsid w:val="00A261E2"/>
    <w:rsid w:val="00A33A45"/>
    <w:rsid w:val="00A523A3"/>
    <w:rsid w:val="00A61437"/>
    <w:rsid w:val="00A62D10"/>
    <w:rsid w:val="00A76852"/>
    <w:rsid w:val="00A7717B"/>
    <w:rsid w:val="00AA1FD3"/>
    <w:rsid w:val="00AC3BFC"/>
    <w:rsid w:val="00AC60D9"/>
    <w:rsid w:val="00B476C6"/>
    <w:rsid w:val="00B53175"/>
    <w:rsid w:val="00BC283B"/>
    <w:rsid w:val="00BD76BE"/>
    <w:rsid w:val="00BE49DA"/>
    <w:rsid w:val="00C40B4E"/>
    <w:rsid w:val="00CC1C1D"/>
    <w:rsid w:val="00D30446"/>
    <w:rsid w:val="00DE6440"/>
    <w:rsid w:val="00DF22DA"/>
    <w:rsid w:val="00DF256C"/>
    <w:rsid w:val="00E07345"/>
    <w:rsid w:val="00E07FD5"/>
    <w:rsid w:val="00E120BA"/>
    <w:rsid w:val="00E512BB"/>
    <w:rsid w:val="00EB5B8B"/>
    <w:rsid w:val="00ED1F02"/>
    <w:rsid w:val="00ED7F0A"/>
    <w:rsid w:val="00F07380"/>
    <w:rsid w:val="00F26F55"/>
    <w:rsid w:val="00F749FE"/>
    <w:rsid w:val="00FA60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95CAB"/>
  <w15:chartTrackingRefBased/>
  <w15:docId w15:val="{F7D5A712-FCB2-3144-98C1-A674ABDEA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11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911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911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11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11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11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11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11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11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11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11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11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11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11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11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11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11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1155"/>
    <w:rPr>
      <w:rFonts w:eastAsiaTheme="majorEastAsia" w:cstheme="majorBidi"/>
      <w:color w:val="272727" w:themeColor="text1" w:themeTint="D8"/>
    </w:rPr>
  </w:style>
  <w:style w:type="paragraph" w:styleId="Title">
    <w:name w:val="Title"/>
    <w:basedOn w:val="Normal"/>
    <w:next w:val="Normal"/>
    <w:link w:val="TitleChar"/>
    <w:uiPriority w:val="10"/>
    <w:qFormat/>
    <w:rsid w:val="002911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11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11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11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1155"/>
    <w:pPr>
      <w:spacing w:before="160"/>
      <w:jc w:val="center"/>
    </w:pPr>
    <w:rPr>
      <w:i/>
      <w:iCs/>
      <w:color w:val="404040" w:themeColor="text1" w:themeTint="BF"/>
    </w:rPr>
  </w:style>
  <w:style w:type="character" w:customStyle="1" w:styleId="QuoteChar">
    <w:name w:val="Quote Char"/>
    <w:basedOn w:val="DefaultParagraphFont"/>
    <w:link w:val="Quote"/>
    <w:uiPriority w:val="29"/>
    <w:rsid w:val="00291155"/>
    <w:rPr>
      <w:i/>
      <w:iCs/>
      <w:color w:val="404040" w:themeColor="text1" w:themeTint="BF"/>
    </w:rPr>
  </w:style>
  <w:style w:type="paragraph" w:styleId="ListParagraph">
    <w:name w:val="List Paragraph"/>
    <w:basedOn w:val="Normal"/>
    <w:uiPriority w:val="34"/>
    <w:qFormat/>
    <w:rsid w:val="00291155"/>
    <w:pPr>
      <w:ind w:left="720"/>
      <w:contextualSpacing/>
    </w:pPr>
  </w:style>
  <w:style w:type="character" w:styleId="IntenseEmphasis">
    <w:name w:val="Intense Emphasis"/>
    <w:basedOn w:val="DefaultParagraphFont"/>
    <w:uiPriority w:val="21"/>
    <w:qFormat/>
    <w:rsid w:val="00291155"/>
    <w:rPr>
      <w:i/>
      <w:iCs/>
      <w:color w:val="0F4761" w:themeColor="accent1" w:themeShade="BF"/>
    </w:rPr>
  </w:style>
  <w:style w:type="paragraph" w:styleId="IntenseQuote">
    <w:name w:val="Intense Quote"/>
    <w:basedOn w:val="Normal"/>
    <w:next w:val="Normal"/>
    <w:link w:val="IntenseQuoteChar"/>
    <w:uiPriority w:val="30"/>
    <w:qFormat/>
    <w:rsid w:val="002911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1155"/>
    <w:rPr>
      <w:i/>
      <w:iCs/>
      <w:color w:val="0F4761" w:themeColor="accent1" w:themeShade="BF"/>
    </w:rPr>
  </w:style>
  <w:style w:type="character" w:styleId="IntenseReference">
    <w:name w:val="Intense Reference"/>
    <w:basedOn w:val="DefaultParagraphFont"/>
    <w:uiPriority w:val="32"/>
    <w:qFormat/>
    <w:rsid w:val="00291155"/>
    <w:rPr>
      <w:b/>
      <w:bCs/>
      <w:smallCaps/>
      <w:color w:val="0F4761" w:themeColor="accent1" w:themeShade="BF"/>
      <w:spacing w:val="5"/>
    </w:rPr>
  </w:style>
  <w:style w:type="paragraph" w:customStyle="1" w:styleId="isselectedend">
    <w:name w:val="isselectedend"/>
    <w:basedOn w:val="Normal"/>
    <w:rsid w:val="0007602E"/>
    <w:pPr>
      <w:spacing w:before="100" w:beforeAutospacing="1" w:after="100" w:afterAutospacing="1" w:line="240" w:lineRule="auto"/>
    </w:pPr>
    <w:rPr>
      <w:rFonts w:ascii="Times New Roman" w:hAnsi="Times New Roman" w:cs="Times New Roman"/>
      <w:kern w:val="0"/>
      <w14:ligatures w14:val="none"/>
    </w:rPr>
  </w:style>
  <w:style w:type="character" w:styleId="Emphasis">
    <w:name w:val="Emphasis"/>
    <w:basedOn w:val="DefaultParagraphFont"/>
    <w:uiPriority w:val="20"/>
    <w:qFormat/>
    <w:rsid w:val="0007602E"/>
    <w:rPr>
      <w:i/>
      <w:iCs/>
    </w:rPr>
  </w:style>
  <w:style w:type="paragraph" w:styleId="NormalWeb">
    <w:name w:val="Normal (Web)"/>
    <w:basedOn w:val="Normal"/>
    <w:uiPriority w:val="99"/>
    <w:unhideWhenUsed/>
    <w:rsid w:val="0007602E"/>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1E1F73"/>
    <w:rPr>
      <w:b/>
      <w:bCs/>
    </w:rPr>
  </w:style>
  <w:style w:type="character" w:styleId="Hyperlink">
    <w:name w:val="Hyperlink"/>
    <w:basedOn w:val="DefaultParagraphFont"/>
    <w:uiPriority w:val="99"/>
    <w:unhideWhenUsed/>
    <w:rsid w:val="001E1F73"/>
    <w:rPr>
      <w:color w:val="0000FF"/>
      <w:u w:val="single"/>
    </w:rPr>
  </w:style>
  <w:style w:type="paragraph" w:styleId="z-TopofForm">
    <w:name w:val="HTML Top of Form"/>
    <w:basedOn w:val="Normal"/>
    <w:next w:val="Normal"/>
    <w:link w:val="z-TopofFormChar"/>
    <w:hidden/>
    <w:uiPriority w:val="99"/>
    <w:semiHidden/>
    <w:unhideWhenUsed/>
    <w:rsid w:val="001E1F73"/>
    <w:pPr>
      <w:pBdr>
        <w:bottom w:val="single" w:sz="6" w:space="1" w:color="auto"/>
      </w:pBdr>
      <w:spacing w:after="0" w:line="240" w:lineRule="auto"/>
      <w:jc w:val="center"/>
    </w:pPr>
    <w:rPr>
      <w:rFonts w:ascii="Arial"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1E1F73"/>
    <w:rPr>
      <w:rFonts w:ascii="Arial" w:hAnsi="Arial" w:cs="Arial"/>
      <w:vanish/>
      <w:kern w:val="0"/>
      <w:sz w:val="16"/>
      <w:szCs w:val="16"/>
      <w14:ligatures w14:val="none"/>
    </w:rPr>
  </w:style>
  <w:style w:type="paragraph" w:customStyle="1" w:styleId="placeholder">
    <w:name w:val="placeholder"/>
    <w:basedOn w:val="Normal"/>
    <w:rsid w:val="001E1F73"/>
    <w:pPr>
      <w:spacing w:before="100" w:beforeAutospacing="1" w:after="100" w:afterAutospacing="1" w:line="240" w:lineRule="auto"/>
    </w:pPr>
    <w:rPr>
      <w:rFonts w:ascii="Times New Roman" w:hAnsi="Times New Roman" w:cs="Times New Roman"/>
      <w:kern w:val="0"/>
      <w14:ligatures w14:val="none"/>
    </w:rPr>
  </w:style>
  <w:style w:type="paragraph" w:styleId="z-BottomofForm">
    <w:name w:val="HTML Bottom of Form"/>
    <w:basedOn w:val="Normal"/>
    <w:next w:val="Normal"/>
    <w:link w:val="z-BottomofFormChar"/>
    <w:hidden/>
    <w:uiPriority w:val="99"/>
    <w:semiHidden/>
    <w:unhideWhenUsed/>
    <w:rsid w:val="001E1F73"/>
    <w:pPr>
      <w:pBdr>
        <w:top w:val="single" w:sz="6" w:space="1" w:color="auto"/>
      </w:pBdr>
      <w:spacing w:after="0" w:line="240" w:lineRule="auto"/>
      <w:jc w:val="center"/>
    </w:pPr>
    <w:rPr>
      <w:rFonts w:ascii="Arial"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1E1F73"/>
    <w:rPr>
      <w:rFonts w:ascii="Arial" w:hAnsi="Arial" w:cs="Arial"/>
      <w:vanish/>
      <w:kern w:val="0"/>
      <w:sz w:val="16"/>
      <w:szCs w:val="16"/>
      <w14:ligatures w14:val="none"/>
    </w:rPr>
  </w:style>
  <w:style w:type="character" w:styleId="UnresolvedMention">
    <w:name w:val="Unresolved Mention"/>
    <w:basedOn w:val="DefaultParagraphFont"/>
    <w:uiPriority w:val="99"/>
    <w:semiHidden/>
    <w:unhideWhenUsed/>
    <w:rsid w:val="00BE49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advancing-our-health-prevention-in-the-2020s" TargetMode="External" /><Relationship Id="rId13" Type="http://schemas.openxmlformats.org/officeDocument/2006/relationships/hyperlink" Target="https://www.ons.gov.uk/peoplepopulationandcommunity/healthandsocialcare/healthandlifeexpectancies/bulletins/adultsmokinghabitsingreatbritain/2024?utm_source=chatgpt.com" TargetMode="External" /><Relationship Id="rId18" Type="http://schemas.openxmlformats.org/officeDocument/2006/relationships/hyperlink" Target="https://transportforthenorth.com/active-travel-and-public-health-report" TargetMode="External" /><Relationship Id="rId26" Type="http://schemas.openxmlformats.org/officeDocument/2006/relationships/theme" Target="theme/theme1.xml" /><Relationship Id="rId3" Type="http://schemas.openxmlformats.org/officeDocument/2006/relationships/webSettings" Target="webSettings.xml" /><Relationship Id="rId21" Type="http://schemas.openxmlformats.org/officeDocument/2006/relationships/hyperlink" Target="https://population.un.org/wup/" TargetMode="External" /><Relationship Id="rId7" Type="http://schemas.openxmlformats.org/officeDocument/2006/relationships/hyperlink" Target="https://www.gov.uk/government/publications/clean-air-strategy-2019/clean-air-strategy-2019-executive-summary?utm_source=chatgpt.com" TargetMode="External" /><Relationship Id="rId12" Type="http://schemas.openxmlformats.org/officeDocument/2006/relationships/hyperlink" Target="https://www.longtermplan.nhs.uk/" TargetMode="External" /><Relationship Id="rId17" Type="http://schemas.openxmlformats.org/officeDocument/2006/relationships/hyperlink" Target="https://www.kingsfund.org.uk/publications/nhs-in-a-nutshell" TargetMode="External" /><Relationship Id="rId25" Type="http://schemas.openxmlformats.org/officeDocument/2006/relationships/fontTable" Target="fontTable.xml" /><Relationship Id="rId2" Type="http://schemas.openxmlformats.org/officeDocument/2006/relationships/settings" Target="settings.xml" /><Relationship Id="rId16" Type="http://schemas.openxmlformats.org/officeDocument/2006/relationships/hyperlink" Target="https://doi.org/10.1108/JSM-11-2023-0425" TargetMode="External" /><Relationship Id="rId20" Type="http://schemas.openxmlformats.org/officeDocument/2006/relationships/hyperlink" Target="https://sdgs.un.org/2030agenda" TargetMode="External" /><Relationship Id="rId1" Type="http://schemas.openxmlformats.org/officeDocument/2006/relationships/styles" Target="styles.xml" /><Relationship Id="rId6" Type="http://schemas.openxmlformats.org/officeDocument/2006/relationships/hyperlink" Target="https://academic.oup.com/bmb/article/68/1/1/421547" TargetMode="External" /><Relationship Id="rId11" Type="http://schemas.openxmlformats.org/officeDocument/2006/relationships/hyperlink" Target="https://www.gov.uk/government/collections/people-and-nature-survey-for-england" TargetMode="External" /><Relationship Id="rId24" Type="http://schemas.openxmlformats.org/officeDocument/2006/relationships/hyperlink" Target="https://www.who.int/health-topics/urban-health" TargetMode="External" /><Relationship Id="rId5" Type="http://schemas.openxmlformats.org/officeDocument/2006/relationships/hyperlink" Target="http://www.jstor.org/stable/resrep43052.15" TargetMode="External" /><Relationship Id="rId15" Type="http://schemas.openxmlformats.org/officeDocument/2006/relationships/hyperlink" Target="https://www.gov.uk/government/publications/improving-access-to-green-space" TargetMode="External" /><Relationship Id="rId23" Type="http://schemas.openxmlformats.org/officeDocument/2006/relationships/hyperlink" Target="https://www.who.int/data/gho/publications/world-health-statistics" TargetMode="External" /><Relationship Id="rId10" Type="http://schemas.openxmlformats.org/officeDocument/2006/relationships/hyperlink" Target="https://doi.org/10.4081/jphr.2021.2051" TargetMode="External" /><Relationship Id="rId19" Type="http://schemas.openxmlformats.org/officeDocument/2006/relationships/hyperlink" Target="https://www.gov.uk/government/publications/hhsrs-operating-guidance-housing-act-2004-guidance-about-inspections-and-assessment-of-hazards-provide" TargetMode="External" /><Relationship Id="rId4" Type="http://schemas.openxmlformats.org/officeDocument/2006/relationships/image" Target="media/image1.jpeg" /><Relationship Id="rId9" Type="http://schemas.openxmlformats.org/officeDocument/2006/relationships/hyperlink" Target="https://www.local.gov.uk/publications/public-health-transformation-reform" TargetMode="External" /><Relationship Id="rId14" Type="http://schemas.openxmlformats.org/officeDocument/2006/relationships/hyperlink" Target="https://fingertips.phe.org.uk/profile/health-profiles" TargetMode="External" /><Relationship Id="rId22" Type="http://schemas.openxmlformats.org/officeDocument/2006/relationships/hyperlink" Target="https://iris.who.int/handle/10665/94384?utm_source=chatgpt.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173</TotalTime>
  <Pages>10</Pages>
  <Words>3398</Words>
  <Characters>19371</Characters>
  <Application>Microsoft Office Word</Application>
  <DocSecurity>0</DocSecurity>
  <Lines>161</Lines>
  <Paragraphs>45</Paragraphs>
  <ScaleCrop>false</ScaleCrop>
  <Company/>
  <LinksUpToDate>false</LinksUpToDate>
  <CharactersWithSpaces>22724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Nazmin Malik (2242813)</dc:creator>
  <cp:keywords/>
  <dc:description/>
  <cp:lastModifiedBy>Nazmin Malik (2242813)</cp:lastModifiedBy>
  <cp:revision>53</cp:revision>
  <dcterms:created xsi:type="dcterms:W3CDTF">2026-03-10T07:42:00Z</dcterms:created>
  <dcterms:modified xsi:type="dcterms:W3CDTF">2026-03-22T12:46:00Z</dcterms:modified>
</cp:coreProperties>
</file>