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4"/>
        <w:gridCol w:w="5618"/>
      </w:tblGrid>
      <w:tr w14:paraId="175C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5BC32394">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Name</w:t>
            </w:r>
          </w:p>
        </w:tc>
        <w:tc>
          <w:tcPr>
            <w:tcW w:w="5618" w:type="dxa"/>
          </w:tcPr>
          <w:p w14:paraId="0992D1E5">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Amara  Joseph  Peter  Stephens</w:t>
            </w:r>
          </w:p>
        </w:tc>
      </w:tr>
      <w:tr w14:paraId="53E3F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18EF23F8">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Student  No</w:t>
            </w:r>
          </w:p>
        </w:tc>
        <w:tc>
          <w:tcPr>
            <w:tcW w:w="5618" w:type="dxa"/>
          </w:tcPr>
          <w:p w14:paraId="550DBC6C">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2332940</w:t>
            </w:r>
          </w:p>
        </w:tc>
      </w:tr>
      <w:tr w14:paraId="524B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4C3C10EC">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Program</w:t>
            </w:r>
          </w:p>
        </w:tc>
        <w:tc>
          <w:tcPr>
            <w:tcW w:w="5618" w:type="dxa"/>
          </w:tcPr>
          <w:p w14:paraId="29563446">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MBA - MASTERS  OF  BUSINESS  ADMINISTRATION</w:t>
            </w:r>
          </w:p>
        </w:tc>
      </w:tr>
      <w:tr w14:paraId="40705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7D8FC468">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Module</w:t>
            </w:r>
          </w:p>
        </w:tc>
        <w:tc>
          <w:tcPr>
            <w:tcW w:w="5618" w:type="dxa"/>
          </w:tcPr>
          <w:p w14:paraId="523FB9AF">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FINANCIAL  MANAGEMENT</w:t>
            </w:r>
          </w:p>
        </w:tc>
      </w:tr>
      <w:tr w14:paraId="486A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3AA3800D">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Module  Code</w:t>
            </w:r>
          </w:p>
        </w:tc>
        <w:tc>
          <w:tcPr>
            <w:tcW w:w="5618" w:type="dxa"/>
          </w:tcPr>
          <w:p w14:paraId="50BDEFC7">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LCMB7002</w:t>
            </w:r>
          </w:p>
        </w:tc>
      </w:tr>
      <w:tr w14:paraId="7DDC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0405C636">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Lecturer</w:t>
            </w:r>
          </w:p>
        </w:tc>
        <w:tc>
          <w:tcPr>
            <w:tcW w:w="5618" w:type="dxa"/>
          </w:tcPr>
          <w:p w14:paraId="1B5A87D6">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Jia  Miao</w:t>
            </w:r>
          </w:p>
        </w:tc>
      </w:tr>
      <w:tr w14:paraId="7BA86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4A114B88">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Submission  Date</w:t>
            </w:r>
          </w:p>
        </w:tc>
        <w:tc>
          <w:tcPr>
            <w:tcW w:w="5618" w:type="dxa"/>
          </w:tcPr>
          <w:p w14:paraId="7DAC0618">
            <w:pPr>
              <w:widowControl w:val="0"/>
              <w:jc w:val="both"/>
              <w:rPr>
                <w:rFonts w:hint="default" w:ascii="Times New Roman" w:hAnsi="Times New Roman" w:cs="Times New Roman"/>
                <w:sz w:val="32"/>
                <w:szCs w:val="32"/>
                <w:vertAlign w:val="baseline"/>
              </w:rPr>
            </w:pPr>
          </w:p>
        </w:tc>
      </w:tr>
    </w:tbl>
    <w:p w14:paraId="74E9596B">
      <w:pPr>
        <w:rPr>
          <w:rFonts w:hint="default" w:ascii="Times New Roman" w:hAnsi="Times New Roman" w:cs="Times New Roman"/>
          <w:sz w:val="32"/>
          <w:szCs w:val="32"/>
        </w:rPr>
      </w:pPr>
    </w:p>
    <w:p w14:paraId="37C9F107">
      <w:pPr>
        <w:rPr>
          <w:rFonts w:hint="default" w:ascii="Times New Roman" w:hAnsi="Times New Roman" w:cs="Times New Roman"/>
          <w:sz w:val="28"/>
          <w:szCs w:val="28"/>
          <w:lang w:val="en-GB"/>
        </w:rPr>
      </w:pPr>
      <w:r>
        <w:rPr>
          <w:rFonts w:hint="default" w:ascii="Times New Roman" w:hAnsi="Times New Roman" w:cs="Times New Roman"/>
          <w:sz w:val="28"/>
          <w:szCs w:val="28"/>
          <w:lang w:val="en-GB"/>
        </w:rPr>
        <w:t xml:space="preserve">                                      </w:t>
      </w:r>
      <w:r>
        <w:rPr>
          <w:rFonts w:hint="default" w:ascii="Times New Roman" w:hAnsi="Times New Roman" w:cs="Times New Roman"/>
          <w:b/>
          <w:bCs/>
          <w:sz w:val="28"/>
          <w:szCs w:val="28"/>
          <w:u w:val="single"/>
          <w:lang w:val="en-GB"/>
        </w:rPr>
        <w:t xml:space="preserve">   Table  of  Content          </w:t>
      </w:r>
      <w:r>
        <w:rPr>
          <w:rFonts w:hint="default" w:ascii="Times New Roman" w:hAnsi="Times New Roman" w:cs="Times New Roman"/>
          <w:sz w:val="28"/>
          <w:szCs w:val="28"/>
          <w:lang w:val="en-GB"/>
        </w:rPr>
        <w:t xml:space="preserve">     </w:t>
      </w:r>
    </w:p>
    <w:p w14:paraId="615B8699">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Introduction  to  British  Petroleum  (BP)</w:t>
      </w:r>
    </w:p>
    <w:p w14:paraId="2A77DB1E">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A  review  of  British  Petroleums  (BP)  Financial  Performance,  ie  </w:t>
      </w:r>
    </w:p>
    <w:p w14:paraId="0E77F3CD">
      <w:pPr>
        <w:numPr>
          <w:ilvl w:val="0"/>
          <w:numId w:val="0"/>
        </w:numPr>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Key  Financial  Ratios.</w:t>
      </w:r>
    </w:p>
    <w:p w14:paraId="026ADEB2">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Evaluation  of  British  Petroleums  (BP)  Financial  Ratios.</w:t>
      </w:r>
    </w:p>
    <w:p w14:paraId="0BC0E701">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Comparison  of  British  Petroleums  (BP)  Financial  Ratios  to  its  </w:t>
      </w:r>
    </w:p>
    <w:p w14:paraId="70C29072">
      <w:pPr>
        <w:numPr>
          <w:ilvl w:val="0"/>
          <w:numId w:val="0"/>
        </w:numPr>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Competitors.</w:t>
      </w:r>
    </w:p>
    <w:p w14:paraId="50032686">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Reccomendations  on  improving  British  Petroleums  (BP)  Financial  </w:t>
      </w:r>
    </w:p>
    <w:p w14:paraId="1CC1570D">
      <w:pPr>
        <w:numPr>
          <w:ilvl w:val="0"/>
          <w:numId w:val="0"/>
        </w:numPr>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Management  Ratios  with  its  Competitors.</w:t>
      </w:r>
    </w:p>
    <w:p w14:paraId="525F041A">
      <w:pPr>
        <w:numPr>
          <w:ilvl w:val="0"/>
          <w:numId w:val="1"/>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    Investment  appraisal  techniques  in  British  Petroleum,  etc  etc.</w:t>
      </w:r>
    </w:p>
    <w:p w14:paraId="591338CE">
      <w:pPr>
        <w:numPr>
          <w:ilvl w:val="0"/>
          <w:numId w:val="1"/>
        </w:numPr>
        <w:ind w:left="420" w:leftChars="0" w:hanging="420" w:firstLineChars="0"/>
        <w:rPr>
          <w:rFonts w:hint="default" w:ascii="Times New Roman" w:hAnsi="Times New Roman" w:cs="Times New Roman"/>
          <w:b/>
          <w:bCs/>
          <w:sz w:val="24"/>
          <w:szCs w:val="24"/>
          <w:u w:val="single"/>
          <w:lang w:val="en-GB"/>
        </w:rPr>
      </w:pPr>
      <w:r>
        <w:rPr>
          <w:rFonts w:hint="default" w:ascii="Times New Roman" w:hAnsi="Times New Roman" w:cs="Times New Roman"/>
          <w:sz w:val="24"/>
          <w:szCs w:val="24"/>
          <w:lang w:val="en-GB"/>
        </w:rPr>
        <w:t xml:space="preserve">   ………    References.</w:t>
      </w:r>
    </w:p>
    <w:p w14:paraId="0F643970">
      <w:pPr>
        <w:numPr>
          <w:ilvl w:val="0"/>
          <w:numId w:val="1"/>
        </w:numPr>
        <w:ind w:left="420" w:leftChars="0" w:hanging="420" w:firstLineChars="0"/>
        <w:rPr>
          <w:rFonts w:hint="default" w:ascii="Times New Roman" w:hAnsi="Times New Roman" w:cs="Times New Roman"/>
          <w:b/>
          <w:bCs/>
          <w:sz w:val="24"/>
          <w:szCs w:val="24"/>
          <w:u w:val="single"/>
          <w:lang w:val="en-GB"/>
        </w:rPr>
      </w:pPr>
      <w:r>
        <w:rPr>
          <w:rFonts w:hint="default" w:ascii="Times New Roman" w:hAnsi="Times New Roman" w:cs="Times New Roman"/>
          <w:sz w:val="24"/>
          <w:szCs w:val="24"/>
          <w:lang w:val="en-GB"/>
        </w:rPr>
        <w:t xml:space="preserve">    </w:t>
      </w:r>
      <w:r>
        <w:rPr>
          <w:rFonts w:hint="default" w:ascii="Times New Roman" w:hAnsi="Times New Roman" w:cs="Times New Roman"/>
          <w:b/>
          <w:bCs/>
          <w:sz w:val="24"/>
          <w:szCs w:val="24"/>
          <w:u w:val="single"/>
          <w:lang w:val="en-GB"/>
        </w:rPr>
        <w:t xml:space="preserve">Introduction  to  British  Petroleum  (BP)  </w:t>
      </w:r>
      <w:r>
        <w:rPr>
          <w:rFonts w:ascii="SimSun" w:hAnsi="SimSun" w:eastAsia="SimSun" w:cs="SimSun"/>
          <w:sz w:val="24"/>
          <w:szCs w:val="24"/>
        </w:rPr>
        <w:drawing>
          <wp:inline distT="0" distB="0" distL="114300" distR="114300">
            <wp:extent cx="1049020" cy="981710"/>
            <wp:effectExtent l="0" t="0" r="8890" b="63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1049020" cy="981710"/>
                    </a:xfrm>
                    <a:prstGeom prst="rect">
                      <a:avLst/>
                    </a:prstGeom>
                    <a:noFill/>
                    <a:ln w="9525">
                      <a:noFill/>
                    </a:ln>
                  </pic:spPr>
                </pic:pic>
              </a:graphicData>
            </a:graphic>
          </wp:inline>
        </w:drawing>
      </w:r>
    </w:p>
    <w:p w14:paraId="314C7901">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British  Petroleum  (BP)  was  found  in  England  in  1909,  as  the  Anglo - Persian  Oil  Company  Limited.  The  company  primarily  focused  on  commercializing  Masjid - i - Suleiman  in  the  middle  east,  (Iran)  the  first  commercial  oil  discovery.                                                        (bp.com/content/Introduction and history)</w:t>
      </w:r>
    </w:p>
    <w:p w14:paraId="20C596BB">
      <w:pPr>
        <w:numPr>
          <w:ilvl w:val="0"/>
          <w:numId w:val="0"/>
        </w:numPr>
        <w:ind w:leftChars="0"/>
        <w:rPr>
          <w:rFonts w:hint="default" w:ascii="Times New Roman" w:hAnsi="Times New Roman" w:cs="Times New Roman"/>
          <w:b w:val="0"/>
          <w:bCs w:val="0"/>
          <w:sz w:val="24"/>
          <w:szCs w:val="24"/>
          <w:u w:val="none"/>
          <w:lang w:val="en-GB"/>
        </w:rPr>
      </w:pPr>
    </w:p>
    <w:p w14:paraId="12F5BE5C">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BP  is  one  of  the  Worlds  leader  in  global  gas,  and  oil  companies,  as  research  and  studies  indicates.  British  Petroleums  (BP)  market / operate  their  products  such  as,  natural  gas,  oil,  trades  in  distillates,  &amp;  crude  oil,  including  several  petro-chemical  products,  solar  portfolios,  renewable  energy,  via  wind  farms,  invest  in  lower  carbon  sources  of  energy,  like  Electric  Vehicles  (EV)  charging,  in  over  78  countries.  They  supply  their  customers  with  retail  services,  including  petro-chemical  goods  and  products,  for  daily  items,  energy  for  light  &amp;  heating,  and  transportation  fuel.</w:t>
      </w:r>
    </w:p>
    <w:p w14:paraId="357340BD">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(Depattment  for  energy  and  Net  Zero) </w:t>
      </w:r>
    </w:p>
    <w:p w14:paraId="6E0D42A2">
      <w:pPr>
        <w:numPr>
          <w:ilvl w:val="0"/>
          <w:numId w:val="0"/>
        </w:numPr>
        <w:ind w:leftChars="0"/>
        <w:rPr>
          <w:rFonts w:hint="default" w:ascii="Times New Roman" w:hAnsi="Times New Roman" w:cs="Times New Roman"/>
          <w:b w:val="0"/>
          <w:bCs w:val="0"/>
          <w:sz w:val="24"/>
          <w:szCs w:val="24"/>
          <w:u w:val="none"/>
          <w:lang w:val="en-GB"/>
        </w:rPr>
      </w:pPr>
    </w:p>
    <w:p w14:paraId="77739DE1">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As  a  global  company,  BPs  activities,  and  interests  are  operated  via  subsidiaries.  These  subsidiaries  are  jointly  controlled,  and  subject  to  the  laws  &amp;  regulations  of  BP,  Companies /Businesses  in  these  countries  Worldwide.  However  BPs  activities  and  interest  in  2010  covered  the  following  business  segments;  Exploration,  production,  marketing,  &amp;  refining.  Its  activities  in  low - carbon  energy  are  managed  primarily  through  its  other  energy  businesses.</w:t>
      </w:r>
    </w:p>
    <w:p w14:paraId="2125DC5B">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(www.bp.com)</w:t>
      </w:r>
    </w:p>
    <w:p w14:paraId="549B64BF">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During  the  1920s  &amp;  30s  The  Anglo - Persian / Iranian  oil  company  limited  became  pre-eminent  producer  of  oil  in  the  middle  east.  BP  gained  entry  into  marketing  internationally,  in  Africa,  Australia,  including  continental  Europe.</w:t>
      </w:r>
    </w:p>
    <w:p w14:paraId="00DFE877">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British  Petroleum  (BP)  entered  North  America  in  the  late  1960s  with  major  shares  of  Alaskas  North  Slopes  (Large  share  of  the  prudhoe  bay  oil  field)  and  its  discoveries.  The  following  year,  BP  also  took  huge  interest  in  Ohios  standard  oil.  By  the  late  1970s  BP  acquires  major  interest  in  standard  oil,  gaining  chemicals,  plastics,  interests  in  monsanto  carbide,  including  Europe  of  union.</w:t>
      </w:r>
    </w:p>
    <w:p w14:paraId="0E09F861">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(Statistical  Review  of  World  Energy)</w:t>
      </w:r>
    </w:p>
    <w:p w14:paraId="699EC88C">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1998,  British  Petroleum  merges  with  Amoco,  this  merger  was  the  Worlds  biggest  industrial  merger  at  the  time.  This  led  to  BP  being  one  of  three,  leading  the  Worlds  gas  and  oil  industry.  The  merger,  also  gave  the  three  companies  opportunities  to  compete  through  a  distinctive  set  of  individuals,  market  positions,  and  assets.  Atlantic  Richfield  Company (ARCO)  joined  BP  in  2000  in  a  $34 - billion  deal,  providing  coast - to - coast  coverage  of  United  States  fuel  market.  In  addition  BP  aquiring  Burmahs  castrol  strengthens  led  its  market - facing  business  with  global  brand  recognision.</w:t>
      </w:r>
    </w:p>
    <w:p w14:paraId="4893AA1F">
      <w:pPr>
        <w:numPr>
          <w:ilvl w:val="0"/>
          <w:numId w:val="0"/>
        </w:numPr>
        <w:ind w:leftChars="0"/>
        <w:rPr>
          <w:rFonts w:hint="default" w:ascii="Times New Roman" w:hAnsi="Times New Roman" w:cs="Times New Roman"/>
          <w:b w:val="0"/>
          <w:bCs w:val="0"/>
          <w:sz w:val="24"/>
          <w:szCs w:val="24"/>
          <w:u w:val="none"/>
          <w:lang w:val="en-GB"/>
        </w:rPr>
      </w:pPr>
    </w:p>
    <w:p w14:paraId="3AD97D86">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Lord  Browne,  after  years  of  being  BPs  chief  executive,  in  2007  was  succeeded  by  Tony  Hayward.  Its  deep  water  projects,  Greater  Plutonio  in  Angola,  &amp;  Atlantis  began.  BP  brought  little  shareholding  of  its  refinery  in  Holland,  from  Chevron  and  sold  its  refinery  in  England.  However,  in  2010,  An  accident  on  BPs  deepwater  oil  rig  claimed  the  lives  of  over  10  men,  causing  enviromental  damage  in  the  Mexican  Gulf.  BPs  response  involved,  co - ordinating  about  47,000  individuals,  including  over  6,700  vessels  of  all  types.  This  also  led  to  Bob  Dudley  succeding  Tony  Hayward  as  its  chief  executive.</w:t>
      </w:r>
    </w:p>
    <w:p w14:paraId="636C195D">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(bp.com/content introduction &amp; history)</w:t>
      </w:r>
    </w:p>
    <w:p w14:paraId="4047BC62">
      <w:pPr>
        <w:numPr>
          <w:ilvl w:val="0"/>
          <w:numId w:val="0"/>
        </w:numPr>
        <w:ind w:leftChars="0"/>
        <w:rPr>
          <w:rFonts w:hint="default" w:ascii="Times New Roman" w:hAnsi="Times New Roman" w:cs="Times New Roman"/>
          <w:b w:val="0"/>
          <w:bCs w:val="0"/>
          <w:sz w:val="24"/>
          <w:szCs w:val="24"/>
          <w:u w:val="none"/>
          <w:lang w:val="en-GB"/>
        </w:rPr>
      </w:pPr>
    </w:p>
    <w:p w14:paraId="4621F3BF">
      <w:pPr>
        <w:numPr>
          <w:ilvl w:val="0"/>
          <w:numId w:val="0"/>
        </w:numPr>
        <w:ind w:leftChars="0"/>
        <w:rPr>
          <w:rFonts w:hint="default" w:ascii="Times New Roman" w:hAnsi="Times New Roman" w:cs="Times New Roman"/>
          <w:b w:val="0"/>
          <w:bCs w:val="0"/>
          <w:sz w:val="24"/>
          <w:szCs w:val="24"/>
          <w:u w:val="none"/>
          <w:lang w:val="en-GB"/>
        </w:rPr>
      </w:pPr>
    </w:p>
    <w:p w14:paraId="02FC2AC3">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At  present,  BPs  got  about  87,800  employees  worldwide,  about  29.88%  increase  from  2022.  Its  total  number  of  staff  globally,  as  research  and  studies  indicates  in  2022  was  67,000.  A  2.58%  increase  since  2021.  BPs  main  current  competitors  namely  are;  Shell,  ExxonMobil,  Total Energy,  Chevron,  Conocophillips,  SHV Energy NV,  etc  etc.</w:t>
      </w:r>
    </w:p>
    <w:p w14:paraId="0A9EB7B6">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Murray  Auchincloss  is  BPs  current  chief  executive  officer.  Murray  has  been  CEO  for  BP  since  September  2023.  He  is  also  one  of  the  highest  paid  chief  executives  in  the  UK.  In  2023,  pay  packet  was  £8 million.</w:t>
      </w:r>
    </w:p>
    <w:p w14:paraId="11150EEC">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(www.bp.com news and insights press releases)</w:t>
      </w:r>
    </w:p>
    <w:p w14:paraId="139BB52C">
      <w:pPr>
        <w:numPr>
          <w:ilvl w:val="0"/>
          <w:numId w:val="0"/>
        </w:numPr>
        <w:ind w:leftChars="0"/>
        <w:rPr>
          <w:rFonts w:hint="default" w:ascii="Times New Roman" w:hAnsi="Times New Roman" w:cs="Times New Roman"/>
          <w:b w:val="0"/>
          <w:bCs w:val="0"/>
          <w:sz w:val="24"/>
          <w:szCs w:val="24"/>
          <w:u w:val="none"/>
          <w:lang w:val="en-GB"/>
        </w:rPr>
      </w:pPr>
    </w:p>
    <w:p w14:paraId="26560341">
      <w:pPr>
        <w:numPr>
          <w:ilvl w:val="0"/>
          <w:numId w:val="0"/>
        </w:numPr>
        <w:ind w:leftChars="0"/>
        <w:rPr>
          <w:rFonts w:hint="default" w:ascii="Times New Roman" w:hAnsi="Times New Roman" w:cs="Times New Roman"/>
          <w:b w:val="0"/>
          <w:bCs w:val="0"/>
          <w:sz w:val="24"/>
          <w:szCs w:val="24"/>
          <w:u w:val="none"/>
          <w:lang w:val="en-GB"/>
        </w:rPr>
      </w:pPr>
    </w:p>
    <w:p w14:paraId="2637521E">
      <w:pPr>
        <w:numPr>
          <w:ilvl w:val="0"/>
          <w:numId w:val="0"/>
        </w:numPr>
        <w:ind w:leftChars="0"/>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BPs  Key  Financial  Ratios :  Profitability,  Liquidity  &amp;  Efficiency  ratios.</w:t>
      </w:r>
    </w:p>
    <w:p w14:paraId="222F46A0">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Accounting  statements  are  often  used  by  investors  to;</w:t>
      </w:r>
    </w:p>
    <w:p w14:paraId="6D3D5C9C">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Compare  British  Petroleums  (BP)  with  itself,  via  analyzing  how  BP  has  changed  over  the  years.</w:t>
      </w:r>
    </w:p>
    <w:p w14:paraId="667BDC78">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Compare  BP  to  its  competitors  like,  Shell,  Total Energy,  Exxonmobil,  etc  etc  using  a  common  set  of  financial  ratios.  “DeMarzo &amp; Berk, P.M., Corporate Finance, Latest Edition, Pearson Education”   “Martin, J, Keown, A, &amp; Petty, W Foundation of Finance, Latest Edition, London, 8</w:t>
      </w:r>
      <w:r>
        <w:rPr>
          <w:rFonts w:hint="default" w:ascii="Times New Roman" w:hAnsi="Times New Roman" w:cs="Times New Roman"/>
          <w:b w:val="0"/>
          <w:bCs w:val="0"/>
          <w:sz w:val="24"/>
          <w:szCs w:val="24"/>
          <w:u w:val="none"/>
          <w:vertAlign w:val="superscript"/>
          <w:lang w:val="en-GB"/>
        </w:rPr>
        <w:t>th</w:t>
      </w:r>
      <w:r>
        <w:rPr>
          <w:rFonts w:hint="default" w:ascii="Times New Roman" w:hAnsi="Times New Roman" w:cs="Times New Roman"/>
          <w:b w:val="0"/>
          <w:bCs w:val="0"/>
          <w:sz w:val="24"/>
          <w:szCs w:val="24"/>
          <w:u w:val="none"/>
          <w:lang w:val="en-GB"/>
        </w:rPr>
        <w:t xml:space="preserve"> Edition Pearson”.</w:t>
      </w:r>
    </w:p>
    <w:p w14:paraId="6E55A04B">
      <w:pPr>
        <w:numPr>
          <w:ilvl w:val="0"/>
          <w:numId w:val="0"/>
        </w:numPr>
        <w:ind w:leftChars="0"/>
        <w:rPr>
          <w:rFonts w:hint="default" w:ascii="Times New Roman" w:hAnsi="Times New Roman" w:cs="Times New Roman"/>
          <w:b w:val="0"/>
          <w:bCs w:val="0"/>
          <w:sz w:val="24"/>
          <w:szCs w:val="24"/>
          <w:u w:val="none"/>
          <w:lang w:val="en-GB"/>
        </w:rPr>
      </w:pPr>
    </w:p>
    <w:p w14:paraId="6EEF1D00">
      <w:pPr>
        <w:numPr>
          <w:ilvl w:val="0"/>
          <w:numId w:val="0"/>
        </w:numPr>
        <w:ind w:leftChars="0"/>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British  Petroleum  Limited,  Financial  Statements  &amp;  Annual  Report  2022.</w:t>
      </w:r>
    </w:p>
    <w:p w14:paraId="27456C45">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t>
      </w:r>
    </w:p>
    <w:p w14:paraId="21A41EFC">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Review of the business</w:t>
      </w:r>
    </w:p>
    <w:p w14:paraId="1E4F3599">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The key financial and other performance indicators during the year were as follows:</w:t>
      </w:r>
    </w:p>
    <w:p w14:paraId="01313427">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2022 2021 Variance</w:t>
      </w:r>
    </w:p>
    <w:p w14:paraId="0A76ED8E">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million $ million %</w:t>
      </w:r>
    </w:p>
    <w:p w14:paraId="33B90282">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Turnover 5,971 3,353 78</w:t>
      </w:r>
    </w:p>
    <w:p w14:paraId="2D7F30E5">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Operating profit 2,282 11,694 (80)</w:t>
      </w:r>
    </w:p>
    <w:p w14:paraId="4017DDA9">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Profit for the financial year 1,591 10,951 (85)</w:t>
      </w:r>
    </w:p>
    <w:p w14:paraId="6FCD6D45">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Total equity 60,777 64,065 (5)</w:t>
      </w:r>
    </w:p>
    <w:p w14:paraId="70777DFA">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2022 2021 Variance</w:t>
      </w:r>
    </w:p>
    <w:p w14:paraId="37AB4600">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 %</w:t>
      </w:r>
    </w:p>
    <w:p w14:paraId="6C098702">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Quick ratio* 47 72 (25)</w:t>
      </w:r>
    </w:p>
    <w:p w14:paraId="35618600">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Gross profit percentage** 33 36 (3)</w:t>
      </w:r>
    </w:p>
    <w:p w14:paraId="067B87C5">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Quick ratio is defined as current assets (excluding stocks, debtors falling due after one year, derivatives</w:t>
      </w:r>
    </w:p>
    <w:p w14:paraId="468DF6A1">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and other financial instruments falling due after one year and deferred tax assets) divided by current</w:t>
      </w:r>
    </w:p>
    <w:p w14:paraId="6E38FB39">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liabilities.</w:t>
      </w:r>
    </w:p>
    <w:p w14:paraId="5E98252B">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Gross profit percentage is defined as gross profit divided by turnover.</w:t>
      </w:r>
    </w:p>
    <w:p w14:paraId="3303455C">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71EE574A">
      <w:pPr>
        <w:numPr>
          <w:ilvl w:val="0"/>
          <w:numId w:val="0"/>
        </w:numPr>
        <w:ind w:leftChars="0"/>
        <w:rPr>
          <w:rFonts w:hint="default" w:ascii="Times New Roman" w:hAnsi="Times New Roman"/>
          <w:b w:val="0"/>
          <w:bCs w:val="0"/>
          <w:sz w:val="24"/>
          <w:szCs w:val="24"/>
          <w:u w:val="none"/>
          <w:lang w:val="en-GB"/>
        </w:rPr>
      </w:pPr>
    </w:p>
    <w:p w14:paraId="428FE5FE">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FOR THE YEAR ENDED 31 DECEMBER 2022</w:t>
      </w:r>
    </w:p>
    <w:p w14:paraId="15C3CA26">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BP INTERNATIONAL LIMITED</w:t>
      </w:r>
    </w:p>
    <w:p w14:paraId="1D107C9B">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2022 2021</w:t>
      </w:r>
    </w:p>
    <w:p w14:paraId="5BC3E849">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Note $ million $ million</w:t>
      </w:r>
    </w:p>
    <w:p w14:paraId="6F09022D">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Turnover 3 5,971 3,353</w:t>
      </w:r>
    </w:p>
    <w:p w14:paraId="14464787">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Cost of sales (4,005) (2,143)</w:t>
      </w:r>
    </w:p>
    <w:p w14:paraId="57D713FD">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Gross profit 1,966 1,210</w:t>
      </w:r>
    </w:p>
    <w:p w14:paraId="2BA63445">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Dividend income 6,233 6,329</w:t>
      </w:r>
    </w:p>
    <w:p w14:paraId="712D367C">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Administrative expenses (1,161) (1,351)</w:t>
      </w:r>
    </w:p>
    <w:p w14:paraId="7232636F">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Other operating income 101 63</w:t>
      </w:r>
    </w:p>
    <w:p w14:paraId="12893432">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Impairment of fixed asset investments 12 (13,579) —</w:t>
      </w:r>
    </w:p>
    <w:p w14:paraId="09A4BED2">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Reversal of impairment of fixed asset investments 12 8,722 5,443</w:t>
      </w:r>
    </w:p>
    <w:p w14:paraId="4E363190">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Operating profit 4 2,282 11,694</w:t>
      </w:r>
    </w:p>
    <w:p w14:paraId="6374B46D">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Interest receivable and similar income 6 2,857 937</w:t>
      </w:r>
    </w:p>
    <w:p w14:paraId="022F292D">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Interest payable and similar expenses 7 (3,487) (1,677)</w:t>
      </w:r>
    </w:p>
    <w:p w14:paraId="7C809456">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Profit before taxation 1,652 10,954</w:t>
      </w:r>
    </w:p>
    <w:p w14:paraId="354EACB3">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Tax on profit 8 (61) (3)</w:t>
      </w:r>
    </w:p>
    <w:p w14:paraId="39D15C24">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Profit for the financial year 1,591 10,951</w:t>
      </w:r>
    </w:p>
    <w:p w14:paraId="5B3063F4">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The profit of $1,591 million for the year ended 31 December 2022 was derived in its entirety from</w:t>
      </w:r>
    </w:p>
    <w:p w14:paraId="6F85AD70">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continuing operations.</w:t>
      </w:r>
    </w:p>
    <w:p w14:paraId="3EA64C3B">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40BE85EA">
      <w:pPr>
        <w:numPr>
          <w:ilvl w:val="0"/>
          <w:numId w:val="0"/>
        </w:numPr>
        <w:ind w:leftChars="0"/>
        <w:rPr>
          <w:rFonts w:hint="default" w:ascii="Times New Roman" w:hAnsi="Times New Roman"/>
          <w:b w:val="0"/>
          <w:bCs w:val="0"/>
          <w:sz w:val="24"/>
          <w:szCs w:val="24"/>
          <w:u w:val="none"/>
          <w:lang w:val="en-GB"/>
        </w:rPr>
      </w:pPr>
    </w:p>
    <w:p w14:paraId="3DBFFF58">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OR THE YEAR ENDED 31 DECEMBER 2022 BP INTERNATIONAL LIMITED 2022 2021 Note $ million $ million Profit for the financial year 1,591 10,951 Other comprehensive income Items that may be reclassified subsequently to profit or loss Currency translation differences 35 (23) Costs of hedging marked to market 20 61 (105) Costs of hedging reclassified to profit or loss 20 25 21 121 (107) Other comprehensive income for the year net of tax 121 (107) Total comprehensive income for the year 1,712 10,844</w:t>
      </w:r>
    </w:p>
    <w:p w14:paraId="13C3A935">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7A284811">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w:t>
      </w:r>
      <w:r>
        <w:rPr>
          <w:rFonts w:hint="default" w:ascii="Times New Roman" w:hAnsi="Times New Roman"/>
          <w:b/>
          <w:bCs/>
          <w:sz w:val="24"/>
          <w:szCs w:val="24"/>
          <w:u w:val="single"/>
          <w:lang w:val="en-GB"/>
        </w:rPr>
        <w:t>Balance  Sheet</w:t>
      </w:r>
      <w:r>
        <w:rPr>
          <w:rFonts w:hint="default" w:ascii="Times New Roman" w:hAnsi="Times New Roman"/>
          <w:b w:val="0"/>
          <w:bCs w:val="0"/>
          <w:sz w:val="24"/>
          <w:szCs w:val="24"/>
          <w:u w:val="single"/>
          <w:lang w:val="en-GB"/>
        </w:rPr>
        <w:t xml:space="preserve"> </w:t>
      </w:r>
    </w:p>
    <w:p w14:paraId="077C1A30">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AS AT 31 DECEMBER 2022 BP INTERNATIONAL LIMITED (Registered No.00542515) 2022 2021 Note $ million $ million Fixed assets Intangible assets 10 347 331 Tangible assets 11 717 740 Investments 12 102,548 97,322 103,612 98,393 Current assets Stocks 13 3,705 3,032 Debtors – amounts falling due: within one year 14 30,497 33,356 after one year 14 65,835 61,646 Derivatives and other financial instruments: within one year 20 1,736 560 after one year 20 409 425 Cash at bank and in hand 20,762 23,178 122,944 122,197 Creditors: amounts falling due within one year 16 (110,248) (79,290) Derivatives and other financial instruments due within one year 20 (2,016) (569) Lease liabilities 17 (74) (79) Net current assets 10,606 42,259 TOTAL ASSETS LESS CURRENT LIABILITIES 114,218 140,652 Creditors: amounts falling due after more than one year 16 (47,618) (75,200) Derivatives and other financial instruments due after more than one year 20 (5,336) (789) Lease liabilities 17 (406) (504) Provisions for liabilities and charges Other provisions 22 (81) (94) NET ASSETS 60,777 64,065 Capital and reserves Called up share capital 23 50,641 50,641 Costs of hedging reserves 24 (104) (190) Foreign currency translation reserve 24 81 46 Profit and loss account 24 10,159 13,568 TOTAL EQUITY 60,777 64,065 Approved by the board of directors and signed on behalf of the board by: J A Hodgson Director  </w:t>
      </w:r>
    </w:p>
    <w:p w14:paraId="2D05E841">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6456897D">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12B419DC">
      <w:pPr>
        <w:numPr>
          <w:ilvl w:val="0"/>
          <w:numId w:val="0"/>
        </w:numPr>
        <w:ind w:leftChars="0"/>
        <w:rPr>
          <w:rFonts w:hint="default" w:ascii="Times New Roman" w:hAnsi="Times New Roman"/>
          <w:b/>
          <w:bCs/>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single"/>
          <w:lang w:val="en-GB"/>
        </w:rPr>
        <w:t xml:space="preserve"> Statement  of  Change  in  Equity</w:t>
      </w:r>
    </w:p>
    <w:p w14:paraId="2597BD12">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FOR THE YEAR ENDED 31 DECEMBER 2022 BP INTERNATIONAL LIMITED Called up share capital Costs of hedging reserve Foreign currency translation reserve Profit and loss account (Note 23) (Note 24) (Note 24) (Note 24) Total $ million $ million $ million $ million $ million Balance at 1 January 2021 50,641 (106) 69 2,617 53,221 Profit for the financial year — — — 10,951 10,951 Other comprehensive income for the year — (84) (23) — (107) Total comprehensive income for the year — (84) (23) 10,951 10,844 Balance at 31 December 2021 50,641 (190) 46 13,568 64,065 At 1 January 2022 50,641 (190) 46 13,568 64,065 Profit for the financial year — — — 1,591 1,591 Other comprehensive income for the year — 86 35 — 121 Total comprehensive income for the year — 86 35 1,591 1,712 Dividends paid — — — (5,000) (5,000) Balance at 31 December 2022 50,641 (104) 81 10,159 60,777</w:t>
      </w:r>
    </w:p>
    <w:p w14:paraId="19E716FC">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4B7DCA12">
      <w:pPr>
        <w:numPr>
          <w:ilvl w:val="0"/>
          <w:numId w:val="0"/>
        </w:numPr>
        <w:ind w:leftChars="0"/>
        <w:rPr>
          <w:rFonts w:hint="default" w:ascii="Times New Roman" w:hAnsi="Times New Roman"/>
          <w:b w:val="0"/>
          <w:bCs w:val="0"/>
          <w:sz w:val="24"/>
          <w:szCs w:val="24"/>
          <w:u w:val="none"/>
          <w:lang w:val="en-GB"/>
        </w:rPr>
      </w:pPr>
    </w:p>
    <w:p w14:paraId="7068F1CE">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single"/>
          <w:lang w:val="en-GB"/>
        </w:rPr>
        <w:t xml:space="preserve"> Notes  to  the  Financial  Statement</w:t>
      </w:r>
    </w:p>
    <w:p w14:paraId="1B7B789B">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Significant accounting policies, judgements, estimates and assumptions (continued) Significant judgements and estimates: impairment of investments (continued) 2022 price assumptions 2023 2025 2030 2040 2050 Brent oil ($/bbl) 77 70 70 58 45 Henry Hub gas ($/mmBtu) 4.00 4.00 4.00 3.50 3.50 2021 price assumptions 2022 2025 2030 2040 2050 Brent oil ($/bbl) 71 61 61 56 46 Henry Hub gas ($/mmBtu) 4.08 3.06 3.06 3.06 2.80 The majority of bp’s reserves and resources that support the carrying value of the group’s existing oil and gas properties are expected to be produced over the next 10 years. In cases where fair value less costs to sell is used to determine the recoverable amount of an asset, where recent market transactions for the asset are not available for reference, accounting judgements are made about the assumptions market participants would use when pricing the asset. Fair value less costs to sell may be determined based on similar recent market transaction data or using discounted cash flow techniques. Where discounted cash flow analyses are used to calculate fair value less costs to sell, estimates are made about the assumptions market participants would use when pricing the asset and the test is performed on a post-tax basis. Sensitivity analyses The interdependency of these inputs, risk factors and the wide diversity of the company's oil and gas properties limits the practicability of estimating the probability or extent to which the overall recoverable amount is impacted by changes to one or more of the underlying assumptions. The recoverable amount of oil and gas properties is primarily sensitive to changes in the long-term oil and gas price assumptions. Sensitivity analysis may be performed if a specific oil and gas property is identified to have low headroom above its carrying amount. </w:t>
      </w:r>
    </w:p>
    <w:p w14:paraId="4C6E7853">
      <w:pPr>
        <w:numPr>
          <w:ilvl w:val="0"/>
          <w:numId w:val="0"/>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3C3384F9">
      <w:pPr>
        <w:numPr>
          <w:ilvl w:val="0"/>
          <w:numId w:val="0"/>
        </w:numPr>
        <w:ind w:leftChars="0"/>
        <w:rPr>
          <w:rFonts w:hint="default" w:ascii="Times New Roman" w:hAnsi="Times New Roman"/>
          <w:b w:val="0"/>
          <w:bCs w:val="0"/>
          <w:sz w:val="24"/>
          <w:szCs w:val="24"/>
          <w:u w:val="none"/>
          <w:lang w:val="en-GB"/>
        </w:rPr>
      </w:pPr>
    </w:p>
    <w:p w14:paraId="3E7D8E41">
      <w:pPr>
        <w:numPr>
          <w:ilvl w:val="0"/>
          <w:numId w:val="0"/>
        </w:numPr>
        <w:ind w:leftChars="0"/>
        <w:rPr>
          <w:rFonts w:hint="default" w:ascii="Times New Roman" w:hAnsi="Times New Roman"/>
          <w:b w:val="0"/>
          <w:bCs w:val="0"/>
          <w:sz w:val="24"/>
          <w:szCs w:val="24"/>
          <w:u w:val="none"/>
          <w:lang w:val="en-GB"/>
        </w:rPr>
      </w:pPr>
    </w:p>
    <w:p w14:paraId="7D084F1D">
      <w:pPr>
        <w:numPr>
          <w:ilvl w:val="0"/>
          <w:numId w:val="2"/>
        </w:numPr>
        <w:ind w:leftChars="0"/>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Operating profit This is stated after charging / (crediting): 2022 2021 $ million $ million Net foreign exchange losses a 281 238 Research and development costs expensed b 80 62 Amortization of intangible assets b 90 74 Depreciation of tangible assets b 37 47 Depreciation of right-of-use assets b (Note 11) 78 103 Impairment of tangible assets b (Note 11) – Owned tangible assets — 124 – Right-of-use assets 18 38 Impairment of fixed asset investments (Note 12) 13,579 — Reversal of impairment of fixed asset investments (Note 12) (8,722) (5,443) Cost of stock recognized as an expense a 1,774 453 Loss on sale or termination of operations b 49 132 a Amount is included in Cost of sales. b Amount is included in Administrative expenses. 5. Auditor’s remuneration 2022 2021 $ million $ million Fees for the audit of the company 4 3 Fees paid to the company's auditor, Deloitte LLP and its associates for services other than the statutory audit of the company are not disclosed in these financial statements since the consolidated financial statements of BP International Limited’s ultimate parent, BP p.l.c., are required to disclose non-audit fees on a consolidated basis. 6. Interest receivable and similar income 2022 2021 $ million $ million Interest income from amounts owed by group undertakings 2,588 834 Other interest income 269 103 Total interest receivable and similar income 2,857 937.</w:t>
      </w:r>
    </w:p>
    <w:p w14:paraId="11788A39">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(bp - international limited - 2022 pdf)</w:t>
      </w:r>
    </w:p>
    <w:p w14:paraId="098C41DA">
      <w:pPr>
        <w:numPr>
          <w:ilvl w:val="0"/>
          <w:numId w:val="0"/>
        </w:numPr>
        <w:rPr>
          <w:rFonts w:hint="default" w:ascii="Times New Roman" w:hAnsi="Times New Roman"/>
          <w:b w:val="0"/>
          <w:bCs w:val="0"/>
          <w:sz w:val="24"/>
          <w:szCs w:val="24"/>
          <w:u w:val="none"/>
          <w:lang w:val="en-GB"/>
        </w:rPr>
      </w:pPr>
    </w:p>
    <w:p w14:paraId="0C151D02">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Profitability  Ratios,  (BP) </w:t>
      </w:r>
      <w:r>
        <w:rPr>
          <w:rFonts w:hint="default" w:ascii="Times New Roman" w:hAnsi="Times New Roman"/>
          <w:b/>
          <w:bCs/>
          <w:sz w:val="24"/>
          <w:szCs w:val="24"/>
          <w:u w:val="single"/>
          <w:lang w:val="en-GB"/>
        </w:rPr>
        <w:t xml:space="preserve"> </w:t>
      </w:r>
      <w:r>
        <w:rPr>
          <w:rFonts w:hint="default" w:ascii="Times New Roman" w:hAnsi="Times New Roman"/>
          <w:b w:val="0"/>
          <w:bCs w:val="0"/>
          <w:sz w:val="24"/>
          <w:szCs w:val="24"/>
          <w:u w:val="single"/>
          <w:lang w:val="en-GB"/>
        </w:rPr>
        <w:t>Gross  Margin,</w:t>
      </w:r>
      <w:r>
        <w:rPr>
          <w:rFonts w:hint="default" w:ascii="Times New Roman" w:hAnsi="Times New Roman"/>
          <w:b w:val="0"/>
          <w:bCs w:val="0"/>
          <w:sz w:val="24"/>
          <w:szCs w:val="24"/>
          <w:u w:val="none"/>
          <w:lang w:val="en-GB"/>
        </w:rPr>
        <w:t xml:space="preserve">  How  much  BP  earns  from  each  dollar  of  sales,  after  purchasing  the  goods  or  product.</w:t>
      </w:r>
    </w:p>
    <w:p w14:paraId="6AC0F798">
      <w:pPr>
        <w:numPr>
          <w:ilvl w:val="0"/>
          <w:numId w:val="0"/>
        </w:numPr>
        <w:rPr>
          <w:rFonts w:hint="default" w:ascii="Times New Roman" w:hAnsi="Times New Roman"/>
          <w:b w:val="0"/>
          <w:bCs w:val="0"/>
          <w:sz w:val="24"/>
          <w:szCs w:val="24"/>
          <w:u w:val="none"/>
          <w:lang w:val="en-GB"/>
        </w:rPr>
      </w:pPr>
    </w:p>
    <w:p w14:paraId="6E07D69E">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Gross  Margin  = </w:t>
      </w:r>
      <w:r>
        <w:rPr>
          <w:rFonts w:hint="default" w:ascii="Times New Roman" w:hAnsi="Times New Roman"/>
          <w:b w:val="0"/>
          <w:bCs w:val="0"/>
          <w:sz w:val="24"/>
          <w:szCs w:val="24"/>
          <w:u w:val="single"/>
          <w:lang w:val="en-GB"/>
        </w:rPr>
        <w:t xml:space="preserve"> Gross  Profit</w:t>
      </w:r>
    </w:p>
    <w:p w14:paraId="7752738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Sales</w:t>
      </w:r>
    </w:p>
    <w:p w14:paraId="44F73C80">
      <w:pPr>
        <w:numPr>
          <w:ilvl w:val="0"/>
          <w:numId w:val="0"/>
        </w:numPr>
        <w:rPr>
          <w:rFonts w:hint="default" w:ascii="Times New Roman" w:hAnsi="Times New Roman"/>
          <w:b w:val="0"/>
          <w:bCs w:val="0"/>
          <w:sz w:val="24"/>
          <w:szCs w:val="24"/>
          <w:u w:val="none"/>
          <w:lang w:val="en-GB"/>
        </w:rPr>
      </w:pPr>
    </w:p>
    <w:p w14:paraId="7B4A7D5A">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1,966</w:t>
      </w:r>
    </w:p>
    <w:p w14:paraId="53754CC3">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4,005   =   0.490</w:t>
      </w:r>
    </w:p>
    <w:p w14:paraId="6029C6AF">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p>
    <w:p w14:paraId="6209EBF2">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75C166C6">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Profitability  Ratios,  (BP) </w:t>
      </w:r>
      <w:r>
        <w:rPr>
          <w:rFonts w:hint="default" w:ascii="Times New Roman" w:hAnsi="Times New Roman"/>
          <w:b/>
          <w:bCs/>
          <w:sz w:val="24"/>
          <w:szCs w:val="24"/>
          <w:u w:val="single"/>
          <w:lang w:val="en-GB"/>
        </w:rPr>
        <w:t xml:space="preserve"> </w:t>
      </w:r>
      <w:r>
        <w:rPr>
          <w:rFonts w:hint="default" w:ascii="Times New Roman" w:hAnsi="Times New Roman"/>
          <w:b w:val="0"/>
          <w:bCs w:val="0"/>
          <w:sz w:val="24"/>
          <w:szCs w:val="24"/>
          <w:u w:val="single"/>
          <w:lang w:val="en-GB"/>
        </w:rPr>
        <w:t>Operating  Margin,</w:t>
      </w:r>
      <w:r>
        <w:rPr>
          <w:rFonts w:hint="default" w:ascii="Times New Roman" w:hAnsi="Times New Roman"/>
          <w:b w:val="0"/>
          <w:bCs w:val="0"/>
          <w:sz w:val="24"/>
          <w:szCs w:val="24"/>
          <w:u w:val="none"/>
          <w:lang w:val="en-GB"/>
        </w:rPr>
        <w:t xml:space="preserve">  How  much  BP  receives  or  earns  before  interest  and  government  taxes,  from  each  dollar  of  sales  in  their  goods  and  products.</w:t>
      </w:r>
    </w:p>
    <w:p w14:paraId="600BDD9C">
      <w:pPr>
        <w:numPr>
          <w:ilvl w:val="0"/>
          <w:numId w:val="0"/>
        </w:numPr>
        <w:rPr>
          <w:rFonts w:hint="default" w:ascii="Times New Roman" w:hAnsi="Times New Roman"/>
          <w:b w:val="0"/>
          <w:bCs w:val="0"/>
          <w:sz w:val="24"/>
          <w:szCs w:val="24"/>
          <w:u w:val="none"/>
          <w:lang w:val="en-GB"/>
        </w:rPr>
      </w:pPr>
    </w:p>
    <w:p w14:paraId="4658E81A">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Operating  Margin     = </w:t>
      </w:r>
      <w:r>
        <w:rPr>
          <w:rFonts w:hint="default" w:ascii="Times New Roman" w:hAnsi="Times New Roman"/>
          <w:b w:val="0"/>
          <w:bCs w:val="0"/>
          <w:sz w:val="24"/>
          <w:szCs w:val="24"/>
          <w:u w:val="single"/>
          <w:lang w:val="en-GB"/>
        </w:rPr>
        <w:t xml:space="preserve"> Operating  Income</w:t>
      </w:r>
    </w:p>
    <w:p w14:paraId="1F25D75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Sales</w:t>
      </w:r>
    </w:p>
    <w:p w14:paraId="1FBD1ED7">
      <w:pPr>
        <w:numPr>
          <w:ilvl w:val="0"/>
          <w:numId w:val="0"/>
        </w:numPr>
        <w:rPr>
          <w:rFonts w:hint="default" w:ascii="Times New Roman" w:hAnsi="Times New Roman"/>
          <w:b w:val="0"/>
          <w:bCs w:val="0"/>
          <w:sz w:val="24"/>
          <w:szCs w:val="24"/>
          <w:u w:val="none"/>
          <w:lang w:val="en-GB"/>
        </w:rPr>
      </w:pPr>
    </w:p>
    <w:p w14:paraId="2DAE687B">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2,282</w:t>
      </w:r>
    </w:p>
    <w:p w14:paraId="1D10192B">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4,005   =   0.569</w:t>
      </w:r>
    </w:p>
    <w:p w14:paraId="3DF286EB">
      <w:pPr>
        <w:numPr>
          <w:ilvl w:val="0"/>
          <w:numId w:val="0"/>
        </w:numPr>
        <w:rPr>
          <w:rFonts w:hint="default" w:ascii="Times New Roman" w:hAnsi="Times New Roman"/>
          <w:b w:val="0"/>
          <w:bCs w:val="0"/>
          <w:sz w:val="24"/>
          <w:szCs w:val="24"/>
          <w:u w:val="none"/>
          <w:lang w:val="en-GB"/>
        </w:rPr>
      </w:pPr>
    </w:p>
    <w:p w14:paraId="2581CB05">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Profitability  Ratio,  (BP)  </w:t>
      </w:r>
      <w:r>
        <w:rPr>
          <w:rFonts w:hint="default" w:ascii="Times New Roman" w:hAnsi="Times New Roman"/>
          <w:b w:val="0"/>
          <w:bCs w:val="0"/>
          <w:sz w:val="24"/>
          <w:szCs w:val="24"/>
          <w:u w:val="single"/>
          <w:lang w:val="en-GB"/>
        </w:rPr>
        <w:t>Net  Profit  Margin,</w:t>
      </w:r>
      <w:r>
        <w:rPr>
          <w:rFonts w:hint="default" w:ascii="Times New Roman" w:hAnsi="Times New Roman"/>
          <w:b w:val="0"/>
          <w:bCs w:val="0"/>
          <w:sz w:val="24"/>
          <w:szCs w:val="24"/>
          <w:u w:val="none"/>
          <w:lang w:val="en-GB"/>
        </w:rPr>
        <w:t xml:space="preserve">  The  fraction  of  every  dollar  in  cash,  or  revenue  that  is  present  to  equity  holders  after  BP  pays  taxes  to  the  government  and  interest.</w:t>
      </w:r>
    </w:p>
    <w:p w14:paraId="2E24EC80">
      <w:pPr>
        <w:numPr>
          <w:ilvl w:val="0"/>
          <w:numId w:val="0"/>
        </w:numPr>
        <w:rPr>
          <w:rFonts w:hint="default" w:ascii="Times New Roman" w:hAnsi="Times New Roman"/>
          <w:b w:val="0"/>
          <w:bCs w:val="0"/>
          <w:sz w:val="24"/>
          <w:szCs w:val="24"/>
          <w:u w:val="none"/>
          <w:lang w:val="en-GB"/>
        </w:rPr>
      </w:pPr>
    </w:p>
    <w:p w14:paraId="6D51DED1">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Net  Profit  Margin  = </w:t>
      </w:r>
      <w:r>
        <w:rPr>
          <w:rFonts w:hint="default" w:ascii="Times New Roman" w:hAnsi="Times New Roman"/>
          <w:b w:val="0"/>
          <w:bCs w:val="0"/>
          <w:sz w:val="24"/>
          <w:szCs w:val="24"/>
          <w:u w:val="single"/>
          <w:lang w:val="en-GB"/>
        </w:rPr>
        <w:t xml:space="preserve">  Net  Income </w:t>
      </w:r>
    </w:p>
    <w:p w14:paraId="2AE1F75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Sales</w:t>
      </w:r>
    </w:p>
    <w:p w14:paraId="09327B4E">
      <w:pPr>
        <w:numPr>
          <w:ilvl w:val="0"/>
          <w:numId w:val="0"/>
        </w:numPr>
        <w:rPr>
          <w:rFonts w:hint="default" w:ascii="Times New Roman" w:hAnsi="Times New Roman"/>
          <w:b w:val="0"/>
          <w:bCs w:val="0"/>
          <w:sz w:val="24"/>
          <w:szCs w:val="24"/>
          <w:u w:val="none"/>
          <w:lang w:val="en-GB"/>
        </w:rPr>
      </w:pPr>
    </w:p>
    <w:p w14:paraId="6E1C91F0">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10,951</w:t>
      </w:r>
    </w:p>
    <w:p w14:paraId="249D2B61">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4,005   =   2.735</w:t>
      </w:r>
    </w:p>
    <w:p w14:paraId="6785D834">
      <w:pPr>
        <w:numPr>
          <w:ilvl w:val="0"/>
          <w:numId w:val="0"/>
        </w:numPr>
        <w:rPr>
          <w:rFonts w:hint="default" w:ascii="Times New Roman" w:hAnsi="Times New Roman"/>
          <w:b w:val="0"/>
          <w:bCs w:val="0"/>
          <w:sz w:val="24"/>
          <w:szCs w:val="24"/>
          <w:u w:val="none"/>
          <w:lang w:val="en-GB"/>
        </w:rPr>
      </w:pPr>
    </w:p>
    <w:p w14:paraId="6851A275">
      <w:pPr>
        <w:numPr>
          <w:ilvl w:val="0"/>
          <w:numId w:val="0"/>
        </w:numPr>
        <w:rPr>
          <w:rFonts w:hint="default" w:ascii="Times New Roman" w:hAnsi="Times New Roman"/>
          <w:b/>
          <w:bCs/>
          <w:sz w:val="24"/>
          <w:szCs w:val="24"/>
          <w:u w:val="none"/>
          <w:lang w:val="en-GB"/>
        </w:rPr>
      </w:pPr>
    </w:p>
    <w:p w14:paraId="3AEB2AB8">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Liquidity  Ratios,  (BP)  </w:t>
      </w:r>
      <w:r>
        <w:rPr>
          <w:rFonts w:hint="default" w:ascii="Times New Roman" w:hAnsi="Times New Roman"/>
          <w:b w:val="0"/>
          <w:bCs w:val="0"/>
          <w:sz w:val="24"/>
          <w:szCs w:val="24"/>
          <w:u w:val="single"/>
          <w:lang w:val="en-GB"/>
        </w:rPr>
        <w:t>Current  Ratios,</w:t>
      </w:r>
      <w:r>
        <w:rPr>
          <w:rFonts w:hint="default" w:ascii="Times New Roman" w:hAnsi="Times New Roman"/>
          <w:b w:val="0"/>
          <w:bCs w:val="0"/>
          <w:sz w:val="24"/>
          <w:szCs w:val="24"/>
          <w:u w:val="none"/>
          <w:lang w:val="en-GB"/>
        </w:rPr>
        <w:t xml:space="preserve">  The  ratio  of  current,  or  present  assets  of  BP  to  present  liabilities.</w:t>
      </w:r>
    </w:p>
    <w:p w14:paraId="28E06632">
      <w:pPr>
        <w:numPr>
          <w:ilvl w:val="0"/>
          <w:numId w:val="0"/>
        </w:numPr>
        <w:rPr>
          <w:rFonts w:hint="default" w:ascii="Times New Roman" w:hAnsi="Times New Roman"/>
          <w:b w:val="0"/>
          <w:bCs w:val="0"/>
          <w:sz w:val="24"/>
          <w:szCs w:val="24"/>
          <w:u w:val="none"/>
          <w:lang w:val="en-GB"/>
        </w:rPr>
      </w:pPr>
    </w:p>
    <w:p w14:paraId="72799410">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Current  Ratio  =  </w:t>
      </w:r>
      <w:r>
        <w:rPr>
          <w:rFonts w:hint="default" w:ascii="Times New Roman" w:hAnsi="Times New Roman"/>
          <w:b w:val="0"/>
          <w:bCs w:val="0"/>
          <w:sz w:val="24"/>
          <w:szCs w:val="24"/>
          <w:u w:val="single"/>
          <w:lang w:val="en-GB"/>
        </w:rPr>
        <w:t>Current  Assets</w:t>
      </w:r>
    </w:p>
    <w:p w14:paraId="5F0F6705">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Current  Liabilities</w:t>
      </w:r>
    </w:p>
    <w:p w14:paraId="660A0DD3">
      <w:pPr>
        <w:numPr>
          <w:ilvl w:val="0"/>
          <w:numId w:val="0"/>
        </w:numPr>
        <w:rPr>
          <w:rFonts w:hint="default" w:ascii="Times New Roman" w:hAnsi="Times New Roman"/>
          <w:b w:val="0"/>
          <w:bCs w:val="0"/>
          <w:sz w:val="24"/>
          <w:szCs w:val="24"/>
          <w:u w:val="none"/>
          <w:lang w:val="en-GB"/>
        </w:rPr>
      </w:pPr>
    </w:p>
    <w:p w14:paraId="2172C095">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3,705</w:t>
      </w:r>
    </w:p>
    <w:p w14:paraId="285B08BD">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114,218   =   0.0324</w:t>
      </w:r>
    </w:p>
    <w:p w14:paraId="5E3A5F17">
      <w:pPr>
        <w:numPr>
          <w:ilvl w:val="0"/>
          <w:numId w:val="0"/>
        </w:numPr>
        <w:rPr>
          <w:rFonts w:hint="default" w:ascii="Times New Roman" w:hAnsi="Times New Roman"/>
          <w:b w:val="0"/>
          <w:bCs w:val="0"/>
          <w:sz w:val="24"/>
          <w:szCs w:val="24"/>
          <w:u w:val="none"/>
          <w:lang w:val="en-GB"/>
        </w:rPr>
      </w:pPr>
    </w:p>
    <w:p w14:paraId="7F013A4E">
      <w:pPr>
        <w:numPr>
          <w:ilvl w:val="0"/>
          <w:numId w:val="0"/>
        </w:numPr>
        <w:rPr>
          <w:rFonts w:hint="default" w:ascii="Times New Roman" w:hAnsi="Times New Roman"/>
          <w:b/>
          <w:bCs/>
          <w:sz w:val="24"/>
          <w:szCs w:val="24"/>
          <w:u w:val="none"/>
          <w:lang w:val="en-GB"/>
        </w:rPr>
      </w:pPr>
    </w:p>
    <w:p w14:paraId="093B24F6">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Liquidity  Ratios,  (BP)  </w:t>
      </w:r>
      <w:r>
        <w:rPr>
          <w:rFonts w:hint="default" w:ascii="Times New Roman" w:hAnsi="Times New Roman"/>
          <w:b w:val="0"/>
          <w:bCs w:val="0"/>
          <w:sz w:val="24"/>
          <w:szCs w:val="24"/>
          <w:u w:val="single"/>
          <w:lang w:val="en-GB"/>
        </w:rPr>
        <w:t>Quick  Ratio,</w:t>
      </w:r>
      <w:r>
        <w:rPr>
          <w:rFonts w:hint="default" w:ascii="Times New Roman" w:hAnsi="Times New Roman"/>
          <w:b w:val="0"/>
          <w:bCs w:val="0"/>
          <w:sz w:val="24"/>
          <w:szCs w:val="24"/>
          <w:u w:val="none"/>
          <w:lang w:val="en-GB"/>
        </w:rPr>
        <w:t xml:space="preserve">  The  ratio  of  present,  or  current  assets  of  BP  other  than  inventory  to  current  liabilities.</w:t>
      </w:r>
    </w:p>
    <w:p w14:paraId="53A6062A">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38A8CE86">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Quick  Ratio  =  </w:t>
      </w:r>
      <w:r>
        <w:rPr>
          <w:rFonts w:hint="default" w:ascii="Times New Roman" w:hAnsi="Times New Roman"/>
          <w:b w:val="0"/>
          <w:bCs w:val="0"/>
          <w:sz w:val="24"/>
          <w:szCs w:val="24"/>
          <w:u w:val="single"/>
          <w:lang w:val="en-GB"/>
        </w:rPr>
        <w:t>Current  Asset  -  Inventory</w:t>
      </w:r>
    </w:p>
    <w:p w14:paraId="79CC45DC">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Current  Liabilities</w:t>
      </w:r>
    </w:p>
    <w:p w14:paraId="39D39EBB">
      <w:pPr>
        <w:numPr>
          <w:ilvl w:val="0"/>
          <w:numId w:val="0"/>
        </w:numPr>
        <w:rPr>
          <w:rFonts w:hint="default" w:ascii="Times New Roman" w:hAnsi="Times New Roman"/>
          <w:b w:val="0"/>
          <w:bCs w:val="0"/>
          <w:sz w:val="24"/>
          <w:szCs w:val="24"/>
          <w:u w:val="none"/>
          <w:lang w:val="en-GB"/>
        </w:rPr>
      </w:pPr>
    </w:p>
    <w:p w14:paraId="2DC61EE6">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3705  -  3705</w:t>
      </w:r>
    </w:p>
    <w:p w14:paraId="4457DCB3">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114,218      =   3,704</w:t>
      </w:r>
    </w:p>
    <w:p w14:paraId="36B9071C">
      <w:pPr>
        <w:numPr>
          <w:ilvl w:val="0"/>
          <w:numId w:val="0"/>
        </w:numPr>
        <w:rPr>
          <w:rFonts w:hint="default" w:ascii="Times New Roman" w:hAnsi="Times New Roman"/>
          <w:b w:val="0"/>
          <w:bCs w:val="0"/>
          <w:sz w:val="24"/>
          <w:szCs w:val="24"/>
          <w:u w:val="none"/>
          <w:lang w:val="en-GB"/>
        </w:rPr>
      </w:pPr>
    </w:p>
    <w:p w14:paraId="0485B23B">
      <w:pPr>
        <w:numPr>
          <w:ilvl w:val="0"/>
          <w:numId w:val="0"/>
        </w:numPr>
        <w:rPr>
          <w:rFonts w:hint="default" w:ascii="Times New Roman" w:hAnsi="Times New Roman"/>
          <w:b w:val="0"/>
          <w:bCs w:val="0"/>
          <w:sz w:val="24"/>
          <w:szCs w:val="24"/>
          <w:u w:val="none"/>
          <w:lang w:val="en-GB"/>
        </w:rPr>
      </w:pPr>
    </w:p>
    <w:p w14:paraId="092F7E4B">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Liquidity  Ratios,  (BP)  </w:t>
      </w:r>
      <w:r>
        <w:rPr>
          <w:rFonts w:hint="default" w:ascii="Times New Roman" w:hAnsi="Times New Roman"/>
          <w:b w:val="0"/>
          <w:bCs w:val="0"/>
          <w:sz w:val="24"/>
          <w:szCs w:val="24"/>
          <w:u w:val="single"/>
          <w:lang w:val="en-GB"/>
        </w:rPr>
        <w:t>Cash  Ratio,</w:t>
      </w:r>
      <w:r>
        <w:rPr>
          <w:rFonts w:hint="default" w:ascii="Times New Roman" w:hAnsi="Times New Roman"/>
          <w:b w:val="0"/>
          <w:bCs w:val="0"/>
          <w:sz w:val="24"/>
          <w:szCs w:val="24"/>
          <w:u w:val="none"/>
          <w:lang w:val="en-GB"/>
        </w:rPr>
        <w:t xml:space="preserve">  The  most  tight  liquidity  ratio.</w:t>
      </w:r>
    </w:p>
    <w:p w14:paraId="61F4975B">
      <w:pPr>
        <w:numPr>
          <w:ilvl w:val="0"/>
          <w:numId w:val="0"/>
        </w:numPr>
        <w:rPr>
          <w:rFonts w:hint="default" w:ascii="Times New Roman" w:hAnsi="Times New Roman"/>
          <w:b w:val="0"/>
          <w:bCs w:val="0"/>
          <w:sz w:val="24"/>
          <w:szCs w:val="24"/>
          <w:u w:val="none"/>
          <w:lang w:val="en-GB"/>
        </w:rPr>
      </w:pPr>
    </w:p>
    <w:p w14:paraId="7723B7DA">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Cash  Ratio  =   </w:t>
      </w:r>
      <w:r>
        <w:rPr>
          <w:rFonts w:hint="default" w:ascii="Times New Roman" w:hAnsi="Times New Roman"/>
          <w:b w:val="0"/>
          <w:bCs w:val="0"/>
          <w:sz w:val="24"/>
          <w:szCs w:val="24"/>
          <w:u w:val="single"/>
          <w:lang w:val="en-GB"/>
        </w:rPr>
        <w:t>Cash</w:t>
      </w:r>
    </w:p>
    <w:p w14:paraId="600E83EF">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Current  Liabilities</w:t>
      </w:r>
    </w:p>
    <w:p w14:paraId="7B964702">
      <w:pPr>
        <w:numPr>
          <w:ilvl w:val="0"/>
          <w:numId w:val="0"/>
        </w:numPr>
        <w:rPr>
          <w:rFonts w:hint="default" w:ascii="Times New Roman" w:hAnsi="Times New Roman"/>
          <w:b w:val="0"/>
          <w:bCs w:val="0"/>
          <w:sz w:val="24"/>
          <w:szCs w:val="24"/>
          <w:u w:val="none"/>
          <w:lang w:val="en-GB"/>
        </w:rPr>
      </w:pPr>
    </w:p>
    <w:p w14:paraId="6C18DF3B">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single"/>
          <w:lang w:val="en-GB"/>
        </w:rPr>
        <w:t xml:space="preserve"> 20,762</w:t>
      </w:r>
    </w:p>
    <w:p w14:paraId="63B2FEAF">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114,218   =   0.1817</w:t>
      </w:r>
    </w:p>
    <w:p w14:paraId="6782D1F9">
      <w:pPr>
        <w:numPr>
          <w:ilvl w:val="0"/>
          <w:numId w:val="0"/>
        </w:numPr>
        <w:rPr>
          <w:rFonts w:hint="default" w:ascii="Times New Roman" w:hAnsi="Times New Roman"/>
          <w:b w:val="0"/>
          <w:bCs w:val="0"/>
          <w:sz w:val="24"/>
          <w:szCs w:val="24"/>
          <w:u w:val="none"/>
          <w:lang w:val="en-GB"/>
        </w:rPr>
      </w:pPr>
    </w:p>
    <w:p w14:paraId="0A8C9613">
      <w:pPr>
        <w:numPr>
          <w:ilvl w:val="0"/>
          <w:numId w:val="0"/>
        </w:numPr>
        <w:rPr>
          <w:rFonts w:hint="default" w:ascii="Times New Roman" w:hAnsi="Times New Roman"/>
          <w:b w:val="0"/>
          <w:bCs w:val="0"/>
          <w:sz w:val="24"/>
          <w:szCs w:val="24"/>
          <w:u w:val="none"/>
          <w:lang w:val="en-GB"/>
        </w:rPr>
      </w:pPr>
    </w:p>
    <w:p w14:paraId="7E773817">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Efficiency  Ratios,  (BP)  </w:t>
      </w:r>
      <w:r>
        <w:rPr>
          <w:rFonts w:hint="default" w:ascii="Times New Roman" w:hAnsi="Times New Roman"/>
          <w:b w:val="0"/>
          <w:bCs w:val="0"/>
          <w:sz w:val="24"/>
          <w:szCs w:val="24"/>
          <w:u w:val="single"/>
          <w:lang w:val="en-GB"/>
        </w:rPr>
        <w:t>BPs  Asset  Turnover,</w:t>
      </w:r>
      <w:r>
        <w:rPr>
          <w:rFonts w:hint="default" w:ascii="Times New Roman" w:hAnsi="Times New Roman"/>
          <w:b w:val="0"/>
          <w:bCs w:val="0"/>
          <w:sz w:val="24"/>
          <w:szCs w:val="24"/>
          <w:u w:val="none"/>
          <w:lang w:val="en-GB"/>
        </w:rPr>
        <w:t xml:space="preserve">  Effiencies  first  broad  measure,  is  asset  turnover.</w:t>
      </w:r>
    </w:p>
    <w:p w14:paraId="7F5A5C80">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Asset  Turnover  =  </w:t>
      </w:r>
      <w:r>
        <w:rPr>
          <w:rFonts w:hint="default" w:ascii="Times New Roman" w:hAnsi="Times New Roman"/>
          <w:b w:val="0"/>
          <w:bCs w:val="0"/>
          <w:sz w:val="24"/>
          <w:szCs w:val="24"/>
          <w:u w:val="single"/>
          <w:lang w:val="en-GB"/>
        </w:rPr>
        <w:t>Sales</w:t>
      </w:r>
    </w:p>
    <w:p w14:paraId="55889FE9">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Total  Assets</w:t>
      </w:r>
    </w:p>
    <w:p w14:paraId="1E819A90">
      <w:pPr>
        <w:numPr>
          <w:ilvl w:val="0"/>
          <w:numId w:val="0"/>
        </w:numPr>
        <w:rPr>
          <w:rFonts w:hint="default" w:ascii="Times New Roman" w:hAnsi="Times New Roman"/>
          <w:b w:val="0"/>
          <w:bCs w:val="0"/>
          <w:sz w:val="24"/>
          <w:szCs w:val="24"/>
          <w:u w:val="none"/>
          <w:lang w:val="en-GB"/>
        </w:rPr>
      </w:pPr>
    </w:p>
    <w:p w14:paraId="4FA974FB">
      <w:pPr>
        <w:numPr>
          <w:ilvl w:val="0"/>
          <w:numId w:val="0"/>
        </w:numPr>
        <w:rPr>
          <w:rFonts w:hint="default" w:ascii="Times New Roman" w:hAnsi="Times New Roman"/>
          <w:b w:val="0"/>
          <w:bCs w:val="0"/>
          <w:sz w:val="24"/>
          <w:szCs w:val="24"/>
          <w:u w:val="none"/>
          <w:lang w:val="en-GB"/>
        </w:rPr>
      </w:pPr>
    </w:p>
    <w:p w14:paraId="78A44964">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Efficiency  Ratios  (BP)  </w:t>
      </w:r>
      <w:r>
        <w:rPr>
          <w:rFonts w:hint="default" w:ascii="Times New Roman" w:hAnsi="Times New Roman"/>
          <w:b w:val="0"/>
          <w:bCs w:val="0"/>
          <w:sz w:val="24"/>
          <w:szCs w:val="24"/>
          <w:u w:val="none"/>
          <w:lang w:val="en-GB"/>
        </w:rPr>
        <w:t xml:space="preserve">BPs  </w:t>
      </w:r>
      <w:r>
        <w:rPr>
          <w:rFonts w:hint="default" w:ascii="Times New Roman" w:hAnsi="Times New Roman"/>
          <w:b w:val="0"/>
          <w:bCs w:val="0"/>
          <w:sz w:val="24"/>
          <w:szCs w:val="24"/>
          <w:u w:val="single"/>
          <w:lang w:val="en-GB"/>
        </w:rPr>
        <w:t>Fixed  Asset  Turnover,</w:t>
      </w:r>
      <w:r>
        <w:rPr>
          <w:rFonts w:hint="default" w:ascii="Times New Roman" w:hAnsi="Times New Roman"/>
          <w:b w:val="0"/>
          <w:bCs w:val="0"/>
          <w:sz w:val="24"/>
          <w:szCs w:val="24"/>
          <w:u w:val="none"/>
          <w:lang w:val="en-GB"/>
        </w:rPr>
        <w:t xml:space="preserve">  Apparently  since  BPs  total  assets  include  its  assets  that  are  not  involved,  directly  in  generating  sales,  one  of  its  managers  might  also  look  at  its  fixed  assets  turnover.</w:t>
      </w:r>
    </w:p>
    <w:p w14:paraId="1850C6D6">
      <w:pPr>
        <w:numPr>
          <w:ilvl w:val="0"/>
          <w:numId w:val="0"/>
        </w:numPr>
        <w:rPr>
          <w:rFonts w:hint="default" w:ascii="Times New Roman" w:hAnsi="Times New Roman"/>
          <w:b w:val="0"/>
          <w:bCs w:val="0"/>
          <w:sz w:val="24"/>
          <w:szCs w:val="24"/>
          <w:u w:val="none"/>
          <w:lang w:val="en-GB"/>
        </w:rPr>
      </w:pPr>
    </w:p>
    <w:p w14:paraId="233B047C">
      <w:pPr>
        <w:numPr>
          <w:ilvl w:val="0"/>
          <w:numId w:val="0"/>
        </w:numPr>
        <w:rPr>
          <w:rFonts w:hint="default" w:ascii="Times New Roman" w:hAnsi="Times New Roman"/>
          <w:b w:val="0"/>
          <w:bCs w:val="0"/>
          <w:sz w:val="24"/>
          <w:szCs w:val="24"/>
          <w:u w:val="single"/>
          <w:lang w:val="en-GB"/>
        </w:rPr>
      </w:pPr>
      <w:r>
        <w:rPr>
          <w:rFonts w:hint="default" w:ascii="Times New Roman" w:hAnsi="Times New Roman"/>
          <w:b w:val="0"/>
          <w:bCs w:val="0"/>
          <w:sz w:val="24"/>
          <w:szCs w:val="24"/>
          <w:u w:val="none"/>
          <w:lang w:val="en-GB"/>
        </w:rPr>
        <w:t xml:space="preserve">                                            Fixed  Asset  Turnover  =  </w:t>
      </w:r>
      <w:r>
        <w:rPr>
          <w:rFonts w:hint="default" w:ascii="Times New Roman" w:hAnsi="Times New Roman"/>
          <w:b w:val="0"/>
          <w:bCs w:val="0"/>
          <w:sz w:val="24"/>
          <w:szCs w:val="24"/>
          <w:u w:val="single"/>
          <w:lang w:val="en-GB"/>
        </w:rPr>
        <w:t>Sales</w:t>
      </w:r>
    </w:p>
    <w:p w14:paraId="78A88FC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Fixed  Assets</w:t>
      </w:r>
    </w:p>
    <w:p w14:paraId="717796FF">
      <w:pPr>
        <w:numPr>
          <w:ilvl w:val="0"/>
          <w:numId w:val="0"/>
        </w:numPr>
        <w:rPr>
          <w:rFonts w:hint="default" w:ascii="Times New Roman" w:hAnsi="Times New Roman"/>
          <w:b w:val="0"/>
          <w:bCs w:val="0"/>
          <w:sz w:val="24"/>
          <w:szCs w:val="24"/>
          <w:u w:val="none"/>
          <w:lang w:val="en-GB"/>
        </w:rPr>
      </w:pPr>
    </w:p>
    <w:p w14:paraId="260617E4">
      <w:pPr>
        <w:numPr>
          <w:ilvl w:val="0"/>
          <w:numId w:val="0"/>
        </w:numPr>
        <w:rPr>
          <w:rFonts w:hint="default" w:ascii="Times New Roman" w:hAnsi="Times New Roman"/>
          <w:b/>
          <w:bCs/>
          <w:sz w:val="24"/>
          <w:szCs w:val="24"/>
          <w:u w:val="single"/>
          <w:lang w:val="en-GB"/>
        </w:rPr>
      </w:pPr>
      <w:r>
        <w:rPr>
          <w:rFonts w:hint="default" w:ascii="Times New Roman" w:hAnsi="Times New Roman"/>
          <w:b/>
          <w:bCs/>
          <w:sz w:val="24"/>
          <w:szCs w:val="24"/>
          <w:u w:val="single"/>
          <w:lang w:val="en-GB"/>
        </w:rPr>
        <w:t>Evaluations  of  the  above  Ratios:</w:t>
      </w:r>
    </w:p>
    <w:p w14:paraId="26034A0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The  above  ratio  figures  are  from  British  Petroleums  (BP)  financial  statements,  &amp;  annual  report  (Review  of  its  business)  year  ending  31</w:t>
      </w:r>
      <w:r>
        <w:rPr>
          <w:rFonts w:hint="default" w:ascii="Times New Roman" w:hAnsi="Times New Roman"/>
          <w:b w:val="0"/>
          <w:bCs w:val="0"/>
          <w:sz w:val="24"/>
          <w:szCs w:val="24"/>
          <w:u w:val="none"/>
          <w:vertAlign w:val="superscript"/>
          <w:lang w:val="en-GB"/>
        </w:rPr>
        <w:t>st</w:t>
      </w:r>
      <w:r>
        <w:rPr>
          <w:rFonts w:hint="default" w:ascii="Times New Roman" w:hAnsi="Times New Roman"/>
          <w:b w:val="0"/>
          <w:bCs w:val="0"/>
          <w:sz w:val="24"/>
          <w:szCs w:val="24"/>
          <w:u w:val="none"/>
          <w:lang w:val="en-GB"/>
        </w:rPr>
        <w:t xml:space="preserve">  December  2022,  2021  variances,  in  $ Millions.</w:t>
      </w:r>
    </w:p>
    <w:p w14:paraId="64EFD557">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According  to  research,  and  the  statements  above,  including  calculations,  British  Petroleum  (BP)  has  made  immense  profit  collectively  in  2021  &amp;  2022.</w:t>
      </w:r>
    </w:p>
    <w:p w14:paraId="5EF4E179">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(www.Ukessays.com)</w:t>
      </w:r>
    </w:p>
    <w:p w14:paraId="5E7BAD87">
      <w:pPr>
        <w:numPr>
          <w:ilvl w:val="0"/>
          <w:numId w:val="0"/>
        </w:numPr>
        <w:rPr>
          <w:rFonts w:hint="default" w:ascii="Times New Roman" w:hAnsi="Times New Roman"/>
          <w:b w:val="0"/>
          <w:bCs w:val="0"/>
          <w:sz w:val="24"/>
          <w:szCs w:val="24"/>
          <w:u w:val="none"/>
          <w:lang w:val="en-GB"/>
        </w:rPr>
      </w:pPr>
    </w:p>
    <w:p w14:paraId="5EAD067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Extensive  research,  articles,  and  studies  indicates  British  Petroleum  (BP)  has  achieved  its  competitive  advantage  over  its  competitors;   Petrol China,  Royal Dutch Shell,  SHV Energy NV,  Chevron,  Conoco-phillips,  Shell,  Total Energy,  &amp;  ExxonMobil,  etc  etc  through  its  business  plans  and  strategies.  These  strategies  include,  cost  cutting  on  its  products  such  as  natural  gas,  oil,  crude oil,  petrochemical products,  solar portfolios,  renewable  energy,  etc  etc.  Working  efficiently  on  research  and  development  (R&amp;D)  including  utilizing  its  sales,  and  marketing  strategies.                                                                              (Statista)</w:t>
      </w:r>
    </w:p>
    <w:p w14:paraId="5E98D49E">
      <w:pPr>
        <w:numPr>
          <w:ilvl w:val="0"/>
          <w:numId w:val="0"/>
        </w:numPr>
        <w:rPr>
          <w:rFonts w:hint="default" w:ascii="Times New Roman" w:hAnsi="Times New Roman"/>
          <w:b w:val="0"/>
          <w:bCs w:val="0"/>
          <w:sz w:val="24"/>
          <w:szCs w:val="24"/>
          <w:u w:val="none"/>
          <w:lang w:val="en-GB"/>
        </w:rPr>
      </w:pPr>
    </w:p>
    <w:p w14:paraId="14CD0DFC">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British  Petroleum  (BP)  shares  according  to  Statista  (Statistics,  Forecasts &amp; Surveys.  4 - 5 year  Market  Forecasts  its  experts  offer)  in  Britain  2023.  Shell,  Esson,  including  British  Petroleum  (BP)  had  the  higest  market  share  of  petrol  Stations  outlet  in  Britain  in  2023.  Apparently  at  about  13.9,  15.2  and  13.7%.  However,  out  of  supermarkets,  Tesco  had  many  share  station  outlets  at  about  6.1%                                                                                                (www.statista.com)</w:t>
      </w:r>
    </w:p>
    <w:p w14:paraId="7F03C9E5">
      <w:pPr>
        <w:numPr>
          <w:ilvl w:val="0"/>
          <w:numId w:val="0"/>
        </w:numPr>
        <w:rPr>
          <w:rFonts w:hint="default" w:ascii="Times New Roman" w:hAnsi="Times New Roman"/>
          <w:b w:val="0"/>
          <w:bCs w:val="0"/>
          <w:sz w:val="24"/>
          <w:szCs w:val="24"/>
          <w:u w:val="none"/>
          <w:lang w:val="en-GB"/>
        </w:rPr>
      </w:pPr>
    </w:p>
    <w:p w14:paraId="7FBE0450">
      <w:pPr>
        <w:numPr>
          <w:ilvl w:val="0"/>
          <w:numId w:val="0"/>
        </w:numPr>
        <w:rPr>
          <w:rFonts w:hint="default" w:ascii="Times New Roman" w:hAnsi="Times New Roman"/>
          <w:b/>
          <w:bCs/>
          <w:sz w:val="24"/>
          <w:szCs w:val="24"/>
          <w:u w:val="single"/>
          <w:lang w:val="en-GB"/>
        </w:rPr>
      </w:pPr>
      <w:r>
        <w:rPr>
          <w:rFonts w:hint="default" w:ascii="Times New Roman" w:hAnsi="Times New Roman"/>
          <w:b/>
          <w:bCs/>
          <w:sz w:val="24"/>
          <w:szCs w:val="24"/>
          <w:u w:val="single"/>
          <w:lang w:val="en-GB"/>
        </w:rPr>
        <w:t>Recommendations  on  improving  BPs  Financial  Management:</w:t>
      </w:r>
    </w:p>
    <w:p w14:paraId="70659F96">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At  present,  businesses  companies  organizations  and  enterprises,  BP  for  example  need  to  run  and  operate  their  businesses  in  uncertainties.  As  far  as  BPs  financial  stability  is  concerned,  it  is  essential  for  itself  and  its  creditors.  The  more,  or  higher  financial  stability  of  BP  the  higher  its  level  of  stability  financially  resulting  to  probabilities  that  it  will  meet  its  responsibilities  and  obligations  globally.  Example  in  paying  off  its  debts.</w:t>
      </w:r>
    </w:p>
    <w:p w14:paraId="5B243602">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However,  if  BP  is  not  able  to  pay  off  its  depts  this  will  lead  to  unplesant  results  eg  leading  BP  to  bankruptcy.</w:t>
      </w:r>
    </w:p>
    <w:p w14:paraId="4178575A">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(analysis-of financial-stability-and-profitability-of-BP-2014 - 2020)</w:t>
      </w:r>
    </w:p>
    <w:p w14:paraId="68E818F0">
      <w:pPr>
        <w:numPr>
          <w:ilvl w:val="0"/>
          <w:numId w:val="0"/>
        </w:numPr>
        <w:rPr>
          <w:rFonts w:hint="default" w:ascii="Times New Roman" w:hAnsi="Times New Roman"/>
          <w:b w:val="0"/>
          <w:bCs w:val="0"/>
          <w:sz w:val="24"/>
          <w:szCs w:val="24"/>
          <w:u w:val="none"/>
          <w:lang w:val="en-GB"/>
        </w:rPr>
      </w:pPr>
    </w:p>
    <w:p w14:paraId="62146A22">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Studies  and  research  also  indicates,  BPs  liquidity  ratios  from  2014 - 2019  and  also  according  to  (Lozinskaia, 2017, P 842  Table 2  Long-term Solvency indicators  of  BP)  Debt / Equity Ratio (including financial borrowings)  were,  0.47   0.54   0.6   0.63   etc,  etc.</w:t>
      </w:r>
    </w:p>
    <w:p w14:paraId="041EC3DF">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Debt / Equity Ratio  (including liabilities)  were  1.52   1.66   1.72   1.75  etc,  etc.  Having  analyzed  BPs  Debt  ratios,  BP  needs  more  experienced  qualified  staff  to  compare  its  financial  managements  strategy  with  competitors  for  a  lengthy  period  of  time.  BP  should  also  expand,  or  increase  its  earnings  before  interest  taxes  depreciation.  Most  of  its  financial  difficulties  were  also  mostly  connected  with  not  genetating  much  profit.</w:t>
      </w:r>
    </w:p>
    <w:p w14:paraId="1A6B5229">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(www.bp.com/en/global/corporate/investment) </w:t>
      </w:r>
    </w:p>
    <w:p w14:paraId="111672F3">
      <w:pPr>
        <w:numPr>
          <w:ilvl w:val="0"/>
          <w:numId w:val="0"/>
        </w:numPr>
        <w:rPr>
          <w:rFonts w:hint="default" w:ascii="Times New Roman" w:hAnsi="Times New Roman"/>
          <w:b w:val="0"/>
          <w:bCs w:val="0"/>
          <w:sz w:val="24"/>
          <w:szCs w:val="24"/>
          <w:u w:val="none"/>
          <w:lang w:val="en-GB"/>
        </w:rPr>
      </w:pPr>
    </w:p>
    <w:p w14:paraId="65F9AFFD">
      <w:pPr>
        <w:numPr>
          <w:ilvl w:val="0"/>
          <w:numId w:val="0"/>
        </w:numPr>
        <w:rPr>
          <w:rFonts w:hint="default" w:ascii="Times New Roman" w:hAnsi="Times New Roman"/>
          <w:b w:val="0"/>
          <w:bCs w:val="0"/>
          <w:sz w:val="24"/>
          <w:szCs w:val="24"/>
          <w:u w:val="none"/>
          <w:lang w:val="en-GB"/>
        </w:rPr>
      </w:pPr>
    </w:p>
    <w:p w14:paraId="40A28BB8">
      <w:pPr>
        <w:numPr>
          <w:ilvl w:val="0"/>
          <w:numId w:val="0"/>
        </w:numPr>
        <w:rPr>
          <w:rFonts w:hint="default" w:ascii="Times New Roman" w:hAnsi="Times New Roman"/>
          <w:b/>
          <w:bCs/>
          <w:sz w:val="24"/>
          <w:szCs w:val="24"/>
          <w:u w:val="single"/>
          <w:lang w:val="en-GB"/>
        </w:rPr>
      </w:pPr>
      <w:r>
        <w:rPr>
          <w:rFonts w:hint="default" w:ascii="Times New Roman" w:hAnsi="Times New Roman"/>
          <w:b/>
          <w:bCs/>
          <w:sz w:val="24"/>
          <w:szCs w:val="24"/>
          <w:u w:val="single"/>
          <w:lang w:val="en-GB"/>
        </w:rPr>
        <w:t>Investment  Appraisals  (BP):</w:t>
      </w:r>
    </w:p>
    <w:p w14:paraId="54BE1C5B">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Capital  budgeting,  also  known  as  Investment  appraisal  as  research  indicates  (www.research.gate.net)  Is  the  analyzing  process  of  investments,  profitability,  strategic fit over the life of an asset,  including  its  affordability.  The  entire  process,  also  involves  assessing  a  projects  inflows  of  cash,  and  outflows  of  cash  to  determine  if  its  potential  returns  matches  or  meets  a  target  benchmark.</w:t>
      </w:r>
    </w:p>
    <w:p w14:paraId="1990D5FA">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Methods  of  investment  appraisal  namely  are;  Payback,  Accounting  rate  of  return,  including  the  Discount  cash  flow  methods  of  net  present  value  &amp;  Internal  rate  of  return.                                            </w:t>
      </w:r>
    </w:p>
    <w:p w14:paraId="496DE657">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(accaglobal.com)</w:t>
      </w:r>
    </w:p>
    <w:p w14:paraId="18513822">
      <w:pPr>
        <w:numPr>
          <w:ilvl w:val="0"/>
          <w:numId w:val="0"/>
        </w:numPr>
        <w:rPr>
          <w:rFonts w:hint="default" w:ascii="Times New Roman" w:hAnsi="Times New Roman"/>
          <w:b w:val="0"/>
          <w:bCs w:val="0"/>
          <w:sz w:val="24"/>
          <w:szCs w:val="24"/>
          <w:u w:val="none"/>
          <w:lang w:val="en-GB"/>
        </w:rPr>
      </w:pPr>
    </w:p>
    <w:p w14:paraId="31058869">
      <w:pPr>
        <w:numPr>
          <w:ilvl w:val="0"/>
          <w:numId w:val="0"/>
        </w:numPr>
        <w:rPr>
          <w:rFonts w:hint="default" w:ascii="Times New Roman" w:hAnsi="Times New Roman"/>
          <w:b w:val="0"/>
          <w:bCs w:val="0"/>
          <w:sz w:val="24"/>
          <w:szCs w:val="24"/>
          <w:u w:val="none"/>
          <w:lang w:val="en-GB"/>
        </w:rPr>
      </w:pPr>
    </w:p>
    <w:p w14:paraId="7BB30491">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British  Petroleum  (BP)</w:t>
      </w:r>
      <w:r>
        <w:rPr>
          <w:rFonts w:hint="default" w:ascii="Times New Roman" w:hAnsi="Times New Roman"/>
          <w:b w:val="0"/>
          <w:bCs w:val="0"/>
          <w:sz w:val="24"/>
          <w:szCs w:val="24"/>
          <w:u w:val="none"/>
          <w:lang w:val="en-GB"/>
        </w:rPr>
        <w:t xml:space="preserve">  has  been  researching  the  prospects  for  a  range  of  new  investment  opportunities.  The  cash  flow  of  BPs  details  of  two  promising  Projects  </w:t>
      </w:r>
      <w:r>
        <w:rPr>
          <w:rFonts w:hint="default" w:ascii="Times New Roman" w:hAnsi="Times New Roman"/>
          <w:b/>
          <w:bCs/>
          <w:sz w:val="24"/>
          <w:szCs w:val="24"/>
          <w:u w:val="none"/>
          <w:lang w:val="en-GB"/>
        </w:rPr>
        <w:t xml:space="preserve">A  and  B  </w:t>
      </w:r>
      <w:r>
        <w:rPr>
          <w:rFonts w:hint="default" w:ascii="Times New Roman" w:hAnsi="Times New Roman"/>
          <w:b w:val="0"/>
          <w:bCs w:val="0"/>
          <w:sz w:val="24"/>
          <w:szCs w:val="24"/>
          <w:u w:val="none"/>
          <w:lang w:val="en-GB"/>
        </w:rPr>
        <w:t>(Which  are  mutually  exclusive  are  given  below;</w:t>
      </w:r>
    </w:p>
    <w:p w14:paraId="72154D24">
      <w:pPr>
        <w:numPr>
          <w:ilvl w:val="0"/>
          <w:numId w:val="0"/>
        </w:numPr>
        <w:rPr>
          <w:rFonts w:hint="default" w:ascii="Times New Roman" w:hAnsi="Times New Roman"/>
          <w:b w:val="0"/>
          <w:bCs w:val="0"/>
          <w:sz w:val="24"/>
          <w:szCs w:val="24"/>
          <w:u w:val="none"/>
          <w:lang w:val="en-GB"/>
        </w:rPr>
      </w:pPr>
    </w:p>
    <w:tbl>
      <w:tblPr>
        <w:tblStyle w:val="5"/>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5"/>
        <w:gridCol w:w="2841"/>
        <w:gridCol w:w="2841"/>
      </w:tblGrid>
      <w:tr w14:paraId="7AEB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58D65B01">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bCs/>
                <w:sz w:val="32"/>
                <w:szCs w:val="32"/>
                <w:u w:val="none"/>
                <w:vertAlign w:val="baseline"/>
                <w:lang w:val="en-GB"/>
              </w:rPr>
              <w:t>Year</w:t>
            </w:r>
          </w:p>
        </w:tc>
        <w:tc>
          <w:tcPr>
            <w:tcW w:w="5682" w:type="dxa"/>
            <w:gridSpan w:val="2"/>
          </w:tcPr>
          <w:p w14:paraId="6958EC7A">
            <w:pPr>
              <w:widowControl w:val="0"/>
              <w:numPr>
                <w:ilvl w:val="0"/>
                <w:numId w:val="0"/>
              </w:numPr>
              <w:ind w:firstLine="320" w:firstLineChars="100"/>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Project                   Cash</w:t>
            </w:r>
          </w:p>
          <w:p w14:paraId="190ABEE4">
            <w:pPr>
              <w:widowControl w:val="0"/>
              <w:numPr>
                <w:ilvl w:val="0"/>
                <w:numId w:val="0"/>
              </w:numPr>
              <w:ind w:firstLine="320" w:firstLineChars="100"/>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Flows                     (£M)</w:t>
            </w:r>
          </w:p>
        </w:tc>
      </w:tr>
      <w:tr w14:paraId="135A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18EA3A54">
            <w:pPr>
              <w:widowControl w:val="0"/>
              <w:numPr>
                <w:ilvl w:val="0"/>
                <w:numId w:val="0"/>
              </w:numPr>
              <w:jc w:val="both"/>
              <w:rPr>
                <w:rFonts w:hint="default" w:ascii="Times New Roman" w:hAnsi="Times New Roman"/>
                <w:b/>
                <w:bCs/>
                <w:sz w:val="32"/>
                <w:szCs w:val="32"/>
                <w:u w:val="none"/>
                <w:vertAlign w:val="baseline"/>
                <w:lang w:val="en-GB"/>
              </w:rPr>
            </w:pPr>
          </w:p>
        </w:tc>
        <w:tc>
          <w:tcPr>
            <w:tcW w:w="2841" w:type="dxa"/>
          </w:tcPr>
          <w:p w14:paraId="402F6459">
            <w:pPr>
              <w:widowControl w:val="0"/>
              <w:numPr>
                <w:ilvl w:val="0"/>
                <w:numId w:val="0"/>
              </w:numPr>
              <w:ind w:firstLine="1121" w:firstLineChars="350"/>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A</w:t>
            </w:r>
          </w:p>
        </w:tc>
        <w:tc>
          <w:tcPr>
            <w:tcW w:w="2841" w:type="dxa"/>
          </w:tcPr>
          <w:p w14:paraId="25773F5E">
            <w:pPr>
              <w:widowControl w:val="0"/>
              <w:numPr>
                <w:ilvl w:val="0"/>
                <w:numId w:val="0"/>
              </w:numPr>
              <w:ind w:firstLine="960" w:firstLineChars="300"/>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B</w:t>
            </w:r>
          </w:p>
        </w:tc>
      </w:tr>
      <w:tr w14:paraId="3010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6174608C">
            <w:pPr>
              <w:widowControl w:val="0"/>
              <w:numPr>
                <w:ilvl w:val="0"/>
                <w:numId w:val="0"/>
              </w:numPr>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0</w:t>
            </w:r>
          </w:p>
        </w:tc>
        <w:tc>
          <w:tcPr>
            <w:tcW w:w="2841" w:type="dxa"/>
          </w:tcPr>
          <w:p w14:paraId="412AB6C6">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- 80</w:t>
            </w:r>
          </w:p>
        </w:tc>
        <w:tc>
          <w:tcPr>
            <w:tcW w:w="2841" w:type="dxa"/>
          </w:tcPr>
          <w:p w14:paraId="5B7A3AE2">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-75</w:t>
            </w:r>
          </w:p>
        </w:tc>
      </w:tr>
      <w:tr w14:paraId="2426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6E61DE95">
            <w:pPr>
              <w:widowControl w:val="0"/>
              <w:numPr>
                <w:ilvl w:val="0"/>
                <w:numId w:val="0"/>
              </w:numPr>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1</w:t>
            </w:r>
          </w:p>
        </w:tc>
        <w:tc>
          <w:tcPr>
            <w:tcW w:w="2841" w:type="dxa"/>
          </w:tcPr>
          <w:p w14:paraId="5C134A27">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25</w:t>
            </w:r>
          </w:p>
        </w:tc>
        <w:tc>
          <w:tcPr>
            <w:tcW w:w="2841" w:type="dxa"/>
          </w:tcPr>
          <w:p w14:paraId="4D875BB9">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50</w:t>
            </w:r>
          </w:p>
        </w:tc>
      </w:tr>
      <w:tr w14:paraId="3DD3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35FB96FC">
            <w:pPr>
              <w:widowControl w:val="0"/>
              <w:numPr>
                <w:ilvl w:val="0"/>
                <w:numId w:val="0"/>
              </w:numPr>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2</w:t>
            </w:r>
          </w:p>
        </w:tc>
        <w:tc>
          <w:tcPr>
            <w:tcW w:w="2841" w:type="dxa"/>
          </w:tcPr>
          <w:p w14:paraId="12BC0DA6">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25</w:t>
            </w:r>
          </w:p>
        </w:tc>
        <w:tc>
          <w:tcPr>
            <w:tcW w:w="2841" w:type="dxa"/>
          </w:tcPr>
          <w:p w14:paraId="5CE73D4A">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20</w:t>
            </w:r>
          </w:p>
        </w:tc>
      </w:tr>
      <w:tr w14:paraId="26CE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113D3EC5">
            <w:pPr>
              <w:widowControl w:val="0"/>
              <w:numPr>
                <w:ilvl w:val="0"/>
                <w:numId w:val="0"/>
              </w:numPr>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3</w:t>
            </w:r>
          </w:p>
        </w:tc>
        <w:tc>
          <w:tcPr>
            <w:tcW w:w="2841" w:type="dxa"/>
          </w:tcPr>
          <w:p w14:paraId="017504B1">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20</w:t>
            </w:r>
          </w:p>
        </w:tc>
        <w:tc>
          <w:tcPr>
            <w:tcW w:w="2841" w:type="dxa"/>
          </w:tcPr>
          <w:p w14:paraId="260BE1C9">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20</w:t>
            </w:r>
          </w:p>
        </w:tc>
      </w:tr>
      <w:tr w14:paraId="710A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5" w:type="dxa"/>
          </w:tcPr>
          <w:p w14:paraId="09A9FAE2">
            <w:pPr>
              <w:widowControl w:val="0"/>
              <w:numPr>
                <w:ilvl w:val="0"/>
                <w:numId w:val="0"/>
              </w:numPr>
              <w:jc w:val="both"/>
              <w:rPr>
                <w:rFonts w:hint="default" w:ascii="Times New Roman" w:hAnsi="Times New Roman"/>
                <w:b/>
                <w:bCs/>
                <w:sz w:val="32"/>
                <w:szCs w:val="32"/>
                <w:u w:val="none"/>
                <w:vertAlign w:val="baseline"/>
                <w:lang w:val="en-GB"/>
              </w:rPr>
            </w:pPr>
            <w:r>
              <w:rPr>
                <w:rFonts w:hint="default" w:ascii="Times New Roman" w:hAnsi="Times New Roman"/>
                <w:b/>
                <w:bCs/>
                <w:sz w:val="32"/>
                <w:szCs w:val="32"/>
                <w:u w:val="none"/>
                <w:vertAlign w:val="baseline"/>
                <w:lang w:val="en-GB"/>
              </w:rPr>
              <w:t>4</w:t>
            </w:r>
          </w:p>
        </w:tc>
        <w:tc>
          <w:tcPr>
            <w:tcW w:w="2841" w:type="dxa"/>
          </w:tcPr>
          <w:p w14:paraId="3EE4F8CE">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55</w:t>
            </w:r>
          </w:p>
        </w:tc>
        <w:tc>
          <w:tcPr>
            <w:tcW w:w="2841" w:type="dxa"/>
          </w:tcPr>
          <w:p w14:paraId="55F182B9">
            <w:pPr>
              <w:widowControl w:val="0"/>
              <w:numPr>
                <w:ilvl w:val="0"/>
                <w:numId w:val="0"/>
              </w:numPr>
              <w:jc w:val="both"/>
              <w:rPr>
                <w:rFonts w:hint="default" w:ascii="Times New Roman" w:hAnsi="Times New Roman"/>
                <w:b w:val="0"/>
                <w:bCs w:val="0"/>
                <w:sz w:val="32"/>
                <w:szCs w:val="32"/>
                <w:u w:val="none"/>
                <w:vertAlign w:val="baseline"/>
                <w:lang w:val="en-GB"/>
              </w:rPr>
            </w:pPr>
            <w:r>
              <w:rPr>
                <w:rFonts w:hint="default" w:ascii="Times New Roman" w:hAnsi="Times New Roman"/>
                <w:b w:val="0"/>
                <w:bCs w:val="0"/>
                <w:sz w:val="32"/>
                <w:szCs w:val="32"/>
                <w:u w:val="none"/>
                <w:vertAlign w:val="baseline"/>
                <w:lang w:val="en-GB"/>
              </w:rPr>
              <w:t xml:space="preserve">           20</w:t>
            </w:r>
          </w:p>
        </w:tc>
      </w:tr>
    </w:tbl>
    <w:p w14:paraId="489FBFA7">
      <w:pPr>
        <w:numPr>
          <w:ilvl w:val="0"/>
          <w:numId w:val="0"/>
        </w:numPr>
        <w:rPr>
          <w:rFonts w:hint="default" w:ascii="Times New Roman" w:hAnsi="Times New Roman"/>
          <w:b w:val="0"/>
          <w:bCs w:val="0"/>
          <w:sz w:val="24"/>
          <w:szCs w:val="24"/>
          <w:u w:val="none"/>
          <w:lang w:val="en-GB"/>
        </w:rPr>
      </w:pPr>
    </w:p>
    <w:p w14:paraId="6ED58E3A">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Calculate,  </w:t>
      </w:r>
      <w:r>
        <w:rPr>
          <w:rFonts w:hint="default" w:ascii="Times New Roman" w:hAnsi="Times New Roman"/>
          <w:b w:val="0"/>
          <w:bCs w:val="0"/>
          <w:sz w:val="24"/>
          <w:szCs w:val="24"/>
          <w:u w:val="none"/>
          <w:lang w:val="en-GB"/>
        </w:rPr>
        <w:t>The  Payback  Period  (PBP)</w:t>
      </w:r>
    </w:p>
    <w:p w14:paraId="21217134">
      <w:pPr>
        <w:numPr>
          <w:ilvl w:val="0"/>
          <w:numId w:val="0"/>
        </w:numPr>
        <w:rPr>
          <w:rFonts w:hint="default" w:ascii="Times New Roman" w:hAnsi="Times New Roman"/>
          <w:b w:val="0"/>
          <w:bCs w:val="0"/>
          <w:sz w:val="24"/>
          <w:szCs w:val="24"/>
          <w:u w:val="none"/>
          <w:lang w:val="en-GB"/>
        </w:rPr>
      </w:pPr>
    </w:p>
    <w:p w14:paraId="0CD576AA">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The  payback  period  for  BP  is  the  actual  number  of  years  required  to  recover  the  original,  or  incial  cash  outlay  related  to  an  investment.  However  the  project  is  considered  desirable,  if  the  payback  period  is  much  lesser  or  equal  to  BPs  maximum  desired  payback  period.  Apparently  shorter  payback  period  is  preferred  when  two  projects  are  compared.</w:t>
      </w:r>
    </w:p>
    <w:p w14:paraId="7AA382AC">
      <w:pPr>
        <w:numPr>
          <w:ilvl w:val="0"/>
          <w:numId w:val="0"/>
        </w:numPr>
        <w:rPr>
          <w:rFonts w:hint="default" w:ascii="Times New Roman" w:hAnsi="Times New Roman"/>
          <w:b w:val="0"/>
          <w:bCs w:val="0"/>
          <w:sz w:val="24"/>
          <w:szCs w:val="24"/>
          <w:u w:val="none"/>
          <w:lang w:val="en-GB"/>
        </w:rPr>
      </w:pPr>
    </w:p>
    <w:p w14:paraId="2C644122">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A</w:t>
      </w:r>
    </w:p>
    <w:p w14:paraId="2A0EF987">
      <w:pPr>
        <w:numPr>
          <w:ilvl w:val="0"/>
          <w:numId w:val="0"/>
        </w:numPr>
        <w:rPr>
          <w:rFonts w:hint="default" w:ascii="Times New Roman" w:hAnsi="Times New Roman"/>
          <w:b/>
          <w:bCs/>
          <w:sz w:val="24"/>
          <w:szCs w:val="24"/>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4001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DDC594C">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Year</w:t>
            </w:r>
          </w:p>
        </w:tc>
        <w:tc>
          <w:tcPr>
            <w:tcW w:w="2841" w:type="dxa"/>
          </w:tcPr>
          <w:p w14:paraId="3D775ED9">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Project  A</w:t>
            </w:r>
          </w:p>
        </w:tc>
        <w:tc>
          <w:tcPr>
            <w:tcW w:w="2841" w:type="dxa"/>
          </w:tcPr>
          <w:p w14:paraId="18B00285">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Cummulative   Frequency  (CF)</w:t>
            </w:r>
          </w:p>
        </w:tc>
      </w:tr>
      <w:tr w14:paraId="3B15A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DAF0AD3">
            <w:pPr>
              <w:widowControl w:val="0"/>
              <w:numPr>
                <w:ilvl w:val="0"/>
                <w:numId w:val="0"/>
              </w:numPr>
              <w:ind w:firstLine="1260" w:firstLineChars="450"/>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0</w:t>
            </w:r>
          </w:p>
        </w:tc>
        <w:tc>
          <w:tcPr>
            <w:tcW w:w="2841" w:type="dxa"/>
          </w:tcPr>
          <w:p w14:paraId="2B821E8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-80</w:t>
            </w:r>
          </w:p>
        </w:tc>
        <w:tc>
          <w:tcPr>
            <w:tcW w:w="2841" w:type="dxa"/>
          </w:tcPr>
          <w:p w14:paraId="5AD284B2">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0</w:t>
            </w:r>
          </w:p>
        </w:tc>
      </w:tr>
      <w:tr w14:paraId="07A6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63D151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w:t>
            </w:r>
          </w:p>
        </w:tc>
        <w:tc>
          <w:tcPr>
            <w:tcW w:w="2841" w:type="dxa"/>
          </w:tcPr>
          <w:p w14:paraId="376B818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25</w:t>
            </w:r>
          </w:p>
        </w:tc>
        <w:tc>
          <w:tcPr>
            <w:tcW w:w="2841" w:type="dxa"/>
          </w:tcPr>
          <w:p w14:paraId="492B1457">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 xml:space="preserve"> -55</w:t>
            </w:r>
          </w:p>
        </w:tc>
      </w:tr>
      <w:tr w14:paraId="7ED5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EB4254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w:t>
            </w:r>
          </w:p>
        </w:tc>
        <w:tc>
          <w:tcPr>
            <w:tcW w:w="2841" w:type="dxa"/>
          </w:tcPr>
          <w:p w14:paraId="6E7FBB38">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25</w:t>
            </w:r>
          </w:p>
        </w:tc>
        <w:tc>
          <w:tcPr>
            <w:tcW w:w="2841" w:type="dxa"/>
          </w:tcPr>
          <w:p w14:paraId="73A854A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-30</w:t>
            </w:r>
          </w:p>
        </w:tc>
      </w:tr>
      <w:tr w14:paraId="6641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81418C4">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w:t>
            </w:r>
          </w:p>
        </w:tc>
        <w:tc>
          <w:tcPr>
            <w:tcW w:w="2841" w:type="dxa"/>
          </w:tcPr>
          <w:p w14:paraId="0D8BC31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6EB251F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-10</w:t>
            </w:r>
          </w:p>
        </w:tc>
      </w:tr>
      <w:tr w14:paraId="1F364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C56104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4</w:t>
            </w:r>
          </w:p>
        </w:tc>
        <w:tc>
          <w:tcPr>
            <w:tcW w:w="2841" w:type="dxa"/>
          </w:tcPr>
          <w:p w14:paraId="5257E21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55</w:t>
            </w:r>
          </w:p>
        </w:tc>
        <w:tc>
          <w:tcPr>
            <w:tcW w:w="2841" w:type="dxa"/>
          </w:tcPr>
          <w:p w14:paraId="3CE279B4">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 xml:space="preserve"> 45</w:t>
            </w:r>
          </w:p>
        </w:tc>
      </w:tr>
    </w:tbl>
    <w:p w14:paraId="7DEE6C7A">
      <w:pPr>
        <w:numPr>
          <w:ilvl w:val="0"/>
          <w:numId w:val="0"/>
        </w:numPr>
        <w:rPr>
          <w:rFonts w:hint="default" w:ascii="Times New Roman" w:hAnsi="Times New Roman"/>
          <w:b w:val="0"/>
          <w:bCs w:val="0"/>
          <w:sz w:val="24"/>
          <w:szCs w:val="24"/>
          <w:u w:val="none"/>
          <w:lang w:val="en-GB"/>
        </w:rPr>
      </w:pPr>
    </w:p>
    <w:p w14:paraId="622C2451">
      <w:pPr>
        <w:numPr>
          <w:ilvl w:val="0"/>
          <w:numId w:val="0"/>
        </w:numPr>
        <w:rPr>
          <w:rFonts w:hint="default" w:ascii="Times New Roman" w:hAnsi="Times New Roman"/>
          <w:b w:val="0"/>
          <w:bCs w:val="0"/>
          <w:sz w:val="24"/>
          <w:szCs w:val="24"/>
          <w:u w:val="none"/>
          <w:lang w:val="en-GB"/>
        </w:rPr>
      </w:pPr>
    </w:p>
    <w:p w14:paraId="63CD74EE">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B</w:t>
      </w:r>
    </w:p>
    <w:p w14:paraId="76FD6C82">
      <w:pPr>
        <w:numPr>
          <w:ilvl w:val="0"/>
          <w:numId w:val="0"/>
        </w:numPr>
        <w:rPr>
          <w:rFonts w:hint="default" w:ascii="Times New Roman" w:hAnsi="Times New Roman"/>
          <w:b/>
          <w:bCs/>
          <w:sz w:val="22"/>
          <w:szCs w:val="22"/>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2F7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E5AB47C">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Year</w:t>
            </w:r>
          </w:p>
        </w:tc>
        <w:tc>
          <w:tcPr>
            <w:tcW w:w="2841" w:type="dxa"/>
          </w:tcPr>
          <w:p w14:paraId="0A1175B7">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Project  B</w:t>
            </w:r>
          </w:p>
        </w:tc>
        <w:tc>
          <w:tcPr>
            <w:tcW w:w="2841" w:type="dxa"/>
          </w:tcPr>
          <w:p w14:paraId="5ADFF946">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Cummulative  Frequency  (CF)</w:t>
            </w:r>
          </w:p>
        </w:tc>
      </w:tr>
      <w:tr w14:paraId="4B1E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47E145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0</w:t>
            </w:r>
          </w:p>
        </w:tc>
        <w:tc>
          <w:tcPr>
            <w:tcW w:w="2841" w:type="dxa"/>
          </w:tcPr>
          <w:p w14:paraId="2A6BCBE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-75</w:t>
            </w:r>
          </w:p>
        </w:tc>
        <w:tc>
          <w:tcPr>
            <w:tcW w:w="2841" w:type="dxa"/>
          </w:tcPr>
          <w:p w14:paraId="6B7795F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0</w:t>
            </w:r>
          </w:p>
        </w:tc>
      </w:tr>
      <w:tr w14:paraId="40EFC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B121CA0">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w:t>
            </w:r>
          </w:p>
        </w:tc>
        <w:tc>
          <w:tcPr>
            <w:tcW w:w="2841" w:type="dxa"/>
          </w:tcPr>
          <w:p w14:paraId="27FF59F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50</w:t>
            </w:r>
          </w:p>
        </w:tc>
        <w:tc>
          <w:tcPr>
            <w:tcW w:w="2841" w:type="dxa"/>
          </w:tcPr>
          <w:p w14:paraId="747ED25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-25</w:t>
            </w:r>
          </w:p>
        </w:tc>
      </w:tr>
      <w:tr w14:paraId="485E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DBA4FB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w:t>
            </w:r>
          </w:p>
        </w:tc>
        <w:tc>
          <w:tcPr>
            <w:tcW w:w="2841" w:type="dxa"/>
          </w:tcPr>
          <w:p w14:paraId="40BAB3E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11607A21">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w:t>
            </w:r>
          </w:p>
        </w:tc>
      </w:tr>
      <w:tr w14:paraId="3E69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CB0F96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w:t>
            </w:r>
          </w:p>
        </w:tc>
        <w:tc>
          <w:tcPr>
            <w:tcW w:w="2841" w:type="dxa"/>
          </w:tcPr>
          <w:p w14:paraId="628162B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3A214F3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15</w:t>
            </w:r>
          </w:p>
        </w:tc>
      </w:tr>
      <w:tr w14:paraId="7EE6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A6B617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4</w:t>
            </w:r>
          </w:p>
        </w:tc>
        <w:tc>
          <w:tcPr>
            <w:tcW w:w="2841" w:type="dxa"/>
          </w:tcPr>
          <w:p w14:paraId="37FBE478">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7803245B">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35</w:t>
            </w:r>
          </w:p>
        </w:tc>
      </w:tr>
    </w:tbl>
    <w:p w14:paraId="2457F84C">
      <w:pPr>
        <w:numPr>
          <w:ilvl w:val="0"/>
          <w:numId w:val="0"/>
        </w:numPr>
        <w:rPr>
          <w:rFonts w:hint="default" w:ascii="Times New Roman" w:hAnsi="Times New Roman"/>
          <w:b/>
          <w:bCs/>
          <w:sz w:val="24"/>
          <w:szCs w:val="24"/>
          <w:u w:val="none"/>
          <w:lang w:val="en-GB"/>
        </w:rPr>
      </w:pPr>
    </w:p>
    <w:p w14:paraId="756F05C8">
      <w:pPr>
        <w:numPr>
          <w:ilvl w:val="0"/>
          <w:numId w:val="0"/>
        </w:numPr>
        <w:rPr>
          <w:rFonts w:hint="default" w:ascii="Times New Roman" w:hAnsi="Times New Roman"/>
          <w:b w:val="0"/>
          <w:bCs w:val="0"/>
          <w:sz w:val="24"/>
          <w:szCs w:val="24"/>
          <w:u w:val="none"/>
          <w:lang w:val="en-GB"/>
        </w:rPr>
      </w:pPr>
    </w:p>
    <w:p w14:paraId="0C1FBED6">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Calculate,  </w:t>
      </w:r>
      <w:r>
        <w:rPr>
          <w:rFonts w:hint="default" w:ascii="Times New Roman" w:hAnsi="Times New Roman"/>
          <w:b w:val="0"/>
          <w:bCs w:val="0"/>
          <w:sz w:val="24"/>
          <w:szCs w:val="24"/>
          <w:u w:val="none"/>
          <w:lang w:val="en-GB"/>
        </w:rPr>
        <w:t>The  Accounting  Rate  of  Return  (ARR)</w:t>
      </w:r>
    </w:p>
    <w:p w14:paraId="099AA847">
      <w:pPr>
        <w:numPr>
          <w:ilvl w:val="0"/>
          <w:numId w:val="0"/>
        </w:numPr>
        <w:rPr>
          <w:rFonts w:hint="default" w:ascii="Times New Roman" w:hAnsi="Times New Roman"/>
          <w:b w:val="0"/>
          <w:bCs w:val="0"/>
          <w:sz w:val="24"/>
          <w:szCs w:val="24"/>
          <w:u w:val="none"/>
          <w:lang w:val="en-GB"/>
        </w:rPr>
      </w:pPr>
    </w:p>
    <w:p w14:paraId="663E2967">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A</w:t>
      </w:r>
    </w:p>
    <w:p w14:paraId="21862514">
      <w:pPr>
        <w:numPr>
          <w:ilvl w:val="0"/>
          <w:numId w:val="0"/>
        </w:numPr>
        <w:rPr>
          <w:rFonts w:hint="default" w:ascii="Times New Roman" w:hAnsi="Times New Roman"/>
          <w:b w:val="0"/>
          <w:bCs w:val="0"/>
          <w:sz w:val="24"/>
          <w:szCs w:val="24"/>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5E2C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AA5F28A">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Year</w:t>
            </w:r>
          </w:p>
        </w:tc>
        <w:tc>
          <w:tcPr>
            <w:tcW w:w="2130" w:type="dxa"/>
          </w:tcPr>
          <w:p w14:paraId="5278AD34">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w:t>
            </w:r>
            <w:r>
              <w:rPr>
                <w:rFonts w:hint="default" w:ascii="Times New Roman" w:hAnsi="Times New Roman"/>
                <w:b/>
                <w:bCs/>
                <w:sz w:val="28"/>
                <w:szCs w:val="28"/>
                <w:u w:val="none"/>
                <w:vertAlign w:val="baseline"/>
                <w:lang w:val="en-GB"/>
              </w:rPr>
              <w:t>Project  A</w:t>
            </w:r>
          </w:p>
        </w:tc>
        <w:tc>
          <w:tcPr>
            <w:tcW w:w="2131" w:type="dxa"/>
          </w:tcPr>
          <w:p w14:paraId="530D4942">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w:t>
            </w:r>
            <w:r>
              <w:rPr>
                <w:rFonts w:hint="default" w:ascii="Times New Roman" w:hAnsi="Times New Roman"/>
                <w:b/>
                <w:bCs/>
                <w:sz w:val="28"/>
                <w:szCs w:val="28"/>
                <w:u w:val="none"/>
                <w:vertAlign w:val="baseline"/>
                <w:lang w:val="en-GB"/>
              </w:rPr>
              <w:t>Depreciation</w:t>
            </w:r>
          </w:p>
        </w:tc>
        <w:tc>
          <w:tcPr>
            <w:tcW w:w="2131" w:type="dxa"/>
          </w:tcPr>
          <w:p w14:paraId="4BAF30BE">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Annual  Profit</w:t>
            </w:r>
          </w:p>
        </w:tc>
      </w:tr>
      <w:tr w14:paraId="5BB99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EE43D77">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0</w:t>
            </w:r>
          </w:p>
        </w:tc>
        <w:tc>
          <w:tcPr>
            <w:tcW w:w="2130" w:type="dxa"/>
          </w:tcPr>
          <w:p w14:paraId="2C2627EF">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-80</w:t>
            </w:r>
          </w:p>
        </w:tc>
        <w:tc>
          <w:tcPr>
            <w:tcW w:w="2131" w:type="dxa"/>
          </w:tcPr>
          <w:p w14:paraId="755DE499">
            <w:pPr>
              <w:widowControl w:val="0"/>
              <w:numPr>
                <w:ilvl w:val="0"/>
                <w:numId w:val="0"/>
              </w:numPr>
              <w:jc w:val="both"/>
              <w:rPr>
                <w:rFonts w:hint="default" w:ascii="Times New Roman" w:hAnsi="Times New Roman"/>
                <w:b w:val="0"/>
                <w:bCs w:val="0"/>
                <w:sz w:val="28"/>
                <w:szCs w:val="28"/>
                <w:u w:val="none"/>
                <w:vertAlign w:val="baseline"/>
                <w:lang w:val="en-GB"/>
              </w:rPr>
            </w:pPr>
          </w:p>
        </w:tc>
        <w:tc>
          <w:tcPr>
            <w:tcW w:w="2131" w:type="dxa"/>
          </w:tcPr>
          <w:p w14:paraId="7FED944A">
            <w:pPr>
              <w:widowControl w:val="0"/>
              <w:numPr>
                <w:ilvl w:val="0"/>
                <w:numId w:val="0"/>
              </w:numPr>
              <w:jc w:val="both"/>
              <w:rPr>
                <w:rFonts w:hint="default" w:ascii="Times New Roman" w:hAnsi="Times New Roman"/>
                <w:b w:val="0"/>
                <w:bCs w:val="0"/>
                <w:sz w:val="28"/>
                <w:szCs w:val="28"/>
                <w:u w:val="none"/>
                <w:vertAlign w:val="baseline"/>
                <w:lang w:val="en-GB"/>
              </w:rPr>
            </w:pPr>
          </w:p>
        </w:tc>
      </w:tr>
      <w:tr w14:paraId="532F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52D68D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w:t>
            </w:r>
          </w:p>
        </w:tc>
        <w:tc>
          <w:tcPr>
            <w:tcW w:w="2130" w:type="dxa"/>
          </w:tcPr>
          <w:p w14:paraId="3D7FFD7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25</w:t>
            </w:r>
          </w:p>
        </w:tc>
        <w:tc>
          <w:tcPr>
            <w:tcW w:w="2131" w:type="dxa"/>
          </w:tcPr>
          <w:p w14:paraId="5E67AD3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131" w:type="dxa"/>
          </w:tcPr>
          <w:p w14:paraId="5B77283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-5</w:t>
            </w:r>
          </w:p>
        </w:tc>
      </w:tr>
      <w:tr w14:paraId="6CA0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5A36250">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w:t>
            </w:r>
          </w:p>
        </w:tc>
        <w:tc>
          <w:tcPr>
            <w:tcW w:w="2130" w:type="dxa"/>
          </w:tcPr>
          <w:p w14:paraId="5E94B81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25</w:t>
            </w:r>
          </w:p>
        </w:tc>
        <w:tc>
          <w:tcPr>
            <w:tcW w:w="2131" w:type="dxa"/>
          </w:tcPr>
          <w:p w14:paraId="1A54B3F2">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131" w:type="dxa"/>
          </w:tcPr>
          <w:p w14:paraId="586355C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-5</w:t>
            </w:r>
          </w:p>
        </w:tc>
      </w:tr>
      <w:tr w14:paraId="68B8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14D0221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3</w:t>
            </w:r>
          </w:p>
        </w:tc>
        <w:tc>
          <w:tcPr>
            <w:tcW w:w="2130" w:type="dxa"/>
          </w:tcPr>
          <w:p w14:paraId="053C2C5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131" w:type="dxa"/>
          </w:tcPr>
          <w:p w14:paraId="41B3745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131" w:type="dxa"/>
          </w:tcPr>
          <w:p w14:paraId="04609FA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-0</w:t>
            </w:r>
          </w:p>
        </w:tc>
      </w:tr>
      <w:tr w14:paraId="3A3C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A5259B0">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4</w:t>
            </w:r>
          </w:p>
        </w:tc>
        <w:tc>
          <w:tcPr>
            <w:tcW w:w="2130" w:type="dxa"/>
          </w:tcPr>
          <w:p w14:paraId="1FBB9CC7">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55</w:t>
            </w:r>
          </w:p>
        </w:tc>
        <w:tc>
          <w:tcPr>
            <w:tcW w:w="2131" w:type="dxa"/>
          </w:tcPr>
          <w:p w14:paraId="1D53B26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131" w:type="dxa"/>
          </w:tcPr>
          <w:p w14:paraId="52E2C89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-35</w:t>
            </w:r>
          </w:p>
        </w:tc>
      </w:tr>
    </w:tbl>
    <w:p w14:paraId="08AC610D">
      <w:pPr>
        <w:numPr>
          <w:ilvl w:val="0"/>
          <w:numId w:val="0"/>
        </w:numPr>
        <w:rPr>
          <w:rFonts w:hint="default" w:ascii="Times New Roman" w:hAnsi="Times New Roman"/>
          <w:b w:val="0"/>
          <w:bCs w:val="0"/>
          <w:sz w:val="24"/>
          <w:szCs w:val="24"/>
          <w:u w:val="none"/>
          <w:lang w:val="en-GB"/>
        </w:rPr>
      </w:pPr>
    </w:p>
    <w:p w14:paraId="3DE85656">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Accounting  rate  of  return  for  Project  A   =  (-5) + (-5) + (-0) + (-35) / 4 / (-80)   =</w:t>
      </w:r>
    </w:p>
    <w:p w14:paraId="62195CB2">
      <w:pPr>
        <w:numPr>
          <w:ilvl w:val="0"/>
          <w:numId w:val="0"/>
        </w:numPr>
        <w:rPr>
          <w:rFonts w:hint="default" w:ascii="Times New Roman" w:hAnsi="Times New Roman"/>
          <w:b w:val="0"/>
          <w:bCs w:val="0"/>
          <w:sz w:val="24"/>
          <w:szCs w:val="24"/>
          <w:u w:val="none"/>
          <w:lang w:val="en-GB"/>
        </w:rPr>
      </w:pPr>
    </w:p>
    <w:p w14:paraId="04EE9A93">
      <w:pPr>
        <w:numPr>
          <w:ilvl w:val="0"/>
          <w:numId w:val="0"/>
        </w:numPr>
        <w:rPr>
          <w:rFonts w:hint="default" w:ascii="Times New Roman" w:hAnsi="Times New Roman"/>
          <w:b w:val="0"/>
          <w:bCs w:val="0"/>
          <w:sz w:val="24"/>
          <w:szCs w:val="24"/>
          <w:u w:val="none"/>
          <w:lang w:val="en-GB"/>
        </w:rPr>
      </w:pPr>
    </w:p>
    <w:p w14:paraId="20F2A740">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B</w:t>
      </w:r>
    </w:p>
    <w:p w14:paraId="5F3802BE">
      <w:pPr>
        <w:numPr>
          <w:ilvl w:val="0"/>
          <w:numId w:val="0"/>
        </w:numPr>
        <w:rPr>
          <w:rFonts w:hint="default" w:ascii="Times New Roman" w:hAnsi="Times New Roman"/>
          <w:b/>
          <w:bCs/>
          <w:sz w:val="24"/>
          <w:szCs w:val="24"/>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05AD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6A40A6E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Year</w:t>
            </w:r>
          </w:p>
        </w:tc>
        <w:tc>
          <w:tcPr>
            <w:tcW w:w="2130" w:type="dxa"/>
          </w:tcPr>
          <w:p w14:paraId="7622F3D0">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Project  B</w:t>
            </w:r>
          </w:p>
        </w:tc>
        <w:tc>
          <w:tcPr>
            <w:tcW w:w="2131" w:type="dxa"/>
          </w:tcPr>
          <w:p w14:paraId="607B61EE">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Depreciation</w:t>
            </w:r>
          </w:p>
        </w:tc>
        <w:tc>
          <w:tcPr>
            <w:tcW w:w="2131" w:type="dxa"/>
          </w:tcPr>
          <w:p w14:paraId="63F289D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Annual  Profit</w:t>
            </w:r>
          </w:p>
        </w:tc>
      </w:tr>
      <w:tr w14:paraId="6907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9CCD9C4">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0</w:t>
            </w:r>
          </w:p>
        </w:tc>
        <w:tc>
          <w:tcPr>
            <w:tcW w:w="2130" w:type="dxa"/>
          </w:tcPr>
          <w:p w14:paraId="72B95D62">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-75</w:t>
            </w:r>
          </w:p>
        </w:tc>
        <w:tc>
          <w:tcPr>
            <w:tcW w:w="2131" w:type="dxa"/>
          </w:tcPr>
          <w:p w14:paraId="76441621">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p>
        </w:tc>
        <w:tc>
          <w:tcPr>
            <w:tcW w:w="2131" w:type="dxa"/>
          </w:tcPr>
          <w:p w14:paraId="50EE2B0F">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p>
        </w:tc>
      </w:tr>
      <w:tr w14:paraId="31FF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1354E5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w:t>
            </w:r>
          </w:p>
        </w:tc>
        <w:tc>
          <w:tcPr>
            <w:tcW w:w="2130" w:type="dxa"/>
          </w:tcPr>
          <w:p w14:paraId="4FBBB85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50</w:t>
            </w:r>
          </w:p>
        </w:tc>
        <w:tc>
          <w:tcPr>
            <w:tcW w:w="2131" w:type="dxa"/>
          </w:tcPr>
          <w:p w14:paraId="57A59B8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-18.75</w:t>
            </w:r>
          </w:p>
        </w:tc>
        <w:tc>
          <w:tcPr>
            <w:tcW w:w="2131" w:type="dxa"/>
          </w:tcPr>
          <w:p w14:paraId="2882A06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31.25</w:t>
            </w:r>
          </w:p>
        </w:tc>
      </w:tr>
      <w:tr w14:paraId="129B1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CA23FB2">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w:t>
            </w:r>
          </w:p>
        </w:tc>
        <w:tc>
          <w:tcPr>
            <w:tcW w:w="2130" w:type="dxa"/>
          </w:tcPr>
          <w:p w14:paraId="5B8B108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131" w:type="dxa"/>
          </w:tcPr>
          <w:p w14:paraId="5ED13AE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-18.75</w:t>
            </w:r>
          </w:p>
        </w:tc>
        <w:tc>
          <w:tcPr>
            <w:tcW w:w="2131" w:type="dxa"/>
          </w:tcPr>
          <w:p w14:paraId="3FE7E258">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-1.25</w:t>
            </w:r>
          </w:p>
        </w:tc>
      </w:tr>
      <w:tr w14:paraId="380B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64EA87B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w:t>
            </w:r>
          </w:p>
        </w:tc>
        <w:tc>
          <w:tcPr>
            <w:tcW w:w="2130" w:type="dxa"/>
          </w:tcPr>
          <w:p w14:paraId="2AA1033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131" w:type="dxa"/>
          </w:tcPr>
          <w:p w14:paraId="46D989A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-18.75</w:t>
            </w:r>
          </w:p>
        </w:tc>
        <w:tc>
          <w:tcPr>
            <w:tcW w:w="2131" w:type="dxa"/>
          </w:tcPr>
          <w:p w14:paraId="40631E5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-1.25</w:t>
            </w:r>
          </w:p>
        </w:tc>
      </w:tr>
      <w:tr w14:paraId="3918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6445EC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4</w:t>
            </w:r>
          </w:p>
        </w:tc>
        <w:tc>
          <w:tcPr>
            <w:tcW w:w="2130" w:type="dxa"/>
          </w:tcPr>
          <w:p w14:paraId="6209E16F">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131" w:type="dxa"/>
          </w:tcPr>
          <w:p w14:paraId="2232AD0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-18.75</w:t>
            </w:r>
          </w:p>
        </w:tc>
        <w:tc>
          <w:tcPr>
            <w:tcW w:w="2131" w:type="dxa"/>
          </w:tcPr>
          <w:p w14:paraId="312C3CEB">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-1.25</w:t>
            </w:r>
          </w:p>
        </w:tc>
      </w:tr>
    </w:tbl>
    <w:p w14:paraId="497A5B4A">
      <w:pPr>
        <w:numPr>
          <w:ilvl w:val="0"/>
          <w:numId w:val="0"/>
        </w:numPr>
        <w:rPr>
          <w:rFonts w:hint="default" w:ascii="Times New Roman" w:hAnsi="Times New Roman"/>
          <w:b/>
          <w:bCs/>
          <w:sz w:val="24"/>
          <w:szCs w:val="24"/>
          <w:u w:val="none"/>
          <w:lang w:val="en-GB"/>
        </w:rPr>
      </w:pPr>
    </w:p>
    <w:p w14:paraId="75A31165">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Accounting  rate  of  return  for  Project  B   =   (31.25) + (-1.25) + (-1.25) + (1.25) / 4 / (-75)   =   </w:t>
      </w:r>
    </w:p>
    <w:p w14:paraId="0BB5EC63">
      <w:pPr>
        <w:numPr>
          <w:ilvl w:val="0"/>
          <w:numId w:val="0"/>
        </w:numPr>
        <w:rPr>
          <w:rFonts w:hint="default" w:ascii="Times New Roman" w:hAnsi="Times New Roman"/>
          <w:b/>
          <w:bCs/>
          <w:sz w:val="24"/>
          <w:szCs w:val="24"/>
          <w:u w:val="none"/>
          <w:lang w:val="en-GB"/>
        </w:rPr>
      </w:pPr>
    </w:p>
    <w:p w14:paraId="769CE236">
      <w:pPr>
        <w:numPr>
          <w:ilvl w:val="0"/>
          <w:numId w:val="0"/>
        </w:numPr>
        <w:rPr>
          <w:rFonts w:hint="default" w:ascii="Times New Roman" w:hAnsi="Times New Roman"/>
          <w:b/>
          <w:bCs/>
          <w:sz w:val="24"/>
          <w:szCs w:val="24"/>
          <w:u w:val="none"/>
          <w:lang w:val="en-GB"/>
        </w:rPr>
      </w:pPr>
    </w:p>
    <w:p w14:paraId="68713A1C">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Calculate,  </w:t>
      </w:r>
      <w:r>
        <w:rPr>
          <w:rFonts w:hint="default" w:ascii="Times New Roman" w:hAnsi="Times New Roman"/>
          <w:b w:val="0"/>
          <w:bCs w:val="0"/>
          <w:sz w:val="24"/>
          <w:szCs w:val="24"/>
          <w:u w:val="none"/>
          <w:lang w:val="en-GB"/>
        </w:rPr>
        <w:t>The  Net  Present  Value  (NPV)  of  the  project.</w:t>
      </w:r>
    </w:p>
    <w:p w14:paraId="027BE04D">
      <w:pPr>
        <w:numPr>
          <w:ilvl w:val="0"/>
          <w:numId w:val="0"/>
        </w:numPr>
        <w:rPr>
          <w:rFonts w:hint="default" w:ascii="Times New Roman" w:hAnsi="Times New Roman"/>
          <w:b w:val="0"/>
          <w:bCs w:val="0"/>
          <w:sz w:val="24"/>
          <w:szCs w:val="24"/>
          <w:u w:val="none"/>
          <w:lang w:val="en-GB"/>
        </w:rPr>
      </w:pPr>
    </w:p>
    <w:p w14:paraId="3E4BD6EA">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A</w:t>
      </w:r>
    </w:p>
    <w:p w14:paraId="6CD14F55">
      <w:pPr>
        <w:numPr>
          <w:ilvl w:val="0"/>
          <w:numId w:val="0"/>
        </w:numPr>
        <w:rPr>
          <w:rFonts w:hint="default" w:ascii="Times New Roman" w:hAnsi="Times New Roman"/>
          <w:b/>
          <w:bCs/>
          <w:sz w:val="24"/>
          <w:szCs w:val="24"/>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44A7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1978693">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w:t>
            </w:r>
            <w:r>
              <w:rPr>
                <w:rFonts w:hint="default" w:ascii="Times New Roman" w:hAnsi="Times New Roman"/>
                <w:b/>
                <w:bCs/>
                <w:sz w:val="28"/>
                <w:szCs w:val="28"/>
                <w:u w:val="none"/>
                <w:vertAlign w:val="baseline"/>
                <w:lang w:val="en-GB"/>
              </w:rPr>
              <w:t>Year</w:t>
            </w:r>
          </w:p>
        </w:tc>
        <w:tc>
          <w:tcPr>
            <w:tcW w:w="2841" w:type="dxa"/>
          </w:tcPr>
          <w:p w14:paraId="77D1680C">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w:t>
            </w:r>
            <w:r>
              <w:rPr>
                <w:rFonts w:hint="default" w:ascii="Times New Roman" w:hAnsi="Times New Roman"/>
                <w:b/>
                <w:bCs/>
                <w:sz w:val="28"/>
                <w:szCs w:val="28"/>
                <w:u w:val="none"/>
                <w:vertAlign w:val="baseline"/>
                <w:lang w:val="en-GB"/>
              </w:rPr>
              <w:t>Project  A</w:t>
            </w:r>
          </w:p>
        </w:tc>
        <w:tc>
          <w:tcPr>
            <w:tcW w:w="2841" w:type="dxa"/>
          </w:tcPr>
          <w:p w14:paraId="129156B5">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Present  Value  (PV)</w:t>
            </w:r>
          </w:p>
        </w:tc>
      </w:tr>
      <w:tr w14:paraId="0F84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422F921">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0</w:t>
            </w:r>
          </w:p>
        </w:tc>
        <w:tc>
          <w:tcPr>
            <w:tcW w:w="2841" w:type="dxa"/>
          </w:tcPr>
          <w:p w14:paraId="459BC127">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-80</w:t>
            </w:r>
          </w:p>
        </w:tc>
        <w:tc>
          <w:tcPr>
            <w:tcW w:w="2841" w:type="dxa"/>
          </w:tcPr>
          <w:p w14:paraId="792963F0">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val="0"/>
                <w:bCs w:val="0"/>
                <w:sz w:val="28"/>
                <w:szCs w:val="28"/>
                <w:u w:val="none"/>
                <w:vertAlign w:val="baseline"/>
                <w:lang w:val="en-GB"/>
              </w:rPr>
              <w:t xml:space="preserve">                -80</w:t>
            </w:r>
          </w:p>
        </w:tc>
      </w:tr>
      <w:tr w14:paraId="28D6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185BFE1">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w:t>
            </w:r>
          </w:p>
        </w:tc>
        <w:tc>
          <w:tcPr>
            <w:tcW w:w="2841" w:type="dxa"/>
          </w:tcPr>
          <w:p w14:paraId="56601C40">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25</w:t>
            </w:r>
          </w:p>
        </w:tc>
        <w:tc>
          <w:tcPr>
            <w:tcW w:w="2841" w:type="dxa"/>
          </w:tcPr>
          <w:p w14:paraId="7C31795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-55</w:t>
            </w:r>
          </w:p>
        </w:tc>
      </w:tr>
      <w:tr w14:paraId="654E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78B8CA2">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w:t>
            </w:r>
          </w:p>
        </w:tc>
        <w:tc>
          <w:tcPr>
            <w:tcW w:w="2841" w:type="dxa"/>
          </w:tcPr>
          <w:p w14:paraId="69C6955A">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25</w:t>
            </w:r>
          </w:p>
        </w:tc>
        <w:tc>
          <w:tcPr>
            <w:tcW w:w="2841" w:type="dxa"/>
          </w:tcPr>
          <w:p w14:paraId="78ADB2D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-30</w:t>
            </w:r>
          </w:p>
        </w:tc>
      </w:tr>
      <w:tr w14:paraId="62E1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ACC38E8">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3</w:t>
            </w:r>
          </w:p>
        </w:tc>
        <w:tc>
          <w:tcPr>
            <w:tcW w:w="2841" w:type="dxa"/>
          </w:tcPr>
          <w:p w14:paraId="1D0D77A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841" w:type="dxa"/>
          </w:tcPr>
          <w:p w14:paraId="59D82F6E">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-10</w:t>
            </w:r>
          </w:p>
        </w:tc>
      </w:tr>
      <w:tr w14:paraId="1357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2944AE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4</w:t>
            </w:r>
          </w:p>
        </w:tc>
        <w:tc>
          <w:tcPr>
            <w:tcW w:w="2841" w:type="dxa"/>
          </w:tcPr>
          <w:p w14:paraId="53F43049">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55</w:t>
            </w:r>
          </w:p>
        </w:tc>
        <w:tc>
          <w:tcPr>
            <w:tcW w:w="2841" w:type="dxa"/>
          </w:tcPr>
          <w:p w14:paraId="6F45ACCC">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-45</w:t>
            </w:r>
          </w:p>
        </w:tc>
      </w:tr>
    </w:tbl>
    <w:p w14:paraId="6C1C87D2">
      <w:pPr>
        <w:numPr>
          <w:ilvl w:val="0"/>
          <w:numId w:val="0"/>
        </w:numPr>
        <w:rPr>
          <w:rFonts w:hint="default" w:ascii="Times New Roman" w:hAnsi="Times New Roman"/>
          <w:b w:val="0"/>
          <w:bCs w:val="0"/>
          <w:sz w:val="24"/>
          <w:szCs w:val="24"/>
          <w:u w:val="none"/>
          <w:lang w:val="en-GB"/>
        </w:rPr>
      </w:pPr>
    </w:p>
    <w:p w14:paraId="779A28C7">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Net  Present  Value  for  Project  A   =   -80 + -55  +  -30  +  -10  +  -45   =  </w:t>
      </w:r>
    </w:p>
    <w:p w14:paraId="2A86F031">
      <w:pPr>
        <w:numPr>
          <w:ilvl w:val="0"/>
          <w:numId w:val="0"/>
        </w:numPr>
        <w:rPr>
          <w:rFonts w:hint="default" w:ascii="Times New Roman" w:hAnsi="Times New Roman"/>
          <w:b w:val="0"/>
          <w:bCs w:val="0"/>
          <w:sz w:val="32"/>
          <w:szCs w:val="32"/>
          <w:u w:val="none"/>
          <w:lang w:val="en-GB"/>
        </w:rPr>
      </w:pPr>
    </w:p>
    <w:p w14:paraId="70E82A9D">
      <w:pPr>
        <w:numPr>
          <w:ilvl w:val="0"/>
          <w:numId w:val="0"/>
        </w:numPr>
        <w:rPr>
          <w:rFonts w:hint="default" w:ascii="Times New Roman" w:hAnsi="Times New Roman"/>
          <w:b/>
          <w:bCs/>
          <w:sz w:val="24"/>
          <w:szCs w:val="24"/>
          <w:u w:val="none"/>
          <w:lang w:val="en-GB"/>
        </w:rPr>
      </w:pPr>
      <w:r>
        <w:rPr>
          <w:rFonts w:hint="default" w:ascii="Times New Roman" w:hAnsi="Times New Roman"/>
          <w:b/>
          <w:bCs/>
          <w:sz w:val="24"/>
          <w:szCs w:val="24"/>
          <w:u w:val="none"/>
          <w:lang w:val="en-GB"/>
        </w:rPr>
        <w:t>Project  B</w:t>
      </w:r>
    </w:p>
    <w:p w14:paraId="30A02D3A">
      <w:pPr>
        <w:numPr>
          <w:ilvl w:val="0"/>
          <w:numId w:val="0"/>
        </w:numPr>
        <w:rPr>
          <w:rFonts w:hint="default" w:ascii="Times New Roman" w:hAnsi="Times New Roman"/>
          <w:b/>
          <w:bCs/>
          <w:sz w:val="24"/>
          <w:szCs w:val="24"/>
          <w:u w:val="none"/>
          <w:lang w:val="en-GB"/>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BCA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3EE2231">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Year</w:t>
            </w:r>
          </w:p>
        </w:tc>
        <w:tc>
          <w:tcPr>
            <w:tcW w:w="2841" w:type="dxa"/>
          </w:tcPr>
          <w:p w14:paraId="69880F5B">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Project  B</w:t>
            </w:r>
          </w:p>
        </w:tc>
        <w:tc>
          <w:tcPr>
            <w:tcW w:w="2841" w:type="dxa"/>
          </w:tcPr>
          <w:p w14:paraId="56F35C73">
            <w:pPr>
              <w:widowControl w:val="0"/>
              <w:numPr>
                <w:ilvl w:val="0"/>
                <w:numId w:val="0"/>
              </w:numPr>
              <w:jc w:val="both"/>
              <w:rPr>
                <w:rFonts w:hint="default" w:ascii="Times New Roman" w:hAnsi="Times New Roman"/>
                <w:b/>
                <w:bCs/>
                <w:sz w:val="28"/>
                <w:szCs w:val="28"/>
                <w:u w:val="none"/>
                <w:vertAlign w:val="baseline"/>
                <w:lang w:val="en-GB"/>
              </w:rPr>
            </w:pPr>
            <w:r>
              <w:rPr>
                <w:rFonts w:hint="default" w:ascii="Times New Roman" w:hAnsi="Times New Roman"/>
                <w:b/>
                <w:bCs/>
                <w:sz w:val="28"/>
                <w:szCs w:val="28"/>
                <w:u w:val="none"/>
                <w:vertAlign w:val="baseline"/>
                <w:lang w:val="en-GB"/>
              </w:rPr>
              <w:t xml:space="preserve">  Present  Value  (PV)</w:t>
            </w:r>
          </w:p>
        </w:tc>
      </w:tr>
      <w:tr w14:paraId="0D32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6D57F61">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0</w:t>
            </w:r>
          </w:p>
        </w:tc>
        <w:tc>
          <w:tcPr>
            <w:tcW w:w="2841" w:type="dxa"/>
          </w:tcPr>
          <w:p w14:paraId="1284B477">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-75</w:t>
            </w:r>
          </w:p>
        </w:tc>
        <w:tc>
          <w:tcPr>
            <w:tcW w:w="2841" w:type="dxa"/>
          </w:tcPr>
          <w:p w14:paraId="746EE58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-75</w:t>
            </w:r>
          </w:p>
        </w:tc>
      </w:tr>
      <w:tr w14:paraId="41CD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FFC6BA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1</w:t>
            </w:r>
          </w:p>
        </w:tc>
        <w:tc>
          <w:tcPr>
            <w:tcW w:w="2841" w:type="dxa"/>
          </w:tcPr>
          <w:p w14:paraId="050572D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50</w:t>
            </w:r>
          </w:p>
        </w:tc>
        <w:tc>
          <w:tcPr>
            <w:tcW w:w="2841" w:type="dxa"/>
          </w:tcPr>
          <w:p w14:paraId="511E3CE5">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25</w:t>
            </w:r>
          </w:p>
        </w:tc>
      </w:tr>
      <w:tr w14:paraId="18D0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CB44C9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w:t>
            </w:r>
          </w:p>
        </w:tc>
        <w:tc>
          <w:tcPr>
            <w:tcW w:w="2841" w:type="dxa"/>
          </w:tcPr>
          <w:p w14:paraId="6B5C472B">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742400B3">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5</w:t>
            </w:r>
          </w:p>
        </w:tc>
      </w:tr>
      <w:tr w14:paraId="5CBB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39E452B">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3</w:t>
            </w:r>
          </w:p>
        </w:tc>
        <w:tc>
          <w:tcPr>
            <w:tcW w:w="2841" w:type="dxa"/>
          </w:tcPr>
          <w:p w14:paraId="61807C86">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20</w:t>
            </w:r>
          </w:p>
        </w:tc>
        <w:tc>
          <w:tcPr>
            <w:tcW w:w="2841" w:type="dxa"/>
          </w:tcPr>
          <w:p w14:paraId="0DE46E0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 xml:space="preserve"> 15</w:t>
            </w:r>
          </w:p>
        </w:tc>
      </w:tr>
      <w:tr w14:paraId="4AC9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2C0B1AD">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bCs/>
                <w:sz w:val="28"/>
                <w:szCs w:val="28"/>
                <w:u w:val="none"/>
                <w:vertAlign w:val="baseline"/>
                <w:lang w:val="en-GB"/>
              </w:rPr>
              <w:t xml:space="preserve">               </w:t>
            </w:r>
            <w:r>
              <w:rPr>
                <w:rFonts w:hint="default" w:ascii="Times New Roman" w:hAnsi="Times New Roman"/>
                <w:b w:val="0"/>
                <w:bCs w:val="0"/>
                <w:sz w:val="28"/>
                <w:szCs w:val="28"/>
                <w:u w:val="none"/>
                <w:vertAlign w:val="baseline"/>
                <w:lang w:val="en-GB"/>
              </w:rPr>
              <w:t>4</w:t>
            </w:r>
          </w:p>
        </w:tc>
        <w:tc>
          <w:tcPr>
            <w:tcW w:w="2841" w:type="dxa"/>
          </w:tcPr>
          <w:p w14:paraId="627FC930">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20</w:t>
            </w:r>
          </w:p>
        </w:tc>
        <w:tc>
          <w:tcPr>
            <w:tcW w:w="2841" w:type="dxa"/>
          </w:tcPr>
          <w:p w14:paraId="6234C521">
            <w:pPr>
              <w:widowControl w:val="0"/>
              <w:numPr>
                <w:ilvl w:val="0"/>
                <w:numId w:val="0"/>
              </w:numPr>
              <w:jc w:val="both"/>
              <w:rPr>
                <w:rFonts w:hint="default" w:ascii="Times New Roman" w:hAnsi="Times New Roman"/>
                <w:b w:val="0"/>
                <w:bCs w:val="0"/>
                <w:sz w:val="28"/>
                <w:szCs w:val="28"/>
                <w:u w:val="none"/>
                <w:vertAlign w:val="baseline"/>
                <w:lang w:val="en-GB"/>
              </w:rPr>
            </w:pPr>
            <w:r>
              <w:rPr>
                <w:rFonts w:hint="default" w:ascii="Times New Roman" w:hAnsi="Times New Roman"/>
                <w:b w:val="0"/>
                <w:bCs w:val="0"/>
                <w:sz w:val="28"/>
                <w:szCs w:val="28"/>
                <w:u w:val="none"/>
                <w:vertAlign w:val="baseline"/>
                <w:lang w:val="en-GB"/>
              </w:rPr>
              <w:t xml:space="preserve">                 35</w:t>
            </w:r>
          </w:p>
        </w:tc>
      </w:tr>
    </w:tbl>
    <w:p w14:paraId="6960BD7C">
      <w:pPr>
        <w:numPr>
          <w:ilvl w:val="0"/>
          <w:numId w:val="0"/>
        </w:numPr>
        <w:rPr>
          <w:rFonts w:hint="default" w:ascii="Times New Roman" w:hAnsi="Times New Roman"/>
          <w:b/>
          <w:bCs/>
          <w:sz w:val="24"/>
          <w:szCs w:val="24"/>
          <w:u w:val="none"/>
          <w:lang w:val="en-GB"/>
        </w:rPr>
      </w:pPr>
    </w:p>
    <w:p w14:paraId="3609A721">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Net  Present  Value  for  Project  B   =   -75  +  -25  +  -5  +  15  +  35   =  </w:t>
      </w:r>
    </w:p>
    <w:p w14:paraId="6B6BEBE9">
      <w:pPr>
        <w:numPr>
          <w:ilvl w:val="0"/>
          <w:numId w:val="0"/>
        </w:numPr>
        <w:rPr>
          <w:rFonts w:hint="default" w:ascii="Times New Roman" w:hAnsi="Times New Roman"/>
          <w:b w:val="0"/>
          <w:bCs w:val="0"/>
          <w:sz w:val="24"/>
          <w:szCs w:val="24"/>
          <w:u w:val="none"/>
          <w:lang w:val="en-GB"/>
        </w:rPr>
      </w:pPr>
    </w:p>
    <w:p w14:paraId="16DD2CF2">
      <w:pPr>
        <w:numPr>
          <w:ilvl w:val="0"/>
          <w:numId w:val="0"/>
        </w:numPr>
        <w:rPr>
          <w:rFonts w:hint="default" w:ascii="Times New Roman" w:hAnsi="Times New Roman"/>
          <w:b w:val="0"/>
          <w:bCs w:val="0"/>
          <w:sz w:val="24"/>
          <w:szCs w:val="24"/>
          <w:u w:val="none"/>
          <w:lang w:val="en-GB"/>
        </w:rPr>
      </w:pPr>
    </w:p>
    <w:p w14:paraId="26B8D4BE">
      <w:pPr>
        <w:numPr>
          <w:ilvl w:val="0"/>
          <w:numId w:val="0"/>
        </w:numPr>
        <w:rPr>
          <w:rFonts w:hint="default" w:ascii="Times New Roman" w:hAnsi="Times New Roman"/>
          <w:b/>
          <w:bCs/>
          <w:sz w:val="24"/>
          <w:szCs w:val="24"/>
          <w:u w:val="single"/>
          <w:lang w:val="en-GB"/>
        </w:rPr>
      </w:pPr>
      <w:r>
        <w:rPr>
          <w:rFonts w:hint="default" w:ascii="Times New Roman" w:hAnsi="Times New Roman"/>
          <w:b/>
          <w:bCs/>
          <w:sz w:val="24"/>
          <w:szCs w:val="24"/>
          <w:u w:val="single"/>
          <w:lang w:val="en-GB"/>
        </w:rPr>
        <w:t>Evaluation  of  results  above,  with  reasons  including  which  project  should  be  adapted.</w:t>
      </w:r>
    </w:p>
    <w:p w14:paraId="576B2A02">
      <w:pPr>
        <w:numPr>
          <w:ilvl w:val="0"/>
          <w:numId w:val="0"/>
        </w:numPr>
        <w:rPr>
          <w:rFonts w:hint="default" w:ascii="Times New Roman" w:hAnsi="Times New Roman"/>
          <w:b/>
          <w:bCs/>
          <w:sz w:val="24"/>
          <w:szCs w:val="24"/>
          <w:u w:val="single"/>
          <w:lang w:val="en-GB"/>
        </w:rPr>
      </w:pPr>
    </w:p>
    <w:p w14:paraId="39511BF7">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After  calculating  the  PBP  (Pay  Back  Period),  ARR  (Accounting  Rate  of  Return)  and  NPV  (Net  Present  Value)  of  both  projects  A &amp; B,  as  the  above  tables  indicates  via  my  calculations  from  years  0  -  4.  British  Petroleum  (BP),  arguably  should  adapt  none  of  the  two  projects  (A &amp; B).  This  is  primarily  due  to  the  extremely  low  present  values  of  both  projects.</w:t>
      </w:r>
    </w:p>
    <w:p w14:paraId="335AE0BE">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However,  BP  might  adapt  project  B,  due  to  its  present  value  calculations  as  the  collections  of  the  above  tables  indicates.</w:t>
      </w:r>
    </w:p>
    <w:p w14:paraId="086B8CD2">
      <w:pPr>
        <w:numPr>
          <w:ilvl w:val="0"/>
          <w:numId w:val="0"/>
        </w:numPr>
        <w:rPr>
          <w:rFonts w:hint="default" w:ascii="Times New Roman" w:hAnsi="Times New Roman"/>
          <w:b w:val="0"/>
          <w:bCs w:val="0"/>
          <w:sz w:val="24"/>
          <w:szCs w:val="24"/>
          <w:u w:val="none"/>
          <w:lang w:val="en-GB"/>
        </w:rPr>
      </w:pPr>
    </w:p>
    <w:p w14:paraId="374BCC03">
      <w:pPr>
        <w:numPr>
          <w:ilvl w:val="0"/>
          <w:numId w:val="0"/>
        </w:numPr>
        <w:rPr>
          <w:rFonts w:hint="default" w:ascii="Times New Roman" w:hAnsi="Times New Roman"/>
          <w:b w:val="0"/>
          <w:bCs w:val="0"/>
          <w:sz w:val="24"/>
          <w:szCs w:val="24"/>
          <w:u w:val="none"/>
          <w:lang w:val="en-GB"/>
        </w:rPr>
      </w:pPr>
    </w:p>
    <w:p w14:paraId="433D0851">
      <w:pPr>
        <w:numPr>
          <w:ilvl w:val="0"/>
          <w:numId w:val="0"/>
        </w:numPr>
        <w:rPr>
          <w:rFonts w:hint="default" w:ascii="Times New Roman" w:hAnsi="Times New Roman"/>
          <w:b/>
          <w:bCs/>
          <w:sz w:val="24"/>
          <w:szCs w:val="24"/>
          <w:u w:val="single"/>
          <w:lang w:val="en-GB"/>
        </w:rPr>
      </w:pPr>
      <w:r>
        <w:rPr>
          <w:rFonts w:hint="default" w:ascii="Times New Roman" w:hAnsi="Times New Roman"/>
          <w:b/>
          <w:bCs/>
          <w:sz w:val="24"/>
          <w:szCs w:val="24"/>
          <w:u w:val="single"/>
          <w:lang w:val="en-GB"/>
        </w:rPr>
        <w:t>Advantages  and  Shortcomings  of  the  PBP,  ARR,  &amp;  NPV  techniques,  as  ways  of  evaluating  Capital  Projects:</w:t>
      </w:r>
    </w:p>
    <w:p w14:paraId="5C095C24">
      <w:pPr>
        <w:numPr>
          <w:ilvl w:val="0"/>
          <w:numId w:val="0"/>
        </w:numPr>
        <w:rPr>
          <w:rFonts w:hint="default" w:ascii="Times New Roman" w:hAnsi="Times New Roman"/>
          <w:b/>
          <w:bCs/>
          <w:sz w:val="24"/>
          <w:szCs w:val="24"/>
          <w:u w:val="single"/>
          <w:lang w:val="en-GB"/>
        </w:rPr>
      </w:pPr>
    </w:p>
    <w:p w14:paraId="30BDE2C1">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PBP  (Advantages)  =</w:t>
      </w:r>
      <w:r>
        <w:rPr>
          <w:rFonts w:hint="default" w:ascii="Times New Roman" w:hAnsi="Times New Roman"/>
          <w:b w:val="0"/>
          <w:bCs w:val="0"/>
          <w:sz w:val="24"/>
          <w:szCs w:val="24"/>
          <w:u w:val="none"/>
          <w:lang w:val="en-GB"/>
        </w:rPr>
        <w:t xml:space="preserve">  The  primary  advantage  of  pay  back  period  method,  as  research  indicates  is  simplicity.  The  ability  to  actually  manage  liquidity,  assessing  risk,  including  use  as  a  planning  tool,  or  helps  a  business  BP  for  example  determine  whether  to  invest  in  a  project  or  not.</w:t>
      </w:r>
    </w:p>
    <w:p w14:paraId="57407A1B">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none"/>
          <w:lang w:val="en-GB"/>
        </w:rPr>
        <w:t xml:space="preserve">(Disadvantages)  =  </w:t>
      </w:r>
      <w:r>
        <w:rPr>
          <w:rFonts w:hint="default" w:ascii="Times New Roman" w:hAnsi="Times New Roman"/>
          <w:b w:val="0"/>
          <w:bCs w:val="0"/>
          <w:sz w:val="24"/>
          <w:szCs w:val="24"/>
          <w:u w:val="none"/>
          <w:lang w:val="en-GB"/>
        </w:rPr>
        <w:t>According  to  the  corporate  finance  institute,  it  ignores  cash  flows  in  BP  for  example  after  the  actual  pay  back  period.</w:t>
      </w:r>
    </w:p>
    <w:p w14:paraId="2D19245E">
      <w:pPr>
        <w:numPr>
          <w:ilvl w:val="0"/>
          <w:numId w:val="0"/>
        </w:numPr>
        <w:rPr>
          <w:rFonts w:hint="default" w:ascii="Times New Roman" w:hAnsi="Times New Roman"/>
          <w:b w:val="0"/>
          <w:bCs w:val="0"/>
          <w:sz w:val="24"/>
          <w:szCs w:val="24"/>
          <w:u w:val="none"/>
          <w:lang w:val="en-GB"/>
        </w:rPr>
      </w:pPr>
    </w:p>
    <w:p w14:paraId="5B7D6B4C">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ARR  (Advantages)  =  </w:t>
      </w:r>
      <w:r>
        <w:rPr>
          <w:rFonts w:hint="default" w:ascii="Times New Roman" w:hAnsi="Times New Roman"/>
          <w:b w:val="0"/>
          <w:bCs w:val="0"/>
          <w:sz w:val="24"/>
          <w:szCs w:val="24"/>
          <w:u w:val="none"/>
          <w:lang w:val="en-GB"/>
        </w:rPr>
        <w:t>The  main  advantage  of  ARR,  is  it  actually  allows  comparisons  in  decision  making  in  BP  for  example.</w:t>
      </w:r>
    </w:p>
    <w:p w14:paraId="31BD8330">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none"/>
          <w:lang w:val="en-GB"/>
        </w:rPr>
        <w:t xml:space="preserve">(Disadvantages)  =  </w:t>
      </w:r>
      <w:r>
        <w:rPr>
          <w:rFonts w:hint="default" w:ascii="Times New Roman" w:hAnsi="Times New Roman"/>
          <w:b w:val="0"/>
          <w:bCs w:val="0"/>
          <w:sz w:val="24"/>
          <w:szCs w:val="24"/>
          <w:u w:val="none"/>
          <w:lang w:val="en-GB"/>
        </w:rPr>
        <w:t>ARR  ignores  time  value  of  cash,  ie  external  factors  in  BP  for  example.</w:t>
      </w:r>
    </w:p>
    <w:p w14:paraId="48AE8118">
      <w:pPr>
        <w:numPr>
          <w:ilvl w:val="0"/>
          <w:numId w:val="0"/>
        </w:numPr>
        <w:rPr>
          <w:rFonts w:hint="default" w:ascii="Times New Roman" w:hAnsi="Times New Roman"/>
          <w:b w:val="0"/>
          <w:bCs w:val="0"/>
          <w:sz w:val="24"/>
          <w:szCs w:val="24"/>
          <w:u w:val="none"/>
          <w:lang w:val="en-GB"/>
        </w:rPr>
      </w:pPr>
    </w:p>
    <w:p w14:paraId="76E9B6CC">
      <w:pPr>
        <w:numPr>
          <w:ilvl w:val="0"/>
          <w:numId w:val="0"/>
        </w:numPr>
        <w:rPr>
          <w:rFonts w:hint="default" w:ascii="Times New Roman" w:hAnsi="Times New Roman"/>
          <w:b w:val="0"/>
          <w:bCs w:val="0"/>
          <w:sz w:val="24"/>
          <w:szCs w:val="24"/>
          <w:u w:val="none"/>
          <w:lang w:val="en-GB"/>
        </w:rPr>
      </w:pPr>
      <w:r>
        <w:rPr>
          <w:rFonts w:hint="default" w:ascii="Times New Roman" w:hAnsi="Times New Roman"/>
          <w:b/>
          <w:bCs/>
          <w:sz w:val="24"/>
          <w:szCs w:val="24"/>
          <w:u w:val="none"/>
          <w:lang w:val="en-GB"/>
        </w:rPr>
        <w:t xml:space="preserve">NPV  (Advantages)   =  </w:t>
      </w:r>
      <w:r>
        <w:rPr>
          <w:rFonts w:hint="default" w:ascii="Times New Roman" w:hAnsi="Times New Roman"/>
          <w:b w:val="0"/>
          <w:bCs w:val="0"/>
          <w:sz w:val="24"/>
          <w:szCs w:val="24"/>
          <w:u w:val="none"/>
          <w:lang w:val="en-GB"/>
        </w:rPr>
        <w:t>Easy  way  to  determine  weather  a  project  delivers  value,  including  time  value  of  cash.</w:t>
      </w:r>
    </w:p>
    <w:p w14:paraId="7686E37B">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none"/>
          <w:lang w:val="en-GB"/>
        </w:rPr>
        <w:t xml:space="preserve">(Disadvantages)   =  </w:t>
      </w:r>
      <w:r>
        <w:rPr>
          <w:rFonts w:hint="default" w:ascii="Times New Roman" w:hAnsi="Times New Roman"/>
          <w:b w:val="0"/>
          <w:bCs w:val="0"/>
          <w:sz w:val="24"/>
          <w:szCs w:val="24"/>
          <w:u w:val="none"/>
          <w:lang w:val="en-GB"/>
        </w:rPr>
        <w:t>The  quality  of  NPV  imputs,  depends  on  its  accuracy.  NPV  is  also  of  no  use,  in  comparing  larger  and  smaller  projects.  The  bigger  projects  will  naturally  generate  bigger  returnes  as  research  &amp;  studies  indicates.</w:t>
      </w:r>
    </w:p>
    <w:p w14:paraId="14BA3D13">
      <w:pPr>
        <w:numPr>
          <w:ilvl w:val="0"/>
          <w:numId w:val="0"/>
        </w:numPr>
        <w:rPr>
          <w:rFonts w:hint="default" w:ascii="Times New Roman" w:hAnsi="Times New Roman"/>
          <w:b w:val="0"/>
          <w:bCs w:val="0"/>
          <w:sz w:val="24"/>
          <w:szCs w:val="24"/>
          <w:u w:val="none"/>
          <w:lang w:val="en-GB"/>
        </w:rPr>
      </w:pPr>
    </w:p>
    <w:p w14:paraId="1057B6AA">
      <w:pPr>
        <w:numPr>
          <w:ilvl w:val="0"/>
          <w:numId w:val="0"/>
        </w:numPr>
        <w:rPr>
          <w:rFonts w:hint="default" w:ascii="Times New Roman" w:hAnsi="Times New Roman"/>
          <w:b w:val="0"/>
          <w:bCs w:val="0"/>
          <w:sz w:val="24"/>
          <w:szCs w:val="24"/>
          <w:u w:val="none"/>
          <w:lang w:val="en-GB"/>
        </w:rPr>
      </w:pPr>
    </w:p>
    <w:p w14:paraId="11C264A9">
      <w:pPr>
        <w:numPr>
          <w:ilvl w:val="0"/>
          <w:numId w:val="0"/>
        </w:numPr>
        <w:rPr>
          <w:rFonts w:hint="default" w:ascii="Times New Roman" w:hAnsi="Times New Roman"/>
          <w:b/>
          <w:bCs/>
          <w:sz w:val="24"/>
          <w:szCs w:val="24"/>
          <w:u w:val="none"/>
          <w:lang w:val="en-GB"/>
        </w:rPr>
      </w:pPr>
      <w:r>
        <w:rPr>
          <w:rFonts w:hint="default" w:ascii="Times New Roman" w:hAnsi="Times New Roman"/>
          <w:b w:val="0"/>
          <w:bCs w:val="0"/>
          <w:sz w:val="24"/>
          <w:szCs w:val="24"/>
          <w:u w:val="none"/>
          <w:lang w:val="en-GB"/>
        </w:rPr>
        <w:t xml:space="preserve">                                                            </w:t>
      </w:r>
      <w:r>
        <w:rPr>
          <w:rFonts w:hint="default" w:ascii="Times New Roman" w:hAnsi="Times New Roman"/>
          <w:b/>
          <w:bCs/>
          <w:sz w:val="24"/>
          <w:szCs w:val="24"/>
          <w:u w:val="single"/>
          <w:lang w:val="en-GB"/>
        </w:rPr>
        <w:t>References :</w:t>
      </w:r>
      <w:r>
        <w:rPr>
          <w:rFonts w:hint="default" w:ascii="Times New Roman" w:hAnsi="Times New Roman"/>
          <w:b/>
          <w:bCs/>
          <w:sz w:val="24"/>
          <w:szCs w:val="24"/>
          <w:u w:val="none"/>
          <w:lang w:val="en-GB"/>
        </w:rPr>
        <w:t xml:space="preserve"> </w:t>
      </w:r>
    </w:p>
    <w:p w14:paraId="23FAC870">
      <w:pPr>
        <w:numPr>
          <w:ilvl w:val="0"/>
          <w:numId w:val="0"/>
        </w:numPr>
        <w:rPr>
          <w:rFonts w:hint="default" w:ascii="Times New Roman" w:hAnsi="Times New Roman"/>
          <w:b w:val="0"/>
          <w:bCs w:val="0"/>
          <w:sz w:val="24"/>
          <w:szCs w:val="24"/>
          <w:u w:val="none"/>
          <w:lang w:val="en-GB"/>
        </w:rPr>
      </w:pPr>
    </w:p>
    <w:p w14:paraId="5A49084B">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De Marzo  PM   &amp;   Berk,  JB   Corporate  Finance.  Pearson  Education.</w:t>
      </w:r>
    </w:p>
    <w:p w14:paraId="5FC1BFA7">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Martin,  J,  Keown,  A.   &amp;  Petty,  W.  Foundation  of  Finance,  London  8</w:t>
      </w:r>
      <w:r>
        <w:rPr>
          <w:rFonts w:hint="default" w:ascii="Times New Roman" w:hAnsi="Times New Roman"/>
          <w:b w:val="0"/>
          <w:bCs w:val="0"/>
          <w:sz w:val="24"/>
          <w:szCs w:val="24"/>
          <w:u w:val="none"/>
          <w:vertAlign w:val="superscript"/>
          <w:lang w:val="en-GB"/>
        </w:rPr>
        <w:t>th</w:t>
      </w:r>
      <w:r>
        <w:rPr>
          <w:rFonts w:hint="default" w:ascii="Times New Roman" w:hAnsi="Times New Roman"/>
          <w:b w:val="0"/>
          <w:bCs w:val="0"/>
          <w:sz w:val="24"/>
          <w:szCs w:val="24"/>
          <w:u w:val="none"/>
          <w:lang w:val="en-GB"/>
        </w:rPr>
        <w:t xml:space="preserve">  Edition.   </w:t>
      </w:r>
      <w:r>
        <w:rPr>
          <w:rFonts w:hint="default" w:ascii="Times New Roman" w:hAnsi="Times New Roman"/>
          <w:b w:val="0"/>
          <w:bCs w:val="0"/>
          <w:sz w:val="24"/>
          <w:szCs w:val="24"/>
          <w:u w:val="none"/>
          <w:lang w:val="en-GB"/>
        </w:rPr>
        <w:fldChar w:fldCharType="begin"/>
      </w:r>
      <w:r>
        <w:rPr>
          <w:rFonts w:hint="default" w:ascii="Times New Roman" w:hAnsi="Times New Roman"/>
          <w:b w:val="0"/>
          <w:bCs w:val="0"/>
          <w:sz w:val="24"/>
          <w:szCs w:val="24"/>
          <w:u w:val="none"/>
          <w:lang w:val="en-GB"/>
        </w:rPr>
        <w:instrText xml:space="preserve"> HYPERLINK "http://www.bp.com/en/global/corporate/investment." </w:instrText>
      </w:r>
      <w:r>
        <w:rPr>
          <w:rFonts w:hint="default" w:ascii="Times New Roman" w:hAnsi="Times New Roman"/>
          <w:b w:val="0"/>
          <w:bCs w:val="0"/>
          <w:sz w:val="24"/>
          <w:szCs w:val="24"/>
          <w:u w:val="none"/>
          <w:lang w:val="en-GB"/>
        </w:rPr>
        <w:fldChar w:fldCharType="separate"/>
      </w:r>
      <w:r>
        <w:rPr>
          <w:rStyle w:val="4"/>
          <w:rFonts w:hint="default" w:ascii="Times New Roman" w:hAnsi="Times New Roman"/>
          <w:b w:val="0"/>
          <w:bCs w:val="0"/>
          <w:sz w:val="24"/>
          <w:szCs w:val="24"/>
          <w:lang w:val="en-GB"/>
        </w:rPr>
        <w:t>www.bp.com/en/global/corporate/investment.</w:t>
      </w:r>
      <w:r>
        <w:rPr>
          <w:rFonts w:hint="default" w:ascii="Times New Roman" w:hAnsi="Times New Roman"/>
          <w:b w:val="0"/>
          <w:bCs w:val="0"/>
          <w:sz w:val="24"/>
          <w:szCs w:val="24"/>
          <w:u w:val="none"/>
          <w:lang w:val="en-GB"/>
        </w:rPr>
        <w:fldChar w:fldCharType="end"/>
      </w:r>
      <w:r>
        <w:rPr>
          <w:rFonts w:hint="default" w:ascii="Times New Roman" w:hAnsi="Times New Roman"/>
          <w:b w:val="0"/>
          <w:bCs w:val="0"/>
          <w:sz w:val="24"/>
          <w:szCs w:val="24"/>
          <w:u w:val="none"/>
          <w:lang w:val="en-GB"/>
        </w:rPr>
        <w:t xml:space="preserve">   google.com/British Petroleum Logo   Department for Energy Security &amp; Net zero   (British Petroleum, the companies official website)   </w:t>
      </w:r>
      <w:r>
        <w:rPr>
          <w:rFonts w:hint="default" w:ascii="Times New Roman" w:hAnsi="Times New Roman"/>
          <w:b w:val="0"/>
          <w:bCs w:val="0"/>
          <w:sz w:val="24"/>
          <w:szCs w:val="24"/>
          <w:u w:val="none"/>
          <w:lang w:val="en-GB"/>
        </w:rPr>
        <w:fldChar w:fldCharType="begin"/>
      </w:r>
      <w:r>
        <w:rPr>
          <w:rFonts w:hint="default" w:ascii="Times New Roman" w:hAnsi="Times New Roman"/>
          <w:b w:val="0"/>
          <w:bCs w:val="0"/>
          <w:sz w:val="24"/>
          <w:szCs w:val="24"/>
          <w:u w:val="none"/>
          <w:lang w:val="en-GB"/>
        </w:rPr>
        <w:instrText xml:space="preserve"> HYPERLINK "http://www.bp.com" </w:instrText>
      </w:r>
      <w:r>
        <w:rPr>
          <w:rFonts w:hint="default" w:ascii="Times New Roman" w:hAnsi="Times New Roman"/>
          <w:b w:val="0"/>
          <w:bCs w:val="0"/>
          <w:sz w:val="24"/>
          <w:szCs w:val="24"/>
          <w:u w:val="none"/>
          <w:lang w:val="en-GB"/>
        </w:rPr>
        <w:fldChar w:fldCharType="separate"/>
      </w:r>
      <w:r>
        <w:rPr>
          <w:rStyle w:val="4"/>
          <w:rFonts w:hint="default" w:ascii="Times New Roman" w:hAnsi="Times New Roman"/>
          <w:b w:val="0"/>
          <w:bCs w:val="0"/>
          <w:sz w:val="24"/>
          <w:szCs w:val="24"/>
          <w:lang w:val="en-GB"/>
        </w:rPr>
        <w:t>www.bp.com</w:t>
      </w:r>
      <w:r>
        <w:rPr>
          <w:rFonts w:hint="default" w:ascii="Times New Roman" w:hAnsi="Times New Roman"/>
          <w:b w:val="0"/>
          <w:bCs w:val="0"/>
          <w:sz w:val="24"/>
          <w:szCs w:val="24"/>
          <w:u w:val="none"/>
          <w:lang w:val="en-GB"/>
        </w:rPr>
        <w:fldChar w:fldCharType="end"/>
      </w:r>
      <w:r>
        <w:rPr>
          <w:rFonts w:hint="default" w:ascii="Times New Roman" w:hAnsi="Times New Roman"/>
          <w:b w:val="0"/>
          <w:bCs w:val="0"/>
          <w:sz w:val="24"/>
          <w:szCs w:val="24"/>
          <w:u w:val="none"/>
          <w:lang w:val="en-GB"/>
        </w:rPr>
        <w:t xml:space="preserve">   Statistical Review of Worlds Energy 2022   (www.bp.comNews and insights press releases)   (analysis-of-financial-stabilities-and-profitability-BP-2014 - 2020)   </w:t>
      </w:r>
      <w:r>
        <w:rPr>
          <w:rFonts w:hint="default" w:ascii="Times New Roman" w:hAnsi="Times New Roman"/>
          <w:b w:val="0"/>
          <w:bCs w:val="0"/>
          <w:sz w:val="24"/>
          <w:szCs w:val="24"/>
          <w:u w:val="none"/>
          <w:lang w:val="en-GB"/>
        </w:rPr>
        <w:fldChar w:fldCharType="begin"/>
      </w:r>
      <w:r>
        <w:rPr>
          <w:rFonts w:hint="default" w:ascii="Times New Roman" w:hAnsi="Times New Roman"/>
          <w:b w:val="0"/>
          <w:bCs w:val="0"/>
          <w:sz w:val="24"/>
          <w:szCs w:val="24"/>
          <w:u w:val="none"/>
          <w:lang w:val="en-GB"/>
        </w:rPr>
        <w:instrText xml:space="preserve"> HYPERLINK "http://www.ukessays.com" </w:instrText>
      </w:r>
      <w:r>
        <w:rPr>
          <w:rFonts w:hint="default" w:ascii="Times New Roman" w:hAnsi="Times New Roman"/>
          <w:b w:val="0"/>
          <w:bCs w:val="0"/>
          <w:sz w:val="24"/>
          <w:szCs w:val="24"/>
          <w:u w:val="none"/>
          <w:lang w:val="en-GB"/>
        </w:rPr>
        <w:fldChar w:fldCharType="separate"/>
      </w:r>
      <w:r>
        <w:rPr>
          <w:rStyle w:val="4"/>
          <w:rFonts w:hint="default" w:ascii="Times New Roman" w:hAnsi="Times New Roman"/>
          <w:b w:val="0"/>
          <w:bCs w:val="0"/>
          <w:sz w:val="24"/>
          <w:szCs w:val="24"/>
          <w:lang w:val="en-GB"/>
        </w:rPr>
        <w:t>www.ukessays.com</w:t>
      </w:r>
      <w:r>
        <w:rPr>
          <w:rFonts w:hint="default" w:ascii="Times New Roman" w:hAnsi="Times New Roman"/>
          <w:b w:val="0"/>
          <w:bCs w:val="0"/>
          <w:sz w:val="24"/>
          <w:szCs w:val="24"/>
          <w:u w:val="none"/>
          <w:lang w:val="en-GB"/>
        </w:rPr>
        <w:fldChar w:fldCharType="end"/>
      </w:r>
      <w:r>
        <w:rPr>
          <w:rFonts w:hint="default" w:ascii="Times New Roman" w:hAnsi="Times New Roman"/>
          <w:b w:val="0"/>
          <w:bCs w:val="0"/>
          <w:sz w:val="24"/>
          <w:szCs w:val="24"/>
          <w:u w:val="none"/>
          <w:lang w:val="en-GB"/>
        </w:rPr>
        <w:t xml:space="preserve">   </w:t>
      </w:r>
      <w:r>
        <w:rPr>
          <w:rFonts w:hint="default" w:ascii="Times New Roman" w:hAnsi="Times New Roman"/>
          <w:b w:val="0"/>
          <w:bCs w:val="0"/>
          <w:sz w:val="24"/>
          <w:szCs w:val="24"/>
          <w:u w:val="none"/>
          <w:lang w:val="en-GB"/>
        </w:rPr>
        <w:fldChar w:fldCharType="begin"/>
      </w:r>
      <w:r>
        <w:rPr>
          <w:rFonts w:hint="default" w:ascii="Times New Roman" w:hAnsi="Times New Roman"/>
          <w:b w:val="0"/>
          <w:bCs w:val="0"/>
          <w:sz w:val="24"/>
          <w:szCs w:val="24"/>
          <w:u w:val="none"/>
          <w:lang w:val="en-GB"/>
        </w:rPr>
        <w:instrText xml:space="preserve"> HYPERLINK "http://www.statista.com" </w:instrText>
      </w:r>
      <w:r>
        <w:rPr>
          <w:rFonts w:hint="default" w:ascii="Times New Roman" w:hAnsi="Times New Roman"/>
          <w:b w:val="0"/>
          <w:bCs w:val="0"/>
          <w:sz w:val="24"/>
          <w:szCs w:val="24"/>
          <w:u w:val="none"/>
          <w:lang w:val="en-GB"/>
        </w:rPr>
        <w:fldChar w:fldCharType="separate"/>
      </w:r>
      <w:r>
        <w:rPr>
          <w:rStyle w:val="4"/>
          <w:rFonts w:hint="default" w:ascii="Times New Roman" w:hAnsi="Times New Roman"/>
          <w:b w:val="0"/>
          <w:bCs w:val="0"/>
          <w:sz w:val="24"/>
          <w:szCs w:val="24"/>
          <w:lang w:val="en-GB"/>
        </w:rPr>
        <w:t>www.statista.com</w:t>
      </w:r>
      <w:r>
        <w:rPr>
          <w:rFonts w:hint="default" w:ascii="Times New Roman" w:hAnsi="Times New Roman"/>
          <w:b w:val="0"/>
          <w:bCs w:val="0"/>
          <w:sz w:val="24"/>
          <w:szCs w:val="24"/>
          <w:u w:val="none"/>
          <w:lang w:val="en-GB"/>
        </w:rPr>
        <w:fldChar w:fldCharType="end"/>
      </w:r>
      <w:r>
        <w:rPr>
          <w:rFonts w:hint="default" w:ascii="Times New Roman" w:hAnsi="Times New Roman"/>
          <w:b w:val="0"/>
          <w:bCs w:val="0"/>
          <w:sz w:val="24"/>
          <w:szCs w:val="24"/>
          <w:u w:val="none"/>
          <w:lang w:val="en-GB"/>
        </w:rPr>
        <w:t xml:space="preserve">   Statista - (Statistics, Forecasts  &amp;  surveys.  5 year  market forecasts  its  experts  offer).</w:t>
      </w:r>
      <w:bookmarkStart w:id="0" w:name="_GoBack"/>
      <w:bookmarkEnd w:id="0"/>
    </w:p>
    <w:p w14:paraId="5B7D5D25">
      <w:pPr>
        <w:numPr>
          <w:ilvl w:val="0"/>
          <w:numId w:val="0"/>
        </w:numPr>
        <w:rPr>
          <w:rFonts w:hint="default" w:ascii="Times New Roman" w:hAnsi="Times New Roman"/>
          <w:b/>
          <w:bCs/>
          <w:sz w:val="24"/>
          <w:szCs w:val="24"/>
          <w:u w:val="single"/>
          <w:lang w:val="en-GB"/>
        </w:rPr>
      </w:pPr>
    </w:p>
    <w:p w14:paraId="0B1AC3BD">
      <w:pPr>
        <w:numPr>
          <w:ilvl w:val="0"/>
          <w:numId w:val="0"/>
        </w:numPr>
        <w:rPr>
          <w:rFonts w:hint="default" w:ascii="Times New Roman" w:hAnsi="Times New Roman"/>
          <w:b/>
          <w:bCs/>
          <w:sz w:val="24"/>
          <w:szCs w:val="24"/>
          <w:u w:val="single"/>
          <w:lang w:val="en-GB"/>
        </w:rPr>
      </w:pPr>
    </w:p>
    <w:p w14:paraId="47C582DC">
      <w:pPr>
        <w:numPr>
          <w:ilvl w:val="0"/>
          <w:numId w:val="0"/>
        </w:numPr>
        <w:rPr>
          <w:rFonts w:hint="default" w:ascii="Times New Roman" w:hAnsi="Times New Roman"/>
          <w:b w:val="0"/>
          <w:bCs w:val="0"/>
          <w:sz w:val="24"/>
          <w:szCs w:val="24"/>
          <w:u w:val="none"/>
          <w:lang w:val="en-GB"/>
        </w:rPr>
      </w:pPr>
    </w:p>
    <w:p w14:paraId="7EADB70B">
      <w:pPr>
        <w:numPr>
          <w:ilvl w:val="0"/>
          <w:numId w:val="0"/>
        </w:numPr>
        <w:rPr>
          <w:rFonts w:hint="default" w:ascii="Times New Roman" w:hAnsi="Times New Roman"/>
          <w:b w:val="0"/>
          <w:bCs w:val="0"/>
          <w:sz w:val="24"/>
          <w:szCs w:val="24"/>
          <w:u w:val="single"/>
          <w:lang w:val="en-GB"/>
        </w:rPr>
      </w:pPr>
    </w:p>
    <w:p w14:paraId="6827AFBE">
      <w:pPr>
        <w:numPr>
          <w:ilvl w:val="0"/>
          <w:numId w:val="0"/>
        </w:numPr>
        <w:rPr>
          <w:rFonts w:hint="default" w:ascii="Times New Roman" w:hAnsi="Times New Roman"/>
          <w:b w:val="0"/>
          <w:bCs w:val="0"/>
          <w:sz w:val="24"/>
          <w:szCs w:val="24"/>
          <w:u w:val="single"/>
          <w:lang w:val="en-GB"/>
        </w:rPr>
      </w:pPr>
    </w:p>
    <w:p w14:paraId="4E136C78">
      <w:pPr>
        <w:numPr>
          <w:ilvl w:val="0"/>
          <w:numId w:val="0"/>
        </w:numPr>
        <w:rPr>
          <w:rFonts w:hint="default" w:ascii="Times New Roman" w:hAnsi="Times New Roman"/>
          <w:b w:val="0"/>
          <w:bCs w:val="0"/>
          <w:sz w:val="24"/>
          <w:szCs w:val="24"/>
          <w:u w:val="none"/>
          <w:lang w:val="en-GB"/>
        </w:rPr>
      </w:pPr>
    </w:p>
    <w:p w14:paraId="505AC905">
      <w:pPr>
        <w:numPr>
          <w:ilvl w:val="0"/>
          <w:numId w:val="0"/>
        </w:numPr>
        <w:rPr>
          <w:rFonts w:hint="default" w:ascii="Times New Roman" w:hAnsi="Times New Roman"/>
          <w:b w:val="0"/>
          <w:bCs w:val="0"/>
          <w:sz w:val="24"/>
          <w:szCs w:val="24"/>
          <w:u w:val="none"/>
          <w:lang w:val="en-GB"/>
        </w:rPr>
      </w:pPr>
    </w:p>
    <w:p w14:paraId="36850F4A">
      <w:pPr>
        <w:numPr>
          <w:ilvl w:val="0"/>
          <w:numId w:val="0"/>
        </w:numPr>
        <w:rPr>
          <w:rFonts w:hint="default" w:ascii="Times New Roman" w:hAnsi="Times New Roman"/>
          <w:b w:val="0"/>
          <w:bCs w:val="0"/>
          <w:sz w:val="24"/>
          <w:szCs w:val="24"/>
          <w:u w:val="none"/>
          <w:lang w:val="en-GB"/>
        </w:rPr>
      </w:pPr>
    </w:p>
    <w:p w14:paraId="3381554C">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63193574">
      <w:pPr>
        <w:numPr>
          <w:ilvl w:val="0"/>
          <w:numId w:val="0"/>
        </w:numPr>
        <w:rPr>
          <w:rFonts w:hint="default" w:ascii="Times New Roman" w:hAnsi="Times New Roman"/>
          <w:b w:val="0"/>
          <w:bCs w:val="0"/>
          <w:sz w:val="24"/>
          <w:szCs w:val="24"/>
          <w:u w:val="none"/>
          <w:lang w:val="en-GB"/>
        </w:rPr>
      </w:pPr>
    </w:p>
    <w:p w14:paraId="694CF113">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0AA2CD26">
      <w:pPr>
        <w:numPr>
          <w:ilvl w:val="0"/>
          <w:numId w:val="0"/>
        </w:numPr>
        <w:rPr>
          <w:rFonts w:hint="default" w:ascii="Times New Roman" w:hAnsi="Times New Roman"/>
          <w:b w:val="0"/>
          <w:bCs w:val="0"/>
          <w:sz w:val="24"/>
          <w:szCs w:val="24"/>
          <w:u w:val="none"/>
          <w:lang w:val="en-GB"/>
        </w:rPr>
      </w:pPr>
    </w:p>
    <w:p w14:paraId="287A2F04">
      <w:pPr>
        <w:numPr>
          <w:ilvl w:val="0"/>
          <w:numId w:val="0"/>
        </w:numPr>
        <w:rPr>
          <w:rFonts w:hint="default" w:ascii="Times New Roman" w:hAnsi="Times New Roman"/>
          <w:b w:val="0"/>
          <w:bCs w:val="0"/>
          <w:sz w:val="24"/>
          <w:szCs w:val="24"/>
          <w:u w:val="none"/>
          <w:lang w:val="en-GB"/>
        </w:rPr>
      </w:pPr>
      <w:r>
        <w:rPr>
          <w:rFonts w:hint="default" w:ascii="Times New Roman" w:hAnsi="Times New Roman"/>
          <w:b w:val="0"/>
          <w:bCs w:val="0"/>
          <w:sz w:val="24"/>
          <w:szCs w:val="24"/>
          <w:u w:val="none"/>
          <w:lang w:val="en-GB"/>
        </w:rPr>
        <w:t xml:space="preserve">                                                         </w:t>
      </w:r>
    </w:p>
    <w:p w14:paraId="1E6E4C52">
      <w:pPr>
        <w:numPr>
          <w:ilvl w:val="0"/>
          <w:numId w:val="0"/>
        </w:numPr>
        <w:rPr>
          <w:rFonts w:hint="default" w:ascii="Times New Roman" w:hAnsi="Times New Roman"/>
          <w:b w:val="0"/>
          <w:bCs w:val="0"/>
          <w:sz w:val="24"/>
          <w:szCs w:val="24"/>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C920A9"/>
    <w:multiLevelType w:val="singleLevel"/>
    <w:tmpl w:val="C2C920A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C7FEA0C7"/>
    <w:multiLevelType w:val="singleLevel"/>
    <w:tmpl w:val="C7FEA0C7"/>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A207F1"/>
    <w:rsid w:val="00351B66"/>
    <w:rsid w:val="007E5C3E"/>
    <w:rsid w:val="011533D3"/>
    <w:rsid w:val="01584136"/>
    <w:rsid w:val="02B5507D"/>
    <w:rsid w:val="03672922"/>
    <w:rsid w:val="06B3208A"/>
    <w:rsid w:val="076631B2"/>
    <w:rsid w:val="08832305"/>
    <w:rsid w:val="0ADC3EC8"/>
    <w:rsid w:val="0B4B5097"/>
    <w:rsid w:val="0B5965AB"/>
    <w:rsid w:val="0BB90131"/>
    <w:rsid w:val="0C6322E0"/>
    <w:rsid w:val="0C747FFC"/>
    <w:rsid w:val="0CB71D6A"/>
    <w:rsid w:val="0DC23522"/>
    <w:rsid w:val="0E157728"/>
    <w:rsid w:val="0EA8251A"/>
    <w:rsid w:val="0F0D7CC0"/>
    <w:rsid w:val="0F7F0EF9"/>
    <w:rsid w:val="10790217"/>
    <w:rsid w:val="107E0E1C"/>
    <w:rsid w:val="10C02B8A"/>
    <w:rsid w:val="10E31E45"/>
    <w:rsid w:val="11782338"/>
    <w:rsid w:val="11BD1947"/>
    <w:rsid w:val="12C82F5F"/>
    <w:rsid w:val="1381490C"/>
    <w:rsid w:val="13F526CC"/>
    <w:rsid w:val="140C22F2"/>
    <w:rsid w:val="145A45EF"/>
    <w:rsid w:val="14D55E3E"/>
    <w:rsid w:val="150C1E94"/>
    <w:rsid w:val="154645F8"/>
    <w:rsid w:val="15DE21ED"/>
    <w:rsid w:val="174F244F"/>
    <w:rsid w:val="18150F13"/>
    <w:rsid w:val="191355B2"/>
    <w:rsid w:val="19722CED"/>
    <w:rsid w:val="1D155742"/>
    <w:rsid w:val="1D430810"/>
    <w:rsid w:val="1DA575B0"/>
    <w:rsid w:val="1E445E34"/>
    <w:rsid w:val="1F9F066F"/>
    <w:rsid w:val="20AF721B"/>
    <w:rsid w:val="21690F5F"/>
    <w:rsid w:val="22A06A5E"/>
    <w:rsid w:val="22D075AD"/>
    <w:rsid w:val="232F75C6"/>
    <w:rsid w:val="23A207F1"/>
    <w:rsid w:val="24CA4DE9"/>
    <w:rsid w:val="250329C5"/>
    <w:rsid w:val="2524677D"/>
    <w:rsid w:val="258864A1"/>
    <w:rsid w:val="277A0E4F"/>
    <w:rsid w:val="27EA020A"/>
    <w:rsid w:val="28256D6A"/>
    <w:rsid w:val="289A6D28"/>
    <w:rsid w:val="294471C1"/>
    <w:rsid w:val="299824CF"/>
    <w:rsid w:val="29C56816"/>
    <w:rsid w:val="2B085BA8"/>
    <w:rsid w:val="2B971F94"/>
    <w:rsid w:val="2BA128A4"/>
    <w:rsid w:val="2CAE175C"/>
    <w:rsid w:val="2D414D78"/>
    <w:rsid w:val="2D5B72F6"/>
    <w:rsid w:val="2D9716DA"/>
    <w:rsid w:val="2DC647A7"/>
    <w:rsid w:val="301D237D"/>
    <w:rsid w:val="303343DE"/>
    <w:rsid w:val="3165238A"/>
    <w:rsid w:val="31A237FE"/>
    <w:rsid w:val="325B51AB"/>
    <w:rsid w:val="33BD4DF2"/>
    <w:rsid w:val="34B9050D"/>
    <w:rsid w:val="368B295D"/>
    <w:rsid w:val="36C02E61"/>
    <w:rsid w:val="36DE2411"/>
    <w:rsid w:val="3733539E"/>
    <w:rsid w:val="37C7238E"/>
    <w:rsid w:val="38096487"/>
    <w:rsid w:val="38BE4EA5"/>
    <w:rsid w:val="39573D9E"/>
    <w:rsid w:val="3A584C46"/>
    <w:rsid w:val="3C9B197D"/>
    <w:rsid w:val="3D677DCC"/>
    <w:rsid w:val="3E1D4077"/>
    <w:rsid w:val="3E6F05FE"/>
    <w:rsid w:val="3F08773D"/>
    <w:rsid w:val="402569CB"/>
    <w:rsid w:val="41803404"/>
    <w:rsid w:val="41815416"/>
    <w:rsid w:val="41896292"/>
    <w:rsid w:val="418C2A9A"/>
    <w:rsid w:val="433D6BDD"/>
    <w:rsid w:val="448004EE"/>
    <w:rsid w:val="44ED30A1"/>
    <w:rsid w:val="48310C7F"/>
    <w:rsid w:val="4869465C"/>
    <w:rsid w:val="498C34BA"/>
    <w:rsid w:val="4A2C64BB"/>
    <w:rsid w:val="4A545481"/>
    <w:rsid w:val="4AF30483"/>
    <w:rsid w:val="4CDC3826"/>
    <w:rsid w:val="4EF84E1A"/>
    <w:rsid w:val="4FBB03DB"/>
    <w:rsid w:val="50093D5E"/>
    <w:rsid w:val="50234908"/>
    <w:rsid w:val="50EC1951"/>
    <w:rsid w:val="51203526"/>
    <w:rsid w:val="518B6458"/>
    <w:rsid w:val="51933865"/>
    <w:rsid w:val="519E3DF4"/>
    <w:rsid w:val="52165C7B"/>
    <w:rsid w:val="52EF5D1F"/>
    <w:rsid w:val="538B5B9E"/>
    <w:rsid w:val="56AE57C6"/>
    <w:rsid w:val="570F6AE4"/>
    <w:rsid w:val="576616F1"/>
    <w:rsid w:val="5936196D"/>
    <w:rsid w:val="5BB93C0A"/>
    <w:rsid w:val="5BCC4E29"/>
    <w:rsid w:val="5BFC7B76"/>
    <w:rsid w:val="5C796945"/>
    <w:rsid w:val="5C9F2C03"/>
    <w:rsid w:val="5CA67C9A"/>
    <w:rsid w:val="5CC340BC"/>
    <w:rsid w:val="5F3673C4"/>
    <w:rsid w:val="61967E27"/>
    <w:rsid w:val="627B391D"/>
    <w:rsid w:val="62C17277"/>
    <w:rsid w:val="632D11C2"/>
    <w:rsid w:val="637109B2"/>
    <w:rsid w:val="646002BB"/>
    <w:rsid w:val="66A84CFD"/>
    <w:rsid w:val="66AC3703"/>
    <w:rsid w:val="66B4528C"/>
    <w:rsid w:val="680571B7"/>
    <w:rsid w:val="6A3B0341"/>
    <w:rsid w:val="6A3C4858"/>
    <w:rsid w:val="6A833944"/>
    <w:rsid w:val="6B177A3F"/>
    <w:rsid w:val="6B822971"/>
    <w:rsid w:val="6BFD22BB"/>
    <w:rsid w:val="6C213774"/>
    <w:rsid w:val="6D3909BE"/>
    <w:rsid w:val="6EC12DC3"/>
    <w:rsid w:val="6F5D0AEB"/>
    <w:rsid w:val="6FF7503E"/>
    <w:rsid w:val="703603A6"/>
    <w:rsid w:val="71EA6AF3"/>
    <w:rsid w:val="71EC41F4"/>
    <w:rsid w:val="71F9130C"/>
    <w:rsid w:val="72427182"/>
    <w:rsid w:val="72FE0BBA"/>
    <w:rsid w:val="742D7FA7"/>
    <w:rsid w:val="75EC2506"/>
    <w:rsid w:val="76FD3648"/>
    <w:rsid w:val="77DB63A7"/>
    <w:rsid w:val="77DC5234"/>
    <w:rsid w:val="78387B4C"/>
    <w:rsid w:val="796D68C4"/>
    <w:rsid w:val="7A70095A"/>
    <w:rsid w:val="7CD36BD6"/>
    <w:rsid w:val="7E522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table" w:styleId="5">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1156</TotalTime>
  <ScaleCrop>false</ScaleCrop>
  <LinksUpToDate>false</LinksUpToDate>
  <CharactersWithSpaces>0</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2024-07-11T20:36:00Z</dcterms:created>
  <dc:creator>User</dc:creator>
  <cp:lastModifiedBy>Amara.Stephens</cp:lastModifiedBy>
  <dcterms:modified xsi:type="dcterms:W3CDTF">2024-08-13T00:29:16Z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F00FB9B9CD044F7BBE89C8570164F8FE_11</vt:lpwstr>
  </property>
</Properties>
</file>