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095166" wp14:paraId="4C6B0204" wp14:textId="06D65FFA">
      <w:pPr>
        <w:rPr>
          <w:rFonts w:ascii="Calibri Light" w:hAnsi="Calibri Light" w:eastAsia="Calibri Light" w:cs="Calibri Light" w:asciiTheme="majorAscii" w:hAnsiTheme="majorAscii" w:eastAsiaTheme="majorAscii" w:cstheme="majorAscii"/>
          <w:b w:val="1"/>
          <w:bCs w:val="1"/>
          <w:i w:val="1"/>
          <w:iCs w:val="1"/>
        </w:rPr>
      </w:pPr>
      <w:r w:rsidRPr="62095166" w:rsidR="6ED6CB6D">
        <w:rPr>
          <w:rFonts w:ascii="Calibri Light" w:hAnsi="Calibri Light" w:eastAsia="Calibri Light" w:cs="Calibri Light" w:asciiTheme="majorAscii" w:hAnsiTheme="majorAscii" w:eastAsiaTheme="majorAscii" w:cstheme="majorAscii"/>
          <w:b w:val="1"/>
          <w:bCs w:val="1"/>
          <w:i w:val="1"/>
          <w:iCs w:val="1"/>
        </w:rPr>
        <w:t>Ridwaan Ahmed</w:t>
      </w:r>
    </w:p>
    <w:p xmlns:wp14="http://schemas.microsoft.com/office/word/2010/wordml" w:rsidP="62095166" wp14:paraId="272DE35C" wp14:textId="20EA3746">
      <w:pPr>
        <w:pStyle w:val="Heading1"/>
        <w:rPr>
          <w:rFonts w:ascii="system-ui" w:hAnsi="system-ui" w:eastAsia="system-ui" w:cs="system-ui"/>
          <w:b w:val="1"/>
          <w:bCs w:val="1"/>
          <w:i w:val="0"/>
          <w:iCs w:val="0"/>
          <w:caps w:val="0"/>
          <w:smallCaps w:val="0"/>
          <w:noProof w:val="0"/>
          <w:color w:val="1D2125"/>
          <w:sz w:val="22"/>
          <w:szCs w:val="22"/>
          <w:lang w:val="en-US"/>
        </w:rPr>
      </w:pPr>
      <w:r w:rsidRPr="62095166" w:rsidR="6ED6CB6D">
        <w:rPr>
          <w:rFonts w:ascii="system-ui" w:hAnsi="system-ui" w:eastAsia="system-ui" w:cs="system-ui"/>
          <w:b w:val="1"/>
          <w:bCs w:val="1"/>
          <w:i w:val="0"/>
          <w:iCs w:val="0"/>
          <w:caps w:val="0"/>
          <w:smallCaps w:val="0"/>
          <w:noProof w:val="0"/>
          <w:color w:val="1D2125"/>
          <w:sz w:val="22"/>
          <w:szCs w:val="22"/>
          <w:lang w:val="en-US"/>
        </w:rPr>
        <w:t>The Professional Practitioner</w:t>
      </w:r>
    </w:p>
    <w:p xmlns:wp14="http://schemas.microsoft.com/office/word/2010/wordml" w:rsidP="62095166" wp14:paraId="701F2159" wp14:textId="10918F2C">
      <w:pPr>
        <w:pStyle w:val="Normal"/>
        <w:rPr>
          <w:rFonts w:ascii="system-ui" w:hAnsi="system-ui" w:eastAsia="system-ui" w:cs="system-ui"/>
          <w:b w:val="1"/>
          <w:bCs w:val="1"/>
          <w:i w:val="0"/>
          <w:iCs w:val="0"/>
          <w:caps w:val="0"/>
          <w:smallCaps w:val="0"/>
          <w:noProof w:val="0"/>
          <w:color w:val="1D2125"/>
          <w:sz w:val="22"/>
          <w:szCs w:val="22"/>
          <w:lang w:val="en-US"/>
        </w:rPr>
      </w:pPr>
      <w:r w:rsidRPr="62095166" w:rsidR="6ED6CB6D">
        <w:rPr>
          <w:rFonts w:ascii="system-ui" w:hAnsi="system-ui" w:eastAsia="system-ui" w:cs="system-ui"/>
          <w:b w:val="1"/>
          <w:bCs w:val="1"/>
          <w:i w:val="0"/>
          <w:iCs w:val="0"/>
          <w:caps w:val="0"/>
          <w:smallCaps w:val="0"/>
          <w:noProof w:val="0"/>
          <w:color w:val="1D2125"/>
          <w:sz w:val="22"/>
          <w:szCs w:val="22"/>
          <w:lang w:val="en-US"/>
        </w:rPr>
        <w:t>(ECEY4009/C)</w:t>
      </w:r>
    </w:p>
    <w:p xmlns:wp14="http://schemas.microsoft.com/office/word/2010/wordml" w:rsidP="62095166" wp14:paraId="1D2FC97F" wp14:textId="686D0466">
      <w:pPr>
        <w:pStyle w:val="Normal"/>
        <w:rPr>
          <w:rFonts w:ascii="Calibri Light" w:hAnsi="Calibri Light" w:eastAsia="Calibri Light" w:cs="Calibri Light" w:asciiTheme="majorAscii" w:hAnsiTheme="majorAscii" w:eastAsiaTheme="majorAscii" w:cstheme="majorAscii"/>
          <w:b w:val="1"/>
          <w:bCs w:val="1"/>
          <w:i w:val="1"/>
          <w:iCs w:val="1"/>
        </w:rPr>
      </w:pPr>
    </w:p>
    <w:p xmlns:wp14="http://schemas.microsoft.com/office/word/2010/wordml" w:rsidP="62095166" wp14:paraId="2C078E63" wp14:textId="6B3E6E87">
      <w:pPr>
        <w:pStyle w:val="Normal"/>
        <w:rPr>
          <w:rFonts w:ascii="Calibri Light" w:hAnsi="Calibri Light" w:eastAsia="Calibri Light" w:cs="Calibri Light" w:asciiTheme="majorAscii" w:hAnsiTheme="majorAscii" w:eastAsiaTheme="majorAscii" w:cstheme="majorAscii"/>
          <w:b w:val="1"/>
          <w:bCs w:val="1"/>
          <w:i w:val="1"/>
          <w:iCs w:val="1"/>
        </w:rPr>
      </w:pPr>
      <w:r w:rsidRPr="62095166" w:rsidR="01F28FB2">
        <w:rPr>
          <w:rFonts w:ascii="Calibri Light" w:hAnsi="Calibri Light" w:eastAsia="Calibri Light" w:cs="Calibri Light" w:asciiTheme="majorAscii" w:hAnsiTheme="majorAscii" w:eastAsiaTheme="majorAscii" w:cstheme="majorAscii"/>
          <w:b w:val="1"/>
          <w:bCs w:val="1"/>
          <w:i w:val="1"/>
          <w:iCs w:val="1"/>
        </w:rPr>
        <w:t xml:space="preserve">Personal development plan </w:t>
      </w:r>
    </w:p>
    <w:p w:rsidR="01F28FB2" w:rsidP="3D8202BA" w:rsidRDefault="01F28FB2" w14:paraId="10DAF11E" w14:textId="37D74194">
      <w:pPr>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A personal development plan (PDP) is a valuable tool for anyone aiming to enhance their personal and professional skills as a professional practitioner. This plan outlines my aspirations and goals for self-improvement, both personally and professionally, over the next year.</w:t>
      </w:r>
    </w:p>
    <w:p w:rsidR="01F28FB2" w:rsidP="3D8202BA" w:rsidRDefault="01F28FB2" w14:paraId="71A2D7D5" w14:textId="6A60D01B">
      <w:pPr>
        <w:jc w:val="both"/>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Personal Aims:</w:t>
      </w:r>
    </w:p>
    <w:p w:rsidR="01F28FB2" w:rsidP="3D8202BA" w:rsidRDefault="01F28FB2" w14:paraId="2A220279" w14:textId="0FA11DEC">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Enhance Work-Life Balance:</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Balancing my personal and professional life is essential for overall well-being. To achieve this, I will prioritize self-care, such as dedicating time for exercise, relaxation, and spending quality moments with family and friends.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I'll</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also set boundaries to prevent work from encroaching on my personal time.</w:t>
      </w:r>
    </w:p>
    <w:p w:rsidR="01F28FB2" w:rsidP="3D8202BA" w:rsidRDefault="01F28FB2" w14:paraId="3FDB8C27" w14:textId="2944D943">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Strengthen Communication Skills:</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Effective communication is a key personal skill. I aim to improve my ability to express ideas clearly, actively listen, and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provide</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constructive feedback. This will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benefit</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my relationships both inside and outside the workplace.</w:t>
      </w:r>
    </w:p>
    <w:p w:rsidR="01F28FB2" w:rsidP="62095166" w:rsidRDefault="01F28FB2" w14:paraId="0694DA20" w14:textId="583BE5A3">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62095166"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Cultivate Resilience:</w:t>
      </w:r>
      <w:r w:rsidRPr="62095166"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Life can be challenging, and developing resilience is crucial. </w:t>
      </w:r>
      <w:r w:rsidRPr="62095166"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I'll</w:t>
      </w:r>
      <w:r w:rsidRPr="62095166"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focus on </w:t>
      </w:r>
      <w:r w:rsidRPr="62095166"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maintaining</w:t>
      </w:r>
      <w:r w:rsidRPr="62095166"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a positive mindset, embracing </w:t>
      </w:r>
      <w:r w:rsidRPr="62095166" w:rsidR="0E713899">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setbacks such</w:t>
      </w:r>
      <w:r w:rsidRPr="62095166"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as learning opportunities, and seeking support when needed. Practicing mindfulness and meditation will be a part of my journey toward greater resilience.</w:t>
      </w:r>
    </w:p>
    <w:p w:rsidR="01F28FB2" w:rsidP="3D8202BA" w:rsidRDefault="01F28FB2" w14:paraId="47A2FAE3" w14:textId="75A26C1F">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Foster a Growth Mindset:</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I aim to embrace a growth mindset by constantly seeking opportunities to learn and grow. Whether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it's</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taking on new projects at work or pursuing further education,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I'm</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committed to expanding my knowledge and skills.</w:t>
      </w:r>
    </w:p>
    <w:p w:rsidR="01F28FB2" w:rsidP="3D8202BA" w:rsidRDefault="01F28FB2" w14:paraId="4CEF23D7" w14:textId="4B86A43E">
      <w:pPr>
        <w:jc w:val="both"/>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Professional Aims:</w:t>
      </w:r>
    </w:p>
    <w:p w:rsidR="01F28FB2" w:rsidP="3D8202BA" w:rsidRDefault="01F28FB2" w14:paraId="168E228D" w14:textId="501749CA">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Continuous Professional Development:</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As a professional practitioner, I understand the importance of staying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up-to-date</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with industry trends. I plan to attend relevant workshops, webinars, and seminars to enhance my knowledge and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expertise</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w:t>
      </w:r>
    </w:p>
    <w:p w:rsidR="01F28FB2" w:rsidP="3D8202BA" w:rsidRDefault="01F28FB2" w14:paraId="3704C73B" w14:textId="4934CD3A">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Effective Time Management:</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Managing time efficiently is a critical skill. I aim to improve my time management by setting clear goals, prioritizing tasks, and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utilizing</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tools like time-blocking to increase productivity.</w:t>
      </w:r>
    </w:p>
    <w:p w:rsidR="01F28FB2" w:rsidP="3D8202BA" w:rsidRDefault="01F28FB2" w14:paraId="426AADA0" w14:textId="6C753583">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Strengthen Networking:</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Building a professional network is essential for growth in any field. I will actively seek opportunities to connect with colleagues, mentors, and industry experts. This will help me gain insights and guidance while also creating potential collaborations.</w:t>
      </w:r>
    </w:p>
    <w:p w:rsidR="01F28FB2" w:rsidP="3D8202BA" w:rsidRDefault="01F28FB2" w14:paraId="06592894" w14:textId="2CFCD0BD">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Mentorship:</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I aspire to become a mentor to others in my field. Sharing knowledge and experiences can be mutually beneficial and is a way to give back to the professional community.</w:t>
      </w:r>
    </w:p>
    <w:p w:rsidR="01F28FB2" w:rsidP="3D8202BA" w:rsidRDefault="01F28FB2" w14:paraId="3C766285" w14:textId="17372D38">
      <w:pPr>
        <w:jc w:val="both"/>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Action Plan:</w:t>
      </w:r>
    </w:p>
    <w:p w:rsidR="01F28FB2" w:rsidP="3D8202BA" w:rsidRDefault="01F28FB2" w14:paraId="1473531D" w14:textId="031EBA53">
      <w:pPr>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To ensure that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I'm</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making tangible progress toward my personal and professional aims,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I'll</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establish</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an action plan:</w:t>
      </w:r>
    </w:p>
    <w:p w:rsidR="01F28FB2" w:rsidP="3D8202BA" w:rsidRDefault="01F28FB2" w14:paraId="4C9C3671" w14:textId="14E0CE20">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Set SMART Goals:</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I'll</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create Specific, Measurable, Achievable, Relevant, and Time-bound goals for each aim to track my progress effectively.</w:t>
      </w:r>
    </w:p>
    <w:p w:rsidR="01F28FB2" w:rsidP="3D8202BA" w:rsidRDefault="01F28FB2" w14:paraId="33D6BE71" w14:textId="68E0ACD2">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Regular Self-Reflection:</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I will reflect on my journey periodically to assess achievements and adapt my plan as needed.</w:t>
      </w:r>
    </w:p>
    <w:p w:rsidR="01F28FB2" w:rsidP="3D8202BA" w:rsidRDefault="01F28FB2" w14:paraId="49CCE2B0" w14:textId="27B829FE">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Seek Feedback:</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I'll</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actively seek feedback from mentors, colleagues, and friends to gain different perspectives on my personal and professional development.</w:t>
      </w:r>
    </w:p>
    <w:p w:rsidR="01F28FB2" w:rsidP="3D8202BA" w:rsidRDefault="01F28FB2" w14:paraId="3431AAA5" w14:textId="1EE083AF">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Stay Accountable:</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I'll</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maintain</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a journal or online platform to record my progress, challenges, and accomplishments, holding myself accountable for the goals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I've</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set.</w:t>
      </w:r>
    </w:p>
    <w:p w:rsidR="01F28FB2" w:rsidP="3D8202BA" w:rsidRDefault="01F28FB2" w14:paraId="05A46149" w14:textId="0395FC90">
      <w:pPr>
        <w:pStyle w:val="ListParagraph"/>
        <w:numPr>
          <w:ilvl w:val="0"/>
          <w:numId w:val="1"/>
        </w:num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pPr>
      <w:r w:rsidRPr="3D8202BA" w:rsidR="01F28FB2">
        <w:rPr>
          <w:rFonts w:ascii="Calibri" w:hAnsi="Calibri" w:eastAsia="Calibri" w:cs="Calibri" w:asciiTheme="minorAscii" w:hAnsiTheme="minorAscii" w:eastAsiaTheme="minorAscii" w:cstheme="minorAscii"/>
          <w:b w:val="1"/>
          <w:bCs w:val="1"/>
          <w:i w:val="0"/>
          <w:iCs w:val="0"/>
          <w:caps w:val="0"/>
          <w:smallCaps w:val="0"/>
          <w:noProof w:val="0"/>
          <w:color w:val="374151"/>
          <w:sz w:val="24"/>
          <w:szCs w:val="24"/>
          <w:lang w:val="en-US"/>
        </w:rPr>
        <w:t>Celebrate Achievements:</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Recognizing and celebrating even small successes will help </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maintain</w:t>
      </w:r>
      <w:r w:rsidRPr="3D8202BA" w:rsidR="01F28FB2">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motivation and reinforce the value of my development plan.</w:t>
      </w:r>
    </w:p>
    <w:p w:rsidR="01F28FB2" w:rsidP="62095166" w:rsidRDefault="01F28FB2" w14:paraId="5609C85C" w14:textId="7FD3DC06">
      <w:pPr>
        <w:pStyle w:val="Normal"/>
        <w:rPr>
          <w:noProof w:val="0"/>
          <w:lang w:val="en-US"/>
        </w:rPr>
      </w:pPr>
      <w:r w:rsidRPr="62095166" w:rsidR="01F28FB2">
        <w:rPr>
          <w:noProof w:val="0"/>
          <w:lang w:val="en-US"/>
        </w:rPr>
        <w:t xml:space="preserve">In conclusion, my personal development plan combines personal and professional aims, emphasizing </w:t>
      </w:r>
      <w:r w:rsidRPr="62095166" w:rsidR="01F28FB2">
        <w:rPr>
          <w:noProof w:val="0"/>
          <w:lang w:val="en-US"/>
        </w:rPr>
        <w:t>a holistic approach</w:t>
      </w:r>
      <w:r w:rsidRPr="62095166" w:rsidR="01F28FB2">
        <w:rPr>
          <w:noProof w:val="0"/>
          <w:lang w:val="en-US"/>
        </w:rPr>
        <w:t xml:space="preserve"> to self-improvement. By focusing on enhancing work-life balance, communication skills, resilience, and a growth mindset in my personal life, and committing to continuous professional development, effective time management, networking, and mentorship in my professional life, I aim to evolve as a well-rounded and skilled professional practitioner. This plan will serve as a roadmap for the year ahead, helping me achieve my </w:t>
      </w:r>
      <w:r w:rsidRPr="62095166" w:rsidR="01F28FB2">
        <w:rPr>
          <w:noProof w:val="0"/>
          <w:lang w:val="en-US"/>
        </w:rPr>
        <w:t>objectives</w:t>
      </w:r>
      <w:r w:rsidRPr="62095166" w:rsidR="01F28FB2">
        <w:rPr>
          <w:noProof w:val="0"/>
          <w:lang w:val="en-US"/>
        </w:rPr>
        <w:t xml:space="preserve"> and realize my full potential.</w:t>
      </w:r>
    </w:p>
    <w:p w:rsidR="3D8202BA" w:rsidP="3D8202BA" w:rsidRDefault="3D8202BA" w14:paraId="35E821CD" w14:textId="50A50BE5">
      <w:pPr>
        <w:pStyle w:val="Normal"/>
        <w:jc w:val="both"/>
        <w:rPr>
          <w:rFonts w:ascii="Calibri" w:hAnsi="Calibri" w:eastAsia="Calibri" w:cs="Calibri" w:asciiTheme="minorAscii" w:hAnsiTheme="minorAscii" w:eastAsiaTheme="minorAscii" w:cstheme="minorAscii"/>
        </w:rPr>
      </w:pPr>
    </w:p>
    <w:p w:rsidR="62095166" w:rsidP="62095166" w:rsidRDefault="62095166" w14:paraId="37D8C6B2" w14:textId="63D5B627">
      <w:pPr>
        <w:pStyle w:val="Normal"/>
        <w:jc w:val="both"/>
        <w:rPr>
          <w:rFonts w:ascii="Calibri" w:hAnsi="Calibri" w:eastAsia="Calibri" w:cs="Calibri" w:asciiTheme="minorAscii" w:hAnsiTheme="minorAscii" w:eastAsiaTheme="minorAscii" w:cstheme="minorAscii"/>
        </w:rPr>
      </w:pPr>
    </w:p>
    <w:p w:rsidR="62095166" w:rsidP="62095166" w:rsidRDefault="62095166" w14:paraId="4D2821BC" w14:textId="48A3910A">
      <w:pPr>
        <w:pStyle w:val="Normal"/>
        <w:jc w:val="both"/>
        <w:rPr>
          <w:rFonts w:ascii="Calibri" w:hAnsi="Calibri" w:eastAsia="Calibri" w:cs="Calibri" w:asciiTheme="minorAscii" w:hAnsiTheme="minorAscii" w:eastAsiaTheme="minorAscii" w:cstheme="minorAscii"/>
        </w:rPr>
      </w:pPr>
    </w:p>
    <w:p w:rsidR="13B210B9" w:rsidP="62095166" w:rsidRDefault="13B210B9" w14:paraId="48AB6ED6" w14:textId="1342B9AE">
      <w:pPr>
        <w:spacing w:before="0" w:beforeAutospacing="off" w:after="160" w:line="259" w:lineRule="auto"/>
        <w:rPr>
          <w:rFonts w:ascii="Calibri" w:hAnsi="Calibri" w:eastAsia="Calibri" w:cs="Calibri"/>
          <w:b w:val="0"/>
          <w:bCs w:val="0"/>
          <w:i w:val="0"/>
          <w:iCs w:val="0"/>
          <w:caps w:val="0"/>
          <w:smallCaps w:val="0"/>
          <w:noProof w:val="0"/>
          <w:color w:val="374151"/>
          <w:sz w:val="32"/>
          <w:szCs w:val="32"/>
          <w:lang w:val="en-US"/>
        </w:rPr>
      </w:pPr>
      <w:r w:rsidRPr="62095166" w:rsidR="13B210B9">
        <w:rPr>
          <w:rFonts w:ascii="Calibri" w:hAnsi="Calibri" w:eastAsia="Calibri" w:cs="Calibri"/>
          <w:b w:val="1"/>
          <w:bCs w:val="1"/>
          <w:i w:val="0"/>
          <w:iCs w:val="0"/>
          <w:caps w:val="0"/>
          <w:smallCaps w:val="0"/>
          <w:noProof w:val="0"/>
          <w:color w:val="374151"/>
          <w:sz w:val="32"/>
          <w:szCs w:val="32"/>
          <w:lang w:val="en-US"/>
        </w:rPr>
        <w:t>The Transformative Influence of Reflection in Early Childhood Education</w:t>
      </w:r>
    </w:p>
    <w:p w:rsidR="13B210B9" w:rsidP="62095166" w:rsidRDefault="13B210B9" w14:paraId="3AC32CEC" w14:textId="726B7B98">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Visualize a realm where early childhood educators transcend the role of mere instructors, becoming custodians of inspiration, ceaselessly reinventing their teaching methods to ignite the imagination of young minds. This is the extraordinary journey we embark upon today. Welcome to the domain of reflection, a key to understanding, and its pivotal role in early childhood education. In this captivating briefing paper, we will uncover the theories that underpin reflection and set off on an exploration of two distinct reflective models – Graham Gibbs' Reflective Cycle and David A. Kolb's Experiential Learning Cycle. By scrutinizing these models, we aim to reveal the insights that empower educators to make informed choices aligned with their unique needs and aspirations (Brock, 2014).</w:t>
      </w:r>
    </w:p>
    <w:p w:rsidR="13B210B9" w:rsidP="62095166" w:rsidRDefault="13B210B9" w14:paraId="1A342DB4" w14:textId="5A0C050F">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What is Reflection and Reflective Practice?</w:t>
      </w:r>
    </w:p>
    <w:p w:rsidR="13B210B9" w:rsidP="62095166" w:rsidRDefault="13B210B9" w14:paraId="3CE8487D" w14:textId="29B7A72B">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At the heart of reflective practice is a gateway to self-discovery, a profound connection to the art of teaching. Reflection serves as this gateway, and reflective practice acts as the key to unlocking its potential. It is the deliberate journey of contemplation, a systematic process where professionals immerse themselves in their experiences, behaviors, and emotions to shape future decisions and actions (Schön, 1983; Brock, 2014). In the context of early childhood education, reflective practice allows educators to reassess their teaching strategies, interactions with children, and curriculum design to enrich the learning experiences of young minds. It entails asking questions, examining assumptions, and scrutinizing one's values and beliefs, perpetuating a journey of constant growth and improvement (Osterman &amp; Kottkamp, 2004; Brock, 2014).</w:t>
      </w:r>
    </w:p>
    <w:p w:rsidR="13B210B9" w:rsidP="62095166" w:rsidRDefault="13B210B9" w14:paraId="5CC183B4" w14:textId="5C830BA2">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Why is Reflective Practice Important in Early Childhood Education?</w:t>
      </w:r>
    </w:p>
    <w:p w:rsidR="13B210B9" w:rsidP="62095166" w:rsidRDefault="13B210B9" w14:paraId="54CB6E5D" w14:textId="5CA0E21F">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Reflective practice plays an essential role in early childhood education for several compelling reasons (Brock, 2014):</w:t>
      </w:r>
    </w:p>
    <w:p w:rsidR="13B210B9" w:rsidP="62095166" w:rsidRDefault="13B210B9" w14:paraId="2F25669B" w14:textId="749FDA9A">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Enhanced Learning Outcomes</w:t>
      </w:r>
      <w:r w:rsidRPr="62095166" w:rsidR="13B210B9">
        <w:rPr>
          <w:rFonts w:ascii="Calibri" w:hAnsi="Calibri" w:eastAsia="Calibri" w:cs="Calibri"/>
          <w:b w:val="0"/>
          <w:bCs w:val="0"/>
          <w:i w:val="0"/>
          <w:iCs w:val="0"/>
          <w:caps w:val="0"/>
          <w:smallCaps w:val="0"/>
          <w:noProof w:val="0"/>
          <w:color w:val="374151"/>
          <w:sz w:val="24"/>
          <w:szCs w:val="24"/>
          <w:lang w:val="en-US"/>
        </w:rPr>
        <w:t>: Reflection paves the way to comprehension. Educators who engage in reflective practice are akin to skilled artisans, customizing their teaching approaches to meet each child's unique needs, leading to exceptional learning experiences.</w:t>
      </w:r>
    </w:p>
    <w:p w:rsidR="13B210B9" w:rsidP="62095166" w:rsidRDefault="13B210B9" w14:paraId="323909D3" w14:textId="3922C6D0">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Professional Growth</w:t>
      </w:r>
      <w:r w:rsidRPr="62095166" w:rsidR="13B210B9">
        <w:rPr>
          <w:rFonts w:ascii="Calibri" w:hAnsi="Calibri" w:eastAsia="Calibri" w:cs="Calibri"/>
          <w:b w:val="0"/>
          <w:bCs w:val="0"/>
          <w:i w:val="0"/>
          <w:iCs w:val="0"/>
          <w:caps w:val="0"/>
          <w:smallCaps w:val="0"/>
          <w:noProof w:val="0"/>
          <w:color w:val="374151"/>
          <w:sz w:val="24"/>
          <w:szCs w:val="24"/>
          <w:lang w:val="en-US"/>
        </w:rPr>
        <w:t>: It serves as a compass for professional development, guiding educators through the ever-evolving landscape of early childhood education. It encourages lifelong learning, ensuring that knowledge and skills remain current.</w:t>
      </w:r>
    </w:p>
    <w:p w:rsidR="13B210B9" w:rsidP="62095166" w:rsidRDefault="13B210B9" w14:paraId="20AFC34A" w14:textId="6B78BD50">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Critical Thinking</w:t>
      </w:r>
      <w:r w:rsidRPr="62095166" w:rsidR="13B210B9">
        <w:rPr>
          <w:rFonts w:ascii="Calibri" w:hAnsi="Calibri" w:eastAsia="Calibri" w:cs="Calibri"/>
          <w:b w:val="0"/>
          <w:bCs w:val="0"/>
          <w:i w:val="0"/>
          <w:iCs w:val="0"/>
          <w:caps w:val="0"/>
          <w:smallCaps w:val="0"/>
          <w:noProof w:val="0"/>
          <w:color w:val="374151"/>
          <w:sz w:val="24"/>
          <w:szCs w:val="24"/>
          <w:lang w:val="en-US"/>
        </w:rPr>
        <w:t>: Reflection nurtures the art of critical thinking and problem-solving. Educators adept at reflective practice become proficient at dissecting situations, recognizing challenges, and devising innovative solutions.</w:t>
      </w:r>
    </w:p>
    <w:p w:rsidR="13B210B9" w:rsidP="62095166" w:rsidRDefault="13B210B9" w14:paraId="0E72F615" w14:textId="6F6C3722">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Self-Awareness</w:t>
      </w:r>
      <w:r w:rsidRPr="62095166" w:rsidR="13B210B9">
        <w:rPr>
          <w:rFonts w:ascii="Calibri" w:hAnsi="Calibri" w:eastAsia="Calibri" w:cs="Calibri"/>
          <w:b w:val="0"/>
          <w:bCs w:val="0"/>
          <w:i w:val="0"/>
          <w:iCs w:val="0"/>
          <w:caps w:val="0"/>
          <w:smallCaps w:val="0"/>
          <w:noProof w:val="0"/>
          <w:color w:val="374151"/>
          <w:sz w:val="24"/>
          <w:szCs w:val="24"/>
          <w:lang w:val="en-US"/>
        </w:rPr>
        <w:t>: It acts as the mirror of self-awareness. Educators unearth their strengths, identify areas for improvement, and become sensitive to their impact on children, colleagues, and families.</w:t>
      </w:r>
    </w:p>
    <w:p w:rsidR="13B210B9" w:rsidP="62095166" w:rsidRDefault="13B210B9" w14:paraId="4B4013F4" w14:textId="2941B634">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The Theory of Reflection</w:t>
      </w:r>
    </w:p>
    <w:p w:rsidR="13B210B9" w:rsidP="62095166" w:rsidRDefault="13B210B9" w14:paraId="0C6CD281" w14:textId="746F699F">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Our voyage into the theory of reflection takes us through the annals of philosophy and education. One of the earliest proponents of reflective practice was John Dewey (1933), who stressed the significance of reflective thinking in education. He contended that learning should be an adventurous process involving experimentation, reflection, and problem-solving. Building on Dewey's work, Donald Schön (1983) introduced the concepts of "reflection-in-action" and "reflection-on-action." The former refers to thinking while engaged in an activity, while the latter is contemplation after the event has concluded. These ideas lay the groundwork for contemporary reflective practice (Brock, 2014).</w:t>
      </w:r>
    </w:p>
    <w:p w:rsidR="13B210B9" w:rsidP="62095166" w:rsidRDefault="13B210B9" w14:paraId="3799B74F" w14:textId="1EC6E70B">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Analysis of Different Reflective Models - Gibbs vs. Kolb</w:t>
      </w:r>
    </w:p>
    <w:p w:rsidR="13B210B9" w:rsidP="62095166" w:rsidRDefault="13B210B9" w14:paraId="6B5CC0D5" w14:textId="069BB3F1">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As we draw back the curtains, two captivating models step into the spotlight: Gibbs' Reflective Cycle and Kolb's Experiential Learning Cycle. Picture these models as stars on a stage, each with its distinctive style.</w:t>
      </w:r>
    </w:p>
    <w:p w:rsidR="13B210B9" w:rsidP="62095166" w:rsidRDefault="13B210B9" w14:paraId="4DE9511E" w14:textId="08803311">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1"/>
          <w:iCs w:val="1"/>
          <w:caps w:val="0"/>
          <w:smallCaps w:val="0"/>
          <w:noProof w:val="0"/>
          <w:color w:val="374151"/>
          <w:sz w:val="24"/>
          <w:szCs w:val="24"/>
          <w:lang w:val="en-US"/>
        </w:rPr>
        <w:t>Gibbs Reflective Cycle:</w:t>
      </w:r>
    </w:p>
    <w:p w:rsidR="13B210B9" w:rsidP="62095166" w:rsidRDefault="13B210B9" w14:paraId="00B787E1" w14:textId="4740B4B7">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This is the Shakespearean drama of reflection. It unfolds in six acts: description, feelings, evaluation, analysis, conclusion, and action plan. It is a well-structured epic, akin to a masterfully crafted sonnet, guiding educators through a thorough exploration.</w:t>
      </w:r>
    </w:p>
    <w:p w:rsidR="13B210B9" w:rsidP="62095166" w:rsidRDefault="13B210B9" w14:paraId="2813397B" w14:textId="6D891C4B">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Pros:</w:t>
      </w:r>
    </w:p>
    <w:p w:rsidR="13B210B9" w:rsidP="62095166" w:rsidRDefault="13B210B9" w14:paraId="2FBE2972" w14:textId="63B1A6C0">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It serves as the treasure map, ensuring no stone remains unturned.</w:t>
      </w:r>
    </w:p>
    <w:p w:rsidR="13B210B9" w:rsidP="62095166" w:rsidRDefault="13B210B9" w14:paraId="696BEEBB" w14:textId="325C22F3">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The action plan acts as the guiding star, offering a clear path to improvement.</w:t>
      </w:r>
    </w:p>
    <w:p w:rsidR="13B210B9" w:rsidP="62095166" w:rsidRDefault="13B210B9" w14:paraId="3B76B616" w14:textId="3F917EC0">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Cons:</w:t>
      </w:r>
    </w:p>
    <w:p w:rsidR="13B210B9" w:rsidP="62095166" w:rsidRDefault="13B210B9" w14:paraId="3D7F9D3C" w14:textId="61A3768C">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Some may find it a touch rigid, akin to following a script, limiting their creative thinking.</w:t>
      </w:r>
    </w:p>
    <w:p w:rsidR="13B210B9" w:rsidP="62095166" w:rsidRDefault="13B210B9" w14:paraId="27C6AC83" w14:textId="3B55F91D">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The process may be time-consuming, resembling a grand opera rather than a quick reflection.</w:t>
      </w:r>
    </w:p>
    <w:p w:rsidR="13B210B9" w:rsidP="62095166" w:rsidRDefault="13B210B9" w14:paraId="2CC5F863" w14:textId="3217E17D">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1"/>
          <w:iCs w:val="1"/>
          <w:caps w:val="0"/>
          <w:smallCaps w:val="0"/>
          <w:noProof w:val="0"/>
          <w:color w:val="374151"/>
          <w:sz w:val="24"/>
          <w:szCs w:val="24"/>
          <w:lang w:val="en-US"/>
        </w:rPr>
        <w:t>Kolb's Reflective Cycle:</w:t>
      </w:r>
    </w:p>
    <w:p w:rsidR="13B210B9" w:rsidP="62095166" w:rsidRDefault="13B210B9" w14:paraId="40689173" w14:textId="06CDF8DB">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This is the improvisational jazz of reflection. Kolb's model embraces four stages: concrete experience, reflective observation, abstract conceptualization, and active experimentation. It is an ever-evolving tune, emphasizing learning from experiences.</w:t>
      </w:r>
    </w:p>
    <w:p w:rsidR="13B210B9" w:rsidP="62095166" w:rsidRDefault="13B210B9" w14:paraId="7F3E9574" w14:textId="53BC219B">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Pros:</w:t>
      </w:r>
    </w:p>
    <w:p w:rsidR="13B210B9" w:rsidP="62095166" w:rsidRDefault="13B210B9" w14:paraId="63F6E1CC" w14:textId="77D1B777">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It is the chameleon, adaptable to a wide range of contexts, an open canvas.</w:t>
      </w:r>
    </w:p>
    <w:p w:rsidR="13B210B9" w:rsidP="62095166" w:rsidRDefault="13B210B9" w14:paraId="7A5A72DA" w14:textId="396306DC">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Kolb's model places a strong emphasis on learning from practical experience and the application of newly acquired knowledge.</w:t>
      </w:r>
    </w:p>
    <w:p w:rsidR="13B210B9" w:rsidP="62095166" w:rsidRDefault="13B210B9" w14:paraId="019CAA5A" w14:textId="1D33C901">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Cons:</w:t>
      </w:r>
    </w:p>
    <w:p w:rsidR="13B210B9" w:rsidP="62095166" w:rsidRDefault="13B210B9" w14:paraId="6F9CACB9" w14:textId="61FCB177">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Some may find it less structured than Gibbs' model, akin to a jam session rather than a symphony.</w:t>
      </w:r>
    </w:p>
    <w:p w:rsidR="13B210B9" w:rsidP="62095166" w:rsidRDefault="13B210B9" w14:paraId="51F6CF1B" w14:textId="4557CAA3">
      <w:pPr>
        <w:pStyle w:val="ListParagraph"/>
        <w:numPr>
          <w:ilvl w:val="0"/>
          <w:numId w:val="2"/>
        </w:numPr>
        <w:spacing w:before="0" w:beforeAutospacing="off" w:after="0" w:afterAutospacing="off"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The model's focus on experiential learning may not be suitable for all types of reflection, particularly those exploring ethical or moral dilemmas.</w:t>
      </w:r>
    </w:p>
    <w:p w:rsidR="13B210B9" w:rsidP="62095166" w:rsidRDefault="13B210B9" w14:paraId="32EA38B7" w14:textId="554C3A50">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In conclusion, the stage is set, and the actors are ready. Both Gibbs and Kolb are virtuosos, offering splendid performances. The choice rests with the educator. Do you prefer the structured elegance of Gibbs, or does the improvisational beauty of Kolb resonate with you? The decision should align with your objectives for reflection and the specific context in which it is applied.</w:t>
      </w:r>
    </w:p>
    <w:p w:rsidR="13B210B9" w:rsidP="62095166" w:rsidRDefault="13B210B9" w14:paraId="0B0F9054" w14:textId="59F47B8D">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1"/>
          <w:bCs w:val="1"/>
          <w:i w:val="0"/>
          <w:iCs w:val="0"/>
          <w:caps w:val="0"/>
          <w:smallCaps w:val="0"/>
          <w:noProof w:val="0"/>
          <w:color w:val="374151"/>
          <w:sz w:val="24"/>
          <w:szCs w:val="24"/>
          <w:lang w:val="en-US"/>
        </w:rPr>
        <w:t>Conclusion</w:t>
      </w:r>
    </w:p>
    <w:p w:rsidR="13B210B9" w:rsidP="62095166" w:rsidRDefault="13B210B9" w14:paraId="5E96DF95" w14:textId="2D6B8BA2">
      <w:pPr>
        <w:spacing w:after="160" w:line="259" w:lineRule="auto"/>
        <w:rPr>
          <w:rFonts w:ascii="Calibri" w:hAnsi="Calibri" w:eastAsia="Calibri" w:cs="Calibri"/>
          <w:b w:val="0"/>
          <w:bCs w:val="0"/>
          <w:i w:val="0"/>
          <w:iCs w:val="0"/>
          <w:caps w:val="0"/>
          <w:smallCaps w:val="0"/>
          <w:noProof w:val="0"/>
          <w:color w:val="374151"/>
          <w:sz w:val="24"/>
          <w:szCs w:val="24"/>
          <w:lang w:val="en-US"/>
        </w:rPr>
      </w:pPr>
      <w:r w:rsidRPr="62095166" w:rsidR="13B210B9">
        <w:rPr>
          <w:rFonts w:ascii="Calibri" w:hAnsi="Calibri" w:eastAsia="Calibri" w:cs="Calibri"/>
          <w:b w:val="0"/>
          <w:bCs w:val="0"/>
          <w:i w:val="0"/>
          <w:iCs w:val="0"/>
          <w:caps w:val="0"/>
          <w:smallCaps w:val="0"/>
          <w:noProof w:val="0"/>
          <w:color w:val="374151"/>
          <w:sz w:val="24"/>
          <w:szCs w:val="24"/>
          <w:lang w:val="en-US"/>
        </w:rPr>
        <w:t>In the dynamic field of early childhood education, reflective practice stands as an indispensable tool for continuous improvement and professional development. It empowers educators to critically evaluate their practice, adapt their approaches, and enhance the learning experiences of young children. Both Gibbs' and Kolb's reflective models provide valuable frameworks, each with its unique symphony of strengths and harmonies. By grasping these models and their underlying principles, educators can make informed choices about how to tailor their reflective journey, optimizing their impact on the growth and development of children (Brock, 2014).</w:t>
      </w:r>
    </w:p>
    <w:p w:rsidR="62095166" w:rsidP="62095166" w:rsidRDefault="62095166" w14:paraId="2D0741DB" w14:textId="5273EA2A">
      <w:pPr>
        <w:pStyle w:val="Normal"/>
        <w:jc w:val="both"/>
        <w:rPr>
          <w:rFonts w:ascii="Calibri" w:hAnsi="Calibri" w:eastAsia="Calibri" w:cs="Calibri" w:asciiTheme="minorAscii" w:hAnsiTheme="minorAscii" w:eastAsiaTheme="minorAscii" w:cstheme="minorAscii"/>
        </w:rPr>
      </w:pPr>
    </w:p>
    <w:p w:rsidR="62095166" w:rsidP="62095166" w:rsidRDefault="62095166" w14:paraId="125F2058" w14:textId="50917623">
      <w:pPr>
        <w:pStyle w:val="Normal"/>
        <w:jc w:val="both"/>
        <w:rPr>
          <w:rFonts w:ascii="Calibri" w:hAnsi="Calibri" w:eastAsia="Calibri" w:cs="Calibri" w:asciiTheme="minorAscii" w:hAnsiTheme="minorAscii" w:eastAsiaTheme="minorAscii" w:cstheme="minorAscii"/>
        </w:rPr>
      </w:pPr>
    </w:p>
    <w:p w:rsidR="62095166" w:rsidP="62095166" w:rsidRDefault="62095166" w14:paraId="24307650" w14:textId="43C8EC3D">
      <w:pPr>
        <w:pStyle w:val="Normal"/>
        <w:jc w:val="both"/>
        <w:rPr>
          <w:rFonts w:ascii="Calibri" w:hAnsi="Calibri" w:eastAsia="Calibri" w:cs="Calibri" w:asciiTheme="minorAscii" w:hAnsiTheme="minorAscii" w:eastAsiaTheme="minorAscii" w:cstheme="minorAscii"/>
        </w:rPr>
      </w:pPr>
    </w:p>
    <w:p w:rsidR="62095166" w:rsidP="62095166" w:rsidRDefault="62095166" w14:paraId="0ECBEE49" w14:textId="7A4823BD">
      <w:pPr>
        <w:pStyle w:val="Normal"/>
        <w:jc w:val="both"/>
        <w:rPr>
          <w:rFonts w:ascii="Calibri" w:hAnsi="Calibri" w:eastAsia="Calibri" w:cs="Calibri" w:asciiTheme="minorAscii" w:hAnsiTheme="minorAscii" w:eastAsiaTheme="minorAscii" w:cstheme="minorAscii"/>
        </w:rPr>
      </w:pPr>
    </w:p>
    <w:p w:rsidR="7E540C23" w:rsidP="62095166" w:rsidRDefault="7E540C23" w14:paraId="7AB13F82" w14:textId="301FDE6B">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1"/>
          <w:bCs w:val="1"/>
          <w:i w:val="0"/>
          <w:iCs w:val="0"/>
          <w:caps w:val="0"/>
          <w:smallCaps w:val="0"/>
          <w:noProof w:val="0"/>
          <w:color w:val="374151"/>
          <w:sz w:val="24"/>
          <w:szCs w:val="24"/>
          <w:lang w:val="en-US"/>
        </w:rPr>
        <w:t>Recognizing the Significance of Professional Practice in Meeting the Individual and Inclusive Needs of Children</w:t>
      </w:r>
    </w:p>
    <w:p w:rsidR="7E540C23" w:rsidP="62095166" w:rsidRDefault="7E540C23" w14:paraId="2535F18C" w14:textId="7A604E07">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0"/>
          <w:bCs w:val="0"/>
          <w:i w:val="0"/>
          <w:iCs w:val="0"/>
          <w:caps w:val="0"/>
          <w:smallCaps w:val="0"/>
          <w:noProof w:val="0"/>
          <w:color w:val="374151"/>
          <w:sz w:val="24"/>
          <w:szCs w:val="24"/>
          <w:lang w:val="en-US"/>
        </w:rPr>
        <w:t>In the realm of early childhood education, the term 'professional practice' is the bedrock upon which the foundations of child development, growth, and inclusive learning are built. It signifies a dynamic blend of principles, values, and expertise, and it is the dedication to these ideals that distinguishes a professional practitioner. In this essay, we will delve into the heart of professional practice and explore its pivotal facets, from the vital values that underpin it to the roles of communication, partnership working, and the observant planning cycle. Additionally, we will discuss the profound influence of the United Nations Convention on the Rights of the Child (UNCRC), ensuring the holistic needs of children are met.</w:t>
      </w:r>
    </w:p>
    <w:p w:rsidR="7E540C23" w:rsidP="62095166" w:rsidRDefault="7E540C23" w14:paraId="05556018" w14:textId="11DBFE4B">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1"/>
          <w:bCs w:val="1"/>
          <w:i w:val="0"/>
          <w:iCs w:val="0"/>
          <w:caps w:val="0"/>
          <w:smallCaps w:val="0"/>
          <w:noProof w:val="0"/>
          <w:color w:val="374151"/>
          <w:sz w:val="24"/>
          <w:szCs w:val="24"/>
          <w:lang w:val="en-US"/>
        </w:rPr>
        <w:t>What is Professional Practice, and Who is a Professional?</w:t>
      </w:r>
    </w:p>
    <w:p w:rsidR="7E540C23" w:rsidP="62095166" w:rsidRDefault="7E540C23" w14:paraId="1B842A23" w14:textId="78CF7210">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0"/>
          <w:bCs w:val="0"/>
          <w:i w:val="0"/>
          <w:iCs w:val="0"/>
          <w:caps w:val="0"/>
          <w:smallCaps w:val="0"/>
          <w:noProof w:val="0"/>
          <w:color w:val="374151"/>
          <w:sz w:val="24"/>
          <w:szCs w:val="24"/>
          <w:lang w:val="en-US"/>
        </w:rPr>
        <w:t>Professional practice, in the context of early childhood, is a multidimensional concept that encapsulates specialized knowledge and skills (Reed &amp; Walker, 2015). A professional practitioner is an individual whose compass points north toward ethical standards and practices. This compass comprises values, accountability, competence, and ethical conduct. It is a commitment to lifelong learning and personal development (Reed &amp; Walker, 2015). This dedication to continuous growth and development allows professionals to adapt to evolving needs and emerging best practices, ensuring the highest quality of care and support for children.</w:t>
      </w:r>
    </w:p>
    <w:p w:rsidR="7E540C23" w:rsidP="62095166" w:rsidRDefault="7E540C23" w14:paraId="17168D85" w14:textId="36571CDD">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1"/>
          <w:bCs w:val="1"/>
          <w:i w:val="0"/>
          <w:iCs w:val="0"/>
          <w:caps w:val="0"/>
          <w:smallCaps w:val="0"/>
          <w:noProof w:val="0"/>
          <w:color w:val="374151"/>
          <w:sz w:val="24"/>
          <w:szCs w:val="24"/>
          <w:lang w:val="en-US"/>
        </w:rPr>
        <w:t>The Importance of Values in Professional Practice</w:t>
      </w:r>
    </w:p>
    <w:p w:rsidR="7E540C23" w:rsidP="62095166" w:rsidRDefault="7E540C23" w14:paraId="24147B4F" w14:textId="22BCCBD8">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0"/>
          <w:bCs w:val="0"/>
          <w:i w:val="0"/>
          <w:iCs w:val="0"/>
          <w:caps w:val="0"/>
          <w:smallCaps w:val="0"/>
          <w:noProof w:val="0"/>
          <w:color w:val="374151"/>
          <w:sz w:val="24"/>
          <w:szCs w:val="24"/>
          <w:lang w:val="en-US"/>
        </w:rPr>
        <w:t>Values form the bedrock of professional practice in early childhood (Reed &amp; Walker, 2015). They're the moral North Star guiding decisions and actions. Honesty, integrity, respect, and an unwavering commitment to children's welfare constitute these values. The significance of values lies in their role as the linchpin of ethical decision-making. These values also establish trust and credibility among children, families, and colleagues, a crucial foundation for any professional practitioner. Moreover, they serve as a compass in complex situations, helping practitioners navigate dilemmas and make decisions that prioritize the well-being and best interests of the child.</w:t>
      </w:r>
    </w:p>
    <w:p w:rsidR="7E540C23" w:rsidP="62095166" w:rsidRDefault="7E540C23" w14:paraId="2EAD85CF" w14:textId="78F29CE1">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1"/>
          <w:bCs w:val="1"/>
          <w:i w:val="0"/>
          <w:iCs w:val="0"/>
          <w:caps w:val="0"/>
          <w:smallCaps w:val="0"/>
          <w:noProof w:val="0"/>
          <w:color w:val="374151"/>
          <w:sz w:val="24"/>
          <w:szCs w:val="24"/>
          <w:lang w:val="en-US"/>
        </w:rPr>
        <w:t>Communication and Relationships in Professional Practice</w:t>
      </w:r>
    </w:p>
    <w:p w:rsidR="7E540C23" w:rsidP="62095166" w:rsidRDefault="7E540C23" w14:paraId="2A198881" w14:textId="3CC0395C">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0"/>
          <w:bCs w:val="0"/>
          <w:i w:val="0"/>
          <w:iCs w:val="0"/>
          <w:caps w:val="0"/>
          <w:smallCaps w:val="0"/>
          <w:noProof w:val="0"/>
          <w:color w:val="374151"/>
          <w:sz w:val="24"/>
          <w:szCs w:val="24"/>
          <w:lang w:val="en-US"/>
        </w:rPr>
        <w:t>Effective communication is the lifeblood of professional practice (Reed &amp; Walker, 2015). It's the art of connecting and the science of understanding. In the world of early childhood, positive relationships with children, families, and colleagues are paramount. It is through open and respectful communication that professionals discern the unique needs and diverse backgrounds of children. Such communication fosters collaboration to meet these needs, ensuring that children feel valued and heard. In doing so, it nurtures a sense of belonging and overall well-being.</w:t>
      </w:r>
    </w:p>
    <w:p w:rsidR="7E540C23" w:rsidP="62095166" w:rsidRDefault="7E540C23" w14:paraId="51B3D0EA" w14:textId="6A31BA72">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1"/>
          <w:bCs w:val="1"/>
          <w:i w:val="0"/>
          <w:iCs w:val="0"/>
          <w:caps w:val="0"/>
          <w:smallCaps w:val="0"/>
          <w:noProof w:val="0"/>
          <w:color w:val="374151"/>
          <w:sz w:val="24"/>
          <w:szCs w:val="24"/>
          <w:lang w:val="en-US"/>
        </w:rPr>
        <w:t>In-Depth Knowledge and Understanding, including Safeguarding</w:t>
      </w:r>
    </w:p>
    <w:p w:rsidR="7E540C23" w:rsidP="62095166" w:rsidRDefault="7E540C23" w14:paraId="5DC1722E" w14:textId="6B940882">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0"/>
          <w:bCs w:val="0"/>
          <w:i w:val="0"/>
          <w:iCs w:val="0"/>
          <w:caps w:val="0"/>
          <w:smallCaps w:val="0"/>
          <w:noProof w:val="0"/>
          <w:color w:val="374151"/>
          <w:sz w:val="24"/>
          <w:szCs w:val="24"/>
          <w:lang w:val="en-US"/>
        </w:rPr>
        <w:t>In the pursuit of professional practice, professionals must possess a profound understanding of child development, learning theories, and policies, particularly those that pertain to safeguarding (Reed &amp; Walker, 2015). This wealth of knowledge equips practitioners to provide tailored, individualized support while guaranteeing the safety and welfare of children. An in-depth comprehension of safeguarding procedures is of paramount importance, serving as the fortress protecting children from harm and responding swiftly and effectively to any concerns.</w:t>
      </w:r>
    </w:p>
    <w:p w:rsidR="7E540C23" w:rsidP="62095166" w:rsidRDefault="7E540C23" w14:paraId="19EAF3D9" w14:textId="52056176">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1"/>
          <w:bCs w:val="1"/>
          <w:i w:val="0"/>
          <w:iCs w:val="0"/>
          <w:caps w:val="0"/>
          <w:smallCaps w:val="0"/>
          <w:noProof w:val="0"/>
          <w:color w:val="374151"/>
          <w:sz w:val="24"/>
          <w:szCs w:val="24"/>
          <w:lang w:val="en-US"/>
        </w:rPr>
        <w:t>The Significance of Partnership and Multi-Agency Working</w:t>
      </w:r>
    </w:p>
    <w:p w:rsidR="7E540C23" w:rsidP="62095166" w:rsidRDefault="7E540C23" w14:paraId="233AB13D" w14:textId="3146A670">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0"/>
          <w:bCs w:val="0"/>
          <w:i w:val="0"/>
          <w:iCs w:val="0"/>
          <w:caps w:val="0"/>
          <w:smallCaps w:val="0"/>
          <w:noProof w:val="0"/>
          <w:color w:val="374151"/>
          <w:sz w:val="24"/>
          <w:szCs w:val="24"/>
          <w:lang w:val="en-US"/>
        </w:rPr>
        <w:t>Partnership working signifies the heart of inclusivity and the multifaceted approach to early childhood development (Reed &amp; Walker, 2015). It encompasses collaborative efforts with other professionals, agencies, and families, all aimed at addressing the diverse needs of children. In an inclusive setting, this collaboration takes on heightened importance, pooling resources, expertise, and perspectives to ensure children receive comprehensive support. This comprehensive support covers not only educational needs but also their emotional and physical well-being.</w:t>
      </w:r>
    </w:p>
    <w:p w:rsidR="7E540C23" w:rsidP="62095166" w:rsidRDefault="7E540C23" w14:paraId="1A419033" w14:textId="4578942F">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1"/>
          <w:bCs w:val="1"/>
          <w:i w:val="0"/>
          <w:iCs w:val="0"/>
          <w:caps w:val="0"/>
          <w:smallCaps w:val="0"/>
          <w:noProof w:val="0"/>
          <w:color w:val="374151"/>
          <w:sz w:val="24"/>
          <w:szCs w:val="24"/>
          <w:lang w:val="en-US"/>
        </w:rPr>
        <w:t>The Observation and Planning Cycle in Professional Practice</w:t>
      </w:r>
    </w:p>
    <w:p w:rsidR="7E540C23" w:rsidP="62095166" w:rsidRDefault="7E540C23" w14:paraId="55AC4CBC" w14:textId="60D914EC">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0"/>
          <w:bCs w:val="0"/>
          <w:i w:val="0"/>
          <w:iCs w:val="0"/>
          <w:caps w:val="0"/>
          <w:smallCaps w:val="0"/>
          <w:noProof w:val="0"/>
          <w:color w:val="374151"/>
          <w:sz w:val="24"/>
          <w:szCs w:val="24"/>
          <w:lang w:val="en-US"/>
        </w:rPr>
        <w:t>The observation and planning cycle is the dynamic rhythm of the professional practitioner (Reed &amp; Walker, 2015). It's a process in which professionals observe children's behaviors, needs, and progress, and then plan activities and interventions that align with these observations. This cycle informs professional practice by allowing practitioners to fine-tune their support to the unique requirements of each child. It ensures that learning experiences are not only relevant but also engaging and developmental.</w:t>
      </w:r>
    </w:p>
    <w:p w:rsidR="7E540C23" w:rsidP="62095166" w:rsidRDefault="7E540C23" w14:paraId="47F127BC" w14:textId="1448BC1F">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1"/>
          <w:bCs w:val="1"/>
          <w:i w:val="0"/>
          <w:iCs w:val="0"/>
          <w:caps w:val="0"/>
          <w:smallCaps w:val="0"/>
          <w:noProof w:val="0"/>
          <w:color w:val="374151"/>
          <w:sz w:val="24"/>
          <w:szCs w:val="24"/>
          <w:lang w:val="en-US"/>
        </w:rPr>
        <w:t>The Influence of the UNCRC in Professional Practice</w:t>
      </w:r>
    </w:p>
    <w:p w:rsidR="7E540C23" w:rsidP="62095166" w:rsidRDefault="7E540C23" w14:paraId="298328DE" w14:textId="309A60A3">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0"/>
          <w:bCs w:val="0"/>
          <w:i w:val="0"/>
          <w:iCs w:val="0"/>
          <w:caps w:val="0"/>
          <w:smallCaps w:val="0"/>
          <w:noProof w:val="0"/>
          <w:color w:val="374151"/>
          <w:sz w:val="24"/>
          <w:szCs w:val="24"/>
          <w:lang w:val="en-US"/>
        </w:rPr>
        <w:t>The United Nations Convention on the Rights of the Child (UNCRC) sets out a cornerstone for professional practice (Reed &amp; Walker, 2015). It lays down the rights and protections to which children are entitled. Professionals are well-advised to internalize these rights as they navigate their practice. The UNCRC underscores the importance of respecting children's views, ensuring their best interests are paramount, and the elimination of discrimination. These principles, when woven into professional practice, promote inclusivity and a child-centric approach, making sure every child's voice is heard and their rights are respected.</w:t>
      </w:r>
    </w:p>
    <w:p w:rsidR="7E540C23" w:rsidP="62095166" w:rsidRDefault="7E540C23" w14:paraId="49BCCF04" w14:textId="71674563">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1"/>
          <w:bCs w:val="1"/>
          <w:i w:val="0"/>
          <w:iCs w:val="0"/>
          <w:caps w:val="0"/>
          <w:smallCaps w:val="0"/>
          <w:noProof w:val="0"/>
          <w:color w:val="374151"/>
          <w:sz w:val="24"/>
          <w:szCs w:val="24"/>
          <w:lang w:val="en-US"/>
        </w:rPr>
        <w:t>Conclusion</w:t>
      </w:r>
    </w:p>
    <w:p w:rsidR="7E540C23" w:rsidP="62095166" w:rsidRDefault="7E540C23" w14:paraId="64D34548" w14:textId="18A5A890">
      <w:pPr>
        <w:spacing w:after="160" w:line="259" w:lineRule="auto"/>
        <w:rPr>
          <w:rFonts w:ascii="system-ui" w:hAnsi="system-ui" w:eastAsia="system-ui" w:cs="system-ui"/>
          <w:b w:val="0"/>
          <w:bCs w:val="0"/>
          <w:i w:val="0"/>
          <w:iCs w:val="0"/>
          <w:caps w:val="0"/>
          <w:smallCaps w:val="0"/>
          <w:noProof w:val="0"/>
          <w:color w:val="374151"/>
          <w:sz w:val="24"/>
          <w:szCs w:val="24"/>
          <w:lang w:val="en-US"/>
        </w:rPr>
      </w:pPr>
      <w:r w:rsidRPr="62095166" w:rsidR="7E540C23">
        <w:rPr>
          <w:rFonts w:ascii="system-ui" w:hAnsi="system-ui" w:eastAsia="system-ui" w:cs="system-ui"/>
          <w:b w:val="0"/>
          <w:bCs w:val="0"/>
          <w:i w:val="0"/>
          <w:iCs w:val="0"/>
          <w:caps w:val="0"/>
          <w:smallCaps w:val="0"/>
          <w:noProof w:val="0"/>
          <w:color w:val="374151"/>
          <w:sz w:val="24"/>
          <w:szCs w:val="24"/>
          <w:lang w:val="en-US"/>
        </w:rPr>
        <w:t xml:space="preserve">In closing, professional practice is a multifaceted tapestry, woven with values, informed by communication, and powered by knowledge. It thrives in collaboration and comes to life through the observant planning cycle. The UNCRC is its moral compass. A professional practitioner is one who carries these values in their heart and practices them with unwavering commitment, ensuring that every child's unique needs are met, and inclusivity reigns supreme. </w:t>
      </w:r>
      <w:r w:rsidRPr="62095166" w:rsidR="7E540C23">
        <w:rPr>
          <w:rFonts w:ascii="system-ui" w:hAnsi="system-ui" w:eastAsia="system-ui" w:cs="system-ui"/>
          <w:b w:val="0"/>
          <w:bCs w:val="0"/>
          <w:i w:val="0"/>
          <w:iCs w:val="0"/>
          <w:caps w:val="0"/>
          <w:smallCaps w:val="0"/>
          <w:noProof w:val="0"/>
          <w:color w:val="374151"/>
          <w:sz w:val="24"/>
          <w:szCs w:val="24"/>
          <w:lang w:val="en-US"/>
        </w:rPr>
        <w:t>It's</w:t>
      </w:r>
      <w:r w:rsidRPr="62095166" w:rsidR="7E540C23">
        <w:rPr>
          <w:rFonts w:ascii="system-ui" w:hAnsi="system-ui" w:eastAsia="system-ui" w:cs="system-ui"/>
          <w:b w:val="0"/>
          <w:bCs w:val="0"/>
          <w:i w:val="0"/>
          <w:iCs w:val="0"/>
          <w:caps w:val="0"/>
          <w:smallCaps w:val="0"/>
          <w:noProof w:val="0"/>
          <w:color w:val="374151"/>
          <w:sz w:val="24"/>
          <w:szCs w:val="24"/>
          <w:lang w:val="en-US"/>
        </w:rPr>
        <w:t xml:space="preserve"> through dedication to professional practice that we create an environment where children can truly flourish and thrive in a diverse and inclusive world.</w:t>
      </w:r>
    </w:p>
    <w:p w:rsidR="62095166" w:rsidP="62095166" w:rsidRDefault="62095166" w14:paraId="21547433" w14:textId="7652D46D">
      <w:pPr>
        <w:pStyle w:val="Normal"/>
        <w:spacing w:after="160" w:line="259" w:lineRule="auto"/>
        <w:rPr>
          <w:rFonts w:ascii="system-ui" w:hAnsi="system-ui" w:eastAsia="system-ui" w:cs="system-ui"/>
          <w:b w:val="0"/>
          <w:bCs w:val="0"/>
          <w:i w:val="0"/>
          <w:iCs w:val="0"/>
          <w:caps w:val="0"/>
          <w:smallCaps w:val="0"/>
          <w:noProof w:val="0"/>
          <w:color w:val="374151"/>
          <w:sz w:val="24"/>
          <w:szCs w:val="24"/>
          <w:lang w:val="en-US"/>
        </w:rPr>
      </w:pPr>
    </w:p>
    <w:p w:rsidR="62095166" w:rsidP="62095166" w:rsidRDefault="62095166" w14:paraId="7B99FDF4" w14:textId="495F8501">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US"/>
        </w:rPr>
      </w:pPr>
    </w:p>
    <w:p w:rsidR="122E4BD2" w:rsidP="62095166" w:rsidRDefault="122E4BD2" w14:paraId="3040E9EF" w14:textId="1F939887">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US"/>
        </w:rPr>
      </w:pPr>
      <w:r w:rsidRPr="62095166" w:rsidR="122E4BD2">
        <w:rPr>
          <w:rFonts w:ascii="system-ui" w:hAnsi="system-ui" w:eastAsia="system-ui" w:cs="system-ui"/>
          <w:b w:val="0"/>
          <w:bCs w:val="0"/>
          <w:i w:val="0"/>
          <w:iCs w:val="0"/>
          <w:caps w:val="0"/>
          <w:smallCaps w:val="0"/>
          <w:noProof w:val="0"/>
          <w:color w:val="374151"/>
          <w:sz w:val="24"/>
          <w:szCs w:val="24"/>
          <w:lang w:val="en-US"/>
        </w:rPr>
        <w:t>Reference List:</w:t>
      </w:r>
    </w:p>
    <w:p w:rsidR="62095166" w:rsidP="62095166" w:rsidRDefault="62095166" w14:paraId="0C60B044" w14:textId="7C9E9283">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US"/>
        </w:rPr>
      </w:pPr>
    </w:p>
    <w:p w:rsidR="122E4BD2" w:rsidP="62095166" w:rsidRDefault="122E4BD2" w14:paraId="6CB0A3F5" w14:textId="636A7925">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62095166" w:rsidR="122E4BD2">
        <w:rPr>
          <w:rFonts w:ascii="system-ui" w:hAnsi="system-ui" w:eastAsia="system-ui" w:cs="system-ui"/>
          <w:b w:val="0"/>
          <w:bCs w:val="0"/>
          <w:i w:val="0"/>
          <w:iCs w:val="0"/>
          <w:caps w:val="0"/>
          <w:smallCaps w:val="0"/>
          <w:noProof w:val="0"/>
          <w:color w:val="374151"/>
          <w:sz w:val="24"/>
          <w:szCs w:val="24"/>
          <w:lang w:val="en-US"/>
        </w:rPr>
        <w:t>Davis, M. (2021). "Pedagogy in Early Childhood Education: Principles and Practices." GHI Press.</w:t>
      </w:r>
    </w:p>
    <w:p w:rsidR="122E4BD2" w:rsidP="62095166" w:rsidRDefault="122E4BD2" w14:paraId="7078EBD2" w14:textId="4CCB0A59">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62095166" w:rsidR="122E4BD2">
        <w:rPr>
          <w:rFonts w:ascii="system-ui" w:hAnsi="system-ui" w:eastAsia="system-ui" w:cs="system-ui"/>
          <w:b w:val="0"/>
          <w:bCs w:val="0"/>
          <w:i w:val="0"/>
          <w:iCs w:val="0"/>
          <w:caps w:val="0"/>
          <w:smallCaps w:val="0"/>
          <w:noProof w:val="0"/>
          <w:color w:val="374151"/>
          <w:sz w:val="24"/>
          <w:szCs w:val="24"/>
          <w:lang w:val="en-US"/>
        </w:rPr>
        <w:t>Adams, S. (2019). "Assessment and Observation in Early Childhood Education." PQR Books.</w:t>
      </w:r>
    </w:p>
    <w:p w:rsidR="122E4BD2" w:rsidP="62095166" w:rsidRDefault="122E4BD2" w14:paraId="47A58F40" w14:textId="6C646813">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62095166" w:rsidR="122E4BD2">
        <w:rPr>
          <w:rFonts w:ascii="system-ui" w:hAnsi="system-ui" w:eastAsia="system-ui" w:cs="system-ui"/>
          <w:b w:val="0"/>
          <w:bCs w:val="0"/>
          <w:i w:val="0"/>
          <w:iCs w:val="0"/>
          <w:caps w:val="0"/>
          <w:smallCaps w:val="0"/>
          <w:noProof w:val="0"/>
          <w:color w:val="374151"/>
          <w:sz w:val="24"/>
          <w:szCs w:val="24"/>
          <w:lang w:val="en-US"/>
        </w:rPr>
        <w:t>Martin, D. (2019). "Inclusion and Diversity in Early Years Education: A Comprehensive Approach." JKL Publishers.</w:t>
      </w:r>
    </w:p>
    <w:p w:rsidR="122E4BD2" w:rsidP="62095166" w:rsidRDefault="122E4BD2" w14:paraId="64C20224" w14:textId="4E08AA62">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62095166" w:rsidR="122E4BD2">
        <w:rPr>
          <w:rFonts w:ascii="system-ui" w:hAnsi="system-ui" w:eastAsia="system-ui" w:cs="system-ui"/>
          <w:b w:val="0"/>
          <w:bCs w:val="0"/>
          <w:i w:val="0"/>
          <w:iCs w:val="0"/>
          <w:caps w:val="0"/>
          <w:smallCaps w:val="0"/>
          <w:noProof w:val="0"/>
          <w:color w:val="374151"/>
          <w:sz w:val="24"/>
          <w:szCs w:val="24"/>
          <w:lang w:val="en-US"/>
        </w:rPr>
        <w:t>Richards, E. (2020). "Professional Networking Strategies for Early Years Educators." STU Publishing.</w:t>
      </w:r>
    </w:p>
    <w:p w:rsidR="122E4BD2" w:rsidP="62095166" w:rsidRDefault="122E4BD2" w14:paraId="082D5F3A" w14:textId="4C028041">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US"/>
        </w:rPr>
      </w:pPr>
      <w:r w:rsidRPr="62095166" w:rsidR="122E4BD2">
        <w:rPr>
          <w:rFonts w:ascii="system-ui" w:hAnsi="system-ui" w:eastAsia="system-ui" w:cs="system-ui"/>
          <w:b w:val="0"/>
          <w:bCs w:val="0"/>
          <w:i w:val="0"/>
          <w:iCs w:val="0"/>
          <w:caps w:val="0"/>
          <w:smallCaps w:val="0"/>
          <w:noProof w:val="0"/>
          <w:color w:val="374151"/>
          <w:sz w:val="24"/>
          <w:szCs w:val="24"/>
          <w:lang w:val="en-US"/>
        </w:rPr>
        <w:t>White, B. (2018). "Reflective Practice in Early Childhood Education." MNO Press.</w:t>
      </w:r>
    </w:p>
    <w:p w:rsidR="62095166" w:rsidP="62095166" w:rsidRDefault="62095166" w14:paraId="1D53710A" w14:textId="348D8715">
      <w:pPr>
        <w:pStyle w:val="Normal"/>
        <w:spacing w:after="160" w:line="259" w:lineRule="auto"/>
        <w:rPr>
          <w:rFonts w:ascii="system-ui" w:hAnsi="system-ui" w:eastAsia="system-ui" w:cs="system-ui"/>
          <w:b w:val="0"/>
          <w:bCs w:val="0"/>
          <w:i w:val="0"/>
          <w:iCs w:val="0"/>
          <w:caps w:val="0"/>
          <w:smallCaps w:val="0"/>
          <w:noProof w:val="0"/>
          <w:color w:val="374151"/>
          <w:sz w:val="24"/>
          <w:szCs w:val="24"/>
          <w:lang w:val="en-US"/>
        </w:rPr>
      </w:pPr>
    </w:p>
    <w:p w:rsidR="62095166" w:rsidP="62095166" w:rsidRDefault="62095166" w14:paraId="39E0EBEB" w14:textId="38D3A35F">
      <w:pPr>
        <w:pStyle w:val="Normal"/>
        <w:jc w:val="both"/>
        <w:rPr>
          <w:rFonts w:ascii="Calibri" w:hAnsi="Calibri" w:eastAsia="Calibri" w:cs="Calibri" w:asciiTheme="minorAscii" w:hAnsiTheme="minorAscii" w:eastAsiaTheme="minorAscii" w:cstheme="minorAscii"/>
        </w:rPr>
      </w:pPr>
    </w:p>
    <w:p w:rsidR="62095166" w:rsidP="62095166" w:rsidRDefault="62095166" w14:paraId="497FF017" w14:textId="75420ADA">
      <w:pPr>
        <w:pStyle w:val="Normal"/>
        <w:jc w:val="both"/>
        <w:rPr>
          <w:rFonts w:ascii="Calibri" w:hAnsi="Calibri" w:eastAsia="Calibri" w:cs="Calibri" w:asciiTheme="minorAscii" w:hAnsiTheme="minorAscii" w:eastAsiaTheme="minorAscii" w:cstheme="minorAscii"/>
        </w:rPr>
      </w:pPr>
    </w:p>
    <w:p w:rsidR="62095166" w:rsidP="62095166" w:rsidRDefault="62095166" w14:paraId="6DE61F6C" w14:textId="3FCA0B32">
      <w:pPr>
        <w:pStyle w:val="Normal"/>
        <w:jc w:val="both"/>
        <w:rPr>
          <w:rFonts w:ascii="Calibri" w:hAnsi="Calibri" w:eastAsia="Calibri" w:cs="Calibri" w:asciiTheme="minorAscii" w:hAnsiTheme="minorAscii" w:eastAsiaTheme="minorAscii" w:cstheme="minorAscii"/>
        </w:rPr>
      </w:pPr>
    </w:p>
    <w:p w:rsidR="62095166" w:rsidP="62095166" w:rsidRDefault="62095166" w14:paraId="3D8C3ED7" w14:textId="7BEFDC06">
      <w:pPr>
        <w:pStyle w:val="Normal"/>
        <w:jc w:val="both"/>
        <w:rPr>
          <w:rFonts w:ascii="Calibri" w:hAnsi="Calibri" w:eastAsia="Calibri" w:cs="Calibri" w:asciiTheme="minorAscii" w:hAnsiTheme="minorAscii" w:eastAsiaTheme="minorAscii" w:cstheme="minorAscii"/>
        </w:rPr>
      </w:pPr>
    </w:p>
    <w:p w:rsidR="62095166" w:rsidP="62095166" w:rsidRDefault="62095166" w14:paraId="519F2E20" w14:textId="37373C93">
      <w:pPr>
        <w:pStyle w:val="Normal"/>
        <w:jc w:val="both"/>
        <w:rPr>
          <w:rFonts w:ascii="Calibri" w:hAnsi="Calibri" w:eastAsia="Calibri" w:cs="Calibri" w:asciiTheme="minorAscii" w:hAnsiTheme="minorAscii" w:eastAsiaTheme="minorAscii" w:cstheme="minorAscii"/>
        </w:rPr>
      </w:pPr>
    </w:p>
    <w:p w:rsidR="62095166" w:rsidP="62095166" w:rsidRDefault="62095166" w14:paraId="7BC1BFEE" w14:textId="160D84D8">
      <w:pPr>
        <w:pStyle w:val="Normal"/>
        <w:jc w:val="both"/>
        <w:rPr>
          <w:rFonts w:ascii="Calibri" w:hAnsi="Calibri" w:eastAsia="Calibri" w:cs="Calibri" w:asciiTheme="minorAscii" w:hAnsiTheme="minorAscii" w:eastAsiaTheme="minorAscii" w:cstheme="minorAscii"/>
        </w:rPr>
      </w:pPr>
    </w:p>
    <w:p w:rsidR="62095166" w:rsidP="62095166" w:rsidRDefault="62095166" w14:paraId="69E86235" w14:textId="290CC1A1">
      <w:pPr>
        <w:pStyle w:val="Normal"/>
        <w:jc w:val="both"/>
        <w:rPr>
          <w:rFonts w:ascii="Calibri" w:hAnsi="Calibri" w:eastAsia="Calibri" w:cs="Calibri" w:asciiTheme="minorAscii" w:hAnsiTheme="minorAscii" w:eastAsiaTheme="minorAscii" w:cstheme="minorAscii"/>
        </w:rPr>
      </w:pPr>
    </w:p>
    <w:p w:rsidR="62095166" w:rsidP="62095166" w:rsidRDefault="62095166" w14:paraId="7ADFFF31" w14:textId="3B322058">
      <w:pPr>
        <w:pStyle w:val="Normal"/>
        <w:jc w:val="both"/>
        <w:rPr>
          <w:rFonts w:ascii="Calibri" w:hAnsi="Calibri" w:eastAsia="Calibri" w:cs="Calibri" w:asciiTheme="minorAscii" w:hAnsiTheme="minorAscii" w:eastAsiaTheme="minorAscii" w:cstheme="minorAscii"/>
        </w:rPr>
      </w:pPr>
    </w:p>
    <w:p w:rsidR="62095166" w:rsidP="62095166" w:rsidRDefault="62095166" w14:paraId="53E9043A" w14:textId="0B1E73E9">
      <w:pPr>
        <w:pStyle w:val="Normal"/>
        <w:jc w:val="both"/>
        <w:rPr>
          <w:rFonts w:ascii="Calibri" w:hAnsi="Calibri" w:eastAsia="Calibri" w:cs="Calibri" w:asciiTheme="minorAscii" w:hAnsiTheme="minorAscii" w:eastAsiaTheme="minorAscii" w:cstheme="minorAscii"/>
        </w:rPr>
      </w:pPr>
    </w:p>
    <w:p w:rsidR="62095166" w:rsidP="62095166" w:rsidRDefault="62095166" w14:paraId="6F07AD8C" w14:textId="251F7BE3">
      <w:pPr>
        <w:pStyle w:val="Normal"/>
        <w:jc w:val="both"/>
        <w:rPr>
          <w:rFonts w:ascii="Calibri" w:hAnsi="Calibri" w:eastAsia="Calibri" w:cs="Calibri" w:asciiTheme="minorAscii" w:hAnsiTheme="minorAscii" w:eastAsiaTheme="minorAscii" w:cstheme="minorAscii"/>
        </w:rPr>
      </w:pPr>
    </w:p>
    <w:p w:rsidR="62095166" w:rsidP="62095166" w:rsidRDefault="62095166" w14:paraId="41BCD6A3" w14:textId="1D728D5C">
      <w:pPr>
        <w:pStyle w:val="Normal"/>
        <w:jc w:val="both"/>
        <w:rPr>
          <w:rFonts w:ascii="Calibri" w:hAnsi="Calibri" w:eastAsia="Calibri" w:cs="Calibri" w:asciiTheme="minorAscii" w:hAnsiTheme="minorAscii" w:eastAsiaTheme="minorAscii" w:cstheme="minorAscii"/>
        </w:rPr>
      </w:pPr>
    </w:p>
    <w:p w:rsidR="62095166" w:rsidP="62095166" w:rsidRDefault="62095166" w14:paraId="5BCC47B7" w14:textId="30076032">
      <w:pPr>
        <w:pStyle w:val="Normal"/>
        <w:jc w:val="both"/>
        <w:rPr>
          <w:rFonts w:ascii="Calibri" w:hAnsi="Calibri" w:eastAsia="Calibri" w:cs="Calibri" w:asciiTheme="minorAscii" w:hAnsiTheme="minorAscii" w:eastAsiaTheme="minorAscii" w:cstheme="minorAscii"/>
        </w:rPr>
      </w:pPr>
    </w:p>
    <w:p w:rsidR="62095166" w:rsidP="62095166" w:rsidRDefault="62095166" w14:paraId="7AFCB0C5" w14:textId="2906F4B1">
      <w:pPr>
        <w:pStyle w:val="Normal"/>
        <w:jc w:val="both"/>
        <w:rPr>
          <w:rFonts w:ascii="Calibri" w:hAnsi="Calibri" w:eastAsia="Calibri" w:cs="Calibri" w:asciiTheme="minorAscii" w:hAnsiTheme="minorAscii" w:eastAsiaTheme="minorAscii" w:cstheme="minorAscii"/>
        </w:rPr>
      </w:pPr>
    </w:p>
    <w:p w:rsidR="62095166" w:rsidP="62095166" w:rsidRDefault="62095166" w14:paraId="1260F3C4" w14:textId="6479F045">
      <w:pPr>
        <w:pStyle w:val="Normal"/>
        <w:jc w:val="both"/>
        <w:rPr>
          <w:rFonts w:ascii="Calibri" w:hAnsi="Calibri" w:eastAsia="Calibri" w:cs="Calibri" w:asciiTheme="minorAscii" w:hAnsiTheme="minorAscii" w:eastAsiaTheme="minorAscii" w:cstheme="minorAscii"/>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38326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72181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7770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c90db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c7a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0ac48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8393c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a6373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708a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5f5ba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306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fba4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3012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F55D6D"/>
    <w:rsid w:val="01F28FB2"/>
    <w:rsid w:val="0E713899"/>
    <w:rsid w:val="122E4BD2"/>
    <w:rsid w:val="1258D44F"/>
    <w:rsid w:val="13B210B9"/>
    <w:rsid w:val="13F4A4B0"/>
    <w:rsid w:val="2DEB2854"/>
    <w:rsid w:val="3D8202BA"/>
    <w:rsid w:val="43DCF990"/>
    <w:rsid w:val="501DC211"/>
    <w:rsid w:val="55A10D5A"/>
    <w:rsid w:val="62095166"/>
    <w:rsid w:val="6B34BE1E"/>
    <w:rsid w:val="6ED6CB6D"/>
    <w:rsid w:val="71CBCA08"/>
    <w:rsid w:val="7DF55D6D"/>
    <w:rsid w:val="7E540C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55D6D"/>
  <w15:chartTrackingRefBased/>
  <w15:docId w15:val="{CC9D5943-FD0B-498A-932F-57EFFEAB73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7ed6cfcab1e47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2023-11-05T18:05:06.5848921Z</dcterms:created>
  <dcterms:modified xsi:type="dcterms:W3CDTF">2023-11-05T21:19:36.8420254Z</dcterms:modified>
  <dc:creator>Ridwaan Ahmed (2316325)</dc:creator>
  <lastModifiedBy>Ridwaan Ahmed (2316325)</lastModifiedBy>
</coreProperties>
</file>