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0D383" w14:textId="77777777" w:rsidR="00E8307D" w:rsidRDefault="00E8307D"/>
    <w:p w14:paraId="7767DF96" w14:textId="7659BCED" w:rsidR="008931C2" w:rsidRPr="008931C2" w:rsidRDefault="008931C2">
      <w:pPr>
        <w:rPr>
          <w:sz w:val="20"/>
          <w:szCs w:val="20"/>
        </w:rPr>
      </w:pPr>
      <w:r>
        <w:rPr>
          <w:sz w:val="20"/>
          <w:szCs w:val="20"/>
        </w:rPr>
        <w:t xml:space="preserve">I have not used any AI. </w:t>
      </w:r>
    </w:p>
    <w:p w14:paraId="789C0B99" w14:textId="64D7C3C9" w:rsidR="002C2FB4" w:rsidRDefault="002C2FB4" w:rsidP="002C2FB4">
      <w:pPr>
        <w:jc w:val="center"/>
        <w:rPr>
          <w:rFonts w:ascii="Arial" w:hAnsi="Arial" w:cs="Arial"/>
          <w:b/>
          <w:bCs/>
          <w:sz w:val="32"/>
          <w:szCs w:val="32"/>
          <w:u w:val="single"/>
        </w:rPr>
      </w:pPr>
      <w:r>
        <w:rPr>
          <w:rFonts w:ascii="Arial" w:hAnsi="Arial" w:cs="Arial"/>
          <w:b/>
          <w:bCs/>
          <w:sz w:val="32"/>
          <w:szCs w:val="32"/>
          <w:u w:val="single"/>
        </w:rPr>
        <w:t xml:space="preserve">Portfolio </w:t>
      </w:r>
    </w:p>
    <w:p w14:paraId="55935C0F" w14:textId="291DD598" w:rsidR="002C2FB4" w:rsidRDefault="002C2FB4" w:rsidP="002C2FB4">
      <w:pPr>
        <w:jc w:val="center"/>
        <w:rPr>
          <w:rFonts w:ascii="Arial" w:hAnsi="Arial" w:cs="Arial"/>
          <w:b/>
          <w:bCs/>
          <w:sz w:val="32"/>
          <w:szCs w:val="32"/>
          <w:u w:val="single"/>
        </w:rPr>
      </w:pPr>
      <w:r>
        <w:rPr>
          <w:rFonts w:ascii="Arial" w:hAnsi="Arial" w:cs="Arial"/>
          <w:b/>
          <w:bCs/>
          <w:sz w:val="32"/>
          <w:szCs w:val="32"/>
          <w:u w:val="single"/>
        </w:rPr>
        <w:t xml:space="preserve">Professional Practitioner </w:t>
      </w:r>
    </w:p>
    <w:p w14:paraId="5353AE01" w14:textId="77777777" w:rsidR="002C2FB4" w:rsidRDefault="002C2FB4" w:rsidP="002C2FB4">
      <w:pPr>
        <w:jc w:val="center"/>
        <w:rPr>
          <w:rFonts w:ascii="Arial" w:hAnsi="Arial" w:cs="Arial"/>
          <w:b/>
          <w:bCs/>
          <w:sz w:val="32"/>
          <w:szCs w:val="32"/>
          <w:u w:val="single"/>
        </w:rPr>
      </w:pPr>
    </w:p>
    <w:p w14:paraId="63A9728B" w14:textId="0456B75C" w:rsidR="002C2FB4" w:rsidRDefault="002C2FB4" w:rsidP="002C2FB4">
      <w:pPr>
        <w:rPr>
          <w:rFonts w:ascii="Arial" w:hAnsi="Arial" w:cs="Arial"/>
          <w:b/>
          <w:bCs/>
          <w:u w:val="single"/>
        </w:rPr>
      </w:pPr>
      <w:r>
        <w:rPr>
          <w:rFonts w:ascii="Arial" w:hAnsi="Arial" w:cs="Arial"/>
          <w:b/>
          <w:bCs/>
          <w:u w:val="single"/>
        </w:rPr>
        <w:t>Contents</w:t>
      </w:r>
    </w:p>
    <w:p w14:paraId="5758D062" w14:textId="6DEDA685" w:rsidR="002C2FB4" w:rsidRDefault="002C2FB4" w:rsidP="002C2FB4">
      <w:pPr>
        <w:rPr>
          <w:rFonts w:ascii="Arial" w:hAnsi="Arial" w:cs="Arial"/>
        </w:rPr>
      </w:pPr>
      <w:r>
        <w:rPr>
          <w:rFonts w:ascii="Arial" w:hAnsi="Arial" w:cs="Arial"/>
        </w:rPr>
        <w:t>Page 1 – Personal Development Plan (PDP) 515 words</w:t>
      </w:r>
    </w:p>
    <w:p w14:paraId="08BE7F3D" w14:textId="3C98D7C9" w:rsidR="00C50FF5" w:rsidRDefault="00C50FF5" w:rsidP="002C2FB4">
      <w:pPr>
        <w:rPr>
          <w:rFonts w:ascii="Arial" w:hAnsi="Arial" w:cs="Arial"/>
        </w:rPr>
      </w:pPr>
      <w:r>
        <w:rPr>
          <w:rFonts w:ascii="Arial" w:hAnsi="Arial" w:cs="Arial"/>
        </w:rPr>
        <w:t>Page 2 – Briefing Paper 1007 words</w:t>
      </w:r>
    </w:p>
    <w:p w14:paraId="4B16B132" w14:textId="57FFB19D" w:rsidR="00C50FF5" w:rsidRDefault="00C50FF5" w:rsidP="002C2FB4">
      <w:pPr>
        <w:rPr>
          <w:rFonts w:ascii="Arial" w:hAnsi="Arial" w:cs="Arial"/>
        </w:rPr>
      </w:pPr>
      <w:r>
        <w:rPr>
          <w:rFonts w:ascii="Arial" w:hAnsi="Arial" w:cs="Arial"/>
        </w:rPr>
        <w:t>Page 3 – Briefing Paper Reference List</w:t>
      </w:r>
    </w:p>
    <w:p w14:paraId="49D4FEE4" w14:textId="78743A27" w:rsidR="00C50FF5" w:rsidRDefault="00C50FF5" w:rsidP="002C2FB4">
      <w:pPr>
        <w:rPr>
          <w:rFonts w:ascii="Arial" w:hAnsi="Arial" w:cs="Arial"/>
        </w:rPr>
      </w:pPr>
      <w:r>
        <w:rPr>
          <w:rFonts w:ascii="Arial" w:hAnsi="Arial" w:cs="Arial"/>
        </w:rPr>
        <w:t xml:space="preserve">Page 4 – Essay </w:t>
      </w:r>
      <w:r w:rsidR="001B5FA3">
        <w:rPr>
          <w:rFonts w:ascii="Arial" w:hAnsi="Arial" w:cs="Arial"/>
        </w:rPr>
        <w:t xml:space="preserve">1429 words </w:t>
      </w:r>
    </w:p>
    <w:p w14:paraId="65AE5FF2" w14:textId="0B5D72A6" w:rsidR="00C50FF5" w:rsidRDefault="00C50FF5" w:rsidP="002C2FB4">
      <w:pPr>
        <w:rPr>
          <w:rFonts w:ascii="Arial" w:hAnsi="Arial" w:cs="Arial"/>
        </w:rPr>
      </w:pPr>
      <w:r>
        <w:rPr>
          <w:rFonts w:ascii="Arial" w:hAnsi="Arial" w:cs="Arial"/>
        </w:rPr>
        <w:t xml:space="preserve">Page 5 – Essay Reference List </w:t>
      </w:r>
    </w:p>
    <w:p w14:paraId="2DC03752" w14:textId="77777777" w:rsidR="00C50FF5" w:rsidRDefault="00C50FF5" w:rsidP="002C2FB4">
      <w:pPr>
        <w:rPr>
          <w:rFonts w:ascii="Arial" w:hAnsi="Arial" w:cs="Arial"/>
        </w:rPr>
      </w:pPr>
    </w:p>
    <w:p w14:paraId="1CC6260E" w14:textId="77777777" w:rsidR="002C2FB4" w:rsidRDefault="002C2FB4" w:rsidP="002C2FB4">
      <w:pPr>
        <w:rPr>
          <w:rFonts w:ascii="Arial" w:hAnsi="Arial" w:cs="Arial"/>
        </w:rPr>
      </w:pPr>
    </w:p>
    <w:p w14:paraId="511A2C09" w14:textId="77777777" w:rsidR="002C2FB4" w:rsidRDefault="002C2FB4">
      <w:pPr>
        <w:rPr>
          <w:rFonts w:ascii="Arial" w:hAnsi="Arial" w:cs="Arial"/>
        </w:rPr>
      </w:pPr>
      <w:r>
        <w:rPr>
          <w:rFonts w:ascii="Arial" w:hAnsi="Arial" w:cs="Arial"/>
        </w:rPr>
        <w:br w:type="page"/>
      </w:r>
    </w:p>
    <w:p w14:paraId="49C9D3DE" w14:textId="77777777" w:rsidR="002C2FB4" w:rsidRPr="00B56739" w:rsidRDefault="002C2FB4" w:rsidP="002C2FB4">
      <w:pPr>
        <w:jc w:val="center"/>
        <w:rPr>
          <w:rFonts w:ascii="Arial" w:hAnsi="Arial" w:cs="Arial"/>
          <w:b/>
          <w:u w:val="single"/>
          <w:lang w:val="en-US"/>
        </w:rPr>
      </w:pPr>
      <w:r w:rsidRPr="00B56739">
        <w:rPr>
          <w:rFonts w:ascii="Arial" w:hAnsi="Arial" w:cs="Arial"/>
          <w:b/>
          <w:u w:val="single"/>
          <w:lang w:val="en-US"/>
        </w:rPr>
        <w:lastRenderedPageBreak/>
        <w:t>Personal Development Plan</w:t>
      </w:r>
    </w:p>
    <w:p w14:paraId="5ED1C291" w14:textId="77777777" w:rsidR="002C2FB4" w:rsidRPr="00B56739" w:rsidRDefault="002C2FB4" w:rsidP="002C2FB4">
      <w:pPr>
        <w:jc w:val="center"/>
        <w:rPr>
          <w:rFonts w:ascii="Arial" w:hAnsi="Arial" w:cs="Arial"/>
          <w:bCs/>
          <w:lang w:val="en-US"/>
        </w:rPr>
      </w:pPr>
      <w:r w:rsidRPr="00B56739">
        <w:rPr>
          <w:rFonts w:ascii="Arial" w:hAnsi="Arial" w:cs="Arial"/>
          <w:bCs/>
          <w:lang w:val="en-US"/>
        </w:rPr>
        <w:t>The thinking, knowledge, skills and</w:t>
      </w:r>
      <w:r w:rsidRPr="00B56739">
        <w:rPr>
          <w:rFonts w:ascii="Arial" w:hAnsi="Arial" w:cs="Arial"/>
          <w:bCs/>
        </w:rPr>
        <w:t xml:space="preserve"> behaviours</w:t>
      </w:r>
      <w:r w:rsidRPr="00B56739">
        <w:rPr>
          <w:rFonts w:ascii="Arial" w:hAnsi="Arial" w:cs="Arial"/>
          <w:bCs/>
          <w:lang w:val="en-US"/>
        </w:rPr>
        <w:t xml:space="preserve"> that I will change and develop </w:t>
      </w:r>
      <w:r w:rsidRPr="00A33E59">
        <w:rPr>
          <w:rFonts w:ascii="Arial" w:hAnsi="Arial" w:cs="Arial"/>
          <w:bCs/>
          <w:lang w:val="en-US"/>
        </w:rPr>
        <w:t>to</w:t>
      </w:r>
      <w:r w:rsidRPr="00B56739">
        <w:rPr>
          <w:rFonts w:ascii="Arial" w:hAnsi="Arial" w:cs="Arial"/>
          <w:bCs/>
          <w:lang w:val="en-US"/>
        </w:rPr>
        <w:t xml:space="preserve"> achieve my vision and goals, adhere to my values and become as resilient as possible</w:t>
      </w:r>
      <w:r w:rsidRPr="00A33E59">
        <w:rPr>
          <w:rFonts w:ascii="Arial" w:hAnsi="Arial" w:cs="Arial"/>
          <w:bCs/>
          <w:lang w:val="en-US"/>
        </w:rPr>
        <w:t>.</w:t>
      </w:r>
      <w:r>
        <w:rPr>
          <w:rFonts w:ascii="Arial" w:hAnsi="Arial" w:cs="Arial"/>
          <w:bCs/>
          <w:lang w:val="en-US"/>
        </w:rPr>
        <w:t xml:space="preserve">     </w:t>
      </w:r>
    </w:p>
    <w:tbl>
      <w:tblPr>
        <w:tblW w:w="6211" w:type="pct"/>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68"/>
        <w:gridCol w:w="1690"/>
        <w:gridCol w:w="1528"/>
        <w:gridCol w:w="1494"/>
        <w:gridCol w:w="1279"/>
        <w:gridCol w:w="1472"/>
        <w:gridCol w:w="2269"/>
      </w:tblGrid>
      <w:tr w:rsidR="002C2FB4" w:rsidRPr="00B56739" w14:paraId="5A62A3C1" w14:textId="77777777" w:rsidTr="00622CB0">
        <w:trPr>
          <w:tblHeader/>
        </w:trPr>
        <w:tc>
          <w:tcPr>
            <w:tcW w:w="655" w:type="pct"/>
            <w:tcBorders>
              <w:top w:val="single" w:sz="4" w:space="0" w:color="auto"/>
              <w:left w:val="single" w:sz="4" w:space="0" w:color="auto"/>
              <w:bottom w:val="single" w:sz="4" w:space="0" w:color="auto"/>
              <w:right w:val="single" w:sz="4" w:space="0" w:color="auto"/>
            </w:tcBorders>
            <w:shd w:val="clear" w:color="auto" w:fill="9999FF"/>
            <w:hideMark/>
          </w:tcPr>
          <w:p w14:paraId="1FDF3172" w14:textId="77777777" w:rsidR="002C2FB4" w:rsidRPr="00B56739" w:rsidRDefault="002C2FB4" w:rsidP="00622CB0">
            <w:pPr>
              <w:rPr>
                <w:b/>
                <w:lang w:val="en-US"/>
              </w:rPr>
            </w:pPr>
            <w:r w:rsidRPr="00B56739">
              <w:rPr>
                <w:b/>
                <w:lang w:val="en-US"/>
              </w:rPr>
              <w:t>No</w:t>
            </w:r>
          </w:p>
        </w:tc>
        <w:tc>
          <w:tcPr>
            <w:tcW w:w="754" w:type="pct"/>
            <w:tcBorders>
              <w:top w:val="single" w:sz="4" w:space="0" w:color="auto"/>
              <w:left w:val="single" w:sz="4" w:space="0" w:color="auto"/>
              <w:bottom w:val="single" w:sz="4" w:space="0" w:color="auto"/>
              <w:right w:val="single" w:sz="4" w:space="0" w:color="auto"/>
            </w:tcBorders>
            <w:shd w:val="clear" w:color="auto" w:fill="99FF99"/>
            <w:hideMark/>
          </w:tcPr>
          <w:p w14:paraId="50789CDC" w14:textId="77777777" w:rsidR="002C2FB4" w:rsidRPr="00B56739" w:rsidRDefault="002C2FB4" w:rsidP="00622CB0">
            <w:pPr>
              <w:rPr>
                <w:b/>
                <w:lang w:val="en-US"/>
              </w:rPr>
            </w:pPr>
            <w:r w:rsidRPr="00B56739">
              <w:rPr>
                <w:b/>
                <w:lang w:val="en-US"/>
              </w:rPr>
              <w:t>Improvement and Development Goals</w:t>
            </w:r>
          </w:p>
        </w:tc>
        <w:tc>
          <w:tcPr>
            <w:tcW w:w="682" w:type="pct"/>
            <w:tcBorders>
              <w:top w:val="single" w:sz="4" w:space="0" w:color="auto"/>
              <w:left w:val="single" w:sz="4" w:space="0" w:color="auto"/>
              <w:bottom w:val="single" w:sz="4" w:space="0" w:color="auto"/>
              <w:right w:val="single" w:sz="4" w:space="0" w:color="auto"/>
            </w:tcBorders>
            <w:shd w:val="clear" w:color="auto" w:fill="FFCC66"/>
            <w:hideMark/>
          </w:tcPr>
          <w:p w14:paraId="3E267179" w14:textId="77777777" w:rsidR="002C2FB4" w:rsidRPr="00B56739" w:rsidRDefault="002C2FB4" w:rsidP="00622CB0">
            <w:pPr>
              <w:rPr>
                <w:b/>
                <w:lang w:val="en-US"/>
              </w:rPr>
            </w:pPr>
            <w:r w:rsidRPr="00B56739">
              <w:rPr>
                <w:b/>
                <w:lang w:val="en-US"/>
              </w:rPr>
              <w:t>Success Criteria</w:t>
            </w:r>
          </w:p>
          <w:p w14:paraId="63DC08B8" w14:textId="77777777" w:rsidR="002C2FB4" w:rsidRPr="00B56739" w:rsidRDefault="002C2FB4" w:rsidP="00622CB0">
            <w:pPr>
              <w:rPr>
                <w:lang w:val="en-US"/>
              </w:rPr>
            </w:pPr>
            <w:r w:rsidRPr="00B56739">
              <w:rPr>
                <w:lang w:val="en-US"/>
              </w:rPr>
              <w:t>(How I will know when I have made this change)</w:t>
            </w:r>
          </w:p>
        </w:tc>
        <w:tc>
          <w:tcPr>
            <w:tcW w:w="667" w:type="pct"/>
            <w:tcBorders>
              <w:top w:val="single" w:sz="4" w:space="0" w:color="auto"/>
              <w:left w:val="single" w:sz="4" w:space="0" w:color="auto"/>
              <w:bottom w:val="single" w:sz="4" w:space="0" w:color="auto"/>
              <w:right w:val="single" w:sz="4" w:space="0" w:color="auto"/>
            </w:tcBorders>
            <w:shd w:val="clear" w:color="auto" w:fill="FFFF99"/>
            <w:hideMark/>
          </w:tcPr>
          <w:p w14:paraId="0B476BEA" w14:textId="77777777" w:rsidR="002C2FB4" w:rsidRPr="00B56739" w:rsidRDefault="002C2FB4" w:rsidP="00622CB0">
            <w:pPr>
              <w:rPr>
                <w:b/>
                <w:lang w:val="en-US"/>
              </w:rPr>
            </w:pPr>
            <w:r w:rsidRPr="00B56739">
              <w:rPr>
                <w:b/>
                <w:lang w:val="en-US"/>
              </w:rPr>
              <w:t>The actions I will take to achieve the goal</w:t>
            </w:r>
          </w:p>
        </w:tc>
        <w:tc>
          <w:tcPr>
            <w:tcW w:w="571" w:type="pct"/>
            <w:tcBorders>
              <w:top w:val="single" w:sz="4" w:space="0" w:color="auto"/>
              <w:left w:val="single" w:sz="4" w:space="0" w:color="auto"/>
              <w:bottom w:val="single" w:sz="4" w:space="0" w:color="auto"/>
              <w:right w:val="single" w:sz="4" w:space="0" w:color="auto"/>
            </w:tcBorders>
            <w:shd w:val="clear" w:color="auto" w:fill="FFCCCC"/>
            <w:hideMark/>
          </w:tcPr>
          <w:p w14:paraId="4E03A728" w14:textId="77777777" w:rsidR="002C2FB4" w:rsidRPr="00B56739" w:rsidRDefault="002C2FB4" w:rsidP="00622CB0">
            <w:pPr>
              <w:rPr>
                <w:b/>
                <w:lang w:val="en-US"/>
              </w:rPr>
            </w:pPr>
            <w:r w:rsidRPr="00B56739">
              <w:rPr>
                <w:b/>
                <w:lang w:val="en-US"/>
              </w:rPr>
              <w:t>Timelines</w:t>
            </w:r>
          </w:p>
        </w:tc>
        <w:tc>
          <w:tcPr>
            <w:tcW w:w="657" w:type="pct"/>
            <w:tcBorders>
              <w:top w:val="single" w:sz="4" w:space="0" w:color="auto"/>
              <w:left w:val="single" w:sz="4" w:space="0" w:color="auto"/>
              <w:bottom w:val="single" w:sz="4" w:space="0" w:color="auto"/>
              <w:right w:val="single" w:sz="4" w:space="0" w:color="auto"/>
            </w:tcBorders>
            <w:shd w:val="clear" w:color="auto" w:fill="CC66FF"/>
            <w:hideMark/>
          </w:tcPr>
          <w:p w14:paraId="7D307761" w14:textId="77777777" w:rsidR="002C2FB4" w:rsidRPr="00B56739" w:rsidRDefault="002C2FB4" w:rsidP="00622CB0">
            <w:pPr>
              <w:rPr>
                <w:b/>
                <w:lang w:val="en-US"/>
              </w:rPr>
            </w:pPr>
            <w:r w:rsidRPr="00B56739">
              <w:rPr>
                <w:b/>
                <w:lang w:val="en-US"/>
              </w:rPr>
              <w:t>What will this help me to achieve?</w:t>
            </w:r>
          </w:p>
        </w:tc>
        <w:tc>
          <w:tcPr>
            <w:tcW w:w="1013" w:type="pct"/>
            <w:tcBorders>
              <w:top w:val="single" w:sz="4" w:space="0" w:color="auto"/>
              <w:left w:val="single" w:sz="4" w:space="0" w:color="auto"/>
              <w:bottom w:val="single" w:sz="4" w:space="0" w:color="auto"/>
              <w:right w:val="single" w:sz="4" w:space="0" w:color="auto"/>
            </w:tcBorders>
            <w:shd w:val="clear" w:color="auto" w:fill="FF7A5B"/>
            <w:hideMark/>
          </w:tcPr>
          <w:p w14:paraId="4760B9E0" w14:textId="77777777" w:rsidR="002C2FB4" w:rsidRPr="00B56739" w:rsidRDefault="002C2FB4" w:rsidP="00622CB0">
            <w:pPr>
              <w:rPr>
                <w:b/>
                <w:lang w:val="en-US"/>
              </w:rPr>
            </w:pPr>
            <w:r w:rsidRPr="00B56739">
              <w:rPr>
                <w:b/>
                <w:lang w:val="en-US"/>
              </w:rPr>
              <w:t>Achievements</w:t>
            </w:r>
          </w:p>
          <w:p w14:paraId="64C7A71B" w14:textId="77777777" w:rsidR="002C2FB4" w:rsidRPr="00B56739" w:rsidRDefault="002C2FB4" w:rsidP="00622CB0">
            <w:pPr>
              <w:rPr>
                <w:b/>
                <w:lang w:val="en-US"/>
              </w:rPr>
            </w:pPr>
            <w:r w:rsidRPr="00B56739">
              <w:rPr>
                <w:b/>
                <w:lang w:val="en-US"/>
              </w:rPr>
              <w:t>(3 monthly review)</w:t>
            </w:r>
          </w:p>
        </w:tc>
      </w:tr>
      <w:tr w:rsidR="002C2FB4" w:rsidRPr="00B56739" w14:paraId="396D6F12" w14:textId="77777777" w:rsidTr="00622CB0">
        <w:tc>
          <w:tcPr>
            <w:tcW w:w="655" w:type="pct"/>
            <w:tcBorders>
              <w:top w:val="single" w:sz="4" w:space="0" w:color="auto"/>
              <w:left w:val="single" w:sz="4" w:space="0" w:color="auto"/>
              <w:bottom w:val="single" w:sz="4" w:space="0" w:color="auto"/>
              <w:right w:val="single" w:sz="4" w:space="0" w:color="auto"/>
            </w:tcBorders>
            <w:shd w:val="clear" w:color="auto" w:fill="D3D0F8"/>
            <w:hideMark/>
          </w:tcPr>
          <w:p w14:paraId="15310100" w14:textId="77777777" w:rsidR="002C2FB4" w:rsidRPr="00B56739" w:rsidRDefault="002C2FB4" w:rsidP="00622CB0">
            <w:pPr>
              <w:rPr>
                <w:lang w:val="en-US"/>
              </w:rPr>
            </w:pPr>
            <w:r w:rsidRPr="00B56739">
              <w:rPr>
                <w:lang w:val="en-US"/>
              </w:rPr>
              <w:t>1</w:t>
            </w:r>
          </w:p>
        </w:tc>
        <w:tc>
          <w:tcPr>
            <w:tcW w:w="754" w:type="pct"/>
            <w:tcBorders>
              <w:top w:val="single" w:sz="4" w:space="0" w:color="auto"/>
              <w:left w:val="single" w:sz="4" w:space="0" w:color="auto"/>
              <w:bottom w:val="single" w:sz="4" w:space="0" w:color="auto"/>
              <w:right w:val="single" w:sz="4" w:space="0" w:color="auto"/>
            </w:tcBorders>
          </w:tcPr>
          <w:p w14:paraId="14002755" w14:textId="77777777" w:rsidR="002C2FB4" w:rsidRPr="002C2FB4" w:rsidRDefault="002C2FB4" w:rsidP="00622CB0">
            <w:pPr>
              <w:rPr>
                <w:rFonts w:ascii="Arial" w:hAnsi="Arial" w:cs="Arial"/>
                <w:bCs/>
                <w:sz w:val="18"/>
                <w:szCs w:val="18"/>
                <w:lang w:val="en-US"/>
              </w:rPr>
            </w:pPr>
            <w:r w:rsidRPr="002C2FB4">
              <w:rPr>
                <w:rFonts w:ascii="Arial" w:hAnsi="Arial" w:cs="Arial"/>
                <w:bCs/>
                <w:sz w:val="18"/>
                <w:szCs w:val="18"/>
                <w:lang w:val="en-US"/>
              </w:rPr>
              <w:t>Become a room leader</w:t>
            </w:r>
          </w:p>
          <w:p w14:paraId="64F1A28C" w14:textId="77777777" w:rsidR="002C2FB4" w:rsidRPr="002C2FB4" w:rsidRDefault="002C2FB4" w:rsidP="00622CB0">
            <w:pPr>
              <w:rPr>
                <w:b/>
                <w:sz w:val="18"/>
                <w:szCs w:val="18"/>
                <w:lang w:val="en-US"/>
              </w:rPr>
            </w:pPr>
          </w:p>
        </w:tc>
        <w:tc>
          <w:tcPr>
            <w:tcW w:w="682" w:type="pct"/>
            <w:tcBorders>
              <w:top w:val="single" w:sz="4" w:space="0" w:color="auto"/>
              <w:left w:val="single" w:sz="4" w:space="0" w:color="auto"/>
              <w:bottom w:val="single" w:sz="4" w:space="0" w:color="auto"/>
              <w:right w:val="single" w:sz="4" w:space="0" w:color="auto"/>
            </w:tcBorders>
            <w:hideMark/>
          </w:tcPr>
          <w:p w14:paraId="24F5B751"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 xml:space="preserve">I will have gained many more responsibilities including supporting staff and ensuring they provide the best care and support for the children in the nursery, as well as ensuring all the children in my care are given the best opportunities, care, respect and meeting each other their individual needs. </w:t>
            </w:r>
          </w:p>
        </w:tc>
        <w:tc>
          <w:tcPr>
            <w:tcW w:w="667" w:type="pct"/>
            <w:tcBorders>
              <w:top w:val="single" w:sz="4" w:space="0" w:color="auto"/>
              <w:left w:val="single" w:sz="4" w:space="0" w:color="auto"/>
              <w:bottom w:val="single" w:sz="4" w:space="0" w:color="auto"/>
              <w:right w:val="single" w:sz="4" w:space="0" w:color="auto"/>
            </w:tcBorders>
          </w:tcPr>
          <w:p w14:paraId="01866BD5"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To achieve this goal, I intend to gain a lot more experience from working alongside my current room leader, as well as other staff in my nursery setting. Whilst also attending relevant training courses and learning new things throughout this degree.</w:t>
            </w:r>
          </w:p>
        </w:tc>
        <w:tc>
          <w:tcPr>
            <w:tcW w:w="571" w:type="pct"/>
            <w:tcBorders>
              <w:top w:val="single" w:sz="4" w:space="0" w:color="auto"/>
              <w:left w:val="single" w:sz="4" w:space="0" w:color="auto"/>
              <w:bottom w:val="single" w:sz="4" w:space="0" w:color="auto"/>
              <w:right w:val="single" w:sz="4" w:space="0" w:color="auto"/>
            </w:tcBorders>
          </w:tcPr>
          <w:p w14:paraId="1CE36FD8"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1-2 years</w:t>
            </w:r>
          </w:p>
        </w:tc>
        <w:tc>
          <w:tcPr>
            <w:tcW w:w="657" w:type="pct"/>
            <w:tcBorders>
              <w:top w:val="single" w:sz="4" w:space="0" w:color="auto"/>
              <w:left w:val="single" w:sz="4" w:space="0" w:color="auto"/>
              <w:bottom w:val="single" w:sz="4" w:space="0" w:color="auto"/>
              <w:right w:val="single" w:sz="4" w:space="0" w:color="auto"/>
            </w:tcBorders>
            <w:hideMark/>
          </w:tcPr>
          <w:p w14:paraId="5C46846A"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 xml:space="preserve">As mentioned previously, I will attend any relevant training courses which will help me to achieve my goal as they will provide me with new information and allow me the confidence to step up to this role eventually. </w:t>
            </w:r>
          </w:p>
        </w:tc>
        <w:tc>
          <w:tcPr>
            <w:tcW w:w="1013" w:type="pct"/>
            <w:tcBorders>
              <w:top w:val="single" w:sz="4" w:space="0" w:color="auto"/>
              <w:left w:val="single" w:sz="4" w:space="0" w:color="auto"/>
              <w:bottom w:val="single" w:sz="4" w:space="0" w:color="auto"/>
              <w:right w:val="single" w:sz="4" w:space="0" w:color="auto"/>
            </w:tcBorders>
          </w:tcPr>
          <w:p w14:paraId="1852BEC6" w14:textId="77777777" w:rsidR="002C2FB4" w:rsidRPr="00B56739" w:rsidRDefault="002C2FB4" w:rsidP="00622CB0">
            <w:pPr>
              <w:rPr>
                <w:lang w:val="en-US"/>
              </w:rPr>
            </w:pPr>
          </w:p>
        </w:tc>
      </w:tr>
      <w:tr w:rsidR="002C2FB4" w:rsidRPr="00B56739" w14:paraId="1D809A3C" w14:textId="77777777" w:rsidTr="00622CB0">
        <w:trPr>
          <w:trHeight w:val="2022"/>
        </w:trPr>
        <w:tc>
          <w:tcPr>
            <w:tcW w:w="655" w:type="pct"/>
            <w:tcBorders>
              <w:top w:val="single" w:sz="4" w:space="0" w:color="auto"/>
              <w:left w:val="single" w:sz="4" w:space="0" w:color="auto"/>
              <w:bottom w:val="single" w:sz="4" w:space="0" w:color="auto"/>
              <w:right w:val="single" w:sz="4" w:space="0" w:color="auto"/>
            </w:tcBorders>
            <w:shd w:val="clear" w:color="auto" w:fill="D3D0F8"/>
            <w:hideMark/>
          </w:tcPr>
          <w:p w14:paraId="364AE7C5" w14:textId="77777777" w:rsidR="002C2FB4" w:rsidRPr="00B56739" w:rsidRDefault="002C2FB4" w:rsidP="00622CB0">
            <w:pPr>
              <w:rPr>
                <w:lang w:val="en-US"/>
              </w:rPr>
            </w:pPr>
            <w:r w:rsidRPr="00B56739">
              <w:rPr>
                <w:lang w:val="en-US"/>
              </w:rPr>
              <w:t>2</w:t>
            </w:r>
          </w:p>
        </w:tc>
        <w:tc>
          <w:tcPr>
            <w:tcW w:w="754" w:type="pct"/>
            <w:tcBorders>
              <w:top w:val="single" w:sz="4" w:space="0" w:color="auto"/>
              <w:left w:val="single" w:sz="4" w:space="0" w:color="auto"/>
              <w:bottom w:val="single" w:sz="4" w:space="0" w:color="auto"/>
              <w:right w:val="single" w:sz="4" w:space="0" w:color="auto"/>
            </w:tcBorders>
          </w:tcPr>
          <w:p w14:paraId="72AA4F6C" w14:textId="5511B9B5" w:rsidR="002C2FB4" w:rsidRPr="002C2FB4" w:rsidRDefault="002C2FB4" w:rsidP="00622CB0">
            <w:pPr>
              <w:rPr>
                <w:rFonts w:ascii="Arial" w:hAnsi="Arial" w:cs="Arial"/>
                <w:bCs/>
                <w:sz w:val="18"/>
                <w:szCs w:val="18"/>
                <w:lang w:val="en-US"/>
              </w:rPr>
            </w:pPr>
            <w:r w:rsidRPr="002C2FB4">
              <w:rPr>
                <w:rFonts w:ascii="Arial" w:hAnsi="Arial" w:cs="Arial"/>
                <w:bCs/>
                <w:sz w:val="18"/>
                <w:szCs w:val="18"/>
                <w:lang w:val="en-US"/>
              </w:rPr>
              <w:t xml:space="preserve">Learn more about the curiosity approach and child-led play. </w:t>
            </w:r>
          </w:p>
          <w:p w14:paraId="0AB5E0CB" w14:textId="77777777" w:rsidR="002C2FB4" w:rsidRPr="00B56739" w:rsidRDefault="002C2FB4" w:rsidP="00622CB0">
            <w:pPr>
              <w:rPr>
                <w:b/>
                <w:lang w:val="en-US"/>
              </w:rPr>
            </w:pPr>
          </w:p>
          <w:p w14:paraId="7E7D7747" w14:textId="77777777" w:rsidR="002C2FB4" w:rsidRPr="00B56739" w:rsidRDefault="002C2FB4" w:rsidP="00622CB0">
            <w:pPr>
              <w:rPr>
                <w:b/>
                <w:lang w:val="en-US"/>
              </w:rPr>
            </w:pPr>
          </w:p>
          <w:p w14:paraId="2E55CD17" w14:textId="77777777" w:rsidR="002C2FB4" w:rsidRPr="00B56739" w:rsidRDefault="002C2FB4" w:rsidP="00622CB0">
            <w:pPr>
              <w:rPr>
                <w:b/>
                <w:lang w:val="en-US"/>
              </w:rPr>
            </w:pPr>
          </w:p>
        </w:tc>
        <w:tc>
          <w:tcPr>
            <w:tcW w:w="682" w:type="pct"/>
            <w:tcBorders>
              <w:top w:val="single" w:sz="4" w:space="0" w:color="auto"/>
              <w:left w:val="single" w:sz="4" w:space="0" w:color="auto"/>
              <w:bottom w:val="single" w:sz="4" w:space="0" w:color="auto"/>
              <w:right w:val="single" w:sz="4" w:space="0" w:color="auto"/>
            </w:tcBorders>
          </w:tcPr>
          <w:p w14:paraId="2CA9AD38"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 xml:space="preserve">when I have made this change, I will have enhanced my confidence in my role as a childcare practitioner and will be more experienced and confident in offering child led activities that support the </w:t>
            </w:r>
            <w:proofErr w:type="gramStart"/>
            <w:r w:rsidRPr="002C2FB4">
              <w:rPr>
                <w:rFonts w:ascii="Arial" w:hAnsi="Arial" w:cs="Arial"/>
                <w:sz w:val="18"/>
                <w:szCs w:val="18"/>
                <w:lang w:val="en-US"/>
              </w:rPr>
              <w:t>main focus</w:t>
            </w:r>
            <w:proofErr w:type="gramEnd"/>
            <w:r w:rsidRPr="002C2FB4">
              <w:rPr>
                <w:rFonts w:ascii="Arial" w:hAnsi="Arial" w:cs="Arial"/>
                <w:sz w:val="18"/>
                <w:szCs w:val="18"/>
                <w:lang w:val="en-US"/>
              </w:rPr>
              <w:t xml:space="preserve"> of the child’s critical thinking skills, decision </w:t>
            </w:r>
            <w:r w:rsidRPr="002C2FB4">
              <w:rPr>
                <w:rFonts w:ascii="Arial" w:hAnsi="Arial" w:cs="Arial"/>
                <w:sz w:val="18"/>
                <w:szCs w:val="18"/>
                <w:lang w:val="en-US"/>
              </w:rPr>
              <w:lastRenderedPageBreak/>
              <w:t xml:space="preserve">making and problem-solving skills. As well as understanding why the curiosity approach is so important to a child’s development and being confident that I can promote this in my nursery setting. </w:t>
            </w:r>
          </w:p>
        </w:tc>
        <w:tc>
          <w:tcPr>
            <w:tcW w:w="667" w:type="pct"/>
            <w:tcBorders>
              <w:top w:val="single" w:sz="4" w:space="0" w:color="auto"/>
              <w:left w:val="single" w:sz="4" w:space="0" w:color="auto"/>
              <w:bottom w:val="single" w:sz="4" w:space="0" w:color="auto"/>
              <w:right w:val="single" w:sz="4" w:space="0" w:color="auto"/>
            </w:tcBorders>
          </w:tcPr>
          <w:p w14:paraId="04670A39" w14:textId="3E0A8323"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lastRenderedPageBreak/>
              <w:t xml:space="preserve">One of the actions I will take to achieve this goal is to attend training about the curiosity. I will also be including activities into my practice that support the curiosity approach and child led play. By doing this I will gain a better </w:t>
            </w:r>
            <w:r w:rsidRPr="002C2FB4">
              <w:rPr>
                <w:rFonts w:ascii="Arial" w:hAnsi="Arial" w:cs="Arial"/>
                <w:sz w:val="18"/>
                <w:szCs w:val="18"/>
                <w:lang w:val="en-US"/>
              </w:rPr>
              <w:lastRenderedPageBreak/>
              <w:t xml:space="preserve">understanding of how it works and why it is </w:t>
            </w:r>
            <w:proofErr w:type="spellStart"/>
            <w:r w:rsidRPr="002C2FB4">
              <w:rPr>
                <w:rFonts w:ascii="Arial" w:hAnsi="Arial" w:cs="Arial"/>
                <w:sz w:val="18"/>
                <w:szCs w:val="18"/>
                <w:lang w:val="en-US"/>
              </w:rPr>
              <w:t>s</w:t>
            </w:r>
            <w:proofErr w:type="spellEnd"/>
            <w:r w:rsidRPr="002C2FB4">
              <w:rPr>
                <w:rFonts w:ascii="Arial" w:hAnsi="Arial" w:cs="Arial"/>
                <w:sz w:val="18"/>
                <w:szCs w:val="18"/>
                <w:lang w:val="en-US"/>
              </w:rPr>
              <w:t xml:space="preserve"> important. I will begin to learn more about it and understand what works best and what doesn’t.</w:t>
            </w:r>
          </w:p>
        </w:tc>
        <w:tc>
          <w:tcPr>
            <w:tcW w:w="571" w:type="pct"/>
            <w:tcBorders>
              <w:top w:val="single" w:sz="4" w:space="0" w:color="auto"/>
              <w:left w:val="single" w:sz="4" w:space="0" w:color="auto"/>
              <w:bottom w:val="single" w:sz="4" w:space="0" w:color="auto"/>
              <w:right w:val="single" w:sz="4" w:space="0" w:color="auto"/>
            </w:tcBorders>
          </w:tcPr>
          <w:p w14:paraId="7FFFEE1E"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lastRenderedPageBreak/>
              <w:t>6months-1 year</w:t>
            </w:r>
          </w:p>
        </w:tc>
        <w:tc>
          <w:tcPr>
            <w:tcW w:w="657" w:type="pct"/>
            <w:tcBorders>
              <w:top w:val="single" w:sz="4" w:space="0" w:color="auto"/>
              <w:left w:val="single" w:sz="4" w:space="0" w:color="auto"/>
              <w:bottom w:val="single" w:sz="4" w:space="0" w:color="auto"/>
              <w:right w:val="single" w:sz="4" w:space="0" w:color="auto"/>
            </w:tcBorders>
          </w:tcPr>
          <w:p w14:paraId="185EE4B2" w14:textId="77777777" w:rsidR="002C2FB4" w:rsidRPr="002C2FB4" w:rsidRDefault="002C2FB4" w:rsidP="00622CB0">
            <w:pPr>
              <w:rPr>
                <w:rFonts w:ascii="Arial" w:hAnsi="Arial" w:cs="Arial"/>
                <w:sz w:val="18"/>
                <w:szCs w:val="18"/>
                <w:lang w:val="en-US"/>
              </w:rPr>
            </w:pPr>
            <w:r w:rsidRPr="002C2FB4">
              <w:rPr>
                <w:rFonts w:ascii="Arial" w:hAnsi="Arial" w:cs="Arial"/>
                <w:sz w:val="18"/>
                <w:szCs w:val="18"/>
                <w:lang w:val="en-US"/>
              </w:rPr>
              <w:t xml:space="preserve">Be implementing the curiosity approach and child led play, I will be allowing myself to become a better childcare practitioner who is up to date with the most effective ways of meeting children’s needs and supporting </w:t>
            </w:r>
            <w:r w:rsidRPr="002C2FB4">
              <w:rPr>
                <w:rFonts w:ascii="Arial" w:hAnsi="Arial" w:cs="Arial"/>
                <w:sz w:val="18"/>
                <w:szCs w:val="18"/>
                <w:lang w:val="en-US"/>
              </w:rPr>
              <w:lastRenderedPageBreak/>
              <w:t xml:space="preserve">them through their learning and development. I will be providing the best care and support I can. </w:t>
            </w:r>
          </w:p>
        </w:tc>
        <w:tc>
          <w:tcPr>
            <w:tcW w:w="1013" w:type="pct"/>
            <w:tcBorders>
              <w:top w:val="single" w:sz="4" w:space="0" w:color="auto"/>
              <w:left w:val="single" w:sz="4" w:space="0" w:color="auto"/>
              <w:bottom w:val="single" w:sz="4" w:space="0" w:color="auto"/>
              <w:right w:val="single" w:sz="4" w:space="0" w:color="auto"/>
            </w:tcBorders>
          </w:tcPr>
          <w:p w14:paraId="0B783471" w14:textId="77777777" w:rsidR="002C2FB4" w:rsidRPr="00B56739" w:rsidRDefault="002C2FB4" w:rsidP="00622CB0">
            <w:pPr>
              <w:rPr>
                <w:lang w:val="en-US"/>
              </w:rPr>
            </w:pPr>
          </w:p>
        </w:tc>
      </w:tr>
      <w:tr w:rsidR="002C2FB4" w:rsidRPr="00B56739" w14:paraId="7D51B134" w14:textId="77777777" w:rsidTr="00622CB0">
        <w:tc>
          <w:tcPr>
            <w:tcW w:w="655" w:type="pct"/>
            <w:tcBorders>
              <w:top w:val="single" w:sz="4" w:space="0" w:color="auto"/>
              <w:left w:val="single" w:sz="4" w:space="0" w:color="auto"/>
              <w:bottom w:val="single" w:sz="4" w:space="0" w:color="auto"/>
              <w:right w:val="single" w:sz="4" w:space="0" w:color="auto"/>
            </w:tcBorders>
            <w:shd w:val="clear" w:color="auto" w:fill="D3D0F8"/>
            <w:hideMark/>
          </w:tcPr>
          <w:p w14:paraId="69A9B8B3" w14:textId="77777777" w:rsidR="002C2FB4" w:rsidRPr="00B56739" w:rsidRDefault="002C2FB4" w:rsidP="00622CB0">
            <w:pPr>
              <w:rPr>
                <w:lang w:val="en-US"/>
              </w:rPr>
            </w:pPr>
            <w:r w:rsidRPr="00B56739">
              <w:rPr>
                <w:lang w:val="en-US"/>
              </w:rPr>
              <w:t>3</w:t>
            </w:r>
          </w:p>
        </w:tc>
        <w:tc>
          <w:tcPr>
            <w:tcW w:w="754" w:type="pct"/>
            <w:tcBorders>
              <w:top w:val="single" w:sz="4" w:space="0" w:color="auto"/>
              <w:left w:val="single" w:sz="4" w:space="0" w:color="auto"/>
              <w:bottom w:val="single" w:sz="4" w:space="0" w:color="auto"/>
              <w:right w:val="single" w:sz="4" w:space="0" w:color="auto"/>
            </w:tcBorders>
          </w:tcPr>
          <w:p w14:paraId="2F1FA11E" w14:textId="77777777" w:rsidR="002C2FB4" w:rsidRPr="002C2FB4" w:rsidRDefault="002C2FB4" w:rsidP="00622CB0">
            <w:pPr>
              <w:rPr>
                <w:rFonts w:ascii="Arial" w:hAnsi="Arial" w:cs="Arial"/>
                <w:bCs/>
                <w:sz w:val="18"/>
                <w:szCs w:val="18"/>
                <w:lang w:val="en-US"/>
              </w:rPr>
            </w:pPr>
            <w:r w:rsidRPr="002C2FB4">
              <w:rPr>
                <w:rFonts w:ascii="Arial" w:hAnsi="Arial" w:cs="Arial"/>
                <w:bCs/>
                <w:sz w:val="18"/>
                <w:szCs w:val="18"/>
                <w:lang w:val="en-US"/>
              </w:rPr>
              <w:t xml:space="preserve">Become a qualified play therapist. </w:t>
            </w:r>
          </w:p>
          <w:p w14:paraId="6B74B990" w14:textId="77777777" w:rsidR="002C2FB4" w:rsidRPr="00B56739" w:rsidRDefault="002C2FB4" w:rsidP="00622CB0">
            <w:pPr>
              <w:rPr>
                <w:b/>
                <w:lang w:val="en-US"/>
              </w:rPr>
            </w:pPr>
          </w:p>
          <w:p w14:paraId="77FFB5F5" w14:textId="77777777" w:rsidR="002C2FB4" w:rsidRPr="00B56739" w:rsidRDefault="002C2FB4" w:rsidP="00622CB0">
            <w:pPr>
              <w:rPr>
                <w:b/>
                <w:lang w:val="en-US"/>
              </w:rPr>
            </w:pPr>
          </w:p>
          <w:p w14:paraId="27F46088" w14:textId="77777777" w:rsidR="002C2FB4" w:rsidRPr="00B56739" w:rsidRDefault="002C2FB4" w:rsidP="00622CB0">
            <w:pPr>
              <w:rPr>
                <w:b/>
                <w:lang w:val="en-US"/>
              </w:rPr>
            </w:pPr>
          </w:p>
          <w:p w14:paraId="652803DE" w14:textId="77777777" w:rsidR="002C2FB4" w:rsidRPr="00B56739" w:rsidRDefault="002C2FB4" w:rsidP="00622CB0">
            <w:pPr>
              <w:rPr>
                <w:b/>
                <w:lang w:val="en-US"/>
              </w:rPr>
            </w:pPr>
          </w:p>
        </w:tc>
        <w:tc>
          <w:tcPr>
            <w:tcW w:w="682" w:type="pct"/>
            <w:tcBorders>
              <w:top w:val="single" w:sz="4" w:space="0" w:color="auto"/>
              <w:left w:val="single" w:sz="4" w:space="0" w:color="auto"/>
              <w:bottom w:val="single" w:sz="4" w:space="0" w:color="auto"/>
              <w:right w:val="single" w:sz="4" w:space="0" w:color="auto"/>
            </w:tcBorders>
          </w:tcPr>
          <w:p w14:paraId="4B2939E8" w14:textId="77777777" w:rsidR="002C2FB4" w:rsidRPr="00B56739" w:rsidRDefault="002C2FB4" w:rsidP="00622CB0">
            <w:pPr>
              <w:rPr>
                <w:rFonts w:ascii="Arial" w:hAnsi="Arial" w:cs="Arial"/>
                <w:sz w:val="20"/>
                <w:szCs w:val="20"/>
                <w:lang w:val="en-US"/>
              </w:rPr>
            </w:pPr>
            <w:r w:rsidRPr="002C2FB4">
              <w:rPr>
                <w:rFonts w:ascii="Arial" w:hAnsi="Arial" w:cs="Arial"/>
                <w:sz w:val="18"/>
                <w:szCs w:val="18"/>
                <w:lang w:val="en-US"/>
              </w:rPr>
              <w:t xml:space="preserve">I will be a qualified children’s play therapist who has much knowledge on how it works and will be able to offer therapy primarily for children experiencing emotional or mental distress. </w:t>
            </w:r>
          </w:p>
        </w:tc>
        <w:tc>
          <w:tcPr>
            <w:tcW w:w="667" w:type="pct"/>
            <w:tcBorders>
              <w:top w:val="single" w:sz="4" w:space="0" w:color="auto"/>
              <w:left w:val="single" w:sz="4" w:space="0" w:color="auto"/>
              <w:bottom w:val="single" w:sz="4" w:space="0" w:color="auto"/>
              <w:right w:val="single" w:sz="4" w:space="0" w:color="auto"/>
            </w:tcBorders>
          </w:tcPr>
          <w:p w14:paraId="079F6675" w14:textId="77777777" w:rsidR="002C2FB4" w:rsidRPr="00B56739" w:rsidRDefault="002C2FB4" w:rsidP="00622CB0">
            <w:pPr>
              <w:rPr>
                <w:rFonts w:ascii="Arial" w:hAnsi="Arial" w:cs="Arial"/>
                <w:sz w:val="20"/>
                <w:szCs w:val="20"/>
                <w:lang w:val="en-US"/>
              </w:rPr>
            </w:pPr>
            <w:r w:rsidRPr="002C2FB4">
              <w:rPr>
                <w:rFonts w:ascii="Arial" w:hAnsi="Arial" w:cs="Arial"/>
                <w:sz w:val="18"/>
                <w:szCs w:val="18"/>
                <w:lang w:val="en-US"/>
              </w:rPr>
              <w:t xml:space="preserve">To achieve this, I will build work experience and work my way towards and relevant qualification or degrees I may need. I will attend relevant training and work my way up towards this career. </w:t>
            </w:r>
          </w:p>
        </w:tc>
        <w:tc>
          <w:tcPr>
            <w:tcW w:w="571" w:type="pct"/>
            <w:tcBorders>
              <w:top w:val="single" w:sz="4" w:space="0" w:color="auto"/>
              <w:left w:val="single" w:sz="4" w:space="0" w:color="auto"/>
              <w:bottom w:val="single" w:sz="4" w:space="0" w:color="auto"/>
              <w:right w:val="single" w:sz="4" w:space="0" w:color="auto"/>
            </w:tcBorders>
          </w:tcPr>
          <w:p w14:paraId="092A3C92" w14:textId="77777777" w:rsidR="002C2FB4" w:rsidRPr="00B56739" w:rsidRDefault="002C2FB4" w:rsidP="00622CB0">
            <w:pPr>
              <w:rPr>
                <w:rFonts w:ascii="Arial" w:hAnsi="Arial" w:cs="Arial"/>
                <w:sz w:val="20"/>
                <w:szCs w:val="20"/>
                <w:lang w:val="en-US"/>
              </w:rPr>
            </w:pPr>
            <w:r w:rsidRPr="002C2FB4">
              <w:rPr>
                <w:rFonts w:ascii="Arial" w:hAnsi="Arial" w:cs="Arial"/>
                <w:sz w:val="18"/>
                <w:szCs w:val="18"/>
                <w:lang w:val="en-US"/>
              </w:rPr>
              <w:t>3-5 years</w:t>
            </w:r>
          </w:p>
        </w:tc>
        <w:tc>
          <w:tcPr>
            <w:tcW w:w="657" w:type="pct"/>
            <w:tcBorders>
              <w:top w:val="single" w:sz="4" w:space="0" w:color="auto"/>
              <w:left w:val="single" w:sz="4" w:space="0" w:color="auto"/>
              <w:bottom w:val="single" w:sz="4" w:space="0" w:color="auto"/>
              <w:right w:val="single" w:sz="4" w:space="0" w:color="auto"/>
            </w:tcBorders>
          </w:tcPr>
          <w:p w14:paraId="34626B01" w14:textId="77777777" w:rsidR="002C2FB4" w:rsidRPr="00B56739" w:rsidRDefault="002C2FB4" w:rsidP="00622CB0">
            <w:pPr>
              <w:rPr>
                <w:rFonts w:ascii="Arial" w:hAnsi="Arial" w:cs="Arial"/>
                <w:sz w:val="20"/>
                <w:szCs w:val="20"/>
                <w:lang w:val="en-US"/>
              </w:rPr>
            </w:pPr>
            <w:r w:rsidRPr="002C2FB4">
              <w:rPr>
                <w:rFonts w:ascii="Arial" w:hAnsi="Arial" w:cs="Arial"/>
                <w:sz w:val="18"/>
                <w:szCs w:val="18"/>
                <w:lang w:val="en-US"/>
              </w:rPr>
              <w:t xml:space="preserve">Becoming a children’s play therapist will mean I have achieved my dream job and will allow me to reach my goal of supporting children through difficult experiences. </w:t>
            </w:r>
          </w:p>
        </w:tc>
        <w:tc>
          <w:tcPr>
            <w:tcW w:w="1013" w:type="pct"/>
            <w:tcBorders>
              <w:top w:val="single" w:sz="4" w:space="0" w:color="auto"/>
              <w:left w:val="single" w:sz="4" w:space="0" w:color="auto"/>
              <w:bottom w:val="single" w:sz="4" w:space="0" w:color="auto"/>
              <w:right w:val="single" w:sz="4" w:space="0" w:color="auto"/>
            </w:tcBorders>
          </w:tcPr>
          <w:p w14:paraId="3EAFE785" w14:textId="77777777" w:rsidR="002C2FB4" w:rsidRPr="00B56739" w:rsidRDefault="002C2FB4" w:rsidP="00622CB0">
            <w:pPr>
              <w:rPr>
                <w:lang w:val="en-US"/>
              </w:rPr>
            </w:pPr>
          </w:p>
        </w:tc>
      </w:tr>
    </w:tbl>
    <w:p w14:paraId="42081A91" w14:textId="77777777" w:rsidR="002C2FB4" w:rsidRDefault="002C2FB4" w:rsidP="002C2FB4"/>
    <w:p w14:paraId="7F229CFE" w14:textId="2148CFA2" w:rsidR="002C2FB4" w:rsidRDefault="002C2FB4" w:rsidP="002C2FB4">
      <w:pPr>
        <w:rPr>
          <w:rFonts w:ascii="Arial" w:hAnsi="Arial" w:cs="Arial"/>
        </w:rPr>
      </w:pPr>
    </w:p>
    <w:p w14:paraId="0152350D" w14:textId="77777777" w:rsidR="002C2FB4" w:rsidRDefault="002C2FB4">
      <w:pPr>
        <w:rPr>
          <w:rFonts w:ascii="Arial" w:hAnsi="Arial" w:cs="Arial"/>
        </w:rPr>
      </w:pPr>
      <w:r>
        <w:rPr>
          <w:rFonts w:ascii="Arial" w:hAnsi="Arial" w:cs="Arial"/>
        </w:rPr>
        <w:br w:type="page"/>
      </w:r>
    </w:p>
    <w:p w14:paraId="691578D6" w14:textId="77777777" w:rsidR="002C2FB4" w:rsidRPr="001B5FA3" w:rsidRDefault="002C2FB4" w:rsidP="001B5FA3">
      <w:pPr>
        <w:rPr>
          <w:rFonts w:ascii="Arial" w:hAnsi="Arial" w:cs="Arial"/>
        </w:rPr>
      </w:pP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1B5FA3" w:rsidRPr="004F2F82" w14:paraId="77581D65" w14:textId="77777777" w:rsidTr="00622CB0">
        <w:trPr>
          <w:trHeight w:val="274"/>
        </w:trPr>
        <w:tc>
          <w:tcPr>
            <w:tcW w:w="5469" w:type="dxa"/>
            <w:tcBorders>
              <w:top w:val="single" w:sz="4" w:space="0" w:color="auto"/>
              <w:left w:val="single" w:sz="4" w:space="0" w:color="auto"/>
              <w:bottom w:val="single" w:sz="4" w:space="0" w:color="auto"/>
              <w:right w:val="single" w:sz="4" w:space="0" w:color="auto"/>
            </w:tcBorders>
          </w:tcPr>
          <w:p w14:paraId="32B4D95C" w14:textId="77777777" w:rsidR="001B5FA3" w:rsidRPr="0045456F" w:rsidRDefault="001B5FA3" w:rsidP="00622CB0">
            <w:pPr>
              <w:spacing w:after="160" w:line="278" w:lineRule="auto"/>
              <w:rPr>
                <w:rFonts w:ascii="Arial" w:hAnsi="Arial" w:cs="Arial"/>
                <w:sz w:val="18"/>
                <w:szCs w:val="18"/>
              </w:rPr>
            </w:pPr>
            <w:r w:rsidRPr="0045456F">
              <w:rPr>
                <w:rFonts w:ascii="Arial" w:hAnsi="Arial" w:cs="Arial"/>
                <w:sz w:val="18"/>
                <w:szCs w:val="18"/>
              </w:rPr>
              <w:lastRenderedPageBreak/>
              <w:t>What is reflection and reflective practice?</w:t>
            </w:r>
          </w:p>
          <w:p w14:paraId="5F0368AD" w14:textId="77777777" w:rsidR="001B5FA3" w:rsidRPr="0045456F" w:rsidRDefault="001B5FA3" w:rsidP="00622CB0">
            <w:pPr>
              <w:spacing w:after="160" w:line="278" w:lineRule="auto"/>
              <w:rPr>
                <w:rFonts w:ascii="Arial" w:hAnsi="Arial" w:cs="Arial"/>
                <w:sz w:val="18"/>
                <w:szCs w:val="18"/>
              </w:rPr>
            </w:pPr>
            <w:r w:rsidRPr="0045456F">
              <w:rPr>
                <w:rFonts w:ascii="Arial" w:hAnsi="Arial" w:cs="Arial"/>
                <w:sz w:val="18"/>
                <w:szCs w:val="18"/>
              </w:rPr>
              <w:t>Reflection and reflective practice are core values of professionals and have a key role in professional training. Reflection is prompted in a range of disciplines, particularly in education, health and social care and is an essential part of professional practice. (Brock 2015)</w:t>
            </w:r>
          </w:p>
          <w:p w14:paraId="20D38EEA" w14:textId="77777777" w:rsidR="001B5FA3" w:rsidRPr="0045456F" w:rsidRDefault="001B5FA3" w:rsidP="00622CB0">
            <w:pPr>
              <w:spacing w:after="160" w:line="278" w:lineRule="auto"/>
              <w:rPr>
                <w:rFonts w:ascii="Arial" w:hAnsi="Arial" w:cs="Arial"/>
                <w:sz w:val="18"/>
                <w:szCs w:val="18"/>
              </w:rPr>
            </w:pPr>
            <w:r w:rsidRPr="0045456F">
              <w:rPr>
                <w:rFonts w:ascii="Arial" w:hAnsi="Arial" w:cs="Arial"/>
                <w:sz w:val="18"/>
                <w:szCs w:val="18"/>
              </w:rPr>
              <w:t xml:space="preserve">Reflection is a key factor to improving your skills and abilities, it’s the process of learning from everyday situations and concerns that arise. As suggested by (Pacey 2016), reflective practice is the process of thinking about and analysing your practice with the aim of challenging, changing, modifying, developing and improving it. Being reflective and engaging in reflective practice means asking yourself questions such as what happened? How did I react? Will I react differently next time? </w:t>
            </w:r>
          </w:p>
          <w:p w14:paraId="6F1E6738" w14:textId="77777777" w:rsidR="001B5FA3" w:rsidRDefault="001B5FA3" w:rsidP="00622CB0">
            <w:pPr>
              <w:spacing w:after="160" w:line="278" w:lineRule="auto"/>
              <w:rPr>
                <w:rFonts w:ascii="Arial" w:hAnsi="Arial" w:cs="Arial"/>
              </w:rPr>
            </w:pPr>
          </w:p>
          <w:p w14:paraId="7C6AC2BB" w14:textId="77777777" w:rsidR="001B5FA3" w:rsidRPr="004F2F82" w:rsidRDefault="001B5FA3" w:rsidP="00622CB0">
            <w:pPr>
              <w:spacing w:after="160" w:line="278" w:lineRule="auto"/>
              <w:rPr>
                <w:rFonts w:ascii="Arial" w:hAnsi="Arial" w:cs="Arial"/>
              </w:rPr>
            </w:pPr>
          </w:p>
          <w:p w14:paraId="26BD75A6" w14:textId="77777777" w:rsidR="001B5FA3" w:rsidRPr="004F2F82" w:rsidRDefault="001B5FA3" w:rsidP="00622CB0">
            <w:pPr>
              <w:spacing w:after="160" w:line="278" w:lineRule="auto"/>
              <w:rPr>
                <w:lang w:val="cy-GB"/>
              </w:rPr>
            </w:pPr>
          </w:p>
          <w:p w14:paraId="4D572291" w14:textId="77777777" w:rsidR="001B5FA3" w:rsidRPr="004F2F82" w:rsidRDefault="001B5FA3" w:rsidP="00622CB0">
            <w:pPr>
              <w:spacing w:after="160" w:line="278" w:lineRule="auto"/>
            </w:pPr>
          </w:p>
          <w:p w14:paraId="22D5F689" w14:textId="77777777" w:rsidR="001B5FA3" w:rsidRPr="004F2F82" w:rsidRDefault="001B5FA3" w:rsidP="00622CB0">
            <w:pPr>
              <w:spacing w:after="160" w:line="278" w:lineRule="auto"/>
            </w:pPr>
          </w:p>
          <w:p w14:paraId="055FA1CA" w14:textId="77777777" w:rsidR="001B5FA3" w:rsidRPr="004F2F82" w:rsidRDefault="001B5FA3" w:rsidP="00622CB0">
            <w:pPr>
              <w:spacing w:after="160" w:line="278" w:lineRule="auto"/>
            </w:pPr>
          </w:p>
          <w:p w14:paraId="40CE88D1" w14:textId="77777777" w:rsidR="001B5FA3" w:rsidRPr="004F2F82" w:rsidRDefault="001B5FA3" w:rsidP="00622CB0">
            <w:pPr>
              <w:spacing w:after="160" w:line="278" w:lineRule="auto"/>
            </w:pPr>
          </w:p>
          <w:p w14:paraId="4E6389E0" w14:textId="77777777" w:rsidR="001B5FA3" w:rsidRPr="004F2F82" w:rsidRDefault="001B5FA3" w:rsidP="00622CB0">
            <w:pPr>
              <w:spacing w:after="160" w:line="278" w:lineRule="auto"/>
            </w:pPr>
          </w:p>
          <w:p w14:paraId="5BAD28F2" w14:textId="77777777" w:rsidR="001B5FA3" w:rsidRPr="004F2F82" w:rsidRDefault="001B5FA3" w:rsidP="00622CB0">
            <w:pPr>
              <w:spacing w:after="160" w:line="278" w:lineRule="auto"/>
            </w:pPr>
          </w:p>
          <w:p w14:paraId="1D08AC33" w14:textId="77777777" w:rsidR="001B5FA3" w:rsidRPr="004F2F82" w:rsidRDefault="001B5FA3" w:rsidP="00622CB0">
            <w:pPr>
              <w:spacing w:after="160" w:line="278" w:lineRule="auto"/>
            </w:pPr>
          </w:p>
          <w:p w14:paraId="70C2E3A9" w14:textId="77777777" w:rsidR="001B5FA3" w:rsidRPr="004F2F82" w:rsidRDefault="001B5FA3" w:rsidP="00622CB0">
            <w:pPr>
              <w:spacing w:after="160" w:line="278" w:lineRule="auto"/>
            </w:pPr>
          </w:p>
          <w:p w14:paraId="7FA4C101" w14:textId="77777777" w:rsidR="001B5FA3" w:rsidRPr="004F2F82" w:rsidRDefault="001B5FA3" w:rsidP="00622CB0">
            <w:pPr>
              <w:spacing w:after="160" w:line="278" w:lineRule="auto"/>
            </w:pPr>
          </w:p>
          <w:p w14:paraId="6E8D31E1" w14:textId="77777777" w:rsidR="001B5FA3" w:rsidRPr="004F2F82" w:rsidRDefault="001B5FA3" w:rsidP="00622CB0">
            <w:pPr>
              <w:spacing w:after="160" w:line="278" w:lineRule="auto"/>
            </w:pPr>
          </w:p>
          <w:p w14:paraId="39BF81F2" w14:textId="77777777" w:rsidR="001B5FA3" w:rsidRPr="004F2F82" w:rsidRDefault="001B5FA3" w:rsidP="00622CB0">
            <w:pPr>
              <w:spacing w:after="160" w:line="278" w:lineRule="auto"/>
            </w:pPr>
          </w:p>
          <w:p w14:paraId="02E8E87A" w14:textId="77777777" w:rsidR="001B5FA3" w:rsidRPr="004F2F82" w:rsidRDefault="001B5FA3" w:rsidP="00622CB0">
            <w:pPr>
              <w:spacing w:after="160" w:line="278" w:lineRule="auto"/>
            </w:pPr>
          </w:p>
        </w:tc>
        <w:tc>
          <w:tcPr>
            <w:tcW w:w="5725" w:type="dxa"/>
            <w:tcBorders>
              <w:top w:val="single" w:sz="4" w:space="0" w:color="auto"/>
              <w:left w:val="single" w:sz="4" w:space="0" w:color="auto"/>
              <w:bottom w:val="single" w:sz="4" w:space="0" w:color="auto"/>
              <w:right w:val="single" w:sz="4" w:space="0" w:color="auto"/>
            </w:tcBorders>
          </w:tcPr>
          <w:p w14:paraId="3C2B2F57" w14:textId="77777777" w:rsidR="001B5FA3" w:rsidRPr="0045456F" w:rsidRDefault="001B5FA3" w:rsidP="00622CB0">
            <w:pPr>
              <w:spacing w:after="160" w:line="278" w:lineRule="auto"/>
              <w:rPr>
                <w:rFonts w:ascii="Arial" w:hAnsi="Arial" w:cs="Arial"/>
                <w:sz w:val="18"/>
                <w:szCs w:val="18"/>
              </w:rPr>
            </w:pPr>
            <w:r w:rsidRPr="0045456F">
              <w:rPr>
                <w:rFonts w:ascii="Arial" w:hAnsi="Arial" w:cs="Arial"/>
                <w:sz w:val="18"/>
                <w:szCs w:val="18"/>
              </w:rPr>
              <w:t>Why is reflective practise important to EY practise?</w:t>
            </w:r>
          </w:p>
          <w:p w14:paraId="5FC3FE17" w14:textId="77777777" w:rsidR="001B5FA3" w:rsidRPr="0045456F" w:rsidRDefault="001B5FA3" w:rsidP="00622CB0">
            <w:pPr>
              <w:spacing w:after="160" w:line="278" w:lineRule="auto"/>
              <w:rPr>
                <w:rFonts w:ascii="Arial" w:hAnsi="Arial" w:cs="Arial"/>
                <w:sz w:val="18"/>
                <w:szCs w:val="18"/>
              </w:rPr>
            </w:pPr>
            <w:proofErr w:type="gramStart"/>
            <w:r w:rsidRPr="0045456F">
              <w:rPr>
                <w:rFonts w:ascii="Arial" w:hAnsi="Arial" w:cs="Arial"/>
                <w:sz w:val="18"/>
                <w:szCs w:val="18"/>
              </w:rPr>
              <w:t>In order to</w:t>
            </w:r>
            <w:proofErr w:type="gramEnd"/>
            <w:r w:rsidRPr="0045456F">
              <w:rPr>
                <w:rFonts w:ascii="Arial" w:hAnsi="Arial" w:cs="Arial"/>
                <w:sz w:val="18"/>
                <w:szCs w:val="18"/>
              </w:rPr>
              <w:t xml:space="preserve"> provide high quality care as an early year’s practitioner, it is important to constantly review and reflect on your behaviours and interactions in the setting so that we can learn from any mistakes and understand what went well and what needs to be improved. Reflective practice is a practice that is supported by research and theory, it enables early years practitioners to develop a critical understanding of their practice, increase confidence and be more proactive, improve skills, knowledge and understanding and most importantly improve the quality of care and education offered to children (Birthto5matters 2021). In early years, it can also be just as important to include collaborative reflection into your practice. This type of reflection lead to deeper levels of critical reflection. It involves groups of practitioners or teachers of any level coming together to plan, execute, observe and evaluate a lesson (Durham university, no date). Some of the benefits of collaborative reflection are that others can help you identify your strengths and areas for improvement, and you are able to bounce ideas off each other. It is believed that engaging in a process of reflection in a purposeful way will promote your confidence, articulation and professionalism (Avril Brock 2015) which is essential for providing the best care and education possible in the early years sector. As an </w:t>
            </w:r>
            <w:proofErr w:type="gramStart"/>
            <w:r w:rsidRPr="0045456F">
              <w:rPr>
                <w:rFonts w:ascii="Arial" w:hAnsi="Arial" w:cs="Arial"/>
                <w:sz w:val="18"/>
                <w:szCs w:val="18"/>
              </w:rPr>
              <w:t>early years</w:t>
            </w:r>
            <w:proofErr w:type="gramEnd"/>
            <w:r w:rsidRPr="0045456F">
              <w:rPr>
                <w:rFonts w:ascii="Arial" w:hAnsi="Arial" w:cs="Arial"/>
                <w:sz w:val="18"/>
                <w:szCs w:val="18"/>
              </w:rPr>
              <w:t xml:space="preserve"> practitioner you aim to provide the best possible care, support and education you can. It is important to reflect on your practice to ensure you are making any necessary improvements, understand what you did well in certain situations which can allow you to succeed in further practice and to ensure that you are providing young children with the best learning experiences, care and support they will help them through their development. This is supported by (Little Scholars) who state that studies show that this practice allows early childhood professionals to develop a critical understanding of our own practice and continually develop the necessary skills, knowledge and approaches to achieve the best outcomes for children.</w:t>
            </w:r>
          </w:p>
          <w:p w14:paraId="54590D17" w14:textId="77777777" w:rsidR="001B5FA3" w:rsidRPr="004F2F82" w:rsidRDefault="001B5FA3" w:rsidP="00622CB0">
            <w:pPr>
              <w:spacing w:after="160" w:line="278" w:lineRule="auto"/>
            </w:pPr>
          </w:p>
        </w:tc>
      </w:tr>
      <w:tr w:rsidR="001B5FA3" w:rsidRPr="004F2F82" w14:paraId="387676F1" w14:textId="77777777" w:rsidTr="00622CB0">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0A6C9711" w14:textId="77777777" w:rsidR="001B5FA3" w:rsidRDefault="001B5FA3" w:rsidP="00622CB0">
            <w:pPr>
              <w:spacing w:after="160" w:line="278" w:lineRule="auto"/>
            </w:pPr>
            <w:r w:rsidRPr="004F2F82">
              <w:t>The theory of reflective practi</w:t>
            </w:r>
            <w:r>
              <w:t>c</w:t>
            </w:r>
            <w:r w:rsidRPr="004F2F82">
              <w:t>e:</w:t>
            </w:r>
          </w:p>
          <w:p w14:paraId="02EC25E5" w14:textId="77777777" w:rsidR="001B5FA3" w:rsidRPr="001C372D" w:rsidRDefault="001B5FA3" w:rsidP="00622CB0">
            <w:pPr>
              <w:spacing w:after="160" w:line="278" w:lineRule="auto"/>
              <w:rPr>
                <w:rFonts w:ascii="Arial" w:hAnsi="Arial" w:cs="Arial"/>
                <w:sz w:val="22"/>
                <w:szCs w:val="22"/>
              </w:rPr>
            </w:pPr>
            <w:r w:rsidRPr="0045456F">
              <w:rPr>
                <w:rFonts w:ascii="Arial" w:hAnsi="Arial" w:cs="Arial"/>
                <w:sz w:val="18"/>
                <w:szCs w:val="18"/>
              </w:rPr>
              <w:t>The theory of reflective practice is based on the work of Dewey and Schon. It emphasizes how actions can be directed through careful planning, experience and theory. Dewey identified two types of action in his work, these actions are ‘routine action’ and ‘reflective action’ in which Dewey provides the basis for the theory of reflective practice. Schons theory of reflective practice states that professionals need to “think about what they are doing while they are doing it”. Schon built on Dewey’s work and because of this in his theory he includes ‘reflecting on action’ which initially means reflecting after something happens. Reconsidering the situation and thinking about what needs to change in the future. His theory also includes ‘reflecting in action’ which means to consider the situation as it is happening and decide</w:t>
            </w:r>
            <w:r>
              <w:rPr>
                <w:rFonts w:ascii="Arial" w:hAnsi="Arial" w:cs="Arial"/>
                <w:sz w:val="22"/>
                <w:szCs w:val="22"/>
              </w:rPr>
              <w:t xml:space="preserve"> </w:t>
            </w:r>
            <w:r w:rsidRPr="0045456F">
              <w:rPr>
                <w:rFonts w:ascii="Arial" w:hAnsi="Arial" w:cs="Arial"/>
                <w:sz w:val="18"/>
                <w:szCs w:val="18"/>
              </w:rPr>
              <w:lastRenderedPageBreak/>
              <w:t>how to act immediately. Reflective practice enables us to wonder at our own world, work, course, and indeed ourselves, because ‘problems do not present themselves to the practitioner as givens… he must make sense of an uncertain situation that initially makes no sense’ (Schon 1983, p. 40). Schons theory means looking at everyday taken for granted and perceiving them as unfamiliar and open to change. Schon suggests that “the reflective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 (Schon 2016).</w:t>
            </w:r>
          </w:p>
        </w:tc>
      </w:tr>
      <w:tr w:rsidR="001B5FA3" w:rsidRPr="004F2F82" w14:paraId="63435C02" w14:textId="77777777" w:rsidTr="00622CB0">
        <w:trPr>
          <w:trHeight w:val="3549"/>
        </w:trPr>
        <w:tc>
          <w:tcPr>
            <w:tcW w:w="5469" w:type="dxa"/>
            <w:tcBorders>
              <w:top w:val="single" w:sz="4" w:space="0" w:color="auto"/>
              <w:left w:val="single" w:sz="4" w:space="0" w:color="auto"/>
              <w:bottom w:val="single" w:sz="4" w:space="0" w:color="auto"/>
              <w:right w:val="single" w:sz="4" w:space="0" w:color="auto"/>
            </w:tcBorders>
          </w:tcPr>
          <w:p w14:paraId="33BDD099" w14:textId="77777777" w:rsidR="001B5FA3" w:rsidRPr="0045456F" w:rsidRDefault="001B5FA3" w:rsidP="00622CB0">
            <w:pPr>
              <w:spacing w:after="160" w:line="278" w:lineRule="auto"/>
              <w:rPr>
                <w:sz w:val="18"/>
                <w:szCs w:val="18"/>
              </w:rPr>
            </w:pPr>
            <w:r w:rsidRPr="0045456F">
              <w:rPr>
                <w:sz w:val="18"/>
                <w:szCs w:val="18"/>
              </w:rPr>
              <w:lastRenderedPageBreak/>
              <w:t>Gibbs’ model</w:t>
            </w:r>
          </w:p>
          <w:p w14:paraId="13F84E48" w14:textId="77777777" w:rsidR="001B5FA3" w:rsidRPr="004F2F82" w:rsidRDefault="001B5FA3" w:rsidP="00622CB0">
            <w:pPr>
              <w:spacing w:after="160" w:line="278" w:lineRule="auto"/>
            </w:pPr>
          </w:p>
          <w:p w14:paraId="37DFEBAF" w14:textId="77777777" w:rsidR="001B5FA3" w:rsidRPr="004F2F82" w:rsidRDefault="001B5FA3" w:rsidP="00622CB0">
            <w:pPr>
              <w:spacing w:after="160" w:line="278" w:lineRule="auto"/>
            </w:pPr>
            <w:r w:rsidRPr="004F2F82">
              <w:rPr>
                <w:noProof/>
              </w:rPr>
              <w:drawing>
                <wp:anchor distT="0" distB="0" distL="114300" distR="114300" simplePos="0" relativeHeight="251659264" behindDoc="1" locked="0" layoutInCell="1" allowOverlap="1" wp14:anchorId="58242A0D" wp14:editId="7E6E069E">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2057874403" name="Picture 4"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74403" name="Picture 4" descr="A diagram of a cyc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l="13551" t="12178" r="10883"/>
                          <a:stretch>
                            <a:fillRect/>
                          </a:stretch>
                        </pic:blipFill>
                        <pic:spPr bwMode="auto">
                          <a:xfrm>
                            <a:off x="0" y="0"/>
                            <a:ext cx="1787525" cy="1623695"/>
                          </a:xfrm>
                          <a:prstGeom prst="rect">
                            <a:avLst/>
                          </a:prstGeom>
                          <a:noFill/>
                        </pic:spPr>
                      </pic:pic>
                    </a:graphicData>
                  </a:graphic>
                  <wp14:sizeRelH relativeFrom="margin">
                    <wp14:pctWidth>0</wp14:pctWidth>
                  </wp14:sizeRelH>
                  <wp14:sizeRelV relativeFrom="margin">
                    <wp14:pctHeight>0</wp14:pctHeight>
                  </wp14:sizeRelV>
                </wp:anchor>
              </w:drawing>
            </w:r>
          </w:p>
          <w:p w14:paraId="24617603" w14:textId="77777777" w:rsidR="001B5FA3" w:rsidRPr="004F2F82" w:rsidRDefault="001B5FA3" w:rsidP="00622CB0">
            <w:pPr>
              <w:spacing w:after="160" w:line="278" w:lineRule="auto"/>
            </w:pPr>
          </w:p>
          <w:p w14:paraId="49F917F9" w14:textId="77777777" w:rsidR="001B5FA3" w:rsidRPr="004F2F82" w:rsidRDefault="001B5FA3" w:rsidP="00622CB0">
            <w:pPr>
              <w:spacing w:after="160" w:line="278" w:lineRule="auto"/>
            </w:pPr>
          </w:p>
          <w:p w14:paraId="74197ED9" w14:textId="77777777" w:rsidR="001B5FA3" w:rsidRPr="004F2F82" w:rsidRDefault="001B5FA3" w:rsidP="00622CB0">
            <w:pPr>
              <w:spacing w:after="160" w:line="278" w:lineRule="auto"/>
            </w:pPr>
          </w:p>
          <w:p w14:paraId="11245168" w14:textId="77777777" w:rsidR="001B5FA3" w:rsidRPr="004F2F82" w:rsidRDefault="001B5FA3" w:rsidP="00622CB0">
            <w:pPr>
              <w:spacing w:after="160" w:line="278" w:lineRule="auto"/>
            </w:pPr>
          </w:p>
          <w:p w14:paraId="3953BEF3" w14:textId="77777777" w:rsidR="001B5FA3" w:rsidRPr="004F2F82" w:rsidRDefault="001B5FA3" w:rsidP="00622CB0">
            <w:pPr>
              <w:spacing w:after="160" w:line="278" w:lineRule="auto"/>
            </w:pPr>
          </w:p>
        </w:tc>
        <w:tc>
          <w:tcPr>
            <w:tcW w:w="5725" w:type="dxa"/>
            <w:tcBorders>
              <w:top w:val="single" w:sz="4" w:space="0" w:color="auto"/>
              <w:left w:val="single" w:sz="4" w:space="0" w:color="auto"/>
              <w:bottom w:val="single" w:sz="4" w:space="0" w:color="auto"/>
              <w:right w:val="single" w:sz="4" w:space="0" w:color="auto"/>
            </w:tcBorders>
            <w:hideMark/>
          </w:tcPr>
          <w:p w14:paraId="5CD144A5" w14:textId="77777777" w:rsidR="001B5FA3" w:rsidRPr="004F2F82" w:rsidRDefault="001B5FA3" w:rsidP="00622CB0">
            <w:pPr>
              <w:spacing w:after="160" w:line="278" w:lineRule="auto"/>
            </w:pPr>
            <w:r w:rsidRPr="0045456F">
              <w:rPr>
                <w:noProof/>
                <w:sz w:val="18"/>
                <w:szCs w:val="18"/>
              </w:rPr>
              <w:drawing>
                <wp:anchor distT="0" distB="0" distL="114300" distR="114300" simplePos="0" relativeHeight="251660288" behindDoc="1" locked="0" layoutInCell="1" allowOverlap="1" wp14:anchorId="5E00E0B2" wp14:editId="62B8EBE5">
                  <wp:simplePos x="0" y="0"/>
                  <wp:positionH relativeFrom="column">
                    <wp:posOffset>678815</wp:posOffset>
                  </wp:positionH>
                  <wp:positionV relativeFrom="paragraph">
                    <wp:posOffset>205740</wp:posOffset>
                  </wp:positionV>
                  <wp:extent cx="2237740" cy="1971040"/>
                  <wp:effectExtent l="0" t="0" r="0" b="0"/>
                  <wp:wrapTight wrapText="bothSides">
                    <wp:wrapPolygon edited="0">
                      <wp:start x="0" y="0"/>
                      <wp:lineTo x="0" y="21294"/>
                      <wp:lineTo x="21330" y="21294"/>
                      <wp:lineTo x="21330" y="0"/>
                      <wp:lineTo x="0" y="0"/>
                    </wp:wrapPolygon>
                  </wp:wrapTight>
                  <wp:docPr id="1304919736" name="Picture 3"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8">
                            <a:extLst>
                              <a:ext uri="{28A0092B-C50C-407E-A947-70E740481C1C}">
                                <a14:useLocalDpi xmlns:a14="http://schemas.microsoft.com/office/drawing/2010/main" val="0"/>
                              </a:ext>
                            </a:extLst>
                          </a:blip>
                          <a:srcRect l="5461" r="13116"/>
                          <a:stretch>
                            <a:fillRect/>
                          </a:stretch>
                        </pic:blipFill>
                        <pic:spPr bwMode="auto">
                          <a:xfrm>
                            <a:off x="0" y="0"/>
                            <a:ext cx="2237740" cy="1971040"/>
                          </a:xfrm>
                          <a:prstGeom prst="rect">
                            <a:avLst/>
                          </a:prstGeom>
                          <a:noFill/>
                        </pic:spPr>
                      </pic:pic>
                    </a:graphicData>
                  </a:graphic>
                  <wp14:sizeRelH relativeFrom="margin">
                    <wp14:pctWidth>0</wp14:pctWidth>
                  </wp14:sizeRelH>
                  <wp14:sizeRelV relativeFrom="margin">
                    <wp14:pctHeight>0</wp14:pctHeight>
                  </wp14:sizeRelV>
                </wp:anchor>
              </w:drawing>
            </w:r>
            <w:r w:rsidRPr="0045456F">
              <w:rPr>
                <w:sz w:val="18"/>
                <w:szCs w:val="18"/>
              </w:rPr>
              <w:t>Kolb’s model</w:t>
            </w:r>
          </w:p>
        </w:tc>
      </w:tr>
      <w:tr w:rsidR="001B5FA3" w:rsidRPr="004F2F82" w14:paraId="5AE67941" w14:textId="77777777" w:rsidTr="00622CB0">
        <w:trPr>
          <w:trHeight w:val="3006"/>
        </w:trPr>
        <w:tc>
          <w:tcPr>
            <w:tcW w:w="11194" w:type="dxa"/>
            <w:gridSpan w:val="2"/>
            <w:tcBorders>
              <w:top w:val="single" w:sz="4" w:space="0" w:color="auto"/>
              <w:left w:val="single" w:sz="4" w:space="0" w:color="auto"/>
              <w:bottom w:val="single" w:sz="4" w:space="0" w:color="auto"/>
              <w:right w:val="single" w:sz="4" w:space="0" w:color="auto"/>
            </w:tcBorders>
          </w:tcPr>
          <w:p w14:paraId="2A2DB269" w14:textId="77777777" w:rsidR="001B5FA3" w:rsidRPr="0045456F" w:rsidRDefault="001B5FA3" w:rsidP="00622CB0">
            <w:pPr>
              <w:spacing w:after="160" w:line="278" w:lineRule="auto"/>
              <w:rPr>
                <w:sz w:val="18"/>
                <w:szCs w:val="18"/>
              </w:rPr>
            </w:pPr>
            <w:r w:rsidRPr="0045456F">
              <w:rPr>
                <w:sz w:val="18"/>
                <w:szCs w:val="18"/>
              </w:rPr>
              <w:t>Analysis of models – compare/contrast/pros/cons:</w:t>
            </w:r>
          </w:p>
          <w:p w14:paraId="36223F63" w14:textId="77777777" w:rsidR="001B5FA3" w:rsidRPr="002D0479" w:rsidRDefault="001B5FA3" w:rsidP="00622CB0">
            <w:pPr>
              <w:spacing w:after="160" w:line="278" w:lineRule="auto"/>
              <w:rPr>
                <w:rFonts w:ascii="Arial" w:hAnsi="Arial" w:cs="Arial"/>
                <w:sz w:val="18"/>
                <w:szCs w:val="18"/>
              </w:rPr>
            </w:pPr>
            <w:r w:rsidRPr="0045456F">
              <w:rPr>
                <w:rFonts w:ascii="Arial" w:hAnsi="Arial" w:cs="Arial"/>
                <w:sz w:val="18"/>
                <w:szCs w:val="18"/>
              </w:rPr>
              <w:t>Kolb’s model, published in 1984, centres on the concept of developing understanding through actual experiences. The four stages of this cycle show how individuals learn through a continuous process of experiencing, reflecting, conceptualizing and experimenting. Gibbs model, published in 1988, builds on Kolb’s model however includes three more stages. It is a more complex model that gives structure to the process of learning through experiences through six stages. (Cambridge university, no year). Just like in Kolb’s model, Gibbs model begins with a description of the experience. However, the difference between these two models lies primarily between focus and structure. differently to Kolb’s, Gibbs model encourages the individual to explore their thoughts and feelings associated with the situation. This model encourages individuals to critically analyse their actions, behaviours and emotions, leading to a deeper understanding of their strengths and areas for improvement. Whereas Kolb’s model involves reflecting on the experience as a whole and noting any new ideas. Both models are similar in that they both include a final stage which encourages outlining a plan and setting out an ‘action plan’ for future situations and experiences (Guilfoyle 2020).</w:t>
            </w:r>
          </w:p>
        </w:tc>
      </w:tr>
      <w:tr w:rsidR="001B5FA3" w:rsidRPr="004F2F82" w14:paraId="0282347C" w14:textId="77777777" w:rsidTr="00622CB0">
        <w:trPr>
          <w:trHeight w:val="1844"/>
        </w:trPr>
        <w:tc>
          <w:tcPr>
            <w:tcW w:w="11194" w:type="dxa"/>
            <w:gridSpan w:val="2"/>
            <w:tcBorders>
              <w:top w:val="single" w:sz="4" w:space="0" w:color="auto"/>
              <w:left w:val="single" w:sz="4" w:space="0" w:color="auto"/>
              <w:bottom w:val="single" w:sz="4" w:space="0" w:color="auto"/>
              <w:right w:val="single" w:sz="4" w:space="0" w:color="auto"/>
            </w:tcBorders>
          </w:tcPr>
          <w:p w14:paraId="56C6869B" w14:textId="77777777" w:rsidR="001B5FA3" w:rsidRPr="0045456F" w:rsidRDefault="001B5FA3" w:rsidP="00622CB0">
            <w:pPr>
              <w:spacing w:after="160" w:line="278" w:lineRule="auto"/>
              <w:rPr>
                <w:sz w:val="18"/>
                <w:szCs w:val="18"/>
              </w:rPr>
            </w:pPr>
            <w:r w:rsidRPr="0045456F">
              <w:rPr>
                <w:sz w:val="18"/>
                <w:szCs w:val="18"/>
              </w:rPr>
              <w:t xml:space="preserve">Conclusion </w:t>
            </w:r>
          </w:p>
          <w:p w14:paraId="1926D9E7" w14:textId="77777777" w:rsidR="001B5FA3" w:rsidRPr="002D0479" w:rsidRDefault="001B5FA3" w:rsidP="00622CB0">
            <w:pPr>
              <w:spacing w:after="160" w:line="278" w:lineRule="auto"/>
              <w:rPr>
                <w:sz w:val="18"/>
                <w:szCs w:val="18"/>
              </w:rPr>
            </w:pPr>
            <w:r w:rsidRPr="0045456F">
              <w:rPr>
                <w:sz w:val="18"/>
                <w:szCs w:val="18"/>
              </w:rPr>
              <w:t>In summary, reflection and reflective practice are key aspects to becoming a professional practitioner as well as being key aspects to maintain self-confidence as well as building your self-conception. Allowing you to handle future situations in a more positive and benefited way. Reflective practice enables us to evaluate skills, it is a practice supported by research and theories that allows us to develop critical and mindful awareness of ourselves and others.</w:t>
            </w:r>
          </w:p>
        </w:tc>
      </w:tr>
    </w:tbl>
    <w:p w14:paraId="632F260E" w14:textId="77777777" w:rsidR="00C50FF5" w:rsidRDefault="00C50FF5" w:rsidP="00C50FF5"/>
    <w:p w14:paraId="0E2A9EDB" w14:textId="62C14A1E" w:rsidR="00C50FF5" w:rsidRDefault="00C50FF5" w:rsidP="002C2FB4">
      <w:pPr>
        <w:rPr>
          <w:rFonts w:ascii="Arial" w:hAnsi="Arial" w:cs="Arial"/>
        </w:rPr>
      </w:pPr>
    </w:p>
    <w:p w14:paraId="2C45508B" w14:textId="77777777" w:rsidR="00C50FF5" w:rsidRDefault="00C50FF5">
      <w:pPr>
        <w:rPr>
          <w:rFonts w:ascii="Arial" w:hAnsi="Arial" w:cs="Arial"/>
        </w:rPr>
      </w:pPr>
      <w:r>
        <w:rPr>
          <w:rFonts w:ascii="Arial" w:hAnsi="Arial" w:cs="Arial"/>
        </w:rPr>
        <w:br w:type="page"/>
      </w:r>
    </w:p>
    <w:p w14:paraId="24147AD9" w14:textId="77777777" w:rsidR="00C50FF5" w:rsidRDefault="00C50FF5" w:rsidP="00C50FF5">
      <w:pPr>
        <w:jc w:val="center"/>
        <w:rPr>
          <w:b/>
          <w:bCs/>
          <w:sz w:val="28"/>
          <w:szCs w:val="28"/>
          <w:u w:val="single"/>
        </w:rPr>
      </w:pPr>
      <w:r>
        <w:rPr>
          <w:b/>
          <w:bCs/>
          <w:sz w:val="28"/>
          <w:szCs w:val="28"/>
          <w:u w:val="single"/>
        </w:rPr>
        <w:lastRenderedPageBreak/>
        <w:t>Briefing Paper Reference List</w:t>
      </w:r>
    </w:p>
    <w:p w14:paraId="40B99553" w14:textId="77777777" w:rsidR="00C50FF5" w:rsidRPr="0098597D" w:rsidRDefault="00C50FF5" w:rsidP="00C50FF5">
      <w:pPr>
        <w:pStyle w:val="ListParagraph"/>
        <w:numPr>
          <w:ilvl w:val="0"/>
          <w:numId w:val="1"/>
        </w:numPr>
      </w:pPr>
      <w:r>
        <w:t xml:space="preserve">Avril Brock (2015) </w:t>
      </w:r>
      <w:r w:rsidRPr="002C3B68">
        <w:rPr>
          <w:i/>
          <w:iCs/>
        </w:rPr>
        <w:t>The Early Years Reflective Practice Handbook</w:t>
      </w:r>
      <w:r>
        <w:rPr>
          <w:i/>
          <w:iCs/>
        </w:rPr>
        <w:t xml:space="preserve"> Page 28. Routledge. </w:t>
      </w:r>
    </w:p>
    <w:p w14:paraId="2AA2575D" w14:textId="77777777" w:rsidR="00C50FF5" w:rsidRDefault="00C50FF5" w:rsidP="00C50FF5">
      <w:pPr>
        <w:pStyle w:val="ListParagraph"/>
        <w:numPr>
          <w:ilvl w:val="0"/>
          <w:numId w:val="1"/>
        </w:numPr>
      </w:pPr>
      <w:r w:rsidRPr="00FE1070">
        <w:t xml:space="preserve">Birth to 5 matters. (2021) Professional reflective practice. Available at: </w:t>
      </w:r>
      <w:hyperlink r:id="rId9" w:history="1">
        <w:r w:rsidRPr="00FE1070">
          <w:rPr>
            <w:rStyle w:val="Hyperlink"/>
          </w:rPr>
          <w:t>https://birthto5matters.org.uk/wp-content/uploads/2021/03/PDF-20-Professional-Reflective-Practice-1-1.pdf</w:t>
        </w:r>
      </w:hyperlink>
      <w:r>
        <w:t xml:space="preserve"> (Accessed: 13</w:t>
      </w:r>
      <w:r w:rsidRPr="00FE1070">
        <w:rPr>
          <w:vertAlign w:val="superscript"/>
        </w:rPr>
        <w:t>th</w:t>
      </w:r>
      <w:r>
        <w:t xml:space="preserve"> October 2024)</w:t>
      </w:r>
    </w:p>
    <w:p w14:paraId="30FE45D4" w14:textId="77777777" w:rsidR="00C50FF5" w:rsidRDefault="00C50FF5" w:rsidP="00C50FF5">
      <w:pPr>
        <w:pStyle w:val="ListParagraph"/>
        <w:numPr>
          <w:ilvl w:val="0"/>
          <w:numId w:val="1"/>
        </w:numPr>
      </w:pPr>
      <w:r w:rsidRPr="004D5686">
        <w:t xml:space="preserve">Brock, A. (2015) </w:t>
      </w:r>
      <w:r w:rsidRPr="004D5686">
        <w:rPr>
          <w:i/>
          <w:iCs/>
        </w:rPr>
        <w:t>The early years reflective practice handbook</w:t>
      </w:r>
      <w:r w:rsidRPr="004D5686">
        <w:t>. London: Routledge</w:t>
      </w:r>
    </w:p>
    <w:p w14:paraId="25C9B4F4" w14:textId="77777777" w:rsidR="00C50FF5" w:rsidRDefault="00C50FF5" w:rsidP="00C50FF5">
      <w:pPr>
        <w:pStyle w:val="ListParagraph"/>
        <w:numPr>
          <w:ilvl w:val="0"/>
          <w:numId w:val="1"/>
        </w:numPr>
      </w:pPr>
      <w:r>
        <w:t xml:space="preserve">Cambridge University (no year) </w:t>
      </w:r>
      <w:r>
        <w:rPr>
          <w:i/>
          <w:iCs/>
        </w:rPr>
        <w:t xml:space="preserve">Study Skills Models of Reflection. </w:t>
      </w:r>
      <w:r>
        <w:t xml:space="preserve">Available at </w:t>
      </w:r>
      <w:hyperlink r:id="rId10" w:history="1">
        <w:r w:rsidRPr="00E577AE">
          <w:rPr>
            <w:rStyle w:val="Hyperlink"/>
          </w:rPr>
          <w:t xml:space="preserve">Models of reflection - Reflective Practice Toolkit - </w:t>
        </w:r>
        <w:proofErr w:type="spellStart"/>
        <w:r w:rsidRPr="00E577AE">
          <w:rPr>
            <w:rStyle w:val="Hyperlink"/>
          </w:rPr>
          <w:t>LibGuides</w:t>
        </w:r>
        <w:proofErr w:type="spellEnd"/>
        <w:r w:rsidRPr="00E577AE">
          <w:rPr>
            <w:rStyle w:val="Hyperlink"/>
          </w:rPr>
          <w:t xml:space="preserve"> at University of Cambridge Subject Libraries</w:t>
        </w:r>
      </w:hyperlink>
      <w:r>
        <w:t xml:space="preserve"> (Accessed: 15</w:t>
      </w:r>
      <w:r w:rsidRPr="00B578B5">
        <w:rPr>
          <w:vertAlign w:val="superscript"/>
        </w:rPr>
        <w:t>th</w:t>
      </w:r>
      <w:r>
        <w:t xml:space="preserve"> October 2024)</w:t>
      </w:r>
    </w:p>
    <w:p w14:paraId="462FAD70" w14:textId="77777777" w:rsidR="00C50FF5" w:rsidRDefault="00C50FF5" w:rsidP="00C50FF5">
      <w:pPr>
        <w:pStyle w:val="ListParagraph"/>
        <w:numPr>
          <w:ilvl w:val="0"/>
          <w:numId w:val="1"/>
        </w:numPr>
      </w:pPr>
      <w:r w:rsidRPr="001C55D0">
        <w:t xml:space="preserve">Durham University. (no date) </w:t>
      </w:r>
      <w:r w:rsidRPr="001C55D0">
        <w:rPr>
          <w:i/>
          <w:iCs/>
        </w:rPr>
        <w:t>Supporting and facilitating collaborative reflection: exploring the multiple roles of the facilitator</w:t>
      </w:r>
      <w:r w:rsidRPr="001C55D0">
        <w:t xml:space="preserve">. Available at: </w:t>
      </w:r>
      <w:hyperlink r:id="rId11" w:history="1">
        <w:r w:rsidRPr="001C55D0">
          <w:rPr>
            <w:rStyle w:val="Hyperlink"/>
          </w:rPr>
          <w:t>https://intref.webspace.durham.ac.uk/wp-content/uploads/sites/53/2021/06/Facilitating-collaborative-reflection_Meth_CS_DU_Final.pdf</w:t>
        </w:r>
      </w:hyperlink>
      <w:r>
        <w:t xml:space="preserve"> (Accessed: 13</w:t>
      </w:r>
      <w:r w:rsidRPr="001C55D0">
        <w:rPr>
          <w:vertAlign w:val="superscript"/>
        </w:rPr>
        <w:t>th</w:t>
      </w:r>
      <w:r>
        <w:t xml:space="preserve"> October 2024)</w:t>
      </w:r>
    </w:p>
    <w:p w14:paraId="2E1D6F64" w14:textId="77777777" w:rsidR="00C50FF5" w:rsidRDefault="00C50FF5" w:rsidP="00C50FF5">
      <w:pPr>
        <w:pStyle w:val="ListParagraph"/>
        <w:numPr>
          <w:ilvl w:val="0"/>
          <w:numId w:val="1"/>
        </w:numPr>
      </w:pPr>
      <w:r>
        <w:t xml:space="preserve">Little Scholars School of Early Learning (2024). </w:t>
      </w:r>
      <w:r>
        <w:rPr>
          <w:i/>
          <w:iCs/>
        </w:rPr>
        <w:t>Reflective practice in early learning</w:t>
      </w:r>
      <w:r>
        <w:t xml:space="preserve">. Available at </w:t>
      </w:r>
      <w:hyperlink r:id="rId12" w:history="1">
        <w:r w:rsidRPr="00020C7A">
          <w:rPr>
            <w:rStyle w:val="Hyperlink"/>
          </w:rPr>
          <w:t>Reflective Practice in Childcare: What It Is and Examples | Little Scholars (mylittlescholars.com.au)</w:t>
        </w:r>
      </w:hyperlink>
      <w:r>
        <w:t xml:space="preserve"> (Accessed: 13</w:t>
      </w:r>
      <w:r w:rsidRPr="00020C7A">
        <w:rPr>
          <w:vertAlign w:val="superscript"/>
        </w:rPr>
        <w:t>th</w:t>
      </w:r>
      <w:r>
        <w:t xml:space="preserve"> October 2024)</w:t>
      </w:r>
    </w:p>
    <w:p w14:paraId="3A4710AB" w14:textId="77777777" w:rsidR="00C50FF5" w:rsidRDefault="00C50FF5" w:rsidP="00C50FF5">
      <w:pPr>
        <w:pStyle w:val="ListParagraph"/>
        <w:numPr>
          <w:ilvl w:val="0"/>
          <w:numId w:val="1"/>
        </w:numPr>
      </w:pPr>
      <w:r w:rsidRPr="003F286C">
        <w:t xml:space="preserve">PACEY (2016) </w:t>
      </w:r>
      <w:r w:rsidRPr="003F286C">
        <w:rPr>
          <w:i/>
          <w:iCs/>
        </w:rPr>
        <w:t>Developing Self Reflective Practice</w:t>
      </w:r>
      <w:r w:rsidRPr="003F286C">
        <w:t xml:space="preserve">. Available at: </w:t>
      </w:r>
      <w:hyperlink r:id="rId13" w:history="1">
        <w:r w:rsidRPr="003F286C">
          <w:rPr>
            <w:rStyle w:val="Hyperlink"/>
          </w:rPr>
          <w:t>https://www.pacey.org.uk/Pacey/media/Website-files/PACEY%20member%20practice%20guides%20(PDFs)/PG04-self-reflective-practice.pdf</w:t>
        </w:r>
      </w:hyperlink>
      <w:r>
        <w:t xml:space="preserve"> (Accessed: 13</w:t>
      </w:r>
      <w:r w:rsidRPr="003F286C">
        <w:rPr>
          <w:vertAlign w:val="superscript"/>
        </w:rPr>
        <w:t>th</w:t>
      </w:r>
      <w:r>
        <w:t xml:space="preserve"> October 2024)</w:t>
      </w:r>
    </w:p>
    <w:p w14:paraId="53573295" w14:textId="77777777" w:rsidR="00C50FF5" w:rsidRPr="000B6323" w:rsidRDefault="00C50FF5" w:rsidP="00C50FF5">
      <w:pPr>
        <w:pStyle w:val="ListParagraph"/>
        <w:numPr>
          <w:ilvl w:val="0"/>
          <w:numId w:val="1"/>
        </w:numPr>
      </w:pPr>
      <w:r w:rsidRPr="000B6323">
        <w:t xml:space="preserve">Schön, D. (2016) </w:t>
      </w:r>
      <w:r w:rsidRPr="000B6323">
        <w:rPr>
          <w:i/>
          <w:iCs/>
        </w:rPr>
        <w:t xml:space="preserve">The reflective </w:t>
      </w:r>
      <w:proofErr w:type="gramStart"/>
      <w:r w:rsidRPr="000B6323">
        <w:rPr>
          <w:i/>
          <w:iCs/>
        </w:rPr>
        <w:t>practitioner</w:t>
      </w:r>
      <w:r w:rsidRPr="000B6323">
        <w:rPr>
          <w:rFonts w:ascii="Arial" w:hAnsi="Arial" w:cs="Arial"/>
          <w:i/>
          <w:iCs/>
        </w:rPr>
        <w:t> </w:t>
      </w:r>
      <w:r w:rsidRPr="000B6323">
        <w:rPr>
          <w:i/>
          <w:iCs/>
        </w:rPr>
        <w:t>:</w:t>
      </w:r>
      <w:proofErr w:type="gramEnd"/>
      <w:r w:rsidRPr="000B6323">
        <w:rPr>
          <w:i/>
          <w:iCs/>
        </w:rPr>
        <w:t xml:space="preserve"> how professionals think in action</w:t>
      </w:r>
      <w:r w:rsidRPr="000B6323">
        <w:t>. England: Routledge</w:t>
      </w:r>
    </w:p>
    <w:p w14:paraId="533C5C63" w14:textId="77777777" w:rsidR="00C50FF5" w:rsidRDefault="00C50FF5" w:rsidP="00C50FF5">
      <w:pPr>
        <w:pStyle w:val="ListParagraph"/>
        <w:numPr>
          <w:ilvl w:val="0"/>
          <w:numId w:val="1"/>
        </w:numPr>
      </w:pPr>
      <w:r>
        <w:t xml:space="preserve">TU Dublin Library Services (2020) </w:t>
      </w:r>
      <w:r>
        <w:rPr>
          <w:i/>
          <w:iCs/>
        </w:rPr>
        <w:t>Reflective practice and Reflective writing</w:t>
      </w:r>
      <w:r>
        <w:t xml:space="preserve">. Available at </w:t>
      </w:r>
      <w:hyperlink r:id="rId14" w:anchor=":~:text=The%20models%20share%20similar%20characteristics%20such%20as%3B%20descriptive%2C,section%20that%20outlines%20a%20plan%20for%20the%20future." w:history="1">
        <w:r w:rsidRPr="001A623F">
          <w:rPr>
            <w:rStyle w:val="Hyperlink"/>
          </w:rPr>
          <w:t xml:space="preserve">Models of Reflection - Reflective Practice &amp; Reflective Writing - </w:t>
        </w:r>
        <w:proofErr w:type="spellStart"/>
        <w:r w:rsidRPr="001A623F">
          <w:rPr>
            <w:rStyle w:val="Hyperlink"/>
          </w:rPr>
          <w:t>LibGuides</w:t>
        </w:r>
        <w:proofErr w:type="spellEnd"/>
        <w:r w:rsidRPr="001A623F">
          <w:rPr>
            <w:rStyle w:val="Hyperlink"/>
          </w:rPr>
          <w:t xml:space="preserve"> at Technological University of Dublin - Library</w:t>
        </w:r>
      </w:hyperlink>
      <w:r>
        <w:t xml:space="preserve"> (Accessed: 15</w:t>
      </w:r>
      <w:r w:rsidRPr="001A623F">
        <w:rPr>
          <w:vertAlign w:val="superscript"/>
        </w:rPr>
        <w:t>th</w:t>
      </w:r>
      <w:r>
        <w:t xml:space="preserve"> October 2024)</w:t>
      </w:r>
    </w:p>
    <w:p w14:paraId="4DB12F23" w14:textId="77777777" w:rsidR="00C50FF5" w:rsidRPr="003F286C" w:rsidRDefault="00C50FF5" w:rsidP="00C50FF5">
      <w:pPr>
        <w:pStyle w:val="ListParagraph"/>
      </w:pPr>
    </w:p>
    <w:p w14:paraId="098C345B" w14:textId="52585996" w:rsidR="00C50FF5" w:rsidRDefault="00C50FF5" w:rsidP="002C2FB4">
      <w:pPr>
        <w:rPr>
          <w:rFonts w:ascii="Arial" w:hAnsi="Arial" w:cs="Arial"/>
        </w:rPr>
      </w:pPr>
    </w:p>
    <w:p w14:paraId="2271B2C6" w14:textId="77777777" w:rsidR="00C50FF5" w:rsidRDefault="00C50FF5">
      <w:pPr>
        <w:rPr>
          <w:rFonts w:ascii="Arial" w:hAnsi="Arial" w:cs="Arial"/>
        </w:rPr>
      </w:pPr>
      <w:r>
        <w:rPr>
          <w:rFonts w:ascii="Arial" w:hAnsi="Arial" w:cs="Arial"/>
        </w:rPr>
        <w:br w:type="page"/>
      </w:r>
    </w:p>
    <w:p w14:paraId="73092D50" w14:textId="77777777" w:rsidR="00C50FF5" w:rsidRPr="00EF6F02" w:rsidRDefault="00C50FF5" w:rsidP="00C50FF5">
      <w:pPr>
        <w:jc w:val="center"/>
        <w:rPr>
          <w:rFonts w:ascii="Arial" w:hAnsi="Arial" w:cs="Arial"/>
          <w:b/>
          <w:bCs/>
          <w:sz w:val="28"/>
          <w:szCs w:val="28"/>
          <w:u w:val="single"/>
        </w:rPr>
      </w:pPr>
      <w:r w:rsidRPr="00EF6F02">
        <w:rPr>
          <w:rFonts w:ascii="Arial" w:hAnsi="Arial" w:cs="Arial"/>
          <w:b/>
          <w:bCs/>
          <w:sz w:val="28"/>
          <w:szCs w:val="28"/>
          <w:u w:val="single"/>
        </w:rPr>
        <w:lastRenderedPageBreak/>
        <w:t xml:space="preserve">Recognise and analyse the significance of different aspects of professional practise and why these are important in meeting the individual and inclusive needs of children. </w:t>
      </w:r>
    </w:p>
    <w:p w14:paraId="421C47E1" w14:textId="77777777" w:rsidR="00C50FF5" w:rsidRDefault="00C50FF5" w:rsidP="00C50FF5">
      <w:pPr>
        <w:spacing w:line="360" w:lineRule="auto"/>
        <w:rPr>
          <w:rFonts w:ascii="Arial" w:hAnsi="Arial" w:cs="Arial"/>
        </w:rPr>
      </w:pPr>
    </w:p>
    <w:p w14:paraId="51FE5948" w14:textId="77777777" w:rsidR="00C50FF5" w:rsidRDefault="00C50FF5" w:rsidP="00C50FF5">
      <w:pPr>
        <w:spacing w:line="360" w:lineRule="auto"/>
        <w:rPr>
          <w:rFonts w:ascii="Arial" w:hAnsi="Arial" w:cs="Arial"/>
        </w:rPr>
      </w:pPr>
      <w:r>
        <w:rPr>
          <w:rFonts w:ascii="Arial" w:hAnsi="Arial" w:cs="Arial"/>
        </w:rPr>
        <w:t xml:space="preserve">Professionalism is characterised by being considerate, formal and focused. It means learning to behave in a professional manner and is a key skill in all industries. Perez (2019) identifies that ‘professionalism’ is underpinned by values which guide the skills, knowledge and ethical standards required to execute a job role. </w:t>
      </w:r>
    </w:p>
    <w:p w14:paraId="25B3F121" w14:textId="77777777" w:rsidR="00C50FF5" w:rsidRDefault="00C50FF5" w:rsidP="00C50FF5">
      <w:pPr>
        <w:spacing w:line="360" w:lineRule="auto"/>
        <w:rPr>
          <w:rFonts w:ascii="Arial" w:hAnsi="Arial" w:cs="Arial"/>
        </w:rPr>
      </w:pPr>
      <w:r>
        <w:rPr>
          <w:rFonts w:ascii="Arial" w:hAnsi="Arial" w:cs="Arial"/>
        </w:rPr>
        <w:t xml:space="preserve">Values, as stated by </w:t>
      </w:r>
      <w:r w:rsidRPr="005B2F82">
        <w:rPr>
          <w:rFonts w:ascii="Arial" w:hAnsi="Arial" w:cs="Arial"/>
        </w:rPr>
        <w:t>(Johansson and Einarsdottir, 2018)</w:t>
      </w:r>
      <w:r>
        <w:rPr>
          <w:rFonts w:ascii="Arial" w:hAnsi="Arial" w:cs="Arial"/>
        </w:rPr>
        <w:t xml:space="preserve"> are </w:t>
      </w:r>
      <w:r w:rsidRPr="00EC6F14">
        <w:rPr>
          <w:rFonts w:ascii="Arial" w:hAnsi="Arial" w:cs="Arial"/>
        </w:rPr>
        <w:t xml:space="preserve">Principles that guide human actions and judgements of whether actions are desirable or not. </w:t>
      </w:r>
      <w:r>
        <w:rPr>
          <w:rFonts w:ascii="Arial" w:hAnsi="Arial" w:cs="Arial"/>
        </w:rPr>
        <w:t>They are standards or qualities that govern the behaviour of a person and are especially important to have in the early years sector to ensure that a level of professionalism is being reached and develop one’s professional identity. Values are substantial in early years as they help us to understand and develop the child through addressing their individual needs. The values of an early year’s setting are equally important to the values of the practitioner as they can greatly influence attitudes, performance levels, quality of work and mindset which helps to facilitate a positive work environment for the practitioner and for the children in their care (Graham-Whitehouse, no date).</w:t>
      </w:r>
    </w:p>
    <w:p w14:paraId="03364DE4" w14:textId="77777777" w:rsidR="00C50FF5" w:rsidRDefault="00C50FF5" w:rsidP="00C50FF5">
      <w:pPr>
        <w:spacing w:line="360" w:lineRule="auto"/>
        <w:rPr>
          <w:rFonts w:ascii="Arial" w:hAnsi="Arial" w:cs="Arial"/>
        </w:rPr>
      </w:pPr>
      <w:r>
        <w:rPr>
          <w:rFonts w:ascii="Arial" w:hAnsi="Arial" w:cs="Arial"/>
        </w:rPr>
        <w:t>Good communication, as suggested by Dunhill (2009), is central to working with children, young people, their families and carers. It involves listening, questioning, understanding and responding to what is being communicated by children, young people and those caring for them. Effective communication is essential to meeting the needs of the children as it not only helps to support their cognitive, social, emotional and cultural development but it also enables children to express their thoughts and feelings, build relationships and develop their problem-solving abilities. Nonverbal communication can be equally important as verbal communication when providing the best care and support for young children. Active listening can help children to feel heard and understood, by using encouraging gestures such as smiles and affirming nods you are showing the children in your care that you are really listening and care about what they have to say (</w:t>
      </w:r>
      <w:proofErr w:type="spellStart"/>
      <w:r>
        <w:rPr>
          <w:rFonts w:ascii="Arial" w:hAnsi="Arial" w:cs="Arial"/>
        </w:rPr>
        <w:t>Unicef</w:t>
      </w:r>
      <w:proofErr w:type="spellEnd"/>
      <w:r>
        <w:rPr>
          <w:rFonts w:ascii="Arial" w:hAnsi="Arial" w:cs="Arial"/>
        </w:rPr>
        <w:t xml:space="preserve">, no date). This is essential for professional practice as it helps to build positive relationships between the practitioner and the child, improving their confidence as well as developing their </w:t>
      </w:r>
      <w:r>
        <w:rPr>
          <w:rFonts w:ascii="Arial" w:hAnsi="Arial" w:cs="Arial"/>
        </w:rPr>
        <w:lastRenderedPageBreak/>
        <w:t>communication. Effective communication with the parents and carers is equally important for sustaining a level of professional practice as it can help to build a positive and trusting relationship between the parent/carer and the practitioner. Actively listening to the parents/carers feedback and allowing them to give their input and preferences will allow them to feel a sense of control while leaving their child in the practitioners care all day (</w:t>
      </w:r>
      <w:proofErr w:type="spellStart"/>
      <w:r>
        <w:rPr>
          <w:rFonts w:ascii="Arial" w:hAnsi="Arial" w:cs="Arial"/>
        </w:rPr>
        <w:t>Procare</w:t>
      </w:r>
      <w:proofErr w:type="spellEnd"/>
      <w:r>
        <w:rPr>
          <w:rFonts w:ascii="Arial" w:hAnsi="Arial" w:cs="Arial"/>
        </w:rPr>
        <w:t xml:space="preserve"> 2020). By maintaining that level of professionalism and showing parents that you appreciate their feedback and listen to their input by including it in practice, it allows the parents to feel confident when leaving their child in the practitioner’s care and supports positive, trusting relationships that will be reflected onto the child. </w:t>
      </w:r>
    </w:p>
    <w:p w14:paraId="5556E191" w14:textId="77777777" w:rsidR="00C50FF5" w:rsidRPr="00EC6F14" w:rsidRDefault="00C50FF5" w:rsidP="00C50FF5">
      <w:pPr>
        <w:spacing w:line="360" w:lineRule="auto"/>
        <w:rPr>
          <w:rFonts w:ascii="Arial" w:hAnsi="Arial" w:cs="Arial"/>
        </w:rPr>
      </w:pPr>
      <w:r>
        <w:rPr>
          <w:rFonts w:ascii="Arial" w:hAnsi="Arial" w:cs="Arial"/>
        </w:rPr>
        <w:t>To ensure professional practice it is essential that practitioners have a thorough knowledge and understanding of child development. Without this it is not possible to effectively provide an environment that</w:t>
      </w:r>
      <w:r w:rsidRPr="0049247B">
        <w:rPr>
          <w:rFonts w:ascii="Arial" w:hAnsi="Arial" w:cs="Arial"/>
          <w:color w:val="FF0000"/>
        </w:rPr>
        <w:t xml:space="preserve"> </w:t>
      </w:r>
      <w:r w:rsidRPr="00C30C36">
        <w:rPr>
          <w:rFonts w:ascii="Arial" w:hAnsi="Arial" w:cs="Arial"/>
        </w:rPr>
        <w:t xml:space="preserve">safeguards and </w:t>
      </w:r>
      <w:r>
        <w:rPr>
          <w:rFonts w:ascii="Arial" w:hAnsi="Arial" w:cs="Arial"/>
        </w:rPr>
        <w:t>promotes the welfare of children with appropriate opportunities encouraging them to grow and develop.</w:t>
      </w:r>
    </w:p>
    <w:p w14:paraId="01186B4C" w14:textId="77777777" w:rsidR="00C50FF5" w:rsidRDefault="00C50FF5" w:rsidP="00C50FF5">
      <w:pPr>
        <w:spacing w:line="360" w:lineRule="auto"/>
        <w:rPr>
          <w:rFonts w:ascii="Arial" w:hAnsi="Arial" w:cs="Arial"/>
        </w:rPr>
      </w:pPr>
      <w:r>
        <w:rPr>
          <w:rFonts w:ascii="Arial" w:hAnsi="Arial" w:cs="Arial"/>
        </w:rPr>
        <w:t xml:space="preserve">Safeguarding is the action that is taken in childcare to protect children from harm and promote their welfare. Every child has the right to be protected from harm and the safeguarding policies and procedures that are followed in professional practice allow for children to be kept safe (NSPCC no date). </w:t>
      </w:r>
      <w:proofErr w:type="gramStart"/>
      <w:r>
        <w:rPr>
          <w:rFonts w:ascii="Arial" w:hAnsi="Arial" w:cs="Arial"/>
        </w:rPr>
        <w:t>In order to</w:t>
      </w:r>
      <w:proofErr w:type="gramEnd"/>
      <w:r>
        <w:rPr>
          <w:rFonts w:ascii="Arial" w:hAnsi="Arial" w:cs="Arial"/>
        </w:rPr>
        <w:t xml:space="preserve"> provide professional practice, it is crucial that the practitioner has an in-depth knowledge and understanding of safeguarding policies and procedures and relevant legislation. </w:t>
      </w:r>
    </w:p>
    <w:p w14:paraId="20D8F124" w14:textId="77777777" w:rsidR="00C50FF5" w:rsidRDefault="00C50FF5" w:rsidP="00C50FF5">
      <w:pPr>
        <w:spacing w:line="360" w:lineRule="auto"/>
        <w:rPr>
          <w:rFonts w:ascii="Arial" w:hAnsi="Arial" w:cs="Arial"/>
        </w:rPr>
      </w:pPr>
      <w:r>
        <w:rPr>
          <w:rFonts w:ascii="Arial" w:hAnsi="Arial" w:cs="Arial"/>
        </w:rPr>
        <w:t xml:space="preserve">These </w:t>
      </w:r>
      <w:proofErr w:type="gramStart"/>
      <w:r>
        <w:rPr>
          <w:rFonts w:ascii="Arial" w:hAnsi="Arial" w:cs="Arial"/>
        </w:rPr>
        <w:t>include;</w:t>
      </w:r>
      <w:proofErr w:type="gramEnd"/>
    </w:p>
    <w:p w14:paraId="3DA7C434" w14:textId="77777777" w:rsidR="00C50FF5" w:rsidRDefault="00C50FF5" w:rsidP="00C50FF5">
      <w:pPr>
        <w:spacing w:line="360" w:lineRule="auto"/>
        <w:rPr>
          <w:rFonts w:ascii="Arial" w:hAnsi="Arial" w:cs="Arial"/>
        </w:rPr>
      </w:pPr>
      <w:r>
        <w:rPr>
          <w:rFonts w:ascii="Arial" w:hAnsi="Arial" w:cs="Arial"/>
        </w:rPr>
        <w:t>Children Act 1989 &amp; 2004 – both pieces of legislation place a duty on those in authority to ensure the safeguarding and welfare of children and young people. The children Act 2004 works alongside The Children Act 1989 introducing further safeguards such as serious case reviews, with the intention of lessons learned preventing harm to children in similar situations in the future.</w:t>
      </w:r>
    </w:p>
    <w:p w14:paraId="681EC0DD" w14:textId="77777777" w:rsidR="00C50FF5" w:rsidRPr="00DC6B40" w:rsidRDefault="00C50FF5" w:rsidP="00C50FF5">
      <w:pPr>
        <w:spacing w:line="360" w:lineRule="auto"/>
        <w:rPr>
          <w:rFonts w:ascii="Arial" w:hAnsi="Arial" w:cs="Arial"/>
        </w:rPr>
      </w:pPr>
      <w:r>
        <w:rPr>
          <w:rFonts w:ascii="Arial" w:hAnsi="Arial" w:cs="Arial"/>
        </w:rPr>
        <w:t>Social Services and Wellbeing Act 2014 – is a pivotal piece of legislation setting out a new legal framework on how care and support should be provided for children young people and adults requiring care and support (Social Care Wales 2014).</w:t>
      </w:r>
      <w:r>
        <w:rPr>
          <w:rFonts w:ascii="Arial" w:hAnsi="Arial" w:cs="Arial"/>
          <w:color w:val="FF0000"/>
        </w:rPr>
        <w:t xml:space="preserve"> </w:t>
      </w:r>
      <w:r>
        <w:rPr>
          <w:rFonts w:ascii="Arial" w:hAnsi="Arial" w:cs="Arial"/>
        </w:rPr>
        <w:t xml:space="preserve">Key documentation created </w:t>
      </w:r>
      <w:proofErr w:type="gramStart"/>
      <w:r>
        <w:rPr>
          <w:rFonts w:ascii="Arial" w:hAnsi="Arial" w:cs="Arial"/>
        </w:rPr>
        <w:t>as a result of</w:t>
      </w:r>
      <w:proofErr w:type="gramEnd"/>
      <w:r>
        <w:rPr>
          <w:rFonts w:ascii="Arial" w:hAnsi="Arial" w:cs="Arial"/>
        </w:rPr>
        <w:t xml:space="preserve"> this legislation setting out the safeguarding and </w:t>
      </w:r>
      <w:r>
        <w:rPr>
          <w:rFonts w:ascii="Arial" w:hAnsi="Arial" w:cs="Arial"/>
        </w:rPr>
        <w:lastRenderedPageBreak/>
        <w:t>child protection procedures intended to protect and promote the safety and welfare of children and young people are, Wales Safeguarding Procedures.</w:t>
      </w:r>
    </w:p>
    <w:p w14:paraId="7ED9C8D4" w14:textId="77777777" w:rsidR="00C50FF5" w:rsidRDefault="00C50FF5" w:rsidP="00C50FF5">
      <w:pPr>
        <w:spacing w:line="360" w:lineRule="auto"/>
        <w:rPr>
          <w:rFonts w:ascii="Arial" w:hAnsi="Arial" w:cs="Arial"/>
        </w:rPr>
      </w:pPr>
      <w:r>
        <w:rPr>
          <w:rFonts w:ascii="Arial" w:hAnsi="Arial" w:cs="Arial"/>
        </w:rPr>
        <w:t>Wales Safeguarding Procedures – Nationally implemented procedures detailing the roles and responsibilities of childcare practitioners and support the implementations of Social Services and Wellbeing Act 2014 legislation. The National Minimum Standards ensure that all staff are aware of their responsibility to report concerns according to Wales Safeguarding Procedures without delay and require that all staff are suitably trained for their role (Welsh Government 2023). These are the minimum standards required for registration of childcare provision. Registered childcare provision is inspected helping support and promote the welfare of children and young people.</w:t>
      </w:r>
    </w:p>
    <w:p w14:paraId="03FA7876" w14:textId="77777777" w:rsidR="00C50FF5" w:rsidRDefault="00C50FF5" w:rsidP="00C50FF5">
      <w:pPr>
        <w:spacing w:line="360" w:lineRule="auto"/>
        <w:rPr>
          <w:rFonts w:ascii="Arial" w:hAnsi="Arial" w:cs="Arial"/>
        </w:rPr>
      </w:pPr>
      <w:r>
        <w:rPr>
          <w:rFonts w:ascii="Arial" w:hAnsi="Arial" w:cs="Arial"/>
        </w:rPr>
        <w:t xml:space="preserve">Multi agency working is a collaborative approach where different professionals work together to achieve joint goals. Multi agency </w:t>
      </w:r>
      <w:proofErr w:type="gramStart"/>
      <w:r>
        <w:rPr>
          <w:rFonts w:ascii="Arial" w:hAnsi="Arial" w:cs="Arial"/>
        </w:rPr>
        <w:t>working</w:t>
      </w:r>
      <w:proofErr w:type="gramEnd"/>
      <w:r>
        <w:rPr>
          <w:rFonts w:ascii="Arial" w:hAnsi="Arial" w:cs="Arial"/>
        </w:rPr>
        <w:t xml:space="preserve"> and partnership is a significant factor to professional practice in the early years sector as it ensures the greatest support for children and families at risk of safeguarding issues or with additional needs. It is fundamental for professional practice as it ensures that children and their families can access a range of services throughout the child’s life, it is vital that practitioners work together to gain a full overview of the child’s situation and have a co-ordinated approach to support (NSPCC 2023). Multi agency working recognises that individuals facing social challenges often require a holistic approach that addresses their physical, emotional and social well-being. By offering the enhanced support and expertise, professionals can develop comprehensive care plans that are tailored to the unique needs of the service users (UK Social Work 2024). This approach is important for professional practice as it ensures that individuals receive the right support at the right time, promoting positive outcomes and improving their quality of life. </w:t>
      </w:r>
    </w:p>
    <w:p w14:paraId="3AEBFBB1" w14:textId="77777777" w:rsidR="00C50FF5" w:rsidRDefault="00C50FF5" w:rsidP="00C50FF5">
      <w:pPr>
        <w:spacing w:line="360" w:lineRule="auto"/>
        <w:rPr>
          <w:rFonts w:ascii="Arial" w:hAnsi="Arial" w:cs="Arial"/>
        </w:rPr>
      </w:pPr>
      <w:r>
        <w:rPr>
          <w:rFonts w:ascii="Arial" w:hAnsi="Arial" w:cs="Arial"/>
        </w:rPr>
        <w:t>As suggested by Birth to Five Matters (2021), o</w:t>
      </w:r>
      <w:r w:rsidRPr="007B1C82">
        <w:rPr>
          <w:rFonts w:ascii="Arial" w:hAnsi="Arial" w:cs="Arial"/>
        </w:rPr>
        <w:t>bservation of children is a fundamental professional skill, used in everyday practice in the Early Years Foundation Stage (EYFS),</w:t>
      </w:r>
      <w:r>
        <w:rPr>
          <w:rFonts w:ascii="Arial" w:hAnsi="Arial" w:cs="Arial"/>
        </w:rPr>
        <w:t xml:space="preserve"> (in Wales, curriculum for Wales)</w:t>
      </w:r>
      <w:r w:rsidRPr="007B1C82">
        <w:rPr>
          <w:rFonts w:ascii="Arial" w:hAnsi="Arial" w:cs="Arial"/>
        </w:rPr>
        <w:t xml:space="preserve"> which enables us to fully understand how a child develops, learns and progresses.</w:t>
      </w:r>
      <w:r>
        <w:rPr>
          <w:rFonts w:ascii="Arial" w:hAnsi="Arial" w:cs="Arial"/>
        </w:rPr>
        <w:t xml:space="preserve"> The process of observations which includes watching and listening to the child as well as documenting and monitoring the results is also essential for building relationships to </w:t>
      </w:r>
      <w:r>
        <w:rPr>
          <w:rFonts w:ascii="Arial" w:hAnsi="Arial" w:cs="Arial"/>
        </w:rPr>
        <w:lastRenderedPageBreak/>
        <w:t xml:space="preserve">find out who they are and the influences that surround them to shape their lives. Completing observations correctly allows professionals to provide the appropriate support, opportunities and teaching. The outcomes of the observations are then used as part of the planning process to provide the best possible learning opportunities for their individual needs and their interests. </w:t>
      </w:r>
    </w:p>
    <w:p w14:paraId="0A239151" w14:textId="77777777" w:rsidR="00C50FF5" w:rsidRDefault="00C50FF5" w:rsidP="00C50FF5">
      <w:pPr>
        <w:spacing w:line="360" w:lineRule="auto"/>
        <w:rPr>
          <w:rFonts w:ascii="Arial" w:hAnsi="Arial" w:cs="Arial"/>
        </w:rPr>
      </w:pPr>
      <w:r>
        <w:rPr>
          <w:rFonts w:ascii="Arial" w:hAnsi="Arial" w:cs="Arial"/>
        </w:rPr>
        <w:t xml:space="preserve">The United Nations Conventions on the Rights of the Child (UNCRC) is a legally binding international agreement setting out the civil, political, economic, social and cultural right of every child regardless of their race, religion and abilities. Under the terms of the convention, all governments are required to meet children’s basic needs and help them reach their full potential (Save The Children, no date). The UNCRC is a significantly important agreement as it outlines the fundamental rights of every child, protects children no matter their background ensuring all children receive the best possible start to life. It is important for professional practice as all professionals have the responsibility to ensure that all the children in their care have their rights respected and their individual needs met. The UNCRC supports professionals into giving children the best future and respecting their rights which is a core value for professional practice. </w:t>
      </w:r>
    </w:p>
    <w:p w14:paraId="118A8601" w14:textId="2FFE66C0" w:rsidR="00C50FF5" w:rsidRPr="00EF6F02" w:rsidRDefault="00C50FF5" w:rsidP="00C50FF5">
      <w:pPr>
        <w:spacing w:line="360" w:lineRule="auto"/>
        <w:rPr>
          <w:rFonts w:ascii="Arial" w:hAnsi="Arial" w:cs="Arial"/>
        </w:rPr>
      </w:pPr>
      <w:r>
        <w:rPr>
          <w:rFonts w:ascii="Arial" w:hAnsi="Arial" w:cs="Arial"/>
        </w:rPr>
        <w:t xml:space="preserve">There are many different aspects that professional practice consists of </w:t>
      </w:r>
      <w:proofErr w:type="gramStart"/>
      <w:r>
        <w:rPr>
          <w:rFonts w:ascii="Arial" w:hAnsi="Arial" w:cs="Arial"/>
        </w:rPr>
        <w:t>in order for</w:t>
      </w:r>
      <w:proofErr w:type="gramEnd"/>
      <w:r>
        <w:rPr>
          <w:rFonts w:ascii="Arial" w:hAnsi="Arial" w:cs="Arial"/>
        </w:rPr>
        <w:t xml:space="preserve"> it to be possible to meet the inclusive and individual needs of the children. Each of these aspects being equally important as </w:t>
      </w:r>
      <w:r w:rsidR="00AC385B">
        <w:rPr>
          <w:rFonts w:ascii="Arial" w:hAnsi="Arial" w:cs="Arial"/>
        </w:rPr>
        <w:t>the</w:t>
      </w:r>
      <w:r>
        <w:rPr>
          <w:rFonts w:ascii="Arial" w:hAnsi="Arial" w:cs="Arial"/>
        </w:rPr>
        <w:t xml:space="preserve"> another, including the legislation put in place to protect children and give them the best possible start to life. By promoting an environment of continuous learning and support </w:t>
      </w:r>
      <w:r w:rsidR="00AC385B">
        <w:rPr>
          <w:rFonts w:ascii="Arial" w:hAnsi="Arial" w:cs="Arial"/>
        </w:rPr>
        <w:t>in line with</w:t>
      </w:r>
      <w:r>
        <w:rPr>
          <w:rFonts w:ascii="Arial" w:hAnsi="Arial" w:cs="Arial"/>
        </w:rPr>
        <w:t xml:space="preserve"> legislation a</w:t>
      </w:r>
      <w:r w:rsidR="00AC385B">
        <w:rPr>
          <w:rFonts w:ascii="Arial" w:hAnsi="Arial" w:cs="Arial"/>
        </w:rPr>
        <w:t>long with</w:t>
      </w:r>
      <w:r>
        <w:rPr>
          <w:rFonts w:ascii="Arial" w:hAnsi="Arial" w:cs="Arial"/>
        </w:rPr>
        <w:t xml:space="preserve"> multi-agency work, professionals </w:t>
      </w:r>
      <w:proofErr w:type="gramStart"/>
      <w:r>
        <w:rPr>
          <w:rFonts w:ascii="Arial" w:hAnsi="Arial" w:cs="Arial"/>
        </w:rPr>
        <w:t>are able to</w:t>
      </w:r>
      <w:proofErr w:type="gramEnd"/>
      <w:r>
        <w:rPr>
          <w:rFonts w:ascii="Arial" w:hAnsi="Arial" w:cs="Arial"/>
        </w:rPr>
        <w:t xml:space="preserve"> adapt their approaches in order to promote every child’s potential and meet their unique needs. Prioritizing these standards in professional practice will contribute to the overall learning and development of children as well as improving practice and building stronger, more positive relationships between the child, community and the professional. </w:t>
      </w:r>
    </w:p>
    <w:p w14:paraId="13E8502C" w14:textId="284AA3EB" w:rsidR="00C50FF5" w:rsidRDefault="00C50FF5" w:rsidP="002C2FB4">
      <w:pPr>
        <w:rPr>
          <w:rFonts w:ascii="Arial" w:hAnsi="Arial" w:cs="Arial"/>
        </w:rPr>
      </w:pPr>
    </w:p>
    <w:p w14:paraId="527F23B8" w14:textId="77777777" w:rsidR="00C50FF5" w:rsidRDefault="00C50FF5">
      <w:pPr>
        <w:rPr>
          <w:rFonts w:ascii="Arial" w:hAnsi="Arial" w:cs="Arial"/>
        </w:rPr>
      </w:pPr>
      <w:r>
        <w:rPr>
          <w:rFonts w:ascii="Arial" w:hAnsi="Arial" w:cs="Arial"/>
        </w:rPr>
        <w:br w:type="page"/>
      </w:r>
    </w:p>
    <w:p w14:paraId="397A7313" w14:textId="77777777" w:rsidR="00C50FF5" w:rsidRDefault="00C50FF5" w:rsidP="00C50FF5">
      <w:pPr>
        <w:jc w:val="center"/>
        <w:rPr>
          <w:rFonts w:ascii="Arial" w:hAnsi="Arial" w:cs="Arial"/>
          <w:b/>
          <w:bCs/>
          <w:sz w:val="28"/>
          <w:szCs w:val="28"/>
          <w:u w:val="single"/>
        </w:rPr>
      </w:pPr>
      <w:r>
        <w:rPr>
          <w:rFonts w:ascii="Arial" w:hAnsi="Arial" w:cs="Arial"/>
          <w:b/>
          <w:bCs/>
          <w:sz w:val="28"/>
          <w:szCs w:val="28"/>
          <w:u w:val="single"/>
        </w:rPr>
        <w:lastRenderedPageBreak/>
        <w:t>Essay Reference List</w:t>
      </w:r>
    </w:p>
    <w:p w14:paraId="299D76E5" w14:textId="77777777" w:rsidR="00C50FF5" w:rsidRDefault="00C50FF5" w:rsidP="00C50FF5">
      <w:pPr>
        <w:pStyle w:val="ListParagraph"/>
        <w:numPr>
          <w:ilvl w:val="0"/>
          <w:numId w:val="2"/>
        </w:numPr>
        <w:rPr>
          <w:rFonts w:ascii="Arial" w:hAnsi="Arial" w:cs="Arial"/>
        </w:rPr>
      </w:pPr>
      <w:r>
        <w:rPr>
          <w:rFonts w:ascii="Arial" w:hAnsi="Arial" w:cs="Arial"/>
        </w:rPr>
        <w:t xml:space="preserve"> Birth to Five Matters (2021) </w:t>
      </w:r>
      <w:r>
        <w:rPr>
          <w:rFonts w:ascii="Arial" w:hAnsi="Arial" w:cs="Arial"/>
          <w:i/>
          <w:iCs/>
        </w:rPr>
        <w:t xml:space="preserve">Learning and Development: Observation, assessment and planning. </w:t>
      </w:r>
      <w:r>
        <w:rPr>
          <w:rFonts w:ascii="Arial" w:hAnsi="Arial" w:cs="Arial"/>
        </w:rPr>
        <w:t xml:space="preserve">Available at: </w:t>
      </w:r>
      <w:hyperlink r:id="rId15" w:history="1">
        <w:r w:rsidRPr="00AF3D19">
          <w:rPr>
            <w:rStyle w:val="Hyperlink"/>
            <w:rFonts w:ascii="Arial" w:hAnsi="Arial" w:cs="Arial"/>
          </w:rPr>
          <w:t>Explaining-the-OAP-Cycle.pdf</w:t>
        </w:r>
      </w:hyperlink>
      <w:r>
        <w:rPr>
          <w:rFonts w:ascii="Arial" w:hAnsi="Arial" w:cs="Arial"/>
        </w:rPr>
        <w:t xml:space="preserve"> (Accessed: 29</w:t>
      </w:r>
      <w:r w:rsidRPr="00AF3D19">
        <w:rPr>
          <w:rFonts w:ascii="Arial" w:hAnsi="Arial" w:cs="Arial"/>
          <w:vertAlign w:val="superscript"/>
        </w:rPr>
        <w:t>th</w:t>
      </w:r>
      <w:r>
        <w:rPr>
          <w:rFonts w:ascii="Arial" w:hAnsi="Arial" w:cs="Arial"/>
        </w:rPr>
        <w:t xml:space="preserve"> October 2024)</w:t>
      </w:r>
    </w:p>
    <w:p w14:paraId="18E7049D" w14:textId="77777777" w:rsidR="00C50FF5" w:rsidRDefault="00C50FF5" w:rsidP="00C50FF5">
      <w:pPr>
        <w:pStyle w:val="ListParagraph"/>
        <w:numPr>
          <w:ilvl w:val="0"/>
          <w:numId w:val="2"/>
        </w:numPr>
        <w:rPr>
          <w:rFonts w:ascii="Arial" w:hAnsi="Arial" w:cs="Arial"/>
        </w:rPr>
      </w:pPr>
      <w:r>
        <w:rPr>
          <w:rFonts w:ascii="Arial" w:hAnsi="Arial" w:cs="Arial"/>
        </w:rPr>
        <w:t xml:space="preserve">Dunhill, A., Elliot, B., Shaw, A. (2009). </w:t>
      </w:r>
      <w:r>
        <w:rPr>
          <w:rFonts w:ascii="Arial" w:hAnsi="Arial" w:cs="Arial"/>
          <w:i/>
          <w:iCs/>
        </w:rPr>
        <w:t xml:space="preserve">Effective Communication and Engagement with Children, Young People and their Families. </w:t>
      </w:r>
      <w:r>
        <w:rPr>
          <w:rFonts w:ascii="Arial" w:hAnsi="Arial" w:cs="Arial"/>
        </w:rPr>
        <w:t xml:space="preserve">Learning Matters. </w:t>
      </w:r>
    </w:p>
    <w:p w14:paraId="71A8B135" w14:textId="77777777" w:rsidR="00C50FF5" w:rsidRDefault="00C50FF5" w:rsidP="00C50FF5">
      <w:pPr>
        <w:pStyle w:val="ListParagraph"/>
        <w:numPr>
          <w:ilvl w:val="0"/>
          <w:numId w:val="2"/>
        </w:numPr>
        <w:rPr>
          <w:rFonts w:ascii="Arial" w:hAnsi="Arial" w:cs="Arial"/>
        </w:rPr>
      </w:pPr>
      <w:r>
        <w:rPr>
          <w:rFonts w:ascii="Arial" w:hAnsi="Arial" w:cs="Arial"/>
        </w:rPr>
        <w:t>Graham-Whitehouse, K. (no date)</w:t>
      </w:r>
      <w:r>
        <w:rPr>
          <w:rFonts w:ascii="Arial" w:hAnsi="Arial" w:cs="Arial"/>
          <w:i/>
          <w:iCs/>
        </w:rPr>
        <w:t xml:space="preserve"> Values to Create a Positive Early Years Setting for Practitioners. </w:t>
      </w:r>
      <w:r>
        <w:rPr>
          <w:rFonts w:ascii="Arial" w:hAnsi="Arial" w:cs="Arial"/>
        </w:rPr>
        <w:t xml:space="preserve">Available at: </w:t>
      </w:r>
      <w:hyperlink r:id="rId16" w:anchor=":~:text=The%20values%20of%20an%20early%20years%20setting%20towards,than%20giving%20a%20%E2%80%98practitioner%20of%20the%20month%E2%80%99%20certificate." w:history="1">
        <w:r w:rsidRPr="001D4513">
          <w:rPr>
            <w:rStyle w:val="Hyperlink"/>
            <w:rFonts w:ascii="Arial" w:hAnsi="Arial" w:cs="Arial"/>
          </w:rPr>
          <w:t>Values to Create a Positive Early Years Setting for Practitioners</w:t>
        </w:r>
      </w:hyperlink>
      <w:r>
        <w:rPr>
          <w:rFonts w:ascii="Arial" w:hAnsi="Arial" w:cs="Arial"/>
        </w:rPr>
        <w:t xml:space="preserve"> (Accessed: 23</w:t>
      </w:r>
      <w:r w:rsidRPr="001D4513">
        <w:rPr>
          <w:rFonts w:ascii="Arial" w:hAnsi="Arial" w:cs="Arial"/>
          <w:vertAlign w:val="superscript"/>
        </w:rPr>
        <w:t>rd</w:t>
      </w:r>
      <w:r>
        <w:rPr>
          <w:rFonts w:ascii="Arial" w:hAnsi="Arial" w:cs="Arial"/>
        </w:rPr>
        <w:t xml:space="preserve"> October 2024)</w:t>
      </w:r>
    </w:p>
    <w:p w14:paraId="6FA3249A" w14:textId="77777777" w:rsidR="00C50FF5" w:rsidRDefault="00C50FF5" w:rsidP="00C50FF5">
      <w:pPr>
        <w:pStyle w:val="ListParagraph"/>
        <w:numPr>
          <w:ilvl w:val="0"/>
          <w:numId w:val="2"/>
        </w:numPr>
        <w:rPr>
          <w:rFonts w:ascii="Arial" w:hAnsi="Arial" w:cs="Arial"/>
        </w:rPr>
      </w:pPr>
      <w:r w:rsidRPr="00592E5C">
        <w:rPr>
          <w:rFonts w:ascii="Arial" w:hAnsi="Arial" w:cs="Arial"/>
        </w:rPr>
        <w:t xml:space="preserve">Johansson, E. and Einarsdottir, J. (2018) </w:t>
      </w:r>
      <w:r w:rsidRPr="00592E5C">
        <w:rPr>
          <w:rFonts w:ascii="Arial" w:hAnsi="Arial" w:cs="Arial"/>
          <w:i/>
          <w:iCs/>
        </w:rPr>
        <w:t>Values in Early Childhood Education</w:t>
      </w:r>
      <w:r w:rsidRPr="00592E5C">
        <w:rPr>
          <w:rFonts w:ascii="Arial" w:hAnsi="Arial" w:cs="Arial"/>
        </w:rPr>
        <w:t>. Oxon, Routledge</w:t>
      </w:r>
      <w:r>
        <w:rPr>
          <w:rFonts w:ascii="Arial" w:hAnsi="Arial" w:cs="Arial"/>
        </w:rPr>
        <w:t>.</w:t>
      </w:r>
    </w:p>
    <w:p w14:paraId="60C02CF1" w14:textId="77777777" w:rsidR="00C50FF5" w:rsidRDefault="00C50FF5" w:rsidP="00C50FF5">
      <w:pPr>
        <w:pStyle w:val="ListParagraph"/>
        <w:numPr>
          <w:ilvl w:val="0"/>
          <w:numId w:val="2"/>
        </w:numPr>
        <w:rPr>
          <w:rFonts w:ascii="Arial" w:hAnsi="Arial" w:cs="Arial"/>
        </w:rPr>
      </w:pPr>
      <w:r>
        <w:rPr>
          <w:rFonts w:ascii="Arial" w:hAnsi="Arial" w:cs="Arial"/>
        </w:rPr>
        <w:t xml:space="preserve"> NSPCC (2023) </w:t>
      </w:r>
      <w:proofErr w:type="gramStart"/>
      <w:r>
        <w:rPr>
          <w:rFonts w:ascii="Arial" w:hAnsi="Arial" w:cs="Arial"/>
          <w:i/>
          <w:iCs/>
        </w:rPr>
        <w:t>Multi-agency</w:t>
      </w:r>
      <w:proofErr w:type="gramEnd"/>
      <w:r>
        <w:rPr>
          <w:rFonts w:ascii="Arial" w:hAnsi="Arial" w:cs="Arial"/>
          <w:i/>
          <w:iCs/>
        </w:rPr>
        <w:t xml:space="preserve"> working. </w:t>
      </w:r>
      <w:r>
        <w:rPr>
          <w:rFonts w:ascii="Arial" w:hAnsi="Arial" w:cs="Arial"/>
        </w:rPr>
        <w:t xml:space="preserve">Available at: </w:t>
      </w:r>
      <w:hyperlink r:id="rId17" w:history="1">
        <w:r w:rsidRPr="007B37C5">
          <w:rPr>
            <w:rStyle w:val="Hyperlink"/>
            <w:rFonts w:ascii="Arial" w:hAnsi="Arial" w:cs="Arial"/>
          </w:rPr>
          <w:t>Multi-agency and interdisciplinary working | NSPCC Learning</w:t>
        </w:r>
      </w:hyperlink>
      <w:r>
        <w:rPr>
          <w:rFonts w:ascii="Arial" w:hAnsi="Arial" w:cs="Arial"/>
        </w:rPr>
        <w:t xml:space="preserve"> (Accessed: 29</w:t>
      </w:r>
      <w:r w:rsidRPr="007B37C5">
        <w:rPr>
          <w:rFonts w:ascii="Arial" w:hAnsi="Arial" w:cs="Arial"/>
          <w:vertAlign w:val="superscript"/>
        </w:rPr>
        <w:t>th</w:t>
      </w:r>
      <w:r>
        <w:rPr>
          <w:rFonts w:ascii="Arial" w:hAnsi="Arial" w:cs="Arial"/>
        </w:rPr>
        <w:t xml:space="preserve"> October 2024)</w:t>
      </w:r>
    </w:p>
    <w:p w14:paraId="47890346" w14:textId="77777777" w:rsidR="00C50FF5" w:rsidRDefault="00C50FF5" w:rsidP="00C50FF5">
      <w:pPr>
        <w:pStyle w:val="ListParagraph"/>
        <w:numPr>
          <w:ilvl w:val="0"/>
          <w:numId w:val="2"/>
        </w:numPr>
        <w:rPr>
          <w:rFonts w:ascii="Arial" w:hAnsi="Arial" w:cs="Arial"/>
        </w:rPr>
      </w:pPr>
      <w:r>
        <w:rPr>
          <w:rFonts w:ascii="Arial" w:hAnsi="Arial" w:cs="Arial"/>
        </w:rPr>
        <w:t xml:space="preserve">NSPCC (no date) </w:t>
      </w:r>
      <w:r>
        <w:rPr>
          <w:rFonts w:ascii="Arial" w:hAnsi="Arial" w:cs="Arial"/>
          <w:i/>
          <w:iCs/>
        </w:rPr>
        <w:t xml:space="preserve">Safeguarding and child protection. </w:t>
      </w:r>
      <w:r>
        <w:rPr>
          <w:rFonts w:ascii="Arial" w:hAnsi="Arial" w:cs="Arial"/>
        </w:rPr>
        <w:t xml:space="preserve">Available at: </w:t>
      </w:r>
      <w:hyperlink r:id="rId18" w:history="1">
        <w:r w:rsidRPr="000A4311">
          <w:rPr>
            <w:rStyle w:val="Hyperlink"/>
            <w:rFonts w:ascii="Arial" w:hAnsi="Arial" w:cs="Arial"/>
          </w:rPr>
          <w:t>Safeguarding children and child protection | NSPCC Learning</w:t>
        </w:r>
      </w:hyperlink>
      <w:r>
        <w:rPr>
          <w:rFonts w:ascii="Arial" w:hAnsi="Arial" w:cs="Arial"/>
        </w:rPr>
        <w:t xml:space="preserve"> (Accessed: 28</w:t>
      </w:r>
      <w:r w:rsidRPr="000A4311">
        <w:rPr>
          <w:rFonts w:ascii="Arial" w:hAnsi="Arial" w:cs="Arial"/>
          <w:vertAlign w:val="superscript"/>
        </w:rPr>
        <w:t>th</w:t>
      </w:r>
      <w:r>
        <w:rPr>
          <w:rFonts w:ascii="Arial" w:hAnsi="Arial" w:cs="Arial"/>
        </w:rPr>
        <w:t xml:space="preserve"> October 2024)</w:t>
      </w:r>
    </w:p>
    <w:p w14:paraId="6E4F7995" w14:textId="77777777" w:rsidR="00C50FF5" w:rsidRPr="00357A83" w:rsidRDefault="00C50FF5" w:rsidP="00C50FF5">
      <w:pPr>
        <w:pStyle w:val="ListParagraph"/>
        <w:numPr>
          <w:ilvl w:val="0"/>
          <w:numId w:val="2"/>
        </w:numPr>
        <w:rPr>
          <w:rFonts w:ascii="Arial" w:hAnsi="Arial" w:cs="Arial"/>
        </w:rPr>
      </w:pPr>
      <w:r w:rsidRPr="00357A83">
        <w:rPr>
          <w:rFonts w:ascii="Arial" w:hAnsi="Arial" w:cs="Arial"/>
        </w:rPr>
        <w:t xml:space="preserve">Perez, R. (2019) ‘What Does It Mean to Be a Professional?’ </w:t>
      </w:r>
      <w:r w:rsidRPr="00357A83">
        <w:rPr>
          <w:rFonts w:ascii="Arial" w:hAnsi="Arial" w:cs="Arial"/>
          <w:i/>
          <w:iCs/>
        </w:rPr>
        <w:t>Professional Case Management</w:t>
      </w:r>
      <w:r w:rsidRPr="00357A83">
        <w:rPr>
          <w:rFonts w:ascii="Arial" w:hAnsi="Arial" w:cs="Arial"/>
        </w:rPr>
        <w:t>. 24 (4) pp 212.</w:t>
      </w:r>
    </w:p>
    <w:p w14:paraId="79F82B35" w14:textId="77777777" w:rsidR="00C50FF5" w:rsidRDefault="00C50FF5" w:rsidP="00C50FF5">
      <w:pPr>
        <w:pStyle w:val="ListParagraph"/>
        <w:numPr>
          <w:ilvl w:val="0"/>
          <w:numId w:val="2"/>
        </w:numPr>
        <w:rPr>
          <w:rFonts w:ascii="Arial" w:hAnsi="Arial" w:cs="Arial"/>
        </w:rPr>
      </w:pPr>
      <w:proofErr w:type="spellStart"/>
      <w:r>
        <w:rPr>
          <w:rFonts w:ascii="Arial" w:hAnsi="Arial" w:cs="Arial"/>
        </w:rPr>
        <w:t>Procare</w:t>
      </w:r>
      <w:proofErr w:type="spellEnd"/>
      <w:r>
        <w:rPr>
          <w:rFonts w:ascii="Arial" w:hAnsi="Arial" w:cs="Arial"/>
        </w:rPr>
        <w:t xml:space="preserve"> (2020) </w:t>
      </w:r>
      <w:r>
        <w:rPr>
          <w:rFonts w:ascii="Arial" w:hAnsi="Arial" w:cs="Arial"/>
          <w:i/>
          <w:iCs/>
        </w:rPr>
        <w:t>10 Parent Communication Strategies in Child Care.</w:t>
      </w:r>
      <w:r>
        <w:rPr>
          <w:rFonts w:ascii="Arial" w:hAnsi="Arial" w:cs="Arial"/>
        </w:rPr>
        <w:t xml:space="preserve"> Available at: </w:t>
      </w:r>
      <w:hyperlink r:id="rId19" w:history="1">
        <w:r w:rsidRPr="00444F1D">
          <w:rPr>
            <w:rStyle w:val="Hyperlink"/>
            <w:rFonts w:ascii="Arial" w:hAnsi="Arial" w:cs="Arial"/>
          </w:rPr>
          <w:t xml:space="preserve">10 Parent Communication Strategies in Child Care | </w:t>
        </w:r>
        <w:proofErr w:type="spellStart"/>
        <w:r w:rsidRPr="00444F1D">
          <w:rPr>
            <w:rStyle w:val="Hyperlink"/>
            <w:rFonts w:ascii="Arial" w:hAnsi="Arial" w:cs="Arial"/>
          </w:rPr>
          <w:t>Procare</w:t>
        </w:r>
        <w:proofErr w:type="spellEnd"/>
        <w:r w:rsidRPr="00444F1D">
          <w:rPr>
            <w:rStyle w:val="Hyperlink"/>
            <w:rFonts w:ascii="Arial" w:hAnsi="Arial" w:cs="Arial"/>
          </w:rPr>
          <w:t xml:space="preserve"> Solutions</w:t>
        </w:r>
      </w:hyperlink>
      <w:r>
        <w:rPr>
          <w:rFonts w:ascii="Arial" w:hAnsi="Arial" w:cs="Arial"/>
        </w:rPr>
        <w:t xml:space="preserve"> (Accessed: 28</w:t>
      </w:r>
      <w:r w:rsidRPr="00444F1D">
        <w:rPr>
          <w:rFonts w:ascii="Arial" w:hAnsi="Arial" w:cs="Arial"/>
          <w:vertAlign w:val="superscript"/>
        </w:rPr>
        <w:t>th</w:t>
      </w:r>
      <w:r>
        <w:rPr>
          <w:rFonts w:ascii="Arial" w:hAnsi="Arial" w:cs="Arial"/>
        </w:rPr>
        <w:t xml:space="preserve"> October 2024)</w:t>
      </w:r>
    </w:p>
    <w:p w14:paraId="409E879D" w14:textId="77777777" w:rsidR="00C50FF5" w:rsidRDefault="00C50FF5" w:rsidP="00C50FF5">
      <w:pPr>
        <w:pStyle w:val="ListParagraph"/>
        <w:numPr>
          <w:ilvl w:val="0"/>
          <w:numId w:val="2"/>
        </w:numPr>
        <w:rPr>
          <w:rFonts w:ascii="Arial" w:hAnsi="Arial" w:cs="Arial"/>
        </w:rPr>
      </w:pPr>
      <w:r>
        <w:rPr>
          <w:rFonts w:ascii="Arial" w:hAnsi="Arial" w:cs="Arial"/>
        </w:rPr>
        <w:t xml:space="preserve"> Save The Children (no date) </w:t>
      </w:r>
      <w:r>
        <w:rPr>
          <w:rFonts w:ascii="Arial" w:hAnsi="Arial" w:cs="Arial"/>
          <w:i/>
          <w:iCs/>
        </w:rPr>
        <w:t xml:space="preserve">Un Convention on the Rights of the Child (UNCRC) </w:t>
      </w:r>
      <w:r>
        <w:rPr>
          <w:rFonts w:ascii="Arial" w:hAnsi="Arial" w:cs="Arial"/>
        </w:rPr>
        <w:t xml:space="preserve">Available at: </w:t>
      </w:r>
      <w:hyperlink r:id="rId20" w:history="1">
        <w:r w:rsidRPr="00511E13">
          <w:rPr>
            <w:rStyle w:val="Hyperlink"/>
            <w:rFonts w:ascii="Arial" w:hAnsi="Arial" w:cs="Arial"/>
          </w:rPr>
          <w:t>UN Convention On The Rights Of The Child | Save the Children UK</w:t>
        </w:r>
      </w:hyperlink>
      <w:r>
        <w:rPr>
          <w:rFonts w:ascii="Arial" w:hAnsi="Arial" w:cs="Arial"/>
        </w:rPr>
        <w:t xml:space="preserve"> (Accessed: 30</w:t>
      </w:r>
      <w:r w:rsidRPr="00511E13">
        <w:rPr>
          <w:rFonts w:ascii="Arial" w:hAnsi="Arial" w:cs="Arial"/>
          <w:vertAlign w:val="superscript"/>
        </w:rPr>
        <w:t>th</w:t>
      </w:r>
      <w:r>
        <w:rPr>
          <w:rFonts w:ascii="Arial" w:hAnsi="Arial" w:cs="Arial"/>
        </w:rPr>
        <w:t xml:space="preserve"> October 2024)</w:t>
      </w:r>
    </w:p>
    <w:p w14:paraId="1CC57983" w14:textId="77777777" w:rsidR="00C50FF5" w:rsidRDefault="00C50FF5" w:rsidP="00C50FF5">
      <w:pPr>
        <w:pStyle w:val="ListParagraph"/>
        <w:numPr>
          <w:ilvl w:val="0"/>
          <w:numId w:val="2"/>
        </w:numPr>
        <w:rPr>
          <w:rFonts w:ascii="Arial" w:hAnsi="Arial" w:cs="Arial"/>
        </w:rPr>
      </w:pPr>
      <w:r>
        <w:rPr>
          <w:rFonts w:ascii="Arial" w:hAnsi="Arial" w:cs="Arial"/>
        </w:rPr>
        <w:t xml:space="preserve">Social Care Wales (2014) </w:t>
      </w:r>
      <w:r>
        <w:rPr>
          <w:rFonts w:ascii="Arial" w:hAnsi="Arial" w:cs="Arial"/>
          <w:i/>
          <w:iCs/>
        </w:rPr>
        <w:t>The Social Services and Well-being (Wales) Act.</w:t>
      </w:r>
      <w:r>
        <w:rPr>
          <w:rFonts w:ascii="Arial" w:hAnsi="Arial" w:cs="Arial"/>
        </w:rPr>
        <w:t xml:space="preserve"> Available at: </w:t>
      </w:r>
      <w:hyperlink r:id="rId21" w:history="1">
        <w:r w:rsidRPr="005D374C">
          <w:rPr>
            <w:rStyle w:val="Hyperlink"/>
            <w:rFonts w:ascii="Arial" w:hAnsi="Arial" w:cs="Arial"/>
          </w:rPr>
          <w:t>The Social Services and Well-being (Wales) Act 2014</w:t>
        </w:r>
      </w:hyperlink>
      <w:r>
        <w:rPr>
          <w:rFonts w:ascii="Arial" w:hAnsi="Arial" w:cs="Arial"/>
        </w:rPr>
        <w:t xml:space="preserve"> (Accessed: 28</w:t>
      </w:r>
      <w:r w:rsidRPr="005D374C">
        <w:rPr>
          <w:rFonts w:ascii="Arial" w:hAnsi="Arial" w:cs="Arial"/>
          <w:vertAlign w:val="superscript"/>
        </w:rPr>
        <w:t>th</w:t>
      </w:r>
      <w:r>
        <w:rPr>
          <w:rFonts w:ascii="Arial" w:hAnsi="Arial" w:cs="Arial"/>
        </w:rPr>
        <w:t xml:space="preserve"> October 2024)</w:t>
      </w:r>
    </w:p>
    <w:p w14:paraId="5ED36A82" w14:textId="77777777" w:rsidR="00C50FF5" w:rsidRDefault="00C50FF5" w:rsidP="00C50FF5">
      <w:pPr>
        <w:pStyle w:val="ListParagraph"/>
        <w:numPr>
          <w:ilvl w:val="0"/>
          <w:numId w:val="2"/>
        </w:numPr>
        <w:rPr>
          <w:rFonts w:ascii="Arial" w:hAnsi="Arial" w:cs="Arial"/>
        </w:rPr>
      </w:pPr>
      <w:r>
        <w:rPr>
          <w:rFonts w:ascii="Arial" w:hAnsi="Arial" w:cs="Arial"/>
        </w:rPr>
        <w:t xml:space="preserve"> UK Social Work (2024) </w:t>
      </w:r>
      <w:r>
        <w:rPr>
          <w:rFonts w:ascii="Arial" w:hAnsi="Arial" w:cs="Arial"/>
          <w:i/>
          <w:iCs/>
        </w:rPr>
        <w:t xml:space="preserve">The </w:t>
      </w:r>
      <w:proofErr w:type="spellStart"/>
      <w:r>
        <w:rPr>
          <w:rFonts w:ascii="Arial" w:hAnsi="Arial" w:cs="Arial"/>
          <w:i/>
          <w:iCs/>
        </w:rPr>
        <w:t>Cruical</w:t>
      </w:r>
      <w:proofErr w:type="spellEnd"/>
      <w:r>
        <w:rPr>
          <w:rFonts w:ascii="Arial" w:hAnsi="Arial" w:cs="Arial"/>
          <w:i/>
          <w:iCs/>
        </w:rPr>
        <w:t xml:space="preserve"> Role </w:t>
      </w:r>
      <w:proofErr w:type="gramStart"/>
      <w:r>
        <w:rPr>
          <w:rFonts w:ascii="Arial" w:hAnsi="Arial" w:cs="Arial"/>
          <w:i/>
          <w:iCs/>
        </w:rPr>
        <w:t>Of</w:t>
      </w:r>
      <w:proofErr w:type="gramEnd"/>
      <w:r>
        <w:rPr>
          <w:rFonts w:ascii="Arial" w:hAnsi="Arial" w:cs="Arial"/>
          <w:i/>
          <w:iCs/>
        </w:rPr>
        <w:t xml:space="preserve"> Multi-Agency Working In Social Care: A Balanced Perspective. </w:t>
      </w:r>
      <w:r>
        <w:rPr>
          <w:rFonts w:ascii="Arial" w:hAnsi="Arial" w:cs="Arial"/>
        </w:rPr>
        <w:t xml:space="preserve">Available at: </w:t>
      </w:r>
      <w:hyperlink r:id="rId22" w:history="1">
        <w:r w:rsidRPr="009042CD">
          <w:rPr>
            <w:rStyle w:val="Hyperlink"/>
            <w:rFonts w:ascii="Arial" w:hAnsi="Arial" w:cs="Arial"/>
          </w:rPr>
          <w:t>The Crucial Role of Multi-Agency Working in Social Care: A Balanced Perspective - UK Social Work</w:t>
        </w:r>
      </w:hyperlink>
      <w:r>
        <w:rPr>
          <w:rFonts w:ascii="Arial" w:hAnsi="Arial" w:cs="Arial"/>
        </w:rPr>
        <w:t xml:space="preserve"> (Accessed: 29</w:t>
      </w:r>
      <w:r w:rsidRPr="009042CD">
        <w:rPr>
          <w:rFonts w:ascii="Arial" w:hAnsi="Arial" w:cs="Arial"/>
          <w:vertAlign w:val="superscript"/>
        </w:rPr>
        <w:t>th</w:t>
      </w:r>
      <w:r>
        <w:rPr>
          <w:rFonts w:ascii="Arial" w:hAnsi="Arial" w:cs="Arial"/>
        </w:rPr>
        <w:t xml:space="preserve"> October 2024)</w:t>
      </w:r>
    </w:p>
    <w:p w14:paraId="6FA9E7D9" w14:textId="77777777" w:rsidR="00C50FF5" w:rsidRDefault="00C50FF5" w:rsidP="00C50FF5">
      <w:pPr>
        <w:pStyle w:val="ListParagraph"/>
        <w:numPr>
          <w:ilvl w:val="0"/>
          <w:numId w:val="2"/>
        </w:numPr>
        <w:rPr>
          <w:rFonts w:ascii="Arial" w:hAnsi="Arial" w:cs="Arial"/>
        </w:rPr>
      </w:pPr>
      <w:proofErr w:type="spellStart"/>
      <w:r>
        <w:rPr>
          <w:rFonts w:ascii="Arial" w:hAnsi="Arial" w:cs="Arial"/>
        </w:rPr>
        <w:t>Unicef</w:t>
      </w:r>
      <w:proofErr w:type="spellEnd"/>
      <w:r>
        <w:rPr>
          <w:rFonts w:ascii="Arial" w:hAnsi="Arial" w:cs="Arial"/>
        </w:rPr>
        <w:t xml:space="preserve"> (no date) </w:t>
      </w:r>
      <w:r>
        <w:rPr>
          <w:rFonts w:ascii="Arial" w:hAnsi="Arial" w:cs="Arial"/>
          <w:i/>
          <w:iCs/>
        </w:rPr>
        <w:t xml:space="preserve">How to communicate effectively with your young child. </w:t>
      </w:r>
      <w:r>
        <w:rPr>
          <w:rFonts w:ascii="Arial" w:hAnsi="Arial" w:cs="Arial"/>
        </w:rPr>
        <w:t xml:space="preserve">Available at: </w:t>
      </w:r>
      <w:hyperlink r:id="rId23" w:history="1">
        <w:r w:rsidRPr="007843B8">
          <w:rPr>
            <w:rStyle w:val="Hyperlink"/>
            <w:rFonts w:ascii="Arial" w:hAnsi="Arial" w:cs="Arial"/>
          </w:rPr>
          <w:t>How to communicate effectively with your young child | UNICEF Parenting</w:t>
        </w:r>
      </w:hyperlink>
      <w:r>
        <w:rPr>
          <w:rFonts w:ascii="Arial" w:hAnsi="Arial" w:cs="Arial"/>
        </w:rPr>
        <w:t xml:space="preserve"> (Accessed: 28</w:t>
      </w:r>
      <w:r w:rsidRPr="002A224F">
        <w:rPr>
          <w:rFonts w:ascii="Arial" w:hAnsi="Arial" w:cs="Arial"/>
          <w:vertAlign w:val="superscript"/>
        </w:rPr>
        <w:t>th</w:t>
      </w:r>
      <w:r>
        <w:rPr>
          <w:rFonts w:ascii="Arial" w:hAnsi="Arial" w:cs="Arial"/>
        </w:rPr>
        <w:t xml:space="preserve"> October 2024)</w:t>
      </w:r>
    </w:p>
    <w:p w14:paraId="64305BE0" w14:textId="77777777" w:rsidR="00C50FF5" w:rsidRDefault="00C50FF5" w:rsidP="00C50FF5">
      <w:pPr>
        <w:pStyle w:val="ListParagraph"/>
        <w:numPr>
          <w:ilvl w:val="0"/>
          <w:numId w:val="2"/>
        </w:numPr>
        <w:rPr>
          <w:rFonts w:ascii="Arial" w:hAnsi="Arial" w:cs="Arial"/>
        </w:rPr>
      </w:pPr>
      <w:r>
        <w:rPr>
          <w:rFonts w:ascii="Arial" w:hAnsi="Arial" w:cs="Arial"/>
        </w:rPr>
        <w:t xml:space="preserve">Welsh Government (2023) </w:t>
      </w:r>
      <w:r>
        <w:rPr>
          <w:rFonts w:ascii="Arial" w:hAnsi="Arial" w:cs="Arial"/>
          <w:i/>
          <w:iCs/>
        </w:rPr>
        <w:t xml:space="preserve">National Minimum Standards for Regulated Childcare for Children up to the age of 12 years. </w:t>
      </w:r>
      <w:r>
        <w:rPr>
          <w:rFonts w:ascii="Arial" w:hAnsi="Arial" w:cs="Arial"/>
        </w:rPr>
        <w:t xml:space="preserve">Available at: </w:t>
      </w:r>
      <w:hyperlink r:id="rId24" w:history="1">
        <w:r w:rsidRPr="00CA79A2">
          <w:rPr>
            <w:rStyle w:val="Hyperlink"/>
            <w:rFonts w:ascii="Arial" w:hAnsi="Arial" w:cs="Arial"/>
          </w:rPr>
          <w:t>National Minimum Standards for Regulated Childcare (NMS)</w:t>
        </w:r>
      </w:hyperlink>
      <w:r>
        <w:rPr>
          <w:rFonts w:ascii="Arial" w:hAnsi="Arial" w:cs="Arial"/>
        </w:rPr>
        <w:t xml:space="preserve"> (Accessed: 28</w:t>
      </w:r>
      <w:r w:rsidRPr="00CA79A2">
        <w:rPr>
          <w:rFonts w:ascii="Arial" w:hAnsi="Arial" w:cs="Arial"/>
          <w:vertAlign w:val="superscript"/>
        </w:rPr>
        <w:t>th</w:t>
      </w:r>
      <w:r>
        <w:rPr>
          <w:rFonts w:ascii="Arial" w:hAnsi="Arial" w:cs="Arial"/>
        </w:rPr>
        <w:t xml:space="preserve"> October 2024)</w:t>
      </w:r>
    </w:p>
    <w:p w14:paraId="2E419DE2" w14:textId="77777777" w:rsidR="00C50FF5" w:rsidRPr="00357A83" w:rsidRDefault="00C50FF5" w:rsidP="00C50FF5">
      <w:pPr>
        <w:pStyle w:val="ListParagraph"/>
        <w:rPr>
          <w:rFonts w:ascii="Arial" w:hAnsi="Arial" w:cs="Arial"/>
        </w:rPr>
      </w:pPr>
    </w:p>
    <w:p w14:paraId="2F3BE846" w14:textId="77777777" w:rsidR="002C2FB4" w:rsidRPr="002C2FB4" w:rsidRDefault="002C2FB4" w:rsidP="002C2FB4">
      <w:pPr>
        <w:rPr>
          <w:rFonts w:ascii="Arial" w:hAnsi="Arial" w:cs="Arial"/>
        </w:rPr>
      </w:pPr>
    </w:p>
    <w:sectPr w:rsidR="002C2FB4" w:rsidRPr="002C2FB4">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3081BB" w14:textId="77777777" w:rsidR="00CE1B4F" w:rsidRDefault="00CE1B4F" w:rsidP="002C2FB4">
      <w:pPr>
        <w:spacing w:after="0" w:line="240" w:lineRule="auto"/>
      </w:pPr>
      <w:r>
        <w:separator/>
      </w:r>
    </w:p>
  </w:endnote>
  <w:endnote w:type="continuationSeparator" w:id="0">
    <w:p w14:paraId="6C5C0186" w14:textId="77777777" w:rsidR="00CE1B4F" w:rsidRDefault="00CE1B4F" w:rsidP="002C2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34C88" w14:textId="77777777" w:rsidR="00CE1B4F" w:rsidRDefault="00CE1B4F" w:rsidP="002C2FB4">
      <w:pPr>
        <w:spacing w:after="0" w:line="240" w:lineRule="auto"/>
      </w:pPr>
      <w:r>
        <w:separator/>
      </w:r>
    </w:p>
  </w:footnote>
  <w:footnote w:type="continuationSeparator" w:id="0">
    <w:p w14:paraId="3AC40BA8" w14:textId="77777777" w:rsidR="00CE1B4F" w:rsidRDefault="00CE1B4F" w:rsidP="002C2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C7E7E2" w14:textId="2780925A" w:rsidR="002C2FB4" w:rsidRDefault="002C2FB4">
    <w:pPr>
      <w:pStyle w:val="Header"/>
      <w:rPr>
        <w:rFonts w:ascii="Arial" w:hAnsi="Arial" w:cs="Arial"/>
      </w:rPr>
    </w:pPr>
    <w:r>
      <w:rPr>
        <w:rFonts w:ascii="Arial" w:hAnsi="Arial" w:cs="Arial"/>
      </w:rPr>
      <w:t>Louise Baker</w:t>
    </w:r>
  </w:p>
  <w:p w14:paraId="3511948B" w14:textId="4E81B058" w:rsidR="002C2FB4" w:rsidRDefault="002C2FB4">
    <w:pPr>
      <w:pStyle w:val="Header"/>
      <w:rPr>
        <w:rFonts w:ascii="Arial" w:hAnsi="Arial" w:cs="Arial"/>
      </w:rPr>
    </w:pPr>
    <w:r>
      <w:rPr>
        <w:rFonts w:ascii="Arial" w:hAnsi="Arial" w:cs="Arial"/>
      </w:rPr>
      <w:t>2406949</w:t>
    </w:r>
  </w:p>
  <w:p w14:paraId="06A2E162" w14:textId="781C13B4" w:rsidR="002C2FB4" w:rsidRPr="002C2FB4" w:rsidRDefault="002C2FB4">
    <w:pPr>
      <w:pStyle w:val="Header"/>
      <w:rPr>
        <w:rFonts w:ascii="Arial" w:hAnsi="Arial" w:cs="Arial"/>
      </w:rPr>
    </w:pPr>
    <w:r>
      <w:rPr>
        <w:rFonts w:ascii="Arial" w:hAnsi="Arial" w:cs="Arial"/>
      </w:rPr>
      <w:t>ECEY4009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2657B4"/>
    <w:multiLevelType w:val="hybridMultilevel"/>
    <w:tmpl w:val="2592A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945A0F"/>
    <w:multiLevelType w:val="hybridMultilevel"/>
    <w:tmpl w:val="8C868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0831EA"/>
    <w:multiLevelType w:val="hybridMultilevel"/>
    <w:tmpl w:val="18CA6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6886121">
    <w:abstractNumId w:val="2"/>
  </w:num>
  <w:num w:numId="2" w16cid:durableId="278605790">
    <w:abstractNumId w:val="0"/>
  </w:num>
  <w:num w:numId="3" w16cid:durableId="76249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B4"/>
    <w:rsid w:val="001B5FA3"/>
    <w:rsid w:val="002C2FB4"/>
    <w:rsid w:val="0039012B"/>
    <w:rsid w:val="003A0A63"/>
    <w:rsid w:val="005B4596"/>
    <w:rsid w:val="008931C2"/>
    <w:rsid w:val="00AC385B"/>
    <w:rsid w:val="00C50FF5"/>
    <w:rsid w:val="00CE1B4F"/>
    <w:rsid w:val="00D70DE1"/>
    <w:rsid w:val="00E8307D"/>
    <w:rsid w:val="00EF3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DFE6D"/>
  <w15:chartTrackingRefBased/>
  <w15:docId w15:val="{78510318-1449-49E0-8B17-3B83E4AE5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F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F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F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F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F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F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F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F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F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F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F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F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F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F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F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F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F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FB4"/>
    <w:rPr>
      <w:rFonts w:eastAsiaTheme="majorEastAsia" w:cstheme="majorBidi"/>
      <w:color w:val="272727" w:themeColor="text1" w:themeTint="D8"/>
    </w:rPr>
  </w:style>
  <w:style w:type="paragraph" w:styleId="Title">
    <w:name w:val="Title"/>
    <w:basedOn w:val="Normal"/>
    <w:next w:val="Normal"/>
    <w:link w:val="TitleChar"/>
    <w:uiPriority w:val="10"/>
    <w:qFormat/>
    <w:rsid w:val="002C2F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F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F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F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FB4"/>
    <w:pPr>
      <w:spacing w:before="160"/>
      <w:jc w:val="center"/>
    </w:pPr>
    <w:rPr>
      <w:i/>
      <w:iCs/>
      <w:color w:val="404040" w:themeColor="text1" w:themeTint="BF"/>
    </w:rPr>
  </w:style>
  <w:style w:type="character" w:customStyle="1" w:styleId="QuoteChar">
    <w:name w:val="Quote Char"/>
    <w:basedOn w:val="DefaultParagraphFont"/>
    <w:link w:val="Quote"/>
    <w:uiPriority w:val="29"/>
    <w:rsid w:val="002C2FB4"/>
    <w:rPr>
      <w:i/>
      <w:iCs/>
      <w:color w:val="404040" w:themeColor="text1" w:themeTint="BF"/>
    </w:rPr>
  </w:style>
  <w:style w:type="paragraph" w:styleId="ListParagraph">
    <w:name w:val="List Paragraph"/>
    <w:basedOn w:val="Normal"/>
    <w:uiPriority w:val="34"/>
    <w:qFormat/>
    <w:rsid w:val="002C2FB4"/>
    <w:pPr>
      <w:ind w:left="720"/>
      <w:contextualSpacing/>
    </w:pPr>
  </w:style>
  <w:style w:type="character" w:styleId="IntenseEmphasis">
    <w:name w:val="Intense Emphasis"/>
    <w:basedOn w:val="DefaultParagraphFont"/>
    <w:uiPriority w:val="21"/>
    <w:qFormat/>
    <w:rsid w:val="002C2FB4"/>
    <w:rPr>
      <w:i/>
      <w:iCs/>
      <w:color w:val="0F4761" w:themeColor="accent1" w:themeShade="BF"/>
    </w:rPr>
  </w:style>
  <w:style w:type="paragraph" w:styleId="IntenseQuote">
    <w:name w:val="Intense Quote"/>
    <w:basedOn w:val="Normal"/>
    <w:next w:val="Normal"/>
    <w:link w:val="IntenseQuoteChar"/>
    <w:uiPriority w:val="30"/>
    <w:qFormat/>
    <w:rsid w:val="002C2F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FB4"/>
    <w:rPr>
      <w:i/>
      <w:iCs/>
      <w:color w:val="0F4761" w:themeColor="accent1" w:themeShade="BF"/>
    </w:rPr>
  </w:style>
  <w:style w:type="character" w:styleId="IntenseReference">
    <w:name w:val="Intense Reference"/>
    <w:basedOn w:val="DefaultParagraphFont"/>
    <w:uiPriority w:val="32"/>
    <w:qFormat/>
    <w:rsid w:val="002C2FB4"/>
    <w:rPr>
      <w:b/>
      <w:bCs/>
      <w:smallCaps/>
      <w:color w:val="0F4761" w:themeColor="accent1" w:themeShade="BF"/>
      <w:spacing w:val="5"/>
    </w:rPr>
  </w:style>
  <w:style w:type="paragraph" w:styleId="Header">
    <w:name w:val="header"/>
    <w:basedOn w:val="Normal"/>
    <w:link w:val="HeaderChar"/>
    <w:uiPriority w:val="99"/>
    <w:unhideWhenUsed/>
    <w:rsid w:val="002C2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FB4"/>
  </w:style>
  <w:style w:type="paragraph" w:styleId="Footer">
    <w:name w:val="footer"/>
    <w:basedOn w:val="Normal"/>
    <w:link w:val="FooterChar"/>
    <w:uiPriority w:val="99"/>
    <w:unhideWhenUsed/>
    <w:rsid w:val="002C2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FB4"/>
  </w:style>
  <w:style w:type="table" w:styleId="TableGrid">
    <w:name w:val="Table Grid"/>
    <w:basedOn w:val="TableNormal"/>
    <w:uiPriority w:val="39"/>
    <w:rsid w:val="00C50F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50F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acey.org.uk/Pacey/media/Website-files/PACEY%20member%20practice%20guides%20(PDFs)/PG04-self-reflective-practice.pdf" TargetMode="External"/><Relationship Id="rId18" Type="http://schemas.openxmlformats.org/officeDocument/2006/relationships/hyperlink" Target="https://learning.nspcc.org.uk/safeguarding-child-protec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care.wales/cms-assets/documents/hub-downloads/Workbook-What-does-the-Act-mean-for-me.pdf" TargetMode="External"/><Relationship Id="rId7" Type="http://schemas.openxmlformats.org/officeDocument/2006/relationships/image" Target="media/image1.png"/><Relationship Id="rId12" Type="http://schemas.openxmlformats.org/officeDocument/2006/relationships/hyperlink" Target="https://mylittlescholars.com.au/reflective-practice-in-childcare/" TargetMode="External"/><Relationship Id="rId17" Type="http://schemas.openxmlformats.org/officeDocument/2006/relationships/hyperlink" Target="https://learning.nspcc.org.uk/child-protection-system/multi-agency-working-child-protec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winkl.co.uk/blog/values-to-create-a-positive-early-years-setting-for-practitioners-pviblog" TargetMode="External"/><Relationship Id="rId20" Type="http://schemas.openxmlformats.org/officeDocument/2006/relationships/hyperlink" Target="https://www.savethechildren.org.uk/what-we-do/childrens-rights/united-nations-convention-of-the-rights-of-the-chi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tref.webspace.durham.ac.uk/wp-content/uploads/sites/53/2021/06/Facilitating-collaborative-reflection_Meth_CS_DU_Final.pdf" TargetMode="External"/><Relationship Id="rId24" Type="http://schemas.openxmlformats.org/officeDocument/2006/relationships/hyperlink" Target="https://www.gov.wales/sites/default/files/publications/2023-05/national-minimum-standards-for-regulated-childcare_0.pdf" TargetMode="External"/><Relationship Id="rId5" Type="http://schemas.openxmlformats.org/officeDocument/2006/relationships/footnotes" Target="footnotes.xml"/><Relationship Id="rId15" Type="http://schemas.openxmlformats.org/officeDocument/2006/relationships/hyperlink" Target="https://www.birthto5matters.org.uk/wp-content/uploads/2021/03/Explaining-the-OAP-Cycle.pdf" TargetMode="External"/><Relationship Id="rId23" Type="http://schemas.openxmlformats.org/officeDocument/2006/relationships/hyperlink" Target="https://www.unicef.org/parenting/child-care/9-tips-for-better-communication" TargetMode="External"/><Relationship Id="rId10" Type="http://schemas.openxmlformats.org/officeDocument/2006/relationships/hyperlink" Target="https://libguides.cam.ac.uk/reflectivepracticetoolkit/models" TargetMode="External"/><Relationship Id="rId19" Type="http://schemas.openxmlformats.org/officeDocument/2006/relationships/hyperlink" Target="https://www.procaresoftware.com/blog/10-parent-communication-strategies-in-child-care/"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tudublin.libguides.com/c.php?g=684780&amp;p=4891210" TargetMode="External"/><Relationship Id="rId22" Type="http://schemas.openxmlformats.org/officeDocument/2006/relationships/hyperlink" Target="https://uksocialwork.co.uk/the-crucial-role-of-multi-agency-working-in-social-care-a-balanced-perspectiv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12</Pages>
  <Words>3792</Words>
  <Characters>21615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4</cp:revision>
  <dcterms:created xsi:type="dcterms:W3CDTF">2024-10-30T21:23:00Z</dcterms:created>
  <dcterms:modified xsi:type="dcterms:W3CDTF">2024-11-02T20:43:00Z</dcterms:modified>
</cp:coreProperties>
</file>