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11BD" w:rsidRPr="007F1A1D" w:rsidRDefault="00E711BD" w:rsidP="00CE55C2">
      <w:pPr>
        <w:spacing w:before="72" w:after="72"/>
        <w:jc w:val="center"/>
        <w:rPr>
          <w:rFonts w:cs="Times New Roman"/>
          <w:sz w:val="48"/>
          <w:szCs w:val="48"/>
        </w:rPr>
      </w:pPr>
      <w:bookmarkStart w:id="0" w:name="_Hlk129619164"/>
      <w:r w:rsidRPr="007F1A1D">
        <w:rPr>
          <w:rFonts w:cs="Times New Roman"/>
          <w:sz w:val="48"/>
          <w:szCs w:val="48"/>
        </w:rPr>
        <w:t>Leadership and management, theory and practice</w:t>
      </w:r>
    </w:p>
    <w:p w:rsidR="00E711BD" w:rsidRPr="007F1A1D" w:rsidRDefault="00E711BD" w:rsidP="00CE55C2">
      <w:pPr>
        <w:spacing w:before="72" w:after="72"/>
        <w:jc w:val="center"/>
        <w:rPr>
          <w:rFonts w:cs="Times New Roman"/>
          <w:szCs w:val="24"/>
        </w:rPr>
      </w:pPr>
    </w:p>
    <w:p w:rsidR="00E711BD" w:rsidRPr="007F1A1D" w:rsidRDefault="00E711BD" w:rsidP="00CE55C2">
      <w:pPr>
        <w:spacing w:before="72" w:after="72"/>
        <w:jc w:val="center"/>
        <w:rPr>
          <w:rFonts w:cs="Times New Roman"/>
          <w:szCs w:val="24"/>
        </w:rPr>
      </w:pPr>
    </w:p>
    <w:p w:rsidR="00E711BD" w:rsidRPr="007F1A1D" w:rsidRDefault="00E711BD" w:rsidP="00CE55C2">
      <w:pPr>
        <w:spacing w:before="72" w:after="72"/>
        <w:jc w:val="center"/>
        <w:rPr>
          <w:rFonts w:cs="Times New Roman"/>
          <w:szCs w:val="24"/>
        </w:rPr>
      </w:pPr>
    </w:p>
    <w:p w:rsidR="00E711BD" w:rsidRPr="0078781B" w:rsidRDefault="00E711BD" w:rsidP="00CE55C2">
      <w:pPr>
        <w:spacing w:before="72" w:after="72"/>
        <w:jc w:val="center"/>
        <w:rPr>
          <w:rFonts w:cs="Times New Roman"/>
          <w:color w:val="FF0000"/>
          <w:sz w:val="28"/>
          <w:szCs w:val="28"/>
        </w:rPr>
      </w:pPr>
    </w:p>
    <w:p w:rsidR="00E711BD" w:rsidRPr="0078781B" w:rsidRDefault="00E711BD" w:rsidP="00CE55C2">
      <w:pPr>
        <w:spacing w:before="72" w:after="72"/>
        <w:jc w:val="center"/>
        <w:rPr>
          <w:rFonts w:cs="Times New Roman"/>
          <w:color w:val="FF0000"/>
          <w:sz w:val="28"/>
          <w:szCs w:val="28"/>
        </w:rPr>
      </w:pPr>
      <w:r w:rsidRPr="0078781B">
        <w:rPr>
          <w:rFonts w:cs="Times New Roman"/>
          <w:color w:val="FF0000"/>
          <w:sz w:val="28"/>
          <w:szCs w:val="28"/>
        </w:rPr>
        <w:t>Programme: BA Business Management</w:t>
      </w:r>
    </w:p>
    <w:p w:rsidR="00E711BD" w:rsidRDefault="00E711BD" w:rsidP="00CE55C2">
      <w:pPr>
        <w:spacing w:before="72" w:after="72"/>
        <w:jc w:val="center"/>
        <w:rPr>
          <w:rFonts w:cs="Times New Roman"/>
          <w:color w:val="FF0000"/>
          <w:sz w:val="28"/>
          <w:szCs w:val="28"/>
        </w:rPr>
      </w:pPr>
      <w:r w:rsidRPr="0078781B">
        <w:rPr>
          <w:rFonts w:cs="Times New Roman"/>
          <w:color w:val="FF0000"/>
          <w:sz w:val="28"/>
          <w:szCs w:val="28"/>
        </w:rPr>
        <w:t>Module Code: CBB6003</w:t>
      </w:r>
    </w:p>
    <w:p w:rsidR="00E711BD" w:rsidRDefault="00E711BD" w:rsidP="00CE55C2">
      <w:pPr>
        <w:spacing w:before="72" w:after="72"/>
        <w:jc w:val="center"/>
        <w:rPr>
          <w:rFonts w:cs="Times New Roman"/>
          <w:color w:val="FF0000"/>
          <w:sz w:val="28"/>
          <w:szCs w:val="28"/>
        </w:rPr>
      </w:pPr>
    </w:p>
    <w:p w:rsidR="00E711BD" w:rsidRDefault="00E711BD" w:rsidP="00CE55C2">
      <w:pPr>
        <w:spacing w:before="72" w:after="72"/>
        <w:jc w:val="center"/>
        <w:rPr>
          <w:rFonts w:cs="Times New Roman"/>
          <w:color w:val="FF0000"/>
          <w:sz w:val="28"/>
          <w:szCs w:val="28"/>
        </w:rPr>
      </w:pPr>
      <w:r>
        <w:rPr>
          <w:rFonts w:cs="Times New Roman"/>
          <w:color w:val="FF0000"/>
          <w:sz w:val="28"/>
          <w:szCs w:val="28"/>
        </w:rPr>
        <w:t xml:space="preserve">Assignment 2- Group Presentation </w:t>
      </w:r>
    </w:p>
    <w:p w:rsidR="00E711BD" w:rsidRDefault="00E711BD" w:rsidP="00CE55C2">
      <w:pPr>
        <w:spacing w:before="72" w:after="72"/>
        <w:jc w:val="center"/>
        <w:rPr>
          <w:rFonts w:cs="Times New Roman"/>
          <w:color w:val="FF0000"/>
          <w:sz w:val="28"/>
          <w:szCs w:val="28"/>
        </w:rPr>
      </w:pPr>
      <w:r>
        <w:rPr>
          <w:rFonts w:cs="Times New Roman"/>
          <w:color w:val="FF0000"/>
          <w:sz w:val="28"/>
          <w:szCs w:val="28"/>
        </w:rPr>
        <w:t xml:space="preserve">Speaker Notes </w:t>
      </w:r>
    </w:p>
    <w:p w:rsidR="00706E3B" w:rsidRDefault="00706E3B" w:rsidP="00CE55C2">
      <w:pPr>
        <w:spacing w:before="72" w:after="72"/>
        <w:jc w:val="center"/>
        <w:rPr>
          <w:rFonts w:cs="Times New Roman"/>
          <w:color w:val="FF0000"/>
          <w:sz w:val="28"/>
          <w:szCs w:val="28"/>
        </w:rPr>
      </w:pPr>
      <w:r w:rsidRPr="00706E3B">
        <w:rPr>
          <w:rFonts w:cs="Times New Roman"/>
          <w:color w:val="FF0000"/>
          <w:sz w:val="28"/>
          <w:szCs w:val="28"/>
        </w:rPr>
        <w:t xml:space="preserve">Lecturer(s): </w:t>
      </w:r>
      <w:proofErr w:type="spellStart"/>
      <w:r w:rsidRPr="00706E3B">
        <w:rPr>
          <w:rFonts w:cs="Times New Roman"/>
          <w:color w:val="FF0000"/>
          <w:sz w:val="28"/>
          <w:szCs w:val="28"/>
        </w:rPr>
        <w:t>Dr.</w:t>
      </w:r>
      <w:proofErr w:type="spellEnd"/>
      <w:r w:rsidRPr="00706E3B">
        <w:rPr>
          <w:rFonts w:cs="Times New Roman"/>
          <w:color w:val="FF0000"/>
          <w:sz w:val="28"/>
          <w:szCs w:val="28"/>
        </w:rPr>
        <w:t xml:space="preserve"> </w:t>
      </w:r>
      <w:proofErr w:type="spellStart"/>
      <w:r w:rsidRPr="00706E3B">
        <w:rPr>
          <w:rFonts w:cs="Times New Roman"/>
          <w:color w:val="FF0000"/>
          <w:sz w:val="28"/>
          <w:szCs w:val="28"/>
        </w:rPr>
        <w:t>Mushfiqur</w:t>
      </w:r>
      <w:proofErr w:type="spellEnd"/>
      <w:r w:rsidRPr="00706E3B">
        <w:rPr>
          <w:rFonts w:cs="Times New Roman"/>
          <w:color w:val="FF0000"/>
          <w:sz w:val="28"/>
          <w:szCs w:val="28"/>
        </w:rPr>
        <w:t xml:space="preserve"> Rahman</w:t>
      </w:r>
    </w:p>
    <w:p w:rsidR="00706E3B" w:rsidRDefault="00706E3B" w:rsidP="00706E3B">
      <w:pPr>
        <w:spacing w:before="72" w:after="72"/>
        <w:rPr>
          <w:rFonts w:cs="Times New Roman"/>
          <w:color w:val="FF0000"/>
          <w:sz w:val="28"/>
          <w:szCs w:val="28"/>
        </w:rPr>
      </w:pPr>
    </w:p>
    <w:p w:rsidR="00E711BD" w:rsidRPr="0078781B" w:rsidRDefault="00E711BD" w:rsidP="00CE55C2">
      <w:pPr>
        <w:spacing w:before="72" w:after="72"/>
        <w:jc w:val="center"/>
        <w:rPr>
          <w:rFonts w:cs="Times New Roman"/>
          <w:color w:val="FF0000"/>
          <w:sz w:val="28"/>
          <w:szCs w:val="28"/>
        </w:rPr>
      </w:pPr>
    </w:p>
    <w:p w:rsidR="00E711BD" w:rsidRDefault="00E711BD" w:rsidP="003E5219">
      <w:pPr>
        <w:spacing w:before="72" w:after="72"/>
        <w:jc w:val="both"/>
        <w:rPr>
          <w:rFonts w:hAnsi="Candara"/>
          <w:b/>
          <w:bCs/>
          <w:color w:val="FF0000"/>
          <w:kern w:val="24"/>
          <w:sz w:val="36"/>
          <w:szCs w:val="36"/>
        </w:rPr>
      </w:pPr>
    </w:p>
    <w:p w:rsidR="00A14E9D" w:rsidRPr="005876B3" w:rsidRDefault="00A14E9D" w:rsidP="003E5219">
      <w:pPr>
        <w:spacing w:before="72" w:after="72"/>
        <w:jc w:val="both"/>
        <w:rPr>
          <w:rFonts w:cs="Times New Roman"/>
          <w:b/>
          <w:bCs/>
          <w:sz w:val="36"/>
          <w:szCs w:val="36"/>
          <w:lang w:val="en-US"/>
        </w:rPr>
      </w:pPr>
      <w:r w:rsidRPr="005876B3">
        <w:rPr>
          <w:rFonts w:hAnsi="Candara"/>
          <w:b/>
          <w:bCs/>
          <w:color w:val="FF0000"/>
          <w:kern w:val="24"/>
          <w:sz w:val="36"/>
          <w:szCs w:val="36"/>
        </w:rPr>
        <w:t xml:space="preserve">Nikolay </w:t>
      </w:r>
      <w:proofErr w:type="spellStart"/>
      <w:r w:rsidRPr="005876B3">
        <w:rPr>
          <w:rFonts w:hAnsi="Candara"/>
          <w:b/>
          <w:bCs/>
          <w:color w:val="FF0000"/>
          <w:kern w:val="24"/>
          <w:sz w:val="36"/>
          <w:szCs w:val="36"/>
        </w:rPr>
        <w:t>Petkov</w:t>
      </w:r>
      <w:proofErr w:type="spellEnd"/>
      <w:r w:rsidRPr="005876B3">
        <w:rPr>
          <w:rFonts w:hAnsi="Candara"/>
          <w:b/>
          <w:bCs/>
          <w:color w:val="FF0000"/>
          <w:kern w:val="24"/>
          <w:sz w:val="36"/>
          <w:szCs w:val="36"/>
        </w:rPr>
        <w:t xml:space="preserve"> (2011288)</w:t>
      </w:r>
      <w:bookmarkEnd w:id="0"/>
    </w:p>
    <w:p w:rsidR="00A14E9D" w:rsidRDefault="00A14E9D" w:rsidP="003E5219">
      <w:pPr>
        <w:spacing w:before="72" w:after="72"/>
        <w:jc w:val="both"/>
        <w:rPr>
          <w:rFonts w:cs="Times New Roman"/>
          <w:szCs w:val="24"/>
          <w:lang w:val="en-US"/>
        </w:rPr>
      </w:pPr>
    </w:p>
    <w:p w:rsidR="00A14E9D" w:rsidRDefault="00A14E9D" w:rsidP="003E5219">
      <w:pPr>
        <w:spacing w:before="72" w:after="72"/>
        <w:jc w:val="both"/>
        <w:rPr>
          <w:rFonts w:cs="Times New Roman"/>
          <w:szCs w:val="24"/>
          <w:lang w:val="en-US"/>
        </w:rPr>
      </w:pPr>
      <w:r>
        <w:rPr>
          <w:rFonts w:cs="Times New Roman"/>
          <w:szCs w:val="24"/>
          <w:lang w:val="en-US"/>
        </w:rPr>
        <w:t xml:space="preserve"> </w:t>
      </w:r>
      <w:r w:rsidRPr="007F1A1D">
        <w:rPr>
          <w:rFonts w:cs="Times New Roman"/>
          <w:szCs w:val="24"/>
          <w:lang w:val="en-US"/>
        </w:rPr>
        <w:t>We're here to share our thoughts about Jack Welch's management of General Electric. Our team has done a lot of research on Welch's management style and how it affected the company's performance. Based on the case study and the leadership theories we have covered this semester, we will critically assess Welch's leadership abilities in this presentation. We'll start by giving a general overview of Jack Welch and General Electric while highlighting his most significant accomplishments and noteworthy moments while serving as CEO. The leadership theories and viewpoints that have influenced our study and evaluation will next be discussed. Welch's leadership abilities will then be thoroughly assessed, taking into account factors like his vision, management style, approach to change and innovation, financial performance, and legacy.</w:t>
      </w:r>
    </w:p>
    <w:p w:rsidR="00A14E9D" w:rsidRDefault="00A14E9D" w:rsidP="003E5219">
      <w:pPr>
        <w:spacing w:before="72" w:after="72"/>
        <w:jc w:val="both"/>
        <w:rPr>
          <w:rFonts w:cs="Times New Roman"/>
          <w:szCs w:val="24"/>
          <w:lang w:val="en-US"/>
        </w:rPr>
      </w:pPr>
      <w:r w:rsidRPr="007F1A1D">
        <w:rPr>
          <w:rFonts w:cs="Times New Roman"/>
          <w:szCs w:val="24"/>
          <w:lang w:val="en-US"/>
        </w:rPr>
        <w:t xml:space="preserve">In 1981, Jack Welch was appointed CEO of General Electric (GE), a struggling business at the time. But under Welch's direction, GE rose to prominence as one of the most prosperous businesses on the planet. Welch was renowned for his strong and even contentious management approach, which included eliminating positions and failing enterprises but also putting money into and expanding those that showed potential. One of Welch's leadership qualities was his capacity to forge a compelling vision for GE and to persuade his team members of its importance. He made it plain to his staff that they needed to work hard and take risks in order to attain those goals since he was focused on fostering growth and innovation. </w:t>
      </w:r>
    </w:p>
    <w:p w:rsidR="001D5105" w:rsidRDefault="00A14E9D" w:rsidP="003E5219">
      <w:pPr>
        <w:spacing w:before="72" w:after="72"/>
        <w:jc w:val="both"/>
        <w:rPr>
          <w:rFonts w:cs="Times New Roman"/>
          <w:szCs w:val="24"/>
          <w:lang w:val="en-US"/>
        </w:rPr>
      </w:pPr>
      <w:r w:rsidRPr="007F1A1D">
        <w:rPr>
          <w:rFonts w:cs="Times New Roman"/>
          <w:szCs w:val="24"/>
        </w:rPr>
        <w:t>In addition to pushing his executives to take on new challenges and responsibilities, he was noted for establishing a strict talent management system that identified and nurtured high-potential personnel. This contributed to building a solid leadership pipeline, which was essential to GE's success.</w:t>
      </w:r>
    </w:p>
    <w:p w:rsidR="00A14E9D" w:rsidRDefault="00A14E9D" w:rsidP="003E5219">
      <w:pPr>
        <w:spacing w:before="72" w:after="72"/>
        <w:jc w:val="both"/>
        <w:rPr>
          <w:rFonts w:cs="Times New Roman"/>
          <w:szCs w:val="24"/>
          <w:lang w:val="en-US"/>
        </w:rPr>
      </w:pPr>
      <w:r w:rsidRPr="007F1A1D">
        <w:rPr>
          <w:rFonts w:cs="Times New Roman"/>
          <w:szCs w:val="24"/>
        </w:rPr>
        <w:t>Welch was renowned for his strong management style, but he also placed a high value on openness and communication with his staff. All levels of the organization's personnel were invited to frequent meetings where he would respond to queries and resolve problems. Employee confidence and trust were increased as a result, and Welch was able to stay informed about events at GE</w:t>
      </w:r>
    </w:p>
    <w:p w:rsidR="00A14E9D" w:rsidRPr="007F1A1D" w:rsidRDefault="00A14E9D" w:rsidP="003E5219">
      <w:pPr>
        <w:spacing w:before="72" w:after="72"/>
        <w:jc w:val="both"/>
        <w:rPr>
          <w:rFonts w:cs="Times New Roman"/>
          <w:szCs w:val="24"/>
          <w:lang w:val="en-US"/>
        </w:rPr>
      </w:pPr>
      <w:r w:rsidRPr="007F1A1D">
        <w:rPr>
          <w:rFonts w:cs="Times New Roman"/>
          <w:szCs w:val="24"/>
        </w:rPr>
        <w:t>Overall, during his time as CEO, Jack Welch's management style and leadership style helped General Electric become a prosperous and diversified multinational organisation. But, Welch's leadership has also come under fire, particularly for his concentration on shareholder value and his ruthless cost-cutting strategies.</w:t>
      </w:r>
    </w:p>
    <w:p w:rsidR="00A14E9D" w:rsidRDefault="00A14E9D" w:rsidP="003E5219">
      <w:pPr>
        <w:spacing w:before="72" w:after="72"/>
        <w:jc w:val="both"/>
        <w:rPr>
          <w:rFonts w:cs="Times New Roman"/>
          <w:szCs w:val="24"/>
        </w:rPr>
      </w:pPr>
      <w:r w:rsidRPr="007F1A1D">
        <w:rPr>
          <w:rFonts w:cs="Times New Roman"/>
          <w:szCs w:val="24"/>
        </w:rPr>
        <w:t xml:space="preserve">It is crucial to assess the efficacy of Welch's leadership traits and choices through more study and analysis of leadership theories and perspectives. This involves taking into account how his leadership will affect GE's staff, clients, and other stakeholders in addition to the long-term viability of his ideas. </w:t>
      </w:r>
    </w:p>
    <w:p w:rsidR="008C0A69" w:rsidRDefault="00A14E9D" w:rsidP="008C0A69">
      <w:pPr>
        <w:spacing w:before="72" w:after="72"/>
        <w:jc w:val="both"/>
        <w:rPr>
          <w:rFonts w:cs="Times New Roman"/>
          <w:szCs w:val="24"/>
        </w:rPr>
      </w:pPr>
      <w:r w:rsidRPr="007F1A1D">
        <w:rPr>
          <w:rFonts w:cs="Times New Roman"/>
          <w:szCs w:val="24"/>
        </w:rPr>
        <w:t>It's also critical to consider how outside variables, such as the economy and business environment, may have contributed to GE's performance under Welch. Welch's leadership can be examined holistically to better understand its strengths and shortcomings as well as the effects it had on GE as a whole.</w:t>
      </w:r>
    </w:p>
    <w:p w:rsidR="003840C5" w:rsidRDefault="003840C5" w:rsidP="008C0A69">
      <w:pPr>
        <w:spacing w:before="72" w:after="72"/>
        <w:jc w:val="both"/>
        <w:rPr>
          <w:rFonts w:cs="Times New Roman"/>
          <w:szCs w:val="24"/>
        </w:rPr>
      </w:pPr>
    </w:p>
    <w:p w:rsidR="00A14E9D" w:rsidRPr="008C0A69" w:rsidRDefault="00592FB4" w:rsidP="008C0A69">
      <w:pPr>
        <w:spacing w:before="72" w:after="72"/>
        <w:jc w:val="both"/>
        <w:rPr>
          <w:rFonts w:cs="Times New Roman"/>
          <w:szCs w:val="24"/>
        </w:rPr>
      </w:pPr>
      <w:r>
        <w:rPr>
          <w:noProof/>
        </w:rPr>
        <mc:AlternateContent>
          <mc:Choice Requires="wps">
            <w:drawing>
              <wp:anchor distT="0" distB="0" distL="114300" distR="114300" simplePos="0" relativeHeight="251663360" behindDoc="0" locked="0" layoutInCell="1" allowOverlap="1" wp14:anchorId="286A7B4E" wp14:editId="1809338F">
                <wp:simplePos x="0" y="0"/>
                <wp:positionH relativeFrom="column">
                  <wp:posOffset>-184150</wp:posOffset>
                </wp:positionH>
                <wp:positionV relativeFrom="paragraph">
                  <wp:posOffset>1171575</wp:posOffset>
                </wp:positionV>
                <wp:extent cx="6037580" cy="4027170"/>
                <wp:effectExtent l="0" t="0" r="0" b="0"/>
                <wp:wrapNone/>
                <wp:docPr id="6" name="TextBox 1"/>
                <wp:cNvGraphicFramePr/>
                <a:graphic xmlns:a="http://schemas.openxmlformats.org/drawingml/2006/main">
                  <a:graphicData uri="http://schemas.microsoft.com/office/word/2010/wordprocessingShape">
                    <wps:wsp>
                      <wps:cNvSpPr txBox="1"/>
                      <wps:spPr>
                        <a:xfrm>
                          <a:off x="0" y="0"/>
                          <a:ext cx="6037580" cy="4027170"/>
                        </a:xfrm>
                        <a:prstGeom prst="rect">
                          <a:avLst/>
                        </a:prstGeom>
                        <a:noFill/>
                      </wps:spPr>
                      <wps:txbx>
                        <w:txbxContent>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proofErr w:type="spellStart"/>
                            <w:r>
                              <w:rPr>
                                <w:b/>
                                <w:bCs/>
                                <w:color w:val="000000" w:themeColor="text1"/>
                                <w:kern w:val="24"/>
                                <w:sz w:val="22"/>
                                <w:szCs w:val="22"/>
                                <w:lang w:val="en-US"/>
                              </w:rPr>
                              <w:t>Amelung</w:t>
                            </w:r>
                            <w:proofErr w:type="spellEnd"/>
                            <w:r>
                              <w:rPr>
                                <w:b/>
                                <w:bCs/>
                                <w:color w:val="000000" w:themeColor="text1"/>
                                <w:kern w:val="24"/>
                                <w:sz w:val="22"/>
                                <w:szCs w:val="22"/>
                                <w:lang w:val="en-US"/>
                              </w:rPr>
                              <w:t xml:space="preserve">, V., Chase, D. and </w:t>
                            </w:r>
                            <w:proofErr w:type="spellStart"/>
                            <w:r>
                              <w:rPr>
                                <w:b/>
                                <w:bCs/>
                                <w:color w:val="000000" w:themeColor="text1"/>
                                <w:kern w:val="24"/>
                                <w:sz w:val="22"/>
                                <w:szCs w:val="22"/>
                                <w:lang w:val="en-US"/>
                              </w:rPr>
                              <w:t>Kreutzberg</w:t>
                            </w:r>
                            <w:proofErr w:type="spellEnd"/>
                            <w:r>
                              <w:rPr>
                                <w:b/>
                                <w:bCs/>
                                <w:color w:val="000000" w:themeColor="text1"/>
                                <w:kern w:val="24"/>
                                <w:sz w:val="22"/>
                                <w:szCs w:val="22"/>
                                <w:lang w:val="en-US"/>
                              </w:rPr>
                              <w:t>, A., (2021). Leadership in integrated care. Handbook integrated care, pp.217-233.</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Belton, P., (2017). An analysis of Michael E. Porter’s competitive strategy: techniques for analyzing industries and competitors. </w:t>
                            </w:r>
                            <w:proofErr w:type="spellStart"/>
                            <w:r>
                              <w:rPr>
                                <w:b/>
                                <w:bCs/>
                                <w:color w:val="000000" w:themeColor="text1"/>
                                <w:kern w:val="24"/>
                                <w:sz w:val="22"/>
                                <w:szCs w:val="22"/>
                                <w:lang w:val="en-US"/>
                              </w:rPr>
                              <w:t>Macat</w:t>
                            </w:r>
                            <w:proofErr w:type="spellEnd"/>
                            <w:r>
                              <w:rPr>
                                <w:b/>
                                <w:bCs/>
                                <w:color w:val="000000" w:themeColor="text1"/>
                                <w:kern w:val="24"/>
                                <w:sz w:val="22"/>
                                <w:szCs w:val="22"/>
                                <w:lang w:val="en-US"/>
                              </w:rPr>
                              <w:t xml:space="preserve"> Library.</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Daft, R.L. and </w:t>
                            </w:r>
                            <w:proofErr w:type="spellStart"/>
                            <w:r>
                              <w:rPr>
                                <w:b/>
                                <w:bCs/>
                                <w:color w:val="000000" w:themeColor="text1"/>
                                <w:kern w:val="24"/>
                                <w:sz w:val="22"/>
                                <w:szCs w:val="22"/>
                                <w:lang w:val="en-US"/>
                              </w:rPr>
                              <w:t>Marcic</w:t>
                            </w:r>
                            <w:proofErr w:type="spellEnd"/>
                            <w:r>
                              <w:rPr>
                                <w:b/>
                                <w:bCs/>
                                <w:color w:val="000000" w:themeColor="text1"/>
                                <w:kern w:val="24"/>
                                <w:sz w:val="22"/>
                                <w:szCs w:val="22"/>
                                <w:lang w:val="en-US"/>
                              </w:rPr>
                              <w:t>, D., (2022). Understanding management. Cengage Learning.</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proofErr w:type="spellStart"/>
                            <w:r>
                              <w:rPr>
                                <w:b/>
                                <w:bCs/>
                                <w:color w:val="000000" w:themeColor="text1"/>
                                <w:kern w:val="24"/>
                                <w:sz w:val="22"/>
                                <w:szCs w:val="22"/>
                                <w:lang w:val="en-US"/>
                              </w:rPr>
                              <w:t>Dittmar</w:t>
                            </w:r>
                            <w:proofErr w:type="spellEnd"/>
                            <w:r>
                              <w:rPr>
                                <w:b/>
                                <w:bCs/>
                                <w:color w:val="000000" w:themeColor="text1"/>
                                <w:kern w:val="24"/>
                                <w:sz w:val="22"/>
                                <w:szCs w:val="22"/>
                                <w:lang w:val="en-US"/>
                              </w:rPr>
                              <w:t xml:space="preserve">, K., </w:t>
                            </w:r>
                            <w:proofErr w:type="spellStart"/>
                            <w:r>
                              <w:rPr>
                                <w:b/>
                                <w:bCs/>
                                <w:color w:val="000000" w:themeColor="text1"/>
                                <w:kern w:val="24"/>
                                <w:sz w:val="22"/>
                                <w:szCs w:val="22"/>
                                <w:lang w:val="en-US"/>
                              </w:rPr>
                              <w:t>Sanbonmatsu</w:t>
                            </w:r>
                            <w:proofErr w:type="spellEnd"/>
                            <w:r>
                              <w:rPr>
                                <w:b/>
                                <w:bCs/>
                                <w:color w:val="000000" w:themeColor="text1"/>
                                <w:kern w:val="24"/>
                                <w:sz w:val="22"/>
                                <w:szCs w:val="22"/>
                                <w:lang w:val="en-US"/>
                              </w:rPr>
                              <w:t>, K. and Carroll, S.J., (2018). A seat at the table: Congresswomen's perspectives on why their presence matters. Oxford University Press.</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GE Mission Statement and amp; (2023) General Electric. Available at: https://www.ge.com/about-us (Accessed: February 28, 2023). </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Gupta, V.K. and Dutta, D.K., (2016). Inquiring into entrepreneurial orientation: Making progress, one step at a time. New England Journal of Entrepreneurship, 19(2), p.1.</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proofErr w:type="spellStart"/>
                            <w:r>
                              <w:rPr>
                                <w:b/>
                                <w:bCs/>
                                <w:color w:val="000000" w:themeColor="text1"/>
                                <w:kern w:val="24"/>
                                <w:sz w:val="22"/>
                                <w:szCs w:val="22"/>
                                <w:lang w:val="en-US"/>
                              </w:rPr>
                              <w:t>Hartnell</w:t>
                            </w:r>
                            <w:proofErr w:type="spellEnd"/>
                            <w:r>
                              <w:rPr>
                                <w:b/>
                                <w:bCs/>
                                <w:color w:val="000000" w:themeColor="text1"/>
                                <w:kern w:val="24"/>
                                <w:sz w:val="22"/>
                                <w:szCs w:val="22"/>
                                <w:lang w:val="en-US"/>
                              </w:rPr>
                              <w:t xml:space="preserve">, C.A., </w:t>
                            </w:r>
                            <w:proofErr w:type="spellStart"/>
                            <w:r>
                              <w:rPr>
                                <w:b/>
                                <w:bCs/>
                                <w:color w:val="000000" w:themeColor="text1"/>
                                <w:kern w:val="24"/>
                                <w:sz w:val="22"/>
                                <w:szCs w:val="22"/>
                                <w:lang w:val="en-US"/>
                              </w:rPr>
                              <w:t>Ou</w:t>
                            </w:r>
                            <w:proofErr w:type="spellEnd"/>
                            <w:r>
                              <w:rPr>
                                <w:b/>
                                <w:bCs/>
                                <w:color w:val="000000" w:themeColor="text1"/>
                                <w:kern w:val="24"/>
                                <w:sz w:val="22"/>
                                <w:szCs w:val="22"/>
                                <w:lang w:val="en-US"/>
                              </w:rPr>
                              <w:t xml:space="preserve">, A.Y., </w:t>
                            </w:r>
                            <w:proofErr w:type="spellStart"/>
                            <w:r>
                              <w:rPr>
                                <w:b/>
                                <w:bCs/>
                                <w:color w:val="000000" w:themeColor="text1"/>
                                <w:kern w:val="24"/>
                                <w:sz w:val="22"/>
                                <w:szCs w:val="22"/>
                                <w:lang w:val="en-US"/>
                              </w:rPr>
                              <w:t>Kinicki</w:t>
                            </w:r>
                            <w:proofErr w:type="spellEnd"/>
                            <w:r>
                              <w:rPr>
                                <w:b/>
                                <w:bCs/>
                                <w:color w:val="000000" w:themeColor="text1"/>
                                <w:kern w:val="24"/>
                                <w:sz w:val="22"/>
                                <w:szCs w:val="22"/>
                                <w:lang w:val="en-US"/>
                              </w:rPr>
                              <w:t xml:space="preserve">, A.J., Choi, D. and </w:t>
                            </w:r>
                            <w:proofErr w:type="spellStart"/>
                            <w:r>
                              <w:rPr>
                                <w:b/>
                                <w:bCs/>
                                <w:color w:val="000000" w:themeColor="text1"/>
                                <w:kern w:val="24"/>
                                <w:sz w:val="22"/>
                                <w:szCs w:val="22"/>
                                <w:lang w:val="en-US"/>
                              </w:rPr>
                              <w:t>Karam</w:t>
                            </w:r>
                            <w:proofErr w:type="spellEnd"/>
                            <w:r>
                              <w:rPr>
                                <w:b/>
                                <w:bCs/>
                                <w:color w:val="000000" w:themeColor="text1"/>
                                <w:kern w:val="24"/>
                                <w:sz w:val="22"/>
                                <w:szCs w:val="22"/>
                                <w:lang w:val="en-US"/>
                              </w:rPr>
                              <w:t>, E.P., (2019). A meta-analytic test of organizational culture’s association with elements of an organization’s system and its relative predictive validity on organizational outcomes. Journal of Applied Psychology, 104(6), p.832.</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Home: Top ranked online MBA (2023) Jack Welch Management Institute. Available at: https://jackwelch.strayer.edu/ (Accessed: February 28, 2023).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86A7B4E" id="_x0000_t202" coordsize="21600,21600" o:spt="202" path="m,l,21600r21600,l21600,xe">
                <v:stroke joinstyle="miter"/>
                <v:path gradientshapeok="t" o:connecttype="rect"/>
              </v:shapetype>
              <v:shape id="TextBox 1" o:spid="_x0000_s1026" type="#_x0000_t202" style="position:absolute;left:0;text-align:left;margin-left:-14.5pt;margin-top:92.25pt;width:475.4pt;height:317.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" filled="f" stroked="f">
                <v:textbox>
                  <w:txbxContent>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proofErr w:type="spellStart"/>
                      <w:r>
                        <w:rPr>
                          <w:b/>
                          <w:bCs/>
                          <w:color w:val="000000" w:themeColor="text1"/>
                          <w:kern w:val="24"/>
                          <w:sz w:val="22"/>
                          <w:szCs w:val="22"/>
                          <w:lang w:val="en-US"/>
                        </w:rPr>
                        <w:t>Amelung</w:t>
                      </w:r>
                      <w:proofErr w:type="spellEnd"/>
                      <w:r>
                        <w:rPr>
                          <w:b/>
                          <w:bCs/>
                          <w:color w:val="000000" w:themeColor="text1"/>
                          <w:kern w:val="24"/>
                          <w:sz w:val="22"/>
                          <w:szCs w:val="22"/>
                          <w:lang w:val="en-US"/>
                        </w:rPr>
                        <w:t xml:space="preserve">, V., Chase, D. and </w:t>
                      </w:r>
                      <w:proofErr w:type="spellStart"/>
                      <w:r>
                        <w:rPr>
                          <w:b/>
                          <w:bCs/>
                          <w:color w:val="000000" w:themeColor="text1"/>
                          <w:kern w:val="24"/>
                          <w:sz w:val="22"/>
                          <w:szCs w:val="22"/>
                          <w:lang w:val="en-US"/>
                        </w:rPr>
                        <w:t>Kreutzberg</w:t>
                      </w:r>
                      <w:proofErr w:type="spellEnd"/>
                      <w:r>
                        <w:rPr>
                          <w:b/>
                          <w:bCs/>
                          <w:color w:val="000000" w:themeColor="text1"/>
                          <w:kern w:val="24"/>
                          <w:sz w:val="22"/>
                          <w:szCs w:val="22"/>
                          <w:lang w:val="en-US"/>
                        </w:rPr>
                        <w:t>, A., (2021). Leadership in integrated care. Handbook integrated care, pp.217-233.</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Belton, P., (2017). An analysis of Michael E. Porter’s competitive strategy: techniques for analyzing industries and competitors. </w:t>
                      </w:r>
                      <w:proofErr w:type="spellStart"/>
                      <w:r>
                        <w:rPr>
                          <w:b/>
                          <w:bCs/>
                          <w:color w:val="000000" w:themeColor="text1"/>
                          <w:kern w:val="24"/>
                          <w:sz w:val="22"/>
                          <w:szCs w:val="22"/>
                          <w:lang w:val="en-US"/>
                        </w:rPr>
                        <w:t>Macat</w:t>
                      </w:r>
                      <w:proofErr w:type="spellEnd"/>
                      <w:r>
                        <w:rPr>
                          <w:b/>
                          <w:bCs/>
                          <w:color w:val="000000" w:themeColor="text1"/>
                          <w:kern w:val="24"/>
                          <w:sz w:val="22"/>
                          <w:szCs w:val="22"/>
                          <w:lang w:val="en-US"/>
                        </w:rPr>
                        <w:t xml:space="preserve"> Library.</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Daft, R.L. and </w:t>
                      </w:r>
                      <w:proofErr w:type="spellStart"/>
                      <w:r>
                        <w:rPr>
                          <w:b/>
                          <w:bCs/>
                          <w:color w:val="000000" w:themeColor="text1"/>
                          <w:kern w:val="24"/>
                          <w:sz w:val="22"/>
                          <w:szCs w:val="22"/>
                          <w:lang w:val="en-US"/>
                        </w:rPr>
                        <w:t>Marcic</w:t>
                      </w:r>
                      <w:proofErr w:type="spellEnd"/>
                      <w:r>
                        <w:rPr>
                          <w:b/>
                          <w:bCs/>
                          <w:color w:val="000000" w:themeColor="text1"/>
                          <w:kern w:val="24"/>
                          <w:sz w:val="22"/>
                          <w:szCs w:val="22"/>
                          <w:lang w:val="en-US"/>
                        </w:rPr>
                        <w:t>, D., (2022). Understanding management. Cengage Learning.</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proofErr w:type="spellStart"/>
                      <w:r>
                        <w:rPr>
                          <w:b/>
                          <w:bCs/>
                          <w:color w:val="000000" w:themeColor="text1"/>
                          <w:kern w:val="24"/>
                          <w:sz w:val="22"/>
                          <w:szCs w:val="22"/>
                          <w:lang w:val="en-US"/>
                        </w:rPr>
                        <w:t>Dittmar</w:t>
                      </w:r>
                      <w:proofErr w:type="spellEnd"/>
                      <w:r>
                        <w:rPr>
                          <w:b/>
                          <w:bCs/>
                          <w:color w:val="000000" w:themeColor="text1"/>
                          <w:kern w:val="24"/>
                          <w:sz w:val="22"/>
                          <w:szCs w:val="22"/>
                          <w:lang w:val="en-US"/>
                        </w:rPr>
                        <w:t xml:space="preserve">, K., </w:t>
                      </w:r>
                      <w:proofErr w:type="spellStart"/>
                      <w:r>
                        <w:rPr>
                          <w:b/>
                          <w:bCs/>
                          <w:color w:val="000000" w:themeColor="text1"/>
                          <w:kern w:val="24"/>
                          <w:sz w:val="22"/>
                          <w:szCs w:val="22"/>
                          <w:lang w:val="en-US"/>
                        </w:rPr>
                        <w:t>Sanbonmatsu</w:t>
                      </w:r>
                      <w:proofErr w:type="spellEnd"/>
                      <w:r>
                        <w:rPr>
                          <w:b/>
                          <w:bCs/>
                          <w:color w:val="000000" w:themeColor="text1"/>
                          <w:kern w:val="24"/>
                          <w:sz w:val="22"/>
                          <w:szCs w:val="22"/>
                          <w:lang w:val="en-US"/>
                        </w:rPr>
                        <w:t>, K. and Carroll, S.J., (2018). A seat at the table: Congresswomen's perspectives on why their presence matters. Oxford University Press.</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GE Mission Statement and amp; (2023) General Electric. Available at: https://www.ge.com/about-us (Accessed: February 28, 2023). </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Gupta, V.K. and Dutta, D.K., (2016). Inquiring into entrepreneurial orientation: Making progress, one step at a time. New England Journal of Entrepreneurship, 19(2), p.1.</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proofErr w:type="spellStart"/>
                      <w:r>
                        <w:rPr>
                          <w:b/>
                          <w:bCs/>
                          <w:color w:val="000000" w:themeColor="text1"/>
                          <w:kern w:val="24"/>
                          <w:sz w:val="22"/>
                          <w:szCs w:val="22"/>
                          <w:lang w:val="en-US"/>
                        </w:rPr>
                        <w:t>Hartnell</w:t>
                      </w:r>
                      <w:proofErr w:type="spellEnd"/>
                      <w:r>
                        <w:rPr>
                          <w:b/>
                          <w:bCs/>
                          <w:color w:val="000000" w:themeColor="text1"/>
                          <w:kern w:val="24"/>
                          <w:sz w:val="22"/>
                          <w:szCs w:val="22"/>
                          <w:lang w:val="en-US"/>
                        </w:rPr>
                        <w:t xml:space="preserve">, C.A., </w:t>
                      </w:r>
                      <w:proofErr w:type="spellStart"/>
                      <w:r>
                        <w:rPr>
                          <w:b/>
                          <w:bCs/>
                          <w:color w:val="000000" w:themeColor="text1"/>
                          <w:kern w:val="24"/>
                          <w:sz w:val="22"/>
                          <w:szCs w:val="22"/>
                          <w:lang w:val="en-US"/>
                        </w:rPr>
                        <w:t>Ou</w:t>
                      </w:r>
                      <w:proofErr w:type="spellEnd"/>
                      <w:r>
                        <w:rPr>
                          <w:b/>
                          <w:bCs/>
                          <w:color w:val="000000" w:themeColor="text1"/>
                          <w:kern w:val="24"/>
                          <w:sz w:val="22"/>
                          <w:szCs w:val="22"/>
                          <w:lang w:val="en-US"/>
                        </w:rPr>
                        <w:t xml:space="preserve">, A.Y., </w:t>
                      </w:r>
                      <w:proofErr w:type="spellStart"/>
                      <w:r>
                        <w:rPr>
                          <w:b/>
                          <w:bCs/>
                          <w:color w:val="000000" w:themeColor="text1"/>
                          <w:kern w:val="24"/>
                          <w:sz w:val="22"/>
                          <w:szCs w:val="22"/>
                          <w:lang w:val="en-US"/>
                        </w:rPr>
                        <w:t>Kinicki</w:t>
                      </w:r>
                      <w:proofErr w:type="spellEnd"/>
                      <w:r>
                        <w:rPr>
                          <w:b/>
                          <w:bCs/>
                          <w:color w:val="000000" w:themeColor="text1"/>
                          <w:kern w:val="24"/>
                          <w:sz w:val="22"/>
                          <w:szCs w:val="22"/>
                          <w:lang w:val="en-US"/>
                        </w:rPr>
                        <w:t xml:space="preserve">, A.J., Choi, D. and </w:t>
                      </w:r>
                      <w:proofErr w:type="spellStart"/>
                      <w:r>
                        <w:rPr>
                          <w:b/>
                          <w:bCs/>
                          <w:color w:val="000000" w:themeColor="text1"/>
                          <w:kern w:val="24"/>
                          <w:sz w:val="22"/>
                          <w:szCs w:val="22"/>
                          <w:lang w:val="en-US"/>
                        </w:rPr>
                        <w:t>Karam</w:t>
                      </w:r>
                      <w:proofErr w:type="spellEnd"/>
                      <w:r>
                        <w:rPr>
                          <w:b/>
                          <w:bCs/>
                          <w:color w:val="000000" w:themeColor="text1"/>
                          <w:kern w:val="24"/>
                          <w:sz w:val="22"/>
                          <w:szCs w:val="22"/>
                          <w:lang w:val="en-US"/>
                        </w:rPr>
                        <w:t>, E.P., (2019). A meta-analytic test of organizational culture’s association with elements of an organization’s system and its relative predictive validity on organizational outcomes. Journal of Applied Psychology, 104(6), p.832.</w:t>
                      </w:r>
                    </w:p>
                    <w:p w:rsidR="008B361C" w:rsidRDefault="008B361C" w:rsidP="004365FD">
                      <w:pPr>
                        <w:pStyle w:val="ListParagraph"/>
                        <w:numPr>
                          <w:ilvl w:val="0"/>
                          <w:numId w:val="2"/>
                        </w:numPr>
                        <w:spacing w:line="360" w:lineRule="auto"/>
                        <w:jc w:val="both"/>
                        <w:rPr>
                          <w:b/>
                          <w:bCs/>
                          <w:color w:val="000000" w:themeColor="text1"/>
                          <w:kern w:val="24"/>
                          <w:sz w:val="22"/>
                          <w:szCs w:val="22"/>
                          <w:lang w:val="en-US"/>
                        </w:rPr>
                      </w:pPr>
                      <w:r>
                        <w:rPr>
                          <w:b/>
                          <w:bCs/>
                          <w:color w:val="000000" w:themeColor="text1"/>
                          <w:kern w:val="24"/>
                          <w:sz w:val="22"/>
                          <w:szCs w:val="22"/>
                          <w:lang w:val="en-US"/>
                        </w:rPr>
                        <w:t xml:space="preserve">Home: Top ranked online MBA (2023) Jack Welch Management Institute. Available at: https://jackwelch.strayer.edu/ (Accessed: February 28, 2023). </w:t>
                      </w:r>
                    </w:p>
                  </w:txbxContent>
                </v:textbox>
              </v:shape>
            </w:pict>
          </mc:Fallback>
        </mc:AlternateContent>
      </w:r>
    </w:p>
    <w:sectPr w:rsidR="00A14E9D" w:rsidRPr="008C0A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37E8"/>
    <w:multiLevelType w:val="hybridMultilevel"/>
    <w:tmpl w:val="FFFFFFFF"/>
    <w:lvl w:ilvl="0" w:tplc="1D3AB11A">
      <w:start w:val="1"/>
      <w:numFmt w:val="decimal"/>
      <w:lvlText w:val="%1."/>
      <w:lvlJc w:val="left"/>
      <w:pPr>
        <w:tabs>
          <w:tab w:val="num" w:pos="720"/>
        </w:tabs>
        <w:ind w:left="720" w:hanging="360"/>
      </w:pPr>
    </w:lvl>
    <w:lvl w:ilvl="1" w:tplc="B6DA40D4" w:tentative="1">
      <w:start w:val="1"/>
      <w:numFmt w:val="decimal"/>
      <w:lvlText w:val="%2."/>
      <w:lvlJc w:val="left"/>
      <w:pPr>
        <w:tabs>
          <w:tab w:val="num" w:pos="1440"/>
        </w:tabs>
        <w:ind w:left="1440" w:hanging="360"/>
      </w:pPr>
    </w:lvl>
    <w:lvl w:ilvl="2" w:tplc="7D4A00D2" w:tentative="1">
      <w:start w:val="1"/>
      <w:numFmt w:val="decimal"/>
      <w:lvlText w:val="%3."/>
      <w:lvlJc w:val="left"/>
      <w:pPr>
        <w:tabs>
          <w:tab w:val="num" w:pos="2160"/>
        </w:tabs>
        <w:ind w:left="2160" w:hanging="360"/>
      </w:pPr>
    </w:lvl>
    <w:lvl w:ilvl="3" w:tplc="F170DBFC" w:tentative="1">
      <w:start w:val="1"/>
      <w:numFmt w:val="decimal"/>
      <w:lvlText w:val="%4."/>
      <w:lvlJc w:val="left"/>
      <w:pPr>
        <w:tabs>
          <w:tab w:val="num" w:pos="2880"/>
        </w:tabs>
        <w:ind w:left="2880" w:hanging="360"/>
      </w:pPr>
    </w:lvl>
    <w:lvl w:ilvl="4" w:tplc="E416B782" w:tentative="1">
      <w:start w:val="1"/>
      <w:numFmt w:val="decimal"/>
      <w:lvlText w:val="%5."/>
      <w:lvlJc w:val="left"/>
      <w:pPr>
        <w:tabs>
          <w:tab w:val="num" w:pos="3600"/>
        </w:tabs>
        <w:ind w:left="3600" w:hanging="360"/>
      </w:pPr>
    </w:lvl>
    <w:lvl w:ilvl="5" w:tplc="8270AB20" w:tentative="1">
      <w:start w:val="1"/>
      <w:numFmt w:val="decimal"/>
      <w:lvlText w:val="%6."/>
      <w:lvlJc w:val="left"/>
      <w:pPr>
        <w:tabs>
          <w:tab w:val="num" w:pos="4320"/>
        </w:tabs>
        <w:ind w:left="4320" w:hanging="360"/>
      </w:pPr>
    </w:lvl>
    <w:lvl w:ilvl="6" w:tplc="6380855A" w:tentative="1">
      <w:start w:val="1"/>
      <w:numFmt w:val="decimal"/>
      <w:lvlText w:val="%7."/>
      <w:lvlJc w:val="left"/>
      <w:pPr>
        <w:tabs>
          <w:tab w:val="num" w:pos="5040"/>
        </w:tabs>
        <w:ind w:left="5040" w:hanging="360"/>
      </w:pPr>
    </w:lvl>
    <w:lvl w:ilvl="7" w:tplc="578AD64E" w:tentative="1">
      <w:start w:val="1"/>
      <w:numFmt w:val="decimal"/>
      <w:lvlText w:val="%8."/>
      <w:lvlJc w:val="left"/>
      <w:pPr>
        <w:tabs>
          <w:tab w:val="num" w:pos="5760"/>
        </w:tabs>
        <w:ind w:left="5760" w:hanging="360"/>
      </w:pPr>
    </w:lvl>
    <w:lvl w:ilvl="8" w:tplc="EE1A0D48" w:tentative="1">
      <w:start w:val="1"/>
      <w:numFmt w:val="decimal"/>
      <w:lvlText w:val="%9."/>
      <w:lvlJc w:val="left"/>
      <w:pPr>
        <w:tabs>
          <w:tab w:val="num" w:pos="6480"/>
        </w:tabs>
        <w:ind w:left="6480" w:hanging="360"/>
      </w:pPr>
    </w:lvl>
  </w:abstractNum>
  <w:abstractNum w:abstractNumId="1" w15:restartNumberingAfterBreak="0">
    <w:nsid w:val="0EF46A7E"/>
    <w:multiLevelType w:val="hybridMultilevel"/>
    <w:tmpl w:val="FFFFFFFF"/>
    <w:lvl w:ilvl="0" w:tplc="81704F04">
      <w:start w:val="9"/>
      <w:numFmt w:val="decimal"/>
      <w:lvlText w:val="%1."/>
      <w:lvlJc w:val="left"/>
      <w:pPr>
        <w:tabs>
          <w:tab w:val="num" w:pos="720"/>
        </w:tabs>
        <w:ind w:left="720" w:hanging="360"/>
      </w:pPr>
    </w:lvl>
    <w:lvl w:ilvl="1" w:tplc="DF0C74DE" w:tentative="1">
      <w:start w:val="1"/>
      <w:numFmt w:val="decimal"/>
      <w:lvlText w:val="%2."/>
      <w:lvlJc w:val="left"/>
      <w:pPr>
        <w:tabs>
          <w:tab w:val="num" w:pos="1440"/>
        </w:tabs>
        <w:ind w:left="1440" w:hanging="360"/>
      </w:pPr>
    </w:lvl>
    <w:lvl w:ilvl="2" w:tplc="DBFA824A" w:tentative="1">
      <w:start w:val="1"/>
      <w:numFmt w:val="decimal"/>
      <w:lvlText w:val="%3."/>
      <w:lvlJc w:val="left"/>
      <w:pPr>
        <w:tabs>
          <w:tab w:val="num" w:pos="2160"/>
        </w:tabs>
        <w:ind w:left="2160" w:hanging="360"/>
      </w:pPr>
    </w:lvl>
    <w:lvl w:ilvl="3" w:tplc="CC600C34" w:tentative="1">
      <w:start w:val="1"/>
      <w:numFmt w:val="decimal"/>
      <w:lvlText w:val="%4."/>
      <w:lvlJc w:val="left"/>
      <w:pPr>
        <w:tabs>
          <w:tab w:val="num" w:pos="2880"/>
        </w:tabs>
        <w:ind w:left="2880" w:hanging="360"/>
      </w:pPr>
    </w:lvl>
    <w:lvl w:ilvl="4" w:tplc="8BCEC968" w:tentative="1">
      <w:start w:val="1"/>
      <w:numFmt w:val="decimal"/>
      <w:lvlText w:val="%5."/>
      <w:lvlJc w:val="left"/>
      <w:pPr>
        <w:tabs>
          <w:tab w:val="num" w:pos="3600"/>
        </w:tabs>
        <w:ind w:left="3600" w:hanging="360"/>
      </w:pPr>
    </w:lvl>
    <w:lvl w:ilvl="5" w:tplc="307A0B3A" w:tentative="1">
      <w:start w:val="1"/>
      <w:numFmt w:val="decimal"/>
      <w:lvlText w:val="%6."/>
      <w:lvlJc w:val="left"/>
      <w:pPr>
        <w:tabs>
          <w:tab w:val="num" w:pos="4320"/>
        </w:tabs>
        <w:ind w:left="4320" w:hanging="360"/>
      </w:pPr>
    </w:lvl>
    <w:lvl w:ilvl="6" w:tplc="07A22D92" w:tentative="1">
      <w:start w:val="1"/>
      <w:numFmt w:val="decimal"/>
      <w:lvlText w:val="%7."/>
      <w:lvlJc w:val="left"/>
      <w:pPr>
        <w:tabs>
          <w:tab w:val="num" w:pos="5040"/>
        </w:tabs>
        <w:ind w:left="5040" w:hanging="360"/>
      </w:pPr>
    </w:lvl>
    <w:lvl w:ilvl="7" w:tplc="AFB44058" w:tentative="1">
      <w:start w:val="1"/>
      <w:numFmt w:val="decimal"/>
      <w:lvlText w:val="%8."/>
      <w:lvlJc w:val="left"/>
      <w:pPr>
        <w:tabs>
          <w:tab w:val="num" w:pos="5760"/>
        </w:tabs>
        <w:ind w:left="5760" w:hanging="360"/>
      </w:pPr>
    </w:lvl>
    <w:lvl w:ilvl="8" w:tplc="BFAEEDC2" w:tentative="1">
      <w:start w:val="1"/>
      <w:numFmt w:val="decimal"/>
      <w:lvlText w:val="%9."/>
      <w:lvlJc w:val="left"/>
      <w:pPr>
        <w:tabs>
          <w:tab w:val="num" w:pos="6480"/>
        </w:tabs>
        <w:ind w:left="6480" w:hanging="360"/>
      </w:pPr>
    </w:lvl>
  </w:abstractNum>
  <w:abstractNum w:abstractNumId="2" w15:restartNumberingAfterBreak="0">
    <w:nsid w:val="2C394769"/>
    <w:multiLevelType w:val="hybridMultilevel"/>
    <w:tmpl w:val="FFFFFFFF"/>
    <w:lvl w:ilvl="0" w:tplc="90CE96CC">
      <w:start w:val="9"/>
      <w:numFmt w:val="decimal"/>
      <w:lvlText w:val="%1."/>
      <w:lvlJc w:val="left"/>
      <w:pPr>
        <w:tabs>
          <w:tab w:val="num" w:pos="720"/>
        </w:tabs>
        <w:ind w:left="720" w:hanging="360"/>
      </w:pPr>
    </w:lvl>
    <w:lvl w:ilvl="1" w:tplc="A87AF796" w:tentative="1">
      <w:start w:val="1"/>
      <w:numFmt w:val="decimal"/>
      <w:lvlText w:val="%2."/>
      <w:lvlJc w:val="left"/>
      <w:pPr>
        <w:tabs>
          <w:tab w:val="num" w:pos="1440"/>
        </w:tabs>
        <w:ind w:left="1440" w:hanging="360"/>
      </w:pPr>
    </w:lvl>
    <w:lvl w:ilvl="2" w:tplc="B828574E" w:tentative="1">
      <w:start w:val="1"/>
      <w:numFmt w:val="decimal"/>
      <w:lvlText w:val="%3."/>
      <w:lvlJc w:val="left"/>
      <w:pPr>
        <w:tabs>
          <w:tab w:val="num" w:pos="2160"/>
        </w:tabs>
        <w:ind w:left="2160" w:hanging="360"/>
      </w:pPr>
    </w:lvl>
    <w:lvl w:ilvl="3" w:tplc="A25C511E" w:tentative="1">
      <w:start w:val="1"/>
      <w:numFmt w:val="decimal"/>
      <w:lvlText w:val="%4."/>
      <w:lvlJc w:val="left"/>
      <w:pPr>
        <w:tabs>
          <w:tab w:val="num" w:pos="2880"/>
        </w:tabs>
        <w:ind w:left="2880" w:hanging="360"/>
      </w:pPr>
    </w:lvl>
    <w:lvl w:ilvl="4" w:tplc="6B202830" w:tentative="1">
      <w:start w:val="1"/>
      <w:numFmt w:val="decimal"/>
      <w:lvlText w:val="%5."/>
      <w:lvlJc w:val="left"/>
      <w:pPr>
        <w:tabs>
          <w:tab w:val="num" w:pos="3600"/>
        </w:tabs>
        <w:ind w:left="3600" w:hanging="360"/>
      </w:pPr>
    </w:lvl>
    <w:lvl w:ilvl="5" w:tplc="2DFEDB1C" w:tentative="1">
      <w:start w:val="1"/>
      <w:numFmt w:val="decimal"/>
      <w:lvlText w:val="%6."/>
      <w:lvlJc w:val="left"/>
      <w:pPr>
        <w:tabs>
          <w:tab w:val="num" w:pos="4320"/>
        </w:tabs>
        <w:ind w:left="4320" w:hanging="360"/>
      </w:pPr>
    </w:lvl>
    <w:lvl w:ilvl="6" w:tplc="6D38801C" w:tentative="1">
      <w:start w:val="1"/>
      <w:numFmt w:val="decimal"/>
      <w:lvlText w:val="%7."/>
      <w:lvlJc w:val="left"/>
      <w:pPr>
        <w:tabs>
          <w:tab w:val="num" w:pos="5040"/>
        </w:tabs>
        <w:ind w:left="5040" w:hanging="360"/>
      </w:pPr>
    </w:lvl>
    <w:lvl w:ilvl="7" w:tplc="4168C24E" w:tentative="1">
      <w:start w:val="1"/>
      <w:numFmt w:val="decimal"/>
      <w:lvlText w:val="%8."/>
      <w:lvlJc w:val="left"/>
      <w:pPr>
        <w:tabs>
          <w:tab w:val="num" w:pos="5760"/>
        </w:tabs>
        <w:ind w:left="5760" w:hanging="360"/>
      </w:pPr>
    </w:lvl>
    <w:lvl w:ilvl="8" w:tplc="B47CA0AA" w:tentative="1">
      <w:start w:val="1"/>
      <w:numFmt w:val="decimal"/>
      <w:lvlText w:val="%9."/>
      <w:lvlJc w:val="left"/>
      <w:pPr>
        <w:tabs>
          <w:tab w:val="num" w:pos="6480"/>
        </w:tabs>
        <w:ind w:left="6480" w:hanging="360"/>
      </w:pPr>
    </w:lvl>
  </w:abstractNum>
  <w:abstractNum w:abstractNumId="3" w15:restartNumberingAfterBreak="0">
    <w:nsid w:val="7D09184F"/>
    <w:multiLevelType w:val="hybridMultilevel"/>
    <w:tmpl w:val="FFFFFFFF"/>
    <w:lvl w:ilvl="0" w:tplc="66449FCA">
      <w:start w:val="1"/>
      <w:numFmt w:val="decimal"/>
      <w:lvlText w:val="%1."/>
      <w:lvlJc w:val="left"/>
      <w:pPr>
        <w:tabs>
          <w:tab w:val="num" w:pos="720"/>
        </w:tabs>
        <w:ind w:left="720" w:hanging="360"/>
      </w:pPr>
    </w:lvl>
    <w:lvl w:ilvl="1" w:tplc="B5C8331C" w:tentative="1">
      <w:start w:val="1"/>
      <w:numFmt w:val="decimal"/>
      <w:lvlText w:val="%2."/>
      <w:lvlJc w:val="left"/>
      <w:pPr>
        <w:tabs>
          <w:tab w:val="num" w:pos="1440"/>
        </w:tabs>
        <w:ind w:left="1440" w:hanging="360"/>
      </w:pPr>
    </w:lvl>
    <w:lvl w:ilvl="2" w:tplc="211470A4" w:tentative="1">
      <w:start w:val="1"/>
      <w:numFmt w:val="decimal"/>
      <w:lvlText w:val="%3."/>
      <w:lvlJc w:val="left"/>
      <w:pPr>
        <w:tabs>
          <w:tab w:val="num" w:pos="2160"/>
        </w:tabs>
        <w:ind w:left="2160" w:hanging="360"/>
      </w:pPr>
    </w:lvl>
    <w:lvl w:ilvl="3" w:tplc="D8F01378" w:tentative="1">
      <w:start w:val="1"/>
      <w:numFmt w:val="decimal"/>
      <w:lvlText w:val="%4."/>
      <w:lvlJc w:val="left"/>
      <w:pPr>
        <w:tabs>
          <w:tab w:val="num" w:pos="2880"/>
        </w:tabs>
        <w:ind w:left="2880" w:hanging="360"/>
      </w:pPr>
    </w:lvl>
    <w:lvl w:ilvl="4" w:tplc="6B0AC866" w:tentative="1">
      <w:start w:val="1"/>
      <w:numFmt w:val="decimal"/>
      <w:lvlText w:val="%5."/>
      <w:lvlJc w:val="left"/>
      <w:pPr>
        <w:tabs>
          <w:tab w:val="num" w:pos="3600"/>
        </w:tabs>
        <w:ind w:left="3600" w:hanging="360"/>
      </w:pPr>
    </w:lvl>
    <w:lvl w:ilvl="5" w:tplc="83FA8868" w:tentative="1">
      <w:start w:val="1"/>
      <w:numFmt w:val="decimal"/>
      <w:lvlText w:val="%6."/>
      <w:lvlJc w:val="left"/>
      <w:pPr>
        <w:tabs>
          <w:tab w:val="num" w:pos="4320"/>
        </w:tabs>
        <w:ind w:left="4320" w:hanging="360"/>
      </w:pPr>
    </w:lvl>
    <w:lvl w:ilvl="6" w:tplc="82463288" w:tentative="1">
      <w:start w:val="1"/>
      <w:numFmt w:val="decimal"/>
      <w:lvlText w:val="%7."/>
      <w:lvlJc w:val="left"/>
      <w:pPr>
        <w:tabs>
          <w:tab w:val="num" w:pos="5040"/>
        </w:tabs>
        <w:ind w:left="5040" w:hanging="360"/>
      </w:pPr>
    </w:lvl>
    <w:lvl w:ilvl="7" w:tplc="F52E8236" w:tentative="1">
      <w:start w:val="1"/>
      <w:numFmt w:val="decimal"/>
      <w:lvlText w:val="%8."/>
      <w:lvlJc w:val="left"/>
      <w:pPr>
        <w:tabs>
          <w:tab w:val="num" w:pos="5760"/>
        </w:tabs>
        <w:ind w:left="5760" w:hanging="360"/>
      </w:pPr>
    </w:lvl>
    <w:lvl w:ilvl="8" w:tplc="B3EC1754" w:tentative="1">
      <w:start w:val="1"/>
      <w:numFmt w:val="decimal"/>
      <w:lvlText w:val="%9."/>
      <w:lvlJc w:val="left"/>
      <w:pPr>
        <w:tabs>
          <w:tab w:val="num" w:pos="6480"/>
        </w:tabs>
        <w:ind w:left="6480" w:hanging="360"/>
      </w:pPr>
    </w:lvl>
  </w:abstractNum>
  <w:num w:numId="1" w16cid:durableId="1434083281">
    <w:abstractNumId w:val="0"/>
  </w:num>
  <w:num w:numId="2" w16cid:durableId="846408656">
    <w:abstractNumId w:val="3"/>
  </w:num>
  <w:num w:numId="3" w16cid:durableId="442117743">
    <w:abstractNumId w:val="2"/>
  </w:num>
  <w:num w:numId="4" w16cid:durableId="1778522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E9D"/>
    <w:rsid w:val="0005744B"/>
    <w:rsid w:val="001D5105"/>
    <w:rsid w:val="003840C5"/>
    <w:rsid w:val="00462B3D"/>
    <w:rsid w:val="004E1E7D"/>
    <w:rsid w:val="004F3F00"/>
    <w:rsid w:val="004F4A8B"/>
    <w:rsid w:val="00536B9A"/>
    <w:rsid w:val="00592FB4"/>
    <w:rsid w:val="006C6BC5"/>
    <w:rsid w:val="00706E3B"/>
    <w:rsid w:val="00720B5D"/>
    <w:rsid w:val="00726621"/>
    <w:rsid w:val="008B361C"/>
    <w:rsid w:val="008C0A69"/>
    <w:rsid w:val="00A14E9D"/>
    <w:rsid w:val="00B15714"/>
    <w:rsid w:val="00B83ECB"/>
    <w:rsid w:val="00B90558"/>
    <w:rsid w:val="00BB591F"/>
    <w:rsid w:val="00C0348E"/>
    <w:rsid w:val="00D01B4A"/>
    <w:rsid w:val="00D41729"/>
    <w:rsid w:val="00DC4A55"/>
    <w:rsid w:val="00E31BC1"/>
    <w:rsid w:val="00E711BD"/>
    <w:rsid w:val="00F271F9"/>
    <w:rsid w:val="00F94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12790A5E-4CE4-EB49-B886-71D1B8C72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B4A"/>
    <w:pPr>
      <w:spacing w:after="0" w:line="240" w:lineRule="auto"/>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506</Words>
  <Characters>2885</Characters>
  <Application>Microsoft Office Word</Application>
  <DocSecurity>0</DocSecurity>
  <Lines>24</Lines>
  <Paragraphs>6</Paragraphs>
  <ScaleCrop>false</ScaleCrop>
  <Company/>
  <LinksUpToDate>false</LinksUpToDate>
  <CharactersWithSpaces>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Petkov</dc:creator>
  <cp:keywords/>
  <dc:description/>
  <cp:lastModifiedBy>Nikolay Petkov</cp:lastModifiedBy>
  <cp:revision>14</cp:revision>
  <dcterms:created xsi:type="dcterms:W3CDTF">2023-03-31T16:11:00Z</dcterms:created>
  <dcterms:modified xsi:type="dcterms:W3CDTF">2023-03-31T17:27:00Z</dcterms:modified>
</cp:coreProperties>
</file>