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A97BAB" w14:textId="35D6492A" w:rsidR="008B19AF" w:rsidRPr="00C560CB" w:rsidRDefault="008B19AF" w:rsidP="0048443F">
      <w:pPr>
        <w:spacing w:line="276" w:lineRule="auto"/>
        <w:rPr>
          <w:rFonts w:ascii="Times New Roman" w:hAnsi="Times New Roman" w:cs="Times New Roman"/>
          <w:b/>
          <w:bCs/>
          <w:sz w:val="36"/>
          <w:szCs w:val="36"/>
        </w:rPr>
      </w:pPr>
      <w:bookmarkStart w:id="0" w:name="_Hlk179570159"/>
      <w:bookmarkEnd w:id="0"/>
    </w:p>
    <w:p w14:paraId="53FA44D5" w14:textId="76DDA8E9" w:rsidR="008B19AF" w:rsidRPr="00C560CB" w:rsidRDefault="008B19AF" w:rsidP="0048443F">
      <w:pPr>
        <w:spacing w:line="276" w:lineRule="auto"/>
        <w:jc w:val="center"/>
        <w:rPr>
          <w:rFonts w:ascii="Times New Roman" w:hAnsi="Times New Roman" w:cs="Times New Roman"/>
          <w:b/>
          <w:bCs/>
          <w:sz w:val="32"/>
          <w:szCs w:val="32"/>
        </w:rPr>
      </w:pPr>
      <w:r w:rsidRPr="00C560CB">
        <w:rPr>
          <w:rFonts w:ascii="Times New Roman" w:hAnsi="Times New Roman" w:cs="Times New Roman"/>
          <w:b/>
          <w:bCs/>
          <w:sz w:val="32"/>
          <w:szCs w:val="32"/>
        </w:rPr>
        <w:t>The Comprehensive Impact of Environmental, Social, and Governance (ESG) Factors on the Performance of Financial Markets: An In-depth Analysis and Evaluation</w:t>
      </w:r>
    </w:p>
    <w:p w14:paraId="70FE0AA6" w14:textId="5BA3962F" w:rsidR="00F36587" w:rsidRPr="00C560CB" w:rsidRDefault="00F36587" w:rsidP="0048443F">
      <w:pPr>
        <w:spacing w:line="276" w:lineRule="auto"/>
        <w:jc w:val="center"/>
        <w:rPr>
          <w:rFonts w:ascii="Times New Roman" w:hAnsi="Times New Roman" w:cs="Times New Roman"/>
          <w:b/>
          <w:bCs/>
          <w:sz w:val="32"/>
          <w:szCs w:val="32"/>
        </w:rPr>
      </w:pPr>
    </w:p>
    <w:p w14:paraId="501F4ED8" w14:textId="5D9A3CA4" w:rsidR="00643B2C" w:rsidRPr="00C560CB" w:rsidRDefault="00643B2C" w:rsidP="0048443F">
      <w:pPr>
        <w:spacing w:line="276" w:lineRule="auto"/>
        <w:jc w:val="center"/>
        <w:rPr>
          <w:rFonts w:ascii="Times New Roman" w:hAnsi="Times New Roman" w:cs="Times New Roman"/>
          <w:sz w:val="28"/>
          <w:szCs w:val="28"/>
        </w:rPr>
      </w:pPr>
    </w:p>
    <w:p w14:paraId="5CEB6402" w14:textId="032F6097" w:rsidR="00F36587" w:rsidRPr="00C560CB" w:rsidRDefault="00F36587" w:rsidP="0048443F">
      <w:pPr>
        <w:spacing w:line="276" w:lineRule="auto"/>
        <w:jc w:val="center"/>
        <w:rPr>
          <w:rFonts w:ascii="Times New Roman" w:hAnsi="Times New Roman" w:cs="Times New Roman"/>
          <w:sz w:val="28"/>
          <w:szCs w:val="28"/>
        </w:rPr>
      </w:pPr>
      <w:r w:rsidRPr="00C560CB">
        <w:rPr>
          <w:rFonts w:ascii="Times New Roman" w:hAnsi="Times New Roman" w:cs="Times New Roman"/>
          <w:sz w:val="28"/>
          <w:szCs w:val="28"/>
        </w:rPr>
        <w:t>By</w:t>
      </w:r>
    </w:p>
    <w:p w14:paraId="4D689B89" w14:textId="279F9092" w:rsidR="00F36587" w:rsidRPr="00C560CB" w:rsidRDefault="00F36587" w:rsidP="0048443F">
      <w:pPr>
        <w:spacing w:line="276" w:lineRule="auto"/>
        <w:jc w:val="center"/>
        <w:rPr>
          <w:rFonts w:ascii="Times New Roman" w:hAnsi="Times New Roman" w:cs="Times New Roman"/>
          <w:sz w:val="32"/>
          <w:szCs w:val="32"/>
        </w:rPr>
      </w:pPr>
      <w:r w:rsidRPr="00C560CB">
        <w:rPr>
          <w:rFonts w:ascii="Times New Roman" w:hAnsi="Times New Roman" w:cs="Times New Roman"/>
          <w:sz w:val="32"/>
          <w:szCs w:val="32"/>
        </w:rPr>
        <w:t>Meera Shah</w:t>
      </w:r>
    </w:p>
    <w:p w14:paraId="21E46D7A" w14:textId="6869E4F9" w:rsidR="0070537F" w:rsidRPr="00C560CB" w:rsidRDefault="00BC0D28" w:rsidP="0048443F">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(Student ID </w:t>
      </w:r>
      <w:r w:rsidR="003F4362" w:rsidRPr="00C560CB">
        <w:rPr>
          <w:rFonts w:ascii="Times New Roman" w:hAnsi="Times New Roman" w:cs="Times New Roman"/>
          <w:sz w:val="24"/>
          <w:szCs w:val="24"/>
        </w:rPr>
        <w:t>2315379)</w:t>
      </w:r>
    </w:p>
    <w:p w14:paraId="225329DA" w14:textId="1A421A8C" w:rsidR="0070537F" w:rsidRPr="00C560CB" w:rsidRDefault="00555A62" w:rsidP="0048443F">
      <w:pPr>
        <w:spacing w:line="276" w:lineRule="auto"/>
        <w:jc w:val="center"/>
        <w:rPr>
          <w:rFonts w:ascii="Times New Roman" w:hAnsi="Times New Roman" w:cs="Times New Roman"/>
          <w:sz w:val="28"/>
          <w:szCs w:val="28"/>
        </w:rPr>
      </w:pPr>
      <w:r w:rsidRPr="00C560CB">
        <w:rPr>
          <w:rFonts w:ascii="Times New Roman" w:hAnsi="Times New Roman" w:cs="Times New Roman"/>
          <w:sz w:val="28"/>
          <w:szCs w:val="28"/>
        </w:rPr>
        <w:t xml:space="preserve">Research Supervisor </w:t>
      </w:r>
      <w:r w:rsidR="003F4362" w:rsidRPr="00C560CB">
        <w:rPr>
          <w:rFonts w:ascii="Times New Roman" w:hAnsi="Times New Roman" w:cs="Times New Roman"/>
          <w:sz w:val="28"/>
          <w:szCs w:val="28"/>
        </w:rPr>
        <w:t xml:space="preserve">Dr. Isaiah </w:t>
      </w:r>
      <w:r w:rsidR="0025723A" w:rsidRPr="00C560CB">
        <w:rPr>
          <w:rFonts w:ascii="Times New Roman" w:hAnsi="Times New Roman" w:cs="Times New Roman"/>
          <w:sz w:val="28"/>
          <w:szCs w:val="28"/>
        </w:rPr>
        <w:t>Oino</w:t>
      </w:r>
    </w:p>
    <w:p w14:paraId="2A368058" w14:textId="0D9B2972" w:rsidR="0070537F" w:rsidRPr="00C560CB" w:rsidRDefault="0070537F" w:rsidP="0048443F">
      <w:pPr>
        <w:spacing w:line="276" w:lineRule="auto"/>
        <w:jc w:val="center"/>
        <w:rPr>
          <w:rFonts w:ascii="Times New Roman" w:hAnsi="Times New Roman" w:cs="Times New Roman"/>
          <w:sz w:val="32"/>
          <w:szCs w:val="32"/>
        </w:rPr>
      </w:pPr>
    </w:p>
    <w:p w14:paraId="2D17575D" w14:textId="6D650705" w:rsidR="0070537F" w:rsidRPr="00C560CB" w:rsidRDefault="0070537F" w:rsidP="0048443F">
      <w:pPr>
        <w:spacing w:line="276" w:lineRule="auto"/>
        <w:jc w:val="center"/>
        <w:rPr>
          <w:rFonts w:ascii="Times New Roman" w:hAnsi="Times New Roman" w:cs="Times New Roman"/>
          <w:sz w:val="32"/>
          <w:szCs w:val="32"/>
        </w:rPr>
      </w:pPr>
    </w:p>
    <w:p w14:paraId="75D4875E" w14:textId="012EF94F" w:rsidR="0070537F" w:rsidRPr="00C560CB" w:rsidRDefault="007D58CA" w:rsidP="0048443F">
      <w:pPr>
        <w:spacing w:line="276" w:lineRule="auto"/>
        <w:jc w:val="center"/>
        <w:rPr>
          <w:rFonts w:ascii="Times New Roman" w:hAnsi="Times New Roman" w:cs="Times New Roman"/>
          <w:sz w:val="32"/>
          <w:szCs w:val="32"/>
        </w:rPr>
      </w:pPr>
      <w:r w:rsidRPr="00C560CB">
        <w:rPr>
          <w:rFonts w:ascii="Times New Roman" w:hAnsi="Times New Roman" w:cs="Times New Roman"/>
          <w:noProof/>
        </w:rPr>
        <w:drawing>
          <wp:inline distT="0" distB="0" distL="0" distR="0" wp14:anchorId="6D951B32" wp14:editId="0C4151DE">
            <wp:extent cx="2847340" cy="1163955"/>
            <wp:effectExtent l="0" t="0" r="0" b="0"/>
            <wp:docPr id="698182352" name="Picture 1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69535" name="Picture 15"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p>
    <w:p w14:paraId="7E79C966" w14:textId="77777777" w:rsidR="00671355" w:rsidRPr="00C560CB" w:rsidRDefault="00671355" w:rsidP="0048443F">
      <w:pPr>
        <w:spacing w:line="276" w:lineRule="auto"/>
        <w:rPr>
          <w:rFonts w:ascii="Times New Roman" w:hAnsi="Times New Roman" w:cs="Times New Roman"/>
          <w:sz w:val="32"/>
          <w:szCs w:val="32"/>
        </w:rPr>
      </w:pPr>
      <w:r w:rsidRPr="00C560CB">
        <w:rPr>
          <w:rFonts w:ascii="Times New Roman" w:hAnsi="Times New Roman" w:cs="Times New Roman"/>
          <w:sz w:val="32"/>
          <w:szCs w:val="32"/>
        </w:rPr>
        <w:t xml:space="preserve">                                               </w:t>
      </w:r>
    </w:p>
    <w:p w14:paraId="51C1B38E" w14:textId="77777777" w:rsidR="00671355" w:rsidRPr="00C560CB" w:rsidRDefault="00671355" w:rsidP="0048443F">
      <w:pPr>
        <w:spacing w:line="276" w:lineRule="auto"/>
        <w:rPr>
          <w:rFonts w:ascii="Times New Roman" w:hAnsi="Times New Roman" w:cs="Times New Roman"/>
          <w:sz w:val="32"/>
          <w:szCs w:val="32"/>
        </w:rPr>
      </w:pPr>
    </w:p>
    <w:p w14:paraId="481E3E54" w14:textId="77777777" w:rsidR="00671355" w:rsidRPr="00C560CB" w:rsidRDefault="00671355" w:rsidP="0048443F">
      <w:pPr>
        <w:spacing w:line="276" w:lineRule="auto"/>
        <w:rPr>
          <w:rFonts w:ascii="Times New Roman" w:hAnsi="Times New Roman" w:cs="Times New Roman"/>
          <w:sz w:val="32"/>
          <w:szCs w:val="32"/>
        </w:rPr>
      </w:pPr>
    </w:p>
    <w:p w14:paraId="0D7A457A" w14:textId="77777777" w:rsidR="00F778F4" w:rsidRPr="00C560CB" w:rsidRDefault="00F778F4" w:rsidP="0048443F">
      <w:pPr>
        <w:spacing w:line="276" w:lineRule="auto"/>
        <w:rPr>
          <w:rFonts w:ascii="Times New Roman" w:hAnsi="Times New Roman" w:cs="Times New Roman"/>
          <w:sz w:val="32"/>
          <w:szCs w:val="32"/>
        </w:rPr>
      </w:pPr>
    </w:p>
    <w:p w14:paraId="5FAB2A6E" w14:textId="1BCF678A"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A </w:t>
      </w:r>
      <w:r w:rsidR="00D03196" w:rsidRPr="00C560CB">
        <w:rPr>
          <w:rFonts w:ascii="Times New Roman" w:hAnsi="Times New Roman" w:cs="Times New Roman"/>
          <w:sz w:val="24"/>
          <w:szCs w:val="24"/>
        </w:rPr>
        <w:t>Dissertation</w:t>
      </w:r>
    </w:p>
    <w:p w14:paraId="4487B399" w14:textId="77777777"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Submitted to the University of Wales Trinity Saint David</w:t>
      </w:r>
    </w:p>
    <w:p w14:paraId="2501D52B" w14:textId="42488F15"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In </w:t>
      </w:r>
      <w:r w:rsidR="00B621F9" w:rsidRPr="00C560CB">
        <w:rPr>
          <w:rFonts w:ascii="Times New Roman" w:hAnsi="Times New Roman" w:cs="Times New Roman"/>
          <w:sz w:val="24"/>
          <w:szCs w:val="24"/>
        </w:rPr>
        <w:t xml:space="preserve">Partial </w:t>
      </w:r>
      <w:r w:rsidRPr="00C560CB">
        <w:rPr>
          <w:rFonts w:ascii="Times New Roman" w:hAnsi="Times New Roman" w:cs="Times New Roman"/>
          <w:sz w:val="24"/>
          <w:szCs w:val="24"/>
        </w:rPr>
        <w:t>Fulfilment of the Requirements</w:t>
      </w:r>
    </w:p>
    <w:p w14:paraId="525B8B44" w14:textId="18ECD6F6"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For </w:t>
      </w:r>
      <w:r w:rsidR="00B621F9" w:rsidRPr="00C560CB">
        <w:rPr>
          <w:rFonts w:ascii="Times New Roman" w:hAnsi="Times New Roman" w:cs="Times New Roman"/>
          <w:sz w:val="24"/>
          <w:szCs w:val="24"/>
        </w:rPr>
        <w:t xml:space="preserve">the Degree </w:t>
      </w:r>
      <w:r w:rsidR="00E279DB" w:rsidRPr="00C560CB">
        <w:rPr>
          <w:rFonts w:ascii="Times New Roman" w:hAnsi="Times New Roman" w:cs="Times New Roman"/>
          <w:sz w:val="24"/>
          <w:szCs w:val="24"/>
        </w:rPr>
        <w:t>of Master of Business Administration</w:t>
      </w:r>
    </w:p>
    <w:p w14:paraId="3C3F26A7" w14:textId="11BA1F2B" w:rsidR="00C96D22" w:rsidRPr="00C560CB" w:rsidRDefault="00A01CD5"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14</w:t>
      </w:r>
      <w:r w:rsidRPr="00C560CB">
        <w:rPr>
          <w:rFonts w:ascii="Times New Roman" w:hAnsi="Times New Roman" w:cs="Times New Roman"/>
          <w:sz w:val="24"/>
          <w:szCs w:val="24"/>
          <w:vertAlign w:val="superscript"/>
        </w:rPr>
        <w:t>th</w:t>
      </w:r>
      <w:r w:rsidRPr="00C560CB">
        <w:rPr>
          <w:rFonts w:ascii="Times New Roman" w:hAnsi="Times New Roman" w:cs="Times New Roman"/>
          <w:sz w:val="24"/>
          <w:szCs w:val="24"/>
        </w:rPr>
        <w:t xml:space="preserve"> </w:t>
      </w:r>
      <w:r w:rsidR="006C0B77" w:rsidRPr="00C560CB">
        <w:rPr>
          <w:rFonts w:ascii="Times New Roman" w:hAnsi="Times New Roman" w:cs="Times New Roman"/>
          <w:sz w:val="24"/>
          <w:szCs w:val="24"/>
        </w:rPr>
        <w:t>October 2024</w:t>
      </w:r>
    </w:p>
    <w:p w14:paraId="01838FC0" w14:textId="77777777" w:rsidR="0098618D" w:rsidRPr="00C560CB" w:rsidRDefault="0098618D" w:rsidP="0048443F">
      <w:pPr>
        <w:spacing w:line="276" w:lineRule="auto"/>
        <w:jc w:val="center"/>
        <w:rPr>
          <w:rFonts w:ascii="Times New Roman" w:hAnsi="Times New Roman" w:cs="Times New Roman"/>
          <w:sz w:val="24"/>
          <w:szCs w:val="24"/>
        </w:rPr>
      </w:pPr>
    </w:p>
    <w:p w14:paraId="24DDA905" w14:textId="77777777" w:rsidR="0098618D" w:rsidRPr="00C560CB" w:rsidRDefault="0098618D" w:rsidP="0048443F">
      <w:pPr>
        <w:spacing w:line="276" w:lineRule="auto"/>
        <w:jc w:val="center"/>
        <w:rPr>
          <w:rFonts w:ascii="Times New Roman" w:hAnsi="Times New Roman" w:cs="Times New Roman"/>
          <w:sz w:val="24"/>
          <w:szCs w:val="24"/>
        </w:rPr>
      </w:pPr>
    </w:p>
    <w:p w14:paraId="56712E7F" w14:textId="77777777" w:rsidR="00AE7A9E" w:rsidRPr="00C560CB" w:rsidRDefault="00AE7A9E" w:rsidP="0048443F">
      <w:pPr>
        <w:spacing w:line="276" w:lineRule="auto"/>
        <w:jc w:val="center"/>
        <w:rPr>
          <w:rFonts w:ascii="Times New Roman" w:hAnsi="Times New Roman" w:cs="Times New Roman"/>
          <w:b/>
          <w:bCs/>
          <w:sz w:val="32"/>
          <w:szCs w:val="32"/>
        </w:rPr>
      </w:pPr>
    </w:p>
    <w:p w14:paraId="54811D8A" w14:textId="77777777" w:rsidR="005A7C3D" w:rsidRPr="00C560CB" w:rsidRDefault="005A7C3D" w:rsidP="0048443F">
      <w:pPr>
        <w:spacing w:line="276" w:lineRule="auto"/>
        <w:jc w:val="center"/>
        <w:rPr>
          <w:rFonts w:ascii="Times New Roman" w:hAnsi="Times New Roman" w:cs="Times New Roman"/>
          <w:b/>
          <w:bCs/>
          <w:sz w:val="28"/>
          <w:szCs w:val="28"/>
        </w:rPr>
      </w:pPr>
    </w:p>
    <w:p w14:paraId="6FAC7657" w14:textId="77777777" w:rsidR="00746EB1" w:rsidRPr="00C560CB" w:rsidRDefault="00746EB1" w:rsidP="0048443F">
      <w:pPr>
        <w:spacing w:line="276" w:lineRule="auto"/>
        <w:jc w:val="center"/>
        <w:rPr>
          <w:rFonts w:ascii="Times New Roman" w:hAnsi="Times New Roman" w:cs="Times New Roman"/>
          <w:b/>
          <w:bCs/>
          <w:sz w:val="28"/>
          <w:szCs w:val="28"/>
        </w:rPr>
      </w:pPr>
    </w:p>
    <w:p w14:paraId="5BCE69E9" w14:textId="77777777" w:rsidR="00746EB1" w:rsidRPr="00C560CB" w:rsidRDefault="00746EB1" w:rsidP="0048443F">
      <w:pPr>
        <w:spacing w:line="276" w:lineRule="auto"/>
        <w:jc w:val="center"/>
        <w:rPr>
          <w:rFonts w:ascii="Times New Roman" w:hAnsi="Times New Roman" w:cs="Times New Roman"/>
          <w:b/>
          <w:bCs/>
          <w:sz w:val="28"/>
          <w:szCs w:val="28"/>
        </w:rPr>
      </w:pPr>
    </w:p>
    <w:p w14:paraId="4EE22A22" w14:textId="4644E33D" w:rsidR="001D5CA6" w:rsidRPr="00C560CB" w:rsidRDefault="0041442A" w:rsidP="0048443F">
      <w:pPr>
        <w:spacing w:line="276" w:lineRule="auto"/>
        <w:jc w:val="center"/>
        <w:rPr>
          <w:rFonts w:ascii="Times New Roman" w:hAnsi="Times New Roman" w:cs="Times New Roman"/>
          <w:b/>
          <w:bCs/>
          <w:sz w:val="28"/>
          <w:szCs w:val="28"/>
        </w:rPr>
      </w:pPr>
      <w:r w:rsidRPr="00C560CB">
        <w:rPr>
          <w:rFonts w:ascii="Times New Roman" w:hAnsi="Times New Roman" w:cs="Times New Roman"/>
          <w:b/>
          <w:bCs/>
          <w:sz w:val="28"/>
          <w:szCs w:val="28"/>
        </w:rPr>
        <w:t>Acknowledgements</w:t>
      </w:r>
    </w:p>
    <w:p w14:paraId="3F624575" w14:textId="77777777" w:rsidR="001D5CA6" w:rsidRPr="00C560CB" w:rsidRDefault="001D5CA6" w:rsidP="0048443F">
      <w:pPr>
        <w:spacing w:line="276" w:lineRule="auto"/>
        <w:jc w:val="both"/>
        <w:rPr>
          <w:rFonts w:ascii="Times New Roman" w:hAnsi="Times New Roman" w:cs="Times New Roman"/>
          <w:b/>
          <w:bCs/>
          <w:sz w:val="24"/>
          <w:szCs w:val="24"/>
        </w:rPr>
      </w:pPr>
    </w:p>
    <w:p w14:paraId="43186541" w14:textId="77777777" w:rsidR="005A7C3D" w:rsidRPr="00C560CB" w:rsidRDefault="005A7C3D" w:rsidP="000F3850">
      <w:pPr>
        <w:spacing w:after="0" w:line="480" w:lineRule="auto"/>
        <w:jc w:val="both"/>
        <w:rPr>
          <w:rFonts w:ascii="Times New Roman" w:hAnsi="Times New Roman" w:cs="Times New Roman"/>
        </w:rPr>
      </w:pPr>
    </w:p>
    <w:p w14:paraId="3C852575" w14:textId="4527AFEA" w:rsidR="00922501" w:rsidRPr="00C560CB" w:rsidRDefault="00922501" w:rsidP="000F3850">
      <w:pPr>
        <w:spacing w:after="0" w:line="480" w:lineRule="auto"/>
        <w:jc w:val="both"/>
        <w:rPr>
          <w:rFonts w:ascii="Times New Roman" w:hAnsi="Times New Roman" w:cs="Times New Roman"/>
        </w:rPr>
      </w:pPr>
      <w:r w:rsidRPr="00C560CB">
        <w:rPr>
          <w:rFonts w:ascii="Times New Roman" w:hAnsi="Times New Roman" w:cs="Times New Roman"/>
        </w:rPr>
        <w:t>I extend my deepest gratitude to my supervisors, Dr. Isaiah Oino and Dr. Amare Desta, whose wisdom and guidance have been instrumental in shaping this work. Their insight and unwavering support have not only enriched my research but also fostered my growth as a scholar.</w:t>
      </w:r>
    </w:p>
    <w:p w14:paraId="6511970D" w14:textId="23D62350" w:rsidR="00922501" w:rsidRPr="00C560CB" w:rsidRDefault="00922501" w:rsidP="000F3850">
      <w:pPr>
        <w:spacing w:after="0" w:line="480" w:lineRule="auto"/>
        <w:jc w:val="both"/>
        <w:rPr>
          <w:rFonts w:ascii="Times New Roman" w:hAnsi="Times New Roman" w:cs="Times New Roman"/>
        </w:rPr>
      </w:pPr>
      <w:r w:rsidRPr="00C560CB">
        <w:rPr>
          <w:rFonts w:ascii="Times New Roman" w:hAnsi="Times New Roman" w:cs="Times New Roman"/>
        </w:rPr>
        <w:t xml:space="preserve">A special thanks to my partner, Monil Shah, whose endless </w:t>
      </w:r>
      <w:r w:rsidR="000F3850" w:rsidRPr="00C560CB">
        <w:rPr>
          <w:rFonts w:ascii="Times New Roman" w:hAnsi="Times New Roman" w:cs="Times New Roman"/>
        </w:rPr>
        <w:t>encouragement,</w:t>
      </w:r>
      <w:r w:rsidRPr="00C560CB">
        <w:rPr>
          <w:rFonts w:ascii="Times New Roman" w:hAnsi="Times New Roman" w:cs="Times New Roman"/>
        </w:rPr>
        <w:t xml:space="preserve"> and patience have been the bedrock of my journey. Your unwavering belief in me has been the constant source of strength that propelled me forward, even in the most challenging moments.</w:t>
      </w:r>
      <w:r w:rsidR="009076C2" w:rsidRPr="00C560CB">
        <w:rPr>
          <w:rFonts w:ascii="Times New Roman" w:hAnsi="Times New Roman" w:cs="Times New Roman"/>
        </w:rPr>
        <w:t xml:space="preserve"> </w:t>
      </w:r>
      <w:r w:rsidRPr="00C560CB">
        <w:rPr>
          <w:rFonts w:ascii="Times New Roman" w:hAnsi="Times New Roman" w:cs="Times New Roman"/>
        </w:rPr>
        <w:t>This achievement is as much yours as it is mine.</w:t>
      </w:r>
    </w:p>
    <w:p w14:paraId="383E4F3A" w14:textId="77777777" w:rsidR="00C81CB2" w:rsidRPr="00C560CB" w:rsidRDefault="00C81CB2" w:rsidP="0048443F">
      <w:pPr>
        <w:spacing w:line="276" w:lineRule="auto"/>
        <w:jc w:val="center"/>
        <w:rPr>
          <w:rFonts w:ascii="Times New Roman" w:hAnsi="Times New Roman" w:cs="Times New Roman"/>
          <w:b/>
          <w:bCs/>
          <w:sz w:val="28"/>
          <w:szCs w:val="28"/>
        </w:rPr>
      </w:pPr>
    </w:p>
    <w:p w14:paraId="3AE111CE" w14:textId="77777777" w:rsidR="00C81CB2" w:rsidRPr="00C560CB" w:rsidRDefault="00C81CB2" w:rsidP="0048443F">
      <w:pPr>
        <w:spacing w:line="276" w:lineRule="auto"/>
        <w:jc w:val="center"/>
        <w:rPr>
          <w:rFonts w:ascii="Times New Roman" w:hAnsi="Times New Roman" w:cs="Times New Roman"/>
          <w:b/>
          <w:bCs/>
          <w:sz w:val="28"/>
          <w:szCs w:val="28"/>
        </w:rPr>
      </w:pPr>
    </w:p>
    <w:p w14:paraId="0A45B367" w14:textId="77777777" w:rsidR="00C81CB2" w:rsidRPr="00C560CB" w:rsidRDefault="00C81CB2" w:rsidP="0048443F">
      <w:pPr>
        <w:spacing w:line="276" w:lineRule="auto"/>
        <w:jc w:val="center"/>
        <w:rPr>
          <w:rFonts w:ascii="Times New Roman" w:hAnsi="Times New Roman" w:cs="Times New Roman"/>
          <w:b/>
          <w:bCs/>
          <w:sz w:val="28"/>
          <w:szCs w:val="28"/>
        </w:rPr>
      </w:pPr>
    </w:p>
    <w:p w14:paraId="358A79E6" w14:textId="77777777" w:rsidR="00C81CB2" w:rsidRPr="00C560CB" w:rsidRDefault="00C81CB2" w:rsidP="0048443F">
      <w:pPr>
        <w:spacing w:line="276" w:lineRule="auto"/>
        <w:jc w:val="center"/>
        <w:rPr>
          <w:rFonts w:ascii="Times New Roman" w:hAnsi="Times New Roman" w:cs="Times New Roman"/>
          <w:b/>
          <w:bCs/>
          <w:sz w:val="28"/>
          <w:szCs w:val="28"/>
        </w:rPr>
      </w:pPr>
    </w:p>
    <w:p w14:paraId="09D9CAFA" w14:textId="77777777" w:rsidR="00C81CB2" w:rsidRPr="00C560CB" w:rsidRDefault="00C81CB2" w:rsidP="0048443F">
      <w:pPr>
        <w:spacing w:line="276" w:lineRule="auto"/>
        <w:jc w:val="center"/>
        <w:rPr>
          <w:rFonts w:ascii="Times New Roman" w:hAnsi="Times New Roman" w:cs="Times New Roman"/>
          <w:b/>
          <w:bCs/>
          <w:sz w:val="28"/>
          <w:szCs w:val="28"/>
        </w:rPr>
      </w:pPr>
    </w:p>
    <w:p w14:paraId="291123E8" w14:textId="77777777" w:rsidR="00C81CB2" w:rsidRPr="00C560CB" w:rsidRDefault="00C81CB2" w:rsidP="0048443F">
      <w:pPr>
        <w:spacing w:line="276" w:lineRule="auto"/>
        <w:jc w:val="center"/>
        <w:rPr>
          <w:rFonts w:ascii="Times New Roman" w:hAnsi="Times New Roman" w:cs="Times New Roman"/>
          <w:b/>
          <w:bCs/>
          <w:sz w:val="28"/>
          <w:szCs w:val="28"/>
        </w:rPr>
      </w:pPr>
    </w:p>
    <w:p w14:paraId="0BFE52E5" w14:textId="77777777" w:rsidR="00C81CB2" w:rsidRPr="00C560CB" w:rsidRDefault="00C81CB2" w:rsidP="0048443F">
      <w:pPr>
        <w:spacing w:line="276" w:lineRule="auto"/>
        <w:jc w:val="center"/>
        <w:rPr>
          <w:rFonts w:ascii="Times New Roman" w:hAnsi="Times New Roman" w:cs="Times New Roman"/>
          <w:b/>
          <w:bCs/>
          <w:sz w:val="28"/>
          <w:szCs w:val="28"/>
        </w:rPr>
      </w:pPr>
    </w:p>
    <w:p w14:paraId="4ED50145" w14:textId="77777777" w:rsidR="00C81CB2" w:rsidRPr="00C560CB" w:rsidRDefault="00C81CB2" w:rsidP="0048443F">
      <w:pPr>
        <w:spacing w:line="276" w:lineRule="auto"/>
        <w:jc w:val="center"/>
        <w:rPr>
          <w:rFonts w:ascii="Times New Roman" w:hAnsi="Times New Roman" w:cs="Times New Roman"/>
          <w:b/>
          <w:bCs/>
          <w:sz w:val="28"/>
          <w:szCs w:val="28"/>
        </w:rPr>
      </w:pPr>
    </w:p>
    <w:p w14:paraId="4A9424FF" w14:textId="77777777" w:rsidR="00C81CB2" w:rsidRPr="00C560CB" w:rsidRDefault="00C81CB2" w:rsidP="0048443F">
      <w:pPr>
        <w:spacing w:line="276" w:lineRule="auto"/>
        <w:jc w:val="center"/>
        <w:rPr>
          <w:rFonts w:ascii="Times New Roman" w:hAnsi="Times New Roman" w:cs="Times New Roman"/>
          <w:b/>
          <w:bCs/>
          <w:sz w:val="28"/>
          <w:szCs w:val="28"/>
        </w:rPr>
      </w:pPr>
    </w:p>
    <w:p w14:paraId="584F60BE" w14:textId="77777777" w:rsidR="00C81CB2" w:rsidRPr="00C560CB" w:rsidRDefault="00C81CB2" w:rsidP="0048443F">
      <w:pPr>
        <w:spacing w:line="276" w:lineRule="auto"/>
        <w:jc w:val="center"/>
        <w:rPr>
          <w:rFonts w:ascii="Times New Roman" w:hAnsi="Times New Roman" w:cs="Times New Roman"/>
          <w:b/>
          <w:bCs/>
          <w:sz w:val="28"/>
          <w:szCs w:val="28"/>
        </w:rPr>
      </w:pPr>
    </w:p>
    <w:p w14:paraId="2ECDD495" w14:textId="77777777" w:rsidR="00C81CB2" w:rsidRPr="00C560CB" w:rsidRDefault="00C81CB2" w:rsidP="0048443F">
      <w:pPr>
        <w:spacing w:line="276" w:lineRule="auto"/>
        <w:jc w:val="center"/>
        <w:rPr>
          <w:rFonts w:ascii="Times New Roman" w:hAnsi="Times New Roman" w:cs="Times New Roman"/>
          <w:b/>
          <w:bCs/>
          <w:sz w:val="28"/>
          <w:szCs w:val="28"/>
        </w:rPr>
      </w:pPr>
    </w:p>
    <w:p w14:paraId="10764C64" w14:textId="77777777" w:rsidR="00C81CB2" w:rsidRPr="00C560CB" w:rsidRDefault="00C81CB2" w:rsidP="0048443F">
      <w:pPr>
        <w:spacing w:line="276" w:lineRule="auto"/>
        <w:jc w:val="center"/>
        <w:rPr>
          <w:rFonts w:ascii="Times New Roman" w:hAnsi="Times New Roman" w:cs="Times New Roman"/>
          <w:b/>
          <w:bCs/>
          <w:sz w:val="28"/>
          <w:szCs w:val="28"/>
        </w:rPr>
      </w:pPr>
    </w:p>
    <w:p w14:paraId="072C2FC5" w14:textId="77777777" w:rsidR="00C81CB2" w:rsidRPr="00C560CB" w:rsidRDefault="00C81CB2" w:rsidP="0048443F">
      <w:pPr>
        <w:spacing w:line="276" w:lineRule="auto"/>
        <w:jc w:val="center"/>
        <w:rPr>
          <w:rFonts w:ascii="Times New Roman" w:hAnsi="Times New Roman" w:cs="Times New Roman"/>
          <w:b/>
          <w:bCs/>
          <w:sz w:val="28"/>
          <w:szCs w:val="28"/>
        </w:rPr>
      </w:pPr>
    </w:p>
    <w:p w14:paraId="2277E99E" w14:textId="77777777" w:rsidR="00767B92" w:rsidRPr="00C560CB" w:rsidRDefault="00767B92" w:rsidP="00BE49AD">
      <w:pPr>
        <w:spacing w:after="120"/>
        <w:rPr>
          <w:rFonts w:ascii="Times New Roman" w:hAnsi="Times New Roman" w:cs="Times New Roman"/>
          <w:b/>
        </w:rPr>
      </w:pPr>
    </w:p>
    <w:p w14:paraId="377A1581" w14:textId="3CBFBE08" w:rsidR="008779C1" w:rsidRPr="00C560CB" w:rsidRDefault="003A5770" w:rsidP="006777B6">
      <w:pPr>
        <w:pBdr>
          <w:top w:val="single" w:sz="4" w:space="31" w:color="auto"/>
          <w:left w:val="single" w:sz="4" w:space="4" w:color="auto"/>
          <w:bottom w:val="single" w:sz="4" w:space="1" w:color="auto"/>
          <w:right w:val="single" w:sz="4" w:space="8" w:color="auto"/>
        </w:pBdr>
        <w:spacing w:after="120"/>
        <w:rPr>
          <w:rFonts w:ascii="Times New Roman" w:hAnsi="Times New Roman" w:cs="Times New Roman"/>
          <w:b/>
          <w:sz w:val="28"/>
          <w:szCs w:val="28"/>
        </w:rPr>
      </w:pPr>
      <w:r w:rsidRPr="00C560CB">
        <w:rPr>
          <w:rFonts w:ascii="Times New Roman" w:hAnsi="Times New Roman" w:cs="Times New Roman"/>
          <w:b/>
          <w:sz w:val="28"/>
          <w:szCs w:val="28"/>
        </w:rPr>
        <w:t xml:space="preserve">                           </w:t>
      </w:r>
      <w:bookmarkStart w:id="1" w:name="_Hlk179570852"/>
      <w:r w:rsidR="00A138A1" w:rsidRPr="00C560CB">
        <w:rPr>
          <w:rFonts w:ascii="Times New Roman" w:hAnsi="Times New Roman" w:cs="Times New Roman"/>
          <w:noProof/>
        </w:rPr>
        <w:drawing>
          <wp:inline distT="0" distB="0" distL="0" distR="0" wp14:anchorId="23FD13D9" wp14:editId="22EA18D1">
            <wp:extent cx="2847340" cy="1163955"/>
            <wp:effectExtent l="0" t="0" r="0" b="0"/>
            <wp:docPr id="1347969535" name="Picture 1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69535" name="Picture 15"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bookmarkEnd w:id="1"/>
    </w:p>
    <w:p w14:paraId="128E7F37" w14:textId="02D5C858" w:rsidR="00BE49AD" w:rsidRPr="00C560CB" w:rsidRDefault="00BE49AD" w:rsidP="00BE49AD">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b/>
          <w:sz w:val="28"/>
          <w:szCs w:val="28"/>
        </w:rPr>
      </w:pPr>
    </w:p>
    <w:p w14:paraId="16E4DE7E" w14:textId="0FD5E0EC" w:rsidR="00BE49AD" w:rsidRPr="00C560CB" w:rsidRDefault="00BE49AD" w:rsidP="00BE49AD">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b/>
          <w:sz w:val="28"/>
          <w:szCs w:val="28"/>
        </w:rPr>
      </w:pPr>
    </w:p>
    <w:p w14:paraId="6197D94B" w14:textId="47F1EEF1" w:rsidR="008779C1" w:rsidRPr="00C560CB" w:rsidRDefault="008779C1" w:rsidP="00A138A1">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sz w:val="28"/>
          <w:szCs w:val="28"/>
        </w:rPr>
      </w:pPr>
      <w:r w:rsidRPr="00C560CB">
        <w:rPr>
          <w:rFonts w:ascii="Times New Roman" w:hAnsi="Times New Roman" w:cs="Times New Roman"/>
          <w:b/>
          <w:sz w:val="28"/>
          <w:szCs w:val="28"/>
        </w:rPr>
        <w:t>Master’s Degrees by Examination and Dissertation</w:t>
      </w:r>
    </w:p>
    <w:p w14:paraId="1977ED83" w14:textId="77777777" w:rsidR="008779C1" w:rsidRPr="00C560CB" w:rsidRDefault="008779C1" w:rsidP="00A138A1">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sz w:val="28"/>
          <w:szCs w:val="28"/>
        </w:rPr>
      </w:pPr>
      <w:r w:rsidRPr="00C560CB">
        <w:rPr>
          <w:rFonts w:ascii="Times New Roman" w:hAnsi="Times New Roman" w:cs="Times New Roman"/>
          <w:b/>
          <w:sz w:val="28"/>
          <w:szCs w:val="28"/>
        </w:rPr>
        <w:t>Declaration Form</w:t>
      </w:r>
      <w:r w:rsidRPr="00C560CB">
        <w:rPr>
          <w:rFonts w:ascii="Times New Roman" w:hAnsi="Times New Roman" w:cs="Times New Roman"/>
          <w:sz w:val="28"/>
          <w:szCs w:val="28"/>
        </w:rPr>
        <w:t>.</w:t>
      </w:r>
    </w:p>
    <w:p w14:paraId="28DF7735" w14:textId="77777777" w:rsidR="008779C1" w:rsidRPr="00C560CB" w:rsidRDefault="008779C1" w:rsidP="00BE49AD">
      <w:pPr>
        <w:pBdr>
          <w:top w:val="single" w:sz="4" w:space="31" w:color="auto"/>
          <w:left w:val="single" w:sz="4" w:space="4" w:color="auto"/>
          <w:bottom w:val="single" w:sz="4" w:space="1" w:color="auto"/>
          <w:right w:val="single" w:sz="4" w:space="8" w:color="auto"/>
        </w:pBdr>
        <w:spacing w:after="120" w:line="480" w:lineRule="auto"/>
        <w:rPr>
          <w:rFonts w:ascii="Times New Roman" w:hAnsi="Times New Roman" w:cs="Times New Roman"/>
        </w:rPr>
      </w:pPr>
    </w:p>
    <w:p w14:paraId="1FED0412" w14:textId="48FCA43B" w:rsidR="008779C1" w:rsidRPr="00C560CB" w:rsidRDefault="008779C1" w:rsidP="00411182">
      <w:pPr>
        <w:pBdr>
          <w:top w:val="single" w:sz="4" w:space="31" w:color="auto"/>
          <w:left w:val="single" w:sz="4" w:space="4" w:color="auto"/>
          <w:bottom w:val="single" w:sz="4" w:space="1" w:color="auto"/>
          <w:right w:val="single" w:sz="4" w:space="8" w:color="auto"/>
        </w:pBdr>
        <w:spacing w:after="120" w:line="480" w:lineRule="auto"/>
        <w:jc w:val="both"/>
        <w:rPr>
          <w:rFonts w:ascii="Times New Roman" w:hAnsi="Times New Roman" w:cs="Times New Roman"/>
        </w:rPr>
      </w:pPr>
      <w:r w:rsidRPr="00C560CB">
        <w:rPr>
          <w:rFonts w:ascii="Times New Roman" w:hAnsi="Times New Roman" w:cs="Times New Roman"/>
        </w:rPr>
        <w:t xml:space="preserve">I, </w:t>
      </w:r>
      <w:r w:rsidR="0072797B" w:rsidRPr="00C560CB">
        <w:rPr>
          <w:rFonts w:ascii="Times New Roman" w:hAnsi="Times New Roman" w:cs="Times New Roman"/>
        </w:rPr>
        <w:t>Mrs Meera Monil Shah</w:t>
      </w:r>
      <w:r w:rsidRPr="00C560CB">
        <w:rPr>
          <w:rFonts w:ascii="Times New Roman" w:hAnsi="Times New Roman"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2C1FBE1" w14:textId="7566A810" w:rsidR="008779C1" w:rsidRPr="00C560CB" w:rsidRDefault="008779C1" w:rsidP="00BE49AD">
      <w:pPr>
        <w:pBdr>
          <w:top w:val="single" w:sz="4" w:space="31" w:color="auto"/>
          <w:left w:val="single" w:sz="4" w:space="4" w:color="auto"/>
          <w:bottom w:val="single" w:sz="4" w:space="1" w:color="auto"/>
          <w:right w:val="single" w:sz="4" w:space="8" w:color="auto"/>
        </w:pBdr>
        <w:tabs>
          <w:tab w:val="left" w:pos="2664"/>
        </w:tabs>
        <w:spacing w:after="120" w:line="480" w:lineRule="auto"/>
        <w:rPr>
          <w:rFonts w:ascii="Times New Roman" w:hAnsi="Times New Roman" w:cs="Times New Roman"/>
        </w:rPr>
      </w:pPr>
      <w:r w:rsidRPr="00C560CB">
        <w:rPr>
          <w:rFonts w:ascii="Times New Roman" w:hAnsi="Times New Roman" w:cs="Times New Roman"/>
        </w:rPr>
        <w:t xml:space="preserve"> </w:t>
      </w:r>
      <w:r w:rsidR="00322B4B" w:rsidRPr="00C560CB">
        <w:rPr>
          <w:rFonts w:ascii="Times New Roman" w:hAnsi="Times New Roman" w:cs="Times New Roman"/>
        </w:rPr>
        <w:tab/>
      </w:r>
    </w:p>
    <w:p w14:paraId="0806C5A8" w14:textId="77777777" w:rsidR="00322B4B" w:rsidRPr="00C560CB" w:rsidRDefault="00322B4B" w:rsidP="00BE49AD">
      <w:pPr>
        <w:pBdr>
          <w:top w:val="single" w:sz="4" w:space="31" w:color="auto"/>
          <w:left w:val="single" w:sz="4" w:space="4" w:color="auto"/>
          <w:bottom w:val="single" w:sz="4" w:space="1" w:color="auto"/>
          <w:right w:val="single" w:sz="4" w:space="8" w:color="auto"/>
        </w:pBdr>
        <w:tabs>
          <w:tab w:val="left" w:pos="2664"/>
        </w:tabs>
        <w:spacing w:after="120" w:line="480" w:lineRule="auto"/>
        <w:rPr>
          <w:rFonts w:ascii="Times New Roman" w:hAnsi="Times New Roman" w:cs="Times New Roman"/>
        </w:rPr>
      </w:pPr>
    </w:p>
    <w:p w14:paraId="6F4CA497" w14:textId="69573E43" w:rsidR="008779C1" w:rsidRPr="00C560CB" w:rsidRDefault="008779C1" w:rsidP="00BE49AD">
      <w:pPr>
        <w:pBdr>
          <w:top w:val="single" w:sz="4" w:space="31" w:color="auto"/>
          <w:left w:val="single" w:sz="4" w:space="4" w:color="auto"/>
          <w:bottom w:val="single" w:sz="4" w:space="1" w:color="auto"/>
          <w:right w:val="single" w:sz="4" w:space="8" w:color="auto"/>
        </w:pBdr>
        <w:spacing w:after="120" w:line="480" w:lineRule="auto"/>
        <w:rPr>
          <w:rFonts w:ascii="Times New Roman" w:hAnsi="Times New Roman" w:cs="Times New Roman"/>
        </w:rPr>
      </w:pPr>
      <w:r w:rsidRPr="00C560CB">
        <w:rPr>
          <w:rFonts w:ascii="Times New Roman" w:hAnsi="Times New Roman" w:cs="Times New Roman"/>
        </w:rPr>
        <w:t>Signature:</w:t>
      </w:r>
      <w:r w:rsidR="005B477B" w:rsidRPr="00C560CB">
        <w:rPr>
          <w:rFonts w:ascii="Times New Roman" w:hAnsi="Times New Roman" w:cs="Times New Roman"/>
        </w:rPr>
        <w:t xml:space="preserve">  </w:t>
      </w:r>
      <w:r w:rsidR="00322B4B" w:rsidRPr="00C560CB">
        <w:rPr>
          <w:rFonts w:ascii="Times New Roman" w:hAnsi="Times New Roman" w:cs="Times New Roman"/>
        </w:rPr>
        <w:t>M</w:t>
      </w:r>
      <w:r w:rsidR="0072797B" w:rsidRPr="00C560CB">
        <w:rPr>
          <w:rFonts w:ascii="Times New Roman" w:hAnsi="Times New Roman" w:cs="Times New Roman"/>
        </w:rPr>
        <w:t>.</w:t>
      </w:r>
      <w:r w:rsidR="00D30C75" w:rsidRPr="00C560CB">
        <w:rPr>
          <w:rFonts w:ascii="Times New Roman" w:hAnsi="Times New Roman" w:cs="Times New Roman"/>
        </w:rPr>
        <w:t>M. Shah</w:t>
      </w:r>
      <w:r w:rsidRPr="00C560CB">
        <w:rPr>
          <w:rFonts w:ascii="Times New Roman" w:hAnsi="Times New Roman" w:cs="Times New Roman"/>
        </w:rPr>
        <w:t xml:space="preserve"> </w:t>
      </w:r>
    </w:p>
    <w:p w14:paraId="6A533954" w14:textId="00F44D48" w:rsidR="008779C1" w:rsidRPr="00C560CB" w:rsidRDefault="008779C1" w:rsidP="00BE49AD">
      <w:pPr>
        <w:pBdr>
          <w:top w:val="single" w:sz="4" w:space="31" w:color="auto"/>
          <w:left w:val="single" w:sz="4" w:space="4" w:color="auto"/>
          <w:bottom w:val="single" w:sz="4" w:space="1" w:color="auto"/>
          <w:right w:val="single" w:sz="4" w:space="8" w:color="auto"/>
        </w:pBdr>
        <w:spacing w:after="120" w:line="480" w:lineRule="auto"/>
        <w:rPr>
          <w:rFonts w:ascii="Times New Roman" w:hAnsi="Times New Roman" w:cs="Times New Roman"/>
        </w:rPr>
      </w:pPr>
      <w:r w:rsidRPr="00C560CB">
        <w:rPr>
          <w:rFonts w:ascii="Times New Roman" w:hAnsi="Times New Roman" w:cs="Times New Roman"/>
        </w:rPr>
        <w:t xml:space="preserve">Date: </w:t>
      </w:r>
      <w:r w:rsidR="005B477B" w:rsidRPr="00C560CB">
        <w:rPr>
          <w:rFonts w:ascii="Times New Roman" w:hAnsi="Times New Roman" w:cs="Times New Roman"/>
        </w:rPr>
        <w:t>14</w:t>
      </w:r>
      <w:r w:rsidR="005B477B" w:rsidRPr="00C560CB">
        <w:rPr>
          <w:rFonts w:ascii="Times New Roman" w:hAnsi="Times New Roman" w:cs="Times New Roman"/>
          <w:vertAlign w:val="superscript"/>
        </w:rPr>
        <w:t>th</w:t>
      </w:r>
      <w:r w:rsidR="005B477B" w:rsidRPr="00C560CB">
        <w:rPr>
          <w:rFonts w:ascii="Times New Roman" w:hAnsi="Times New Roman" w:cs="Times New Roman"/>
        </w:rPr>
        <w:t xml:space="preserve"> October 2024</w:t>
      </w:r>
    </w:p>
    <w:p w14:paraId="15CB2AC1" w14:textId="77777777" w:rsidR="008779C1" w:rsidRPr="00C560CB" w:rsidRDefault="008779C1" w:rsidP="00BE49AD">
      <w:pPr>
        <w:pBdr>
          <w:top w:val="single" w:sz="4" w:space="31" w:color="auto"/>
          <w:left w:val="single" w:sz="4" w:space="4" w:color="auto"/>
          <w:bottom w:val="single" w:sz="4" w:space="1" w:color="auto"/>
          <w:right w:val="single" w:sz="4" w:space="8" w:color="auto"/>
        </w:pBdr>
        <w:spacing w:after="120"/>
        <w:rPr>
          <w:rFonts w:ascii="Times New Roman" w:hAnsi="Times New Roman" w:cs="Times New Roman"/>
        </w:rPr>
      </w:pPr>
    </w:p>
    <w:p w14:paraId="3739DFC6" w14:textId="2E33DC6C" w:rsidR="00C911EE" w:rsidRPr="00C560CB" w:rsidRDefault="00C911EE">
      <w:pPr>
        <w:spacing w:line="278" w:lineRule="auto"/>
        <w:rPr>
          <w:rFonts w:ascii="Times New Roman" w:hAnsi="Times New Roman" w:cs="Times New Roman"/>
          <w:b/>
          <w:bCs/>
          <w:sz w:val="28"/>
          <w:szCs w:val="28"/>
        </w:rPr>
      </w:pPr>
    </w:p>
    <w:p w14:paraId="702D54CF" w14:textId="77777777" w:rsidR="00C81CB2" w:rsidRPr="00C560CB" w:rsidRDefault="00C81CB2" w:rsidP="0048443F">
      <w:pPr>
        <w:spacing w:line="276" w:lineRule="auto"/>
        <w:jc w:val="center"/>
        <w:rPr>
          <w:rFonts w:ascii="Times New Roman" w:hAnsi="Times New Roman" w:cs="Times New Roman"/>
          <w:b/>
          <w:bCs/>
          <w:sz w:val="28"/>
          <w:szCs w:val="28"/>
        </w:rPr>
      </w:pPr>
    </w:p>
    <w:p w14:paraId="13D22F0D" w14:textId="77777777" w:rsidR="00C81CB2" w:rsidRPr="00C560CB" w:rsidRDefault="00C81CB2" w:rsidP="0048443F">
      <w:pPr>
        <w:spacing w:line="276" w:lineRule="auto"/>
        <w:jc w:val="center"/>
        <w:rPr>
          <w:rFonts w:ascii="Times New Roman" w:hAnsi="Times New Roman" w:cs="Times New Roman"/>
          <w:b/>
          <w:bCs/>
          <w:sz w:val="28"/>
          <w:szCs w:val="28"/>
        </w:rPr>
      </w:pPr>
    </w:p>
    <w:p w14:paraId="6D3FC31B" w14:textId="77777777" w:rsidR="00C81CB2" w:rsidRPr="00C560CB" w:rsidRDefault="00C81CB2" w:rsidP="0048443F">
      <w:pPr>
        <w:spacing w:line="276" w:lineRule="auto"/>
        <w:jc w:val="center"/>
        <w:rPr>
          <w:rFonts w:ascii="Times New Roman" w:hAnsi="Times New Roman" w:cs="Times New Roman"/>
          <w:b/>
          <w:bCs/>
          <w:sz w:val="28"/>
          <w:szCs w:val="28"/>
        </w:rPr>
      </w:pPr>
    </w:p>
    <w:p w14:paraId="4D41DC11" w14:textId="77777777" w:rsidR="00C81CB2" w:rsidRPr="00C560CB" w:rsidRDefault="00C81CB2" w:rsidP="0048443F">
      <w:pPr>
        <w:spacing w:line="276" w:lineRule="auto"/>
        <w:jc w:val="center"/>
        <w:rPr>
          <w:rFonts w:ascii="Times New Roman" w:hAnsi="Times New Roman" w:cs="Times New Roman"/>
          <w:b/>
          <w:bCs/>
          <w:sz w:val="28"/>
          <w:szCs w:val="28"/>
        </w:rPr>
      </w:pPr>
    </w:p>
    <w:p w14:paraId="26D0FF45" w14:textId="77777777" w:rsidR="00C81CB2" w:rsidRPr="00C560CB" w:rsidRDefault="00C81CB2" w:rsidP="0048443F">
      <w:pPr>
        <w:spacing w:line="276" w:lineRule="auto"/>
        <w:jc w:val="center"/>
        <w:rPr>
          <w:rFonts w:ascii="Times New Roman" w:hAnsi="Times New Roman" w:cs="Times New Roman"/>
          <w:b/>
          <w:bCs/>
          <w:sz w:val="28"/>
          <w:szCs w:val="28"/>
        </w:rPr>
      </w:pPr>
    </w:p>
    <w:p w14:paraId="6A25C7D0" w14:textId="77777777" w:rsidR="00C81CB2" w:rsidRPr="00C560CB" w:rsidRDefault="00C81CB2" w:rsidP="0048443F">
      <w:pPr>
        <w:spacing w:line="276" w:lineRule="auto"/>
        <w:jc w:val="center"/>
        <w:rPr>
          <w:rFonts w:ascii="Times New Roman" w:hAnsi="Times New Roman" w:cs="Times New Roman"/>
          <w:b/>
          <w:bCs/>
          <w:sz w:val="28"/>
          <w:szCs w:val="28"/>
        </w:rPr>
      </w:pPr>
    </w:p>
    <w:p w14:paraId="3D3D4E19" w14:textId="77777777" w:rsidR="00C81CB2" w:rsidRPr="00C560CB" w:rsidRDefault="00C81CB2" w:rsidP="0048443F">
      <w:pPr>
        <w:spacing w:line="276" w:lineRule="auto"/>
        <w:jc w:val="center"/>
        <w:rPr>
          <w:rFonts w:ascii="Times New Roman" w:hAnsi="Times New Roman" w:cs="Times New Roman"/>
          <w:b/>
          <w:bCs/>
          <w:sz w:val="28"/>
          <w:szCs w:val="28"/>
        </w:rPr>
      </w:pPr>
    </w:p>
    <w:p w14:paraId="321DCD46" w14:textId="77777777" w:rsidR="00320DB1" w:rsidRPr="00C560CB" w:rsidRDefault="00320DB1" w:rsidP="0048443F">
      <w:pPr>
        <w:spacing w:line="276" w:lineRule="auto"/>
        <w:jc w:val="center"/>
        <w:rPr>
          <w:rFonts w:ascii="Times New Roman" w:hAnsi="Times New Roman" w:cs="Times New Roman"/>
          <w:b/>
          <w:bCs/>
          <w:sz w:val="28"/>
          <w:szCs w:val="28"/>
        </w:rPr>
      </w:pPr>
    </w:p>
    <w:p w14:paraId="3371D8D0" w14:textId="77777777" w:rsidR="00320DB1" w:rsidRPr="00C560CB" w:rsidRDefault="00320DB1" w:rsidP="0048443F">
      <w:pPr>
        <w:spacing w:line="276" w:lineRule="auto"/>
        <w:jc w:val="center"/>
        <w:rPr>
          <w:rFonts w:ascii="Times New Roman" w:hAnsi="Times New Roman" w:cs="Times New Roman"/>
          <w:b/>
          <w:bCs/>
          <w:sz w:val="28"/>
          <w:szCs w:val="28"/>
        </w:rPr>
      </w:pPr>
    </w:p>
    <w:p w14:paraId="199082AA" w14:textId="77777777" w:rsidR="00320DB1" w:rsidRPr="00C560CB" w:rsidRDefault="00320DB1" w:rsidP="0048443F">
      <w:pPr>
        <w:spacing w:line="276" w:lineRule="auto"/>
        <w:jc w:val="center"/>
        <w:rPr>
          <w:rFonts w:ascii="Times New Roman" w:hAnsi="Times New Roman" w:cs="Times New Roman"/>
          <w:b/>
          <w:bCs/>
          <w:sz w:val="28"/>
          <w:szCs w:val="28"/>
        </w:rPr>
      </w:pPr>
    </w:p>
    <w:p w14:paraId="5719EDB9" w14:textId="534155B0" w:rsidR="006A01F9" w:rsidRPr="00C560CB" w:rsidRDefault="006A01F9" w:rsidP="005B4ABA">
      <w:pPr>
        <w:spacing w:line="276" w:lineRule="auto"/>
        <w:jc w:val="center"/>
        <w:rPr>
          <w:rFonts w:ascii="Times New Roman" w:hAnsi="Times New Roman" w:cs="Times New Roman"/>
          <w:b/>
          <w:bCs/>
          <w:sz w:val="28"/>
          <w:szCs w:val="28"/>
        </w:rPr>
      </w:pPr>
      <w:r w:rsidRPr="00C560CB">
        <w:rPr>
          <w:rFonts w:ascii="Times New Roman" w:hAnsi="Times New Roman" w:cs="Times New Roman"/>
          <w:b/>
          <w:bCs/>
          <w:sz w:val="28"/>
          <w:szCs w:val="28"/>
        </w:rPr>
        <w:t>Abstract</w:t>
      </w:r>
    </w:p>
    <w:p w14:paraId="5903717C" w14:textId="77777777" w:rsidR="002E6D5C" w:rsidRPr="00C560CB" w:rsidRDefault="002E6D5C" w:rsidP="00216FA4">
      <w:pPr>
        <w:spacing w:line="276" w:lineRule="auto"/>
        <w:jc w:val="both"/>
        <w:rPr>
          <w:rFonts w:ascii="Times New Roman" w:hAnsi="Times New Roman" w:cs="Times New Roman"/>
          <w:sz w:val="24"/>
          <w:szCs w:val="24"/>
        </w:rPr>
      </w:pPr>
    </w:p>
    <w:p w14:paraId="1A75C87C" w14:textId="0ABDFDF5" w:rsidR="006A0E63" w:rsidRPr="00C560CB" w:rsidRDefault="00216FA4" w:rsidP="00216FA4">
      <w:pPr>
        <w:spacing w:line="276" w:lineRule="auto"/>
        <w:jc w:val="both"/>
        <w:rPr>
          <w:rFonts w:ascii="Times New Roman" w:hAnsi="Times New Roman" w:cs="Times New Roman"/>
          <w:sz w:val="24"/>
          <w:szCs w:val="24"/>
        </w:rPr>
      </w:pPr>
      <w:r w:rsidRPr="00C560CB">
        <w:rPr>
          <w:rFonts w:ascii="Times New Roman" w:hAnsi="Times New Roman" w:cs="Times New Roman"/>
          <w:sz w:val="20"/>
          <w:szCs w:val="20"/>
        </w:rPr>
        <w:t>The subject of this dissertation is concerned with the effectiveness of incorporating environmental, social, and governance (ESG) measures in the context of global industries linked to financial markets; more specifically, the outcomes of interest pertain</w:t>
      </w:r>
      <w:r w:rsidR="003832BE" w:rsidRPr="00C560CB">
        <w:rPr>
          <w:rFonts w:ascii="Times New Roman" w:hAnsi="Times New Roman" w:cs="Times New Roman"/>
          <w:sz w:val="20"/>
          <w:szCs w:val="20"/>
        </w:rPr>
        <w:t>ing</w:t>
      </w:r>
      <w:r w:rsidRPr="00C560CB">
        <w:rPr>
          <w:rFonts w:ascii="Times New Roman" w:hAnsi="Times New Roman" w:cs="Times New Roman"/>
          <w:sz w:val="20"/>
          <w:szCs w:val="20"/>
        </w:rPr>
        <w:t xml:space="preserve"> to the efficiency of returns, risk dynamics, and regulatory considerations. Today, the ESG aspects are more important when considering investments due to the concerns of climate change and corporate social responsibility around the globe. This research adopts a multiple regression analysis on a sample that includes ESG ratings, accounting data, and market risk in the four main industries, namely the technology, consumer goods, energy, and financial industries. The findings show that ESG ratings improve stock </w:t>
      </w:r>
      <w:r w:rsidR="00E446F7" w:rsidRPr="00C560CB">
        <w:rPr>
          <w:rFonts w:ascii="Times New Roman" w:hAnsi="Times New Roman" w:cs="Times New Roman"/>
          <w:sz w:val="20"/>
          <w:szCs w:val="20"/>
        </w:rPr>
        <w:t>volatility,</w:t>
      </w:r>
      <w:r w:rsidRPr="00C560CB">
        <w:rPr>
          <w:rFonts w:ascii="Times New Roman" w:hAnsi="Times New Roman" w:cs="Times New Roman"/>
          <w:sz w:val="20"/>
          <w:szCs w:val="20"/>
        </w:rPr>
        <w:t xml:space="preserve"> and that technology and financial sectors benefit greatly from increasing ESG ratings but face challenges that vary by sector. The studies indicate that ESG integration also helps in risk mitigation and financial strength but the effectiveness by sectors appears axiomatic. In fact, this research resonates with a call for standardizing ESG metrics to enhance the comparability of sustainability performances, effective for policymakers, investors, and corporations with a vision for achieving sustainability goals on their financial strategies.</w:t>
      </w:r>
    </w:p>
    <w:p w14:paraId="0F9A7BF9" w14:textId="77777777" w:rsidR="006A0E63" w:rsidRPr="00C560CB" w:rsidRDefault="006A0E63" w:rsidP="0048443F">
      <w:pPr>
        <w:spacing w:line="276" w:lineRule="auto"/>
        <w:jc w:val="center"/>
        <w:rPr>
          <w:rFonts w:ascii="Times New Roman" w:hAnsi="Times New Roman" w:cs="Times New Roman"/>
          <w:sz w:val="24"/>
          <w:szCs w:val="24"/>
        </w:rPr>
      </w:pPr>
    </w:p>
    <w:p w14:paraId="0426A6B0" w14:textId="12BB3282" w:rsidR="00C05DB3" w:rsidRPr="00C560CB" w:rsidRDefault="00216FA4" w:rsidP="0089490D">
      <w:pPr>
        <w:spacing w:line="276" w:lineRule="auto"/>
        <w:jc w:val="both"/>
        <w:rPr>
          <w:rFonts w:ascii="Times New Roman" w:hAnsi="Times New Roman" w:cs="Times New Roman"/>
        </w:rPr>
      </w:pPr>
      <w:r w:rsidRPr="00C560CB">
        <w:rPr>
          <w:rFonts w:ascii="Times New Roman" w:hAnsi="Times New Roman" w:cs="Times New Roman"/>
          <w:b/>
          <w:bCs/>
        </w:rPr>
        <w:t>Keywords</w:t>
      </w:r>
      <w:r w:rsidRPr="00C560CB">
        <w:rPr>
          <w:rFonts w:ascii="Times New Roman" w:hAnsi="Times New Roman" w:cs="Times New Roman"/>
        </w:rPr>
        <w:t>: Environmental, Social, and Governance (ESG), financial performance, risk management, multiple regression analysis, industry-specific impact, sustainability, financial resilience, standardization of ESG metrics.</w:t>
      </w:r>
    </w:p>
    <w:p w14:paraId="1E5B13F4" w14:textId="77777777" w:rsidR="00240816" w:rsidRPr="00C560CB" w:rsidRDefault="00240816" w:rsidP="0089490D">
      <w:pPr>
        <w:spacing w:line="276" w:lineRule="auto"/>
        <w:jc w:val="both"/>
        <w:rPr>
          <w:rFonts w:ascii="Times New Roman" w:hAnsi="Times New Roman" w:cs="Times New Roman"/>
          <w:sz w:val="24"/>
          <w:szCs w:val="24"/>
        </w:rPr>
      </w:pPr>
    </w:p>
    <w:p w14:paraId="0CD9E117" w14:textId="77777777" w:rsidR="00240816" w:rsidRPr="00C560CB" w:rsidRDefault="00240816" w:rsidP="00133084">
      <w:pPr>
        <w:spacing w:line="276" w:lineRule="auto"/>
        <w:rPr>
          <w:rFonts w:ascii="Times New Roman" w:hAnsi="Times New Roman" w:cs="Times New Roman"/>
          <w:sz w:val="24"/>
          <w:szCs w:val="24"/>
        </w:rPr>
      </w:pPr>
    </w:p>
    <w:p w14:paraId="36E5406E" w14:textId="77777777" w:rsidR="00C414C9" w:rsidRPr="00C560CB" w:rsidRDefault="00C414C9" w:rsidP="00133084">
      <w:pPr>
        <w:spacing w:line="276" w:lineRule="auto"/>
        <w:rPr>
          <w:rFonts w:ascii="Times New Roman" w:hAnsi="Times New Roman" w:cs="Times New Roman"/>
          <w:sz w:val="24"/>
          <w:szCs w:val="24"/>
        </w:rPr>
      </w:pPr>
    </w:p>
    <w:p w14:paraId="7AA02156" w14:textId="77777777" w:rsidR="009C4A2C" w:rsidRPr="00C560CB" w:rsidRDefault="009C4A2C" w:rsidP="00133084">
      <w:pPr>
        <w:spacing w:line="276" w:lineRule="auto"/>
        <w:rPr>
          <w:rFonts w:ascii="Times New Roman" w:hAnsi="Times New Roman" w:cs="Times New Roman"/>
          <w:sz w:val="24"/>
          <w:szCs w:val="24"/>
        </w:rPr>
      </w:pPr>
    </w:p>
    <w:p w14:paraId="48150702" w14:textId="77777777" w:rsidR="00251927" w:rsidRPr="00C560CB" w:rsidRDefault="00251927" w:rsidP="00133084">
      <w:pPr>
        <w:spacing w:line="276" w:lineRule="auto"/>
        <w:rPr>
          <w:rFonts w:ascii="Times New Roman" w:hAnsi="Times New Roman" w:cs="Times New Roman"/>
          <w:sz w:val="24"/>
          <w:szCs w:val="24"/>
        </w:rPr>
      </w:pPr>
    </w:p>
    <w:p w14:paraId="39C4FEA7" w14:textId="77777777" w:rsidR="00251927" w:rsidRPr="00C560CB" w:rsidRDefault="00251927" w:rsidP="00133084">
      <w:pPr>
        <w:spacing w:line="276" w:lineRule="auto"/>
        <w:rPr>
          <w:rFonts w:ascii="Times New Roman" w:hAnsi="Times New Roman" w:cs="Times New Roman"/>
          <w:sz w:val="24"/>
          <w:szCs w:val="24"/>
        </w:rPr>
      </w:pPr>
    </w:p>
    <w:p w14:paraId="60D6231E" w14:textId="77777777" w:rsidR="00251927" w:rsidRPr="00C560CB" w:rsidRDefault="00251927" w:rsidP="00133084">
      <w:pPr>
        <w:spacing w:line="276" w:lineRule="auto"/>
        <w:rPr>
          <w:rFonts w:ascii="Times New Roman" w:hAnsi="Times New Roman" w:cs="Times New Roman"/>
          <w:sz w:val="24"/>
          <w:szCs w:val="24"/>
        </w:rPr>
      </w:pPr>
    </w:p>
    <w:p w14:paraId="619A320E" w14:textId="77777777" w:rsidR="00746EB1" w:rsidRPr="00C560CB" w:rsidRDefault="00746EB1" w:rsidP="00133084">
      <w:pPr>
        <w:spacing w:line="276" w:lineRule="auto"/>
        <w:rPr>
          <w:rFonts w:ascii="Times New Roman" w:hAnsi="Times New Roman" w:cs="Times New Roman"/>
          <w:sz w:val="24"/>
          <w:szCs w:val="24"/>
        </w:rPr>
      </w:pPr>
    </w:p>
    <w:p w14:paraId="6FF85115" w14:textId="77777777" w:rsidR="00746EB1" w:rsidRPr="00C560CB" w:rsidRDefault="00746EB1" w:rsidP="00133084">
      <w:pPr>
        <w:spacing w:line="276" w:lineRule="auto"/>
        <w:rPr>
          <w:rFonts w:ascii="Times New Roman" w:hAnsi="Times New Roman" w:cs="Times New Roman"/>
          <w:sz w:val="24"/>
          <w:szCs w:val="24"/>
        </w:rPr>
      </w:pPr>
    </w:p>
    <w:p w14:paraId="0DD45B0B" w14:textId="77777777" w:rsidR="006A590B" w:rsidRPr="00C560CB" w:rsidRDefault="006A590B" w:rsidP="00133084">
      <w:pPr>
        <w:spacing w:line="276" w:lineRule="auto"/>
        <w:rPr>
          <w:rFonts w:ascii="Times New Roman" w:hAnsi="Times New Roman" w:cs="Times New Roman"/>
          <w:sz w:val="24"/>
          <w:szCs w:val="24"/>
        </w:rPr>
      </w:pPr>
    </w:p>
    <w:sdt>
      <w:sdtPr>
        <w:rPr>
          <w:rFonts w:ascii="Times New Roman" w:eastAsiaTheme="minorEastAsia" w:hAnsi="Times New Roman" w:cs="Times New Roman"/>
          <w:color w:val="auto"/>
          <w:sz w:val="22"/>
          <w:szCs w:val="22"/>
          <w:lang w:eastAsia="en-US"/>
        </w:rPr>
        <w:id w:val="1107007691"/>
        <w:docPartObj>
          <w:docPartGallery w:val="Table of Contents"/>
          <w:docPartUnique/>
        </w:docPartObj>
      </w:sdtPr>
      <w:sdtEndPr>
        <w:rPr>
          <w:b/>
          <w:bCs/>
        </w:rPr>
      </w:sdtEndPr>
      <w:sdtContent>
        <w:p w14:paraId="1D60EDB9" w14:textId="6B4A6B29" w:rsidR="00BE01B9" w:rsidRPr="00C560CB" w:rsidRDefault="00BE01B9" w:rsidP="0048443F">
          <w:pPr>
            <w:pStyle w:val="TOCHeading"/>
            <w:spacing w:line="276" w:lineRule="auto"/>
            <w:rPr>
              <w:rFonts w:ascii="Times New Roman" w:hAnsi="Times New Roman" w:cs="Times New Roman"/>
            </w:rPr>
          </w:pPr>
          <w:r w:rsidRPr="00C560CB">
            <w:rPr>
              <w:rFonts w:ascii="Times New Roman" w:hAnsi="Times New Roman" w:cs="Times New Roman"/>
            </w:rPr>
            <w:t>Contents</w:t>
          </w:r>
        </w:p>
        <w:p w14:paraId="08A085A3" w14:textId="3A0489F6" w:rsidR="003B0A33" w:rsidRDefault="00BE01B9">
          <w:pPr>
            <w:pStyle w:val="TOC1"/>
            <w:tabs>
              <w:tab w:val="right" w:leader="dot" w:pos="9016"/>
            </w:tabs>
            <w:rPr>
              <w:noProof/>
              <w:kern w:val="2"/>
              <w:sz w:val="24"/>
              <w:szCs w:val="24"/>
              <w:lang w:eastAsia="en-GB"/>
              <w14:ligatures w14:val="standardContextual"/>
            </w:rPr>
          </w:pPr>
          <w:r w:rsidRPr="00C560CB">
            <w:rPr>
              <w:rFonts w:ascii="Times New Roman" w:hAnsi="Times New Roman" w:cs="Times New Roman"/>
            </w:rPr>
            <w:fldChar w:fldCharType="begin"/>
          </w:r>
          <w:r w:rsidRPr="00C560CB">
            <w:rPr>
              <w:rFonts w:ascii="Times New Roman" w:hAnsi="Times New Roman" w:cs="Times New Roman"/>
            </w:rPr>
            <w:instrText xml:space="preserve"> TOC \o "1-6" \h \z \u </w:instrText>
          </w:r>
          <w:r w:rsidRPr="00C560CB">
            <w:rPr>
              <w:rFonts w:ascii="Times New Roman" w:hAnsi="Times New Roman" w:cs="Times New Roman"/>
            </w:rPr>
            <w:fldChar w:fldCharType="separate"/>
          </w:r>
          <w:hyperlink w:anchor="_Toc179724775" w:history="1">
            <w:r w:rsidR="003B0A33" w:rsidRPr="002D471B">
              <w:rPr>
                <w:rStyle w:val="Hyperlink"/>
                <w:rFonts w:ascii="Times New Roman" w:hAnsi="Times New Roman" w:cs="Times New Roman"/>
                <w:noProof/>
              </w:rPr>
              <w:t>Chapter 1</w:t>
            </w:r>
            <w:r w:rsidR="003B0A33">
              <w:rPr>
                <w:noProof/>
                <w:webHidden/>
              </w:rPr>
              <w:tab/>
            </w:r>
            <w:r w:rsidR="003B0A33">
              <w:rPr>
                <w:noProof/>
                <w:webHidden/>
              </w:rPr>
              <w:fldChar w:fldCharType="begin"/>
            </w:r>
            <w:r w:rsidR="003B0A33">
              <w:rPr>
                <w:noProof/>
                <w:webHidden/>
              </w:rPr>
              <w:instrText xml:space="preserve"> PAGEREF _Toc179724775 \h </w:instrText>
            </w:r>
            <w:r w:rsidR="003B0A33">
              <w:rPr>
                <w:noProof/>
                <w:webHidden/>
              </w:rPr>
            </w:r>
            <w:r w:rsidR="003B0A33">
              <w:rPr>
                <w:noProof/>
                <w:webHidden/>
              </w:rPr>
              <w:fldChar w:fldCharType="separate"/>
            </w:r>
            <w:r w:rsidR="003B0A33">
              <w:rPr>
                <w:noProof/>
                <w:webHidden/>
              </w:rPr>
              <w:t>8</w:t>
            </w:r>
            <w:r w:rsidR="003B0A33">
              <w:rPr>
                <w:noProof/>
                <w:webHidden/>
              </w:rPr>
              <w:fldChar w:fldCharType="end"/>
            </w:r>
          </w:hyperlink>
        </w:p>
        <w:p w14:paraId="113386AC" w14:textId="1662099D" w:rsidR="003B0A33" w:rsidRDefault="003B0A33">
          <w:pPr>
            <w:pStyle w:val="TOC2"/>
            <w:rPr>
              <w:noProof/>
              <w:kern w:val="2"/>
              <w:sz w:val="24"/>
              <w:szCs w:val="24"/>
              <w:lang w:eastAsia="en-GB"/>
              <w14:ligatures w14:val="standardContextual"/>
            </w:rPr>
          </w:pPr>
          <w:hyperlink w:anchor="_Toc179724776" w:history="1">
            <w:r w:rsidRPr="002D471B">
              <w:rPr>
                <w:rStyle w:val="Hyperlink"/>
                <w:rFonts w:ascii="Times New Roman" w:hAnsi="Times New Roman" w:cs="Times New Roman"/>
                <w:noProof/>
              </w:rPr>
              <w:t>1. A review of Environmental, Social and governance (ESG) performance</w:t>
            </w:r>
            <w:r>
              <w:rPr>
                <w:noProof/>
                <w:webHidden/>
              </w:rPr>
              <w:tab/>
            </w:r>
            <w:r>
              <w:rPr>
                <w:noProof/>
                <w:webHidden/>
              </w:rPr>
              <w:fldChar w:fldCharType="begin"/>
            </w:r>
            <w:r>
              <w:rPr>
                <w:noProof/>
                <w:webHidden/>
              </w:rPr>
              <w:instrText xml:space="preserve"> PAGEREF _Toc179724776 \h </w:instrText>
            </w:r>
            <w:r>
              <w:rPr>
                <w:noProof/>
                <w:webHidden/>
              </w:rPr>
            </w:r>
            <w:r>
              <w:rPr>
                <w:noProof/>
                <w:webHidden/>
              </w:rPr>
              <w:fldChar w:fldCharType="separate"/>
            </w:r>
            <w:r>
              <w:rPr>
                <w:noProof/>
                <w:webHidden/>
              </w:rPr>
              <w:t>8</w:t>
            </w:r>
            <w:r>
              <w:rPr>
                <w:noProof/>
                <w:webHidden/>
              </w:rPr>
              <w:fldChar w:fldCharType="end"/>
            </w:r>
          </w:hyperlink>
        </w:p>
        <w:p w14:paraId="00C240C4" w14:textId="269CA534" w:rsidR="003B0A33" w:rsidRDefault="003B0A33">
          <w:pPr>
            <w:pStyle w:val="TOC3"/>
            <w:tabs>
              <w:tab w:val="right" w:leader="dot" w:pos="9016"/>
            </w:tabs>
            <w:rPr>
              <w:noProof/>
              <w:kern w:val="2"/>
              <w:sz w:val="24"/>
              <w:szCs w:val="24"/>
              <w:lang w:eastAsia="en-GB"/>
              <w14:ligatures w14:val="standardContextual"/>
            </w:rPr>
          </w:pPr>
          <w:hyperlink w:anchor="_Toc179724777" w:history="1">
            <w:r w:rsidRPr="002D471B">
              <w:rPr>
                <w:rStyle w:val="Hyperlink"/>
                <w:rFonts w:ascii="Times New Roman" w:hAnsi="Times New Roman" w:cs="Times New Roman"/>
                <w:noProof/>
              </w:rPr>
              <w:t>1.1Introduction</w:t>
            </w:r>
            <w:r>
              <w:rPr>
                <w:noProof/>
                <w:webHidden/>
              </w:rPr>
              <w:tab/>
            </w:r>
            <w:r>
              <w:rPr>
                <w:noProof/>
                <w:webHidden/>
              </w:rPr>
              <w:fldChar w:fldCharType="begin"/>
            </w:r>
            <w:r>
              <w:rPr>
                <w:noProof/>
                <w:webHidden/>
              </w:rPr>
              <w:instrText xml:space="preserve"> PAGEREF _Toc179724777 \h </w:instrText>
            </w:r>
            <w:r>
              <w:rPr>
                <w:noProof/>
                <w:webHidden/>
              </w:rPr>
            </w:r>
            <w:r>
              <w:rPr>
                <w:noProof/>
                <w:webHidden/>
              </w:rPr>
              <w:fldChar w:fldCharType="separate"/>
            </w:r>
            <w:r>
              <w:rPr>
                <w:noProof/>
                <w:webHidden/>
              </w:rPr>
              <w:t>8</w:t>
            </w:r>
            <w:r>
              <w:rPr>
                <w:noProof/>
                <w:webHidden/>
              </w:rPr>
              <w:fldChar w:fldCharType="end"/>
            </w:r>
          </w:hyperlink>
        </w:p>
        <w:p w14:paraId="373B4F3C" w14:textId="33F397FC" w:rsidR="003B0A33" w:rsidRDefault="003B0A33">
          <w:pPr>
            <w:pStyle w:val="TOC3"/>
            <w:tabs>
              <w:tab w:val="right" w:leader="dot" w:pos="9016"/>
            </w:tabs>
            <w:rPr>
              <w:noProof/>
              <w:kern w:val="2"/>
              <w:sz w:val="24"/>
              <w:szCs w:val="24"/>
              <w:lang w:eastAsia="en-GB"/>
              <w14:ligatures w14:val="standardContextual"/>
            </w:rPr>
          </w:pPr>
          <w:hyperlink w:anchor="_Toc179724778" w:history="1">
            <w:r w:rsidRPr="002D471B">
              <w:rPr>
                <w:rStyle w:val="Hyperlink"/>
                <w:rFonts w:ascii="Times New Roman" w:hAnsi="Times New Roman" w:cs="Times New Roman"/>
                <w:noProof/>
              </w:rPr>
              <w:t>1.2Background and Context</w:t>
            </w:r>
            <w:r>
              <w:rPr>
                <w:noProof/>
                <w:webHidden/>
              </w:rPr>
              <w:tab/>
            </w:r>
            <w:r>
              <w:rPr>
                <w:noProof/>
                <w:webHidden/>
              </w:rPr>
              <w:fldChar w:fldCharType="begin"/>
            </w:r>
            <w:r>
              <w:rPr>
                <w:noProof/>
                <w:webHidden/>
              </w:rPr>
              <w:instrText xml:space="preserve"> PAGEREF _Toc179724778 \h </w:instrText>
            </w:r>
            <w:r>
              <w:rPr>
                <w:noProof/>
                <w:webHidden/>
              </w:rPr>
            </w:r>
            <w:r>
              <w:rPr>
                <w:noProof/>
                <w:webHidden/>
              </w:rPr>
              <w:fldChar w:fldCharType="separate"/>
            </w:r>
            <w:r>
              <w:rPr>
                <w:noProof/>
                <w:webHidden/>
              </w:rPr>
              <w:t>9</w:t>
            </w:r>
            <w:r>
              <w:rPr>
                <w:noProof/>
                <w:webHidden/>
              </w:rPr>
              <w:fldChar w:fldCharType="end"/>
            </w:r>
          </w:hyperlink>
        </w:p>
        <w:p w14:paraId="795B74D4" w14:textId="7841820A" w:rsidR="003B0A33" w:rsidRDefault="003B0A33">
          <w:pPr>
            <w:pStyle w:val="TOC3"/>
            <w:tabs>
              <w:tab w:val="right" w:leader="dot" w:pos="9016"/>
            </w:tabs>
            <w:rPr>
              <w:noProof/>
              <w:kern w:val="2"/>
              <w:sz w:val="24"/>
              <w:szCs w:val="24"/>
              <w:lang w:eastAsia="en-GB"/>
              <w14:ligatures w14:val="standardContextual"/>
            </w:rPr>
          </w:pPr>
          <w:hyperlink w:anchor="_Toc179724779" w:history="1">
            <w:r w:rsidRPr="002D471B">
              <w:rPr>
                <w:rStyle w:val="Hyperlink"/>
                <w:rFonts w:ascii="Times New Roman" w:hAnsi="Times New Roman" w:cs="Times New Roman"/>
                <w:noProof/>
              </w:rPr>
              <w:t>1.3 Research Problem</w:t>
            </w:r>
            <w:r>
              <w:rPr>
                <w:noProof/>
                <w:webHidden/>
              </w:rPr>
              <w:tab/>
            </w:r>
            <w:r>
              <w:rPr>
                <w:noProof/>
                <w:webHidden/>
              </w:rPr>
              <w:fldChar w:fldCharType="begin"/>
            </w:r>
            <w:r>
              <w:rPr>
                <w:noProof/>
                <w:webHidden/>
              </w:rPr>
              <w:instrText xml:space="preserve"> PAGEREF _Toc179724779 \h </w:instrText>
            </w:r>
            <w:r>
              <w:rPr>
                <w:noProof/>
                <w:webHidden/>
              </w:rPr>
            </w:r>
            <w:r>
              <w:rPr>
                <w:noProof/>
                <w:webHidden/>
              </w:rPr>
              <w:fldChar w:fldCharType="separate"/>
            </w:r>
            <w:r>
              <w:rPr>
                <w:noProof/>
                <w:webHidden/>
              </w:rPr>
              <w:t>9</w:t>
            </w:r>
            <w:r>
              <w:rPr>
                <w:noProof/>
                <w:webHidden/>
              </w:rPr>
              <w:fldChar w:fldCharType="end"/>
            </w:r>
          </w:hyperlink>
        </w:p>
        <w:p w14:paraId="449DF1FC" w14:textId="21F71109" w:rsidR="003B0A33" w:rsidRDefault="003B0A33">
          <w:pPr>
            <w:pStyle w:val="TOC3"/>
            <w:tabs>
              <w:tab w:val="right" w:leader="dot" w:pos="9016"/>
            </w:tabs>
            <w:rPr>
              <w:noProof/>
              <w:kern w:val="2"/>
              <w:sz w:val="24"/>
              <w:szCs w:val="24"/>
              <w:lang w:eastAsia="en-GB"/>
              <w14:ligatures w14:val="standardContextual"/>
            </w:rPr>
          </w:pPr>
          <w:hyperlink w:anchor="_Toc179724780" w:history="1">
            <w:r w:rsidRPr="002D471B">
              <w:rPr>
                <w:rStyle w:val="Hyperlink"/>
                <w:rFonts w:ascii="Times New Roman" w:hAnsi="Times New Roman" w:cs="Times New Roman"/>
                <w:noProof/>
              </w:rPr>
              <w:t>1.4 Research Aim, Objectives, and Questions</w:t>
            </w:r>
            <w:r>
              <w:rPr>
                <w:noProof/>
                <w:webHidden/>
              </w:rPr>
              <w:tab/>
            </w:r>
            <w:r>
              <w:rPr>
                <w:noProof/>
                <w:webHidden/>
              </w:rPr>
              <w:fldChar w:fldCharType="begin"/>
            </w:r>
            <w:r>
              <w:rPr>
                <w:noProof/>
                <w:webHidden/>
              </w:rPr>
              <w:instrText xml:space="preserve"> PAGEREF _Toc179724780 \h </w:instrText>
            </w:r>
            <w:r>
              <w:rPr>
                <w:noProof/>
                <w:webHidden/>
              </w:rPr>
            </w:r>
            <w:r>
              <w:rPr>
                <w:noProof/>
                <w:webHidden/>
              </w:rPr>
              <w:fldChar w:fldCharType="separate"/>
            </w:r>
            <w:r>
              <w:rPr>
                <w:noProof/>
                <w:webHidden/>
              </w:rPr>
              <w:t>9</w:t>
            </w:r>
            <w:r>
              <w:rPr>
                <w:noProof/>
                <w:webHidden/>
              </w:rPr>
              <w:fldChar w:fldCharType="end"/>
            </w:r>
          </w:hyperlink>
        </w:p>
        <w:p w14:paraId="7A592BE2" w14:textId="4D3B6B7F" w:rsidR="003B0A33" w:rsidRDefault="003B0A33">
          <w:pPr>
            <w:pStyle w:val="TOC4"/>
            <w:tabs>
              <w:tab w:val="right" w:leader="dot" w:pos="9016"/>
            </w:tabs>
            <w:rPr>
              <w:noProof/>
              <w:kern w:val="2"/>
              <w:sz w:val="24"/>
              <w:szCs w:val="24"/>
              <w:lang w:eastAsia="en-GB"/>
              <w14:ligatures w14:val="standardContextual"/>
            </w:rPr>
          </w:pPr>
          <w:hyperlink w:anchor="_Toc179724781" w:history="1">
            <w:r w:rsidRPr="002D471B">
              <w:rPr>
                <w:rStyle w:val="Hyperlink"/>
                <w:rFonts w:ascii="Times New Roman" w:hAnsi="Times New Roman" w:cs="Times New Roman"/>
                <w:noProof/>
                <w:lang w:eastAsia="en-GB"/>
              </w:rPr>
              <w:t>1.4.1 Research Questions</w:t>
            </w:r>
            <w:r>
              <w:rPr>
                <w:noProof/>
                <w:webHidden/>
              </w:rPr>
              <w:tab/>
            </w:r>
            <w:r>
              <w:rPr>
                <w:noProof/>
                <w:webHidden/>
              </w:rPr>
              <w:fldChar w:fldCharType="begin"/>
            </w:r>
            <w:r>
              <w:rPr>
                <w:noProof/>
                <w:webHidden/>
              </w:rPr>
              <w:instrText xml:space="preserve"> PAGEREF _Toc179724781 \h </w:instrText>
            </w:r>
            <w:r>
              <w:rPr>
                <w:noProof/>
                <w:webHidden/>
              </w:rPr>
            </w:r>
            <w:r>
              <w:rPr>
                <w:noProof/>
                <w:webHidden/>
              </w:rPr>
              <w:fldChar w:fldCharType="separate"/>
            </w:r>
            <w:r>
              <w:rPr>
                <w:noProof/>
                <w:webHidden/>
              </w:rPr>
              <w:t>9</w:t>
            </w:r>
            <w:r>
              <w:rPr>
                <w:noProof/>
                <w:webHidden/>
              </w:rPr>
              <w:fldChar w:fldCharType="end"/>
            </w:r>
          </w:hyperlink>
        </w:p>
        <w:p w14:paraId="49F5670D" w14:textId="15171D78" w:rsidR="003B0A33" w:rsidRDefault="003B0A33">
          <w:pPr>
            <w:pStyle w:val="TOC4"/>
            <w:tabs>
              <w:tab w:val="right" w:leader="dot" w:pos="9016"/>
            </w:tabs>
            <w:rPr>
              <w:noProof/>
              <w:kern w:val="2"/>
              <w:sz w:val="24"/>
              <w:szCs w:val="24"/>
              <w:lang w:eastAsia="en-GB"/>
              <w14:ligatures w14:val="standardContextual"/>
            </w:rPr>
          </w:pPr>
          <w:hyperlink w:anchor="_Toc179724782" w:history="1">
            <w:r w:rsidRPr="002D471B">
              <w:rPr>
                <w:rStyle w:val="Hyperlink"/>
                <w:rFonts w:ascii="Times New Roman" w:hAnsi="Times New Roman" w:cs="Times New Roman"/>
                <w:noProof/>
                <w:lang w:eastAsia="en-GB"/>
              </w:rPr>
              <w:t>1.4.2 Research Hypotheses</w:t>
            </w:r>
            <w:r>
              <w:rPr>
                <w:noProof/>
                <w:webHidden/>
              </w:rPr>
              <w:tab/>
            </w:r>
            <w:r>
              <w:rPr>
                <w:noProof/>
                <w:webHidden/>
              </w:rPr>
              <w:fldChar w:fldCharType="begin"/>
            </w:r>
            <w:r>
              <w:rPr>
                <w:noProof/>
                <w:webHidden/>
              </w:rPr>
              <w:instrText xml:space="preserve"> PAGEREF _Toc179724782 \h </w:instrText>
            </w:r>
            <w:r>
              <w:rPr>
                <w:noProof/>
                <w:webHidden/>
              </w:rPr>
            </w:r>
            <w:r>
              <w:rPr>
                <w:noProof/>
                <w:webHidden/>
              </w:rPr>
              <w:fldChar w:fldCharType="separate"/>
            </w:r>
            <w:r>
              <w:rPr>
                <w:noProof/>
                <w:webHidden/>
              </w:rPr>
              <w:t>10</w:t>
            </w:r>
            <w:r>
              <w:rPr>
                <w:noProof/>
                <w:webHidden/>
              </w:rPr>
              <w:fldChar w:fldCharType="end"/>
            </w:r>
          </w:hyperlink>
        </w:p>
        <w:p w14:paraId="667F3191" w14:textId="0FE32AF7" w:rsidR="003B0A33" w:rsidRDefault="003B0A33">
          <w:pPr>
            <w:pStyle w:val="TOC3"/>
            <w:tabs>
              <w:tab w:val="right" w:leader="dot" w:pos="9016"/>
            </w:tabs>
            <w:rPr>
              <w:noProof/>
              <w:kern w:val="2"/>
              <w:sz w:val="24"/>
              <w:szCs w:val="24"/>
              <w:lang w:eastAsia="en-GB"/>
              <w14:ligatures w14:val="standardContextual"/>
            </w:rPr>
          </w:pPr>
          <w:hyperlink w:anchor="_Toc179724783" w:history="1">
            <w:r w:rsidRPr="002D471B">
              <w:rPr>
                <w:rStyle w:val="Hyperlink"/>
                <w:rFonts w:ascii="Times New Roman" w:hAnsi="Times New Roman" w:cs="Times New Roman"/>
                <w:noProof/>
              </w:rPr>
              <w:t>1.5 Significance of study</w:t>
            </w:r>
            <w:r>
              <w:rPr>
                <w:noProof/>
                <w:webHidden/>
              </w:rPr>
              <w:tab/>
            </w:r>
            <w:r>
              <w:rPr>
                <w:noProof/>
                <w:webHidden/>
              </w:rPr>
              <w:fldChar w:fldCharType="begin"/>
            </w:r>
            <w:r>
              <w:rPr>
                <w:noProof/>
                <w:webHidden/>
              </w:rPr>
              <w:instrText xml:space="preserve"> PAGEREF _Toc179724783 \h </w:instrText>
            </w:r>
            <w:r>
              <w:rPr>
                <w:noProof/>
                <w:webHidden/>
              </w:rPr>
            </w:r>
            <w:r>
              <w:rPr>
                <w:noProof/>
                <w:webHidden/>
              </w:rPr>
              <w:fldChar w:fldCharType="separate"/>
            </w:r>
            <w:r>
              <w:rPr>
                <w:noProof/>
                <w:webHidden/>
              </w:rPr>
              <w:t>10</w:t>
            </w:r>
            <w:r>
              <w:rPr>
                <w:noProof/>
                <w:webHidden/>
              </w:rPr>
              <w:fldChar w:fldCharType="end"/>
            </w:r>
          </w:hyperlink>
        </w:p>
        <w:p w14:paraId="389D6B55" w14:textId="702AC134" w:rsidR="003B0A33" w:rsidRDefault="003B0A33">
          <w:pPr>
            <w:pStyle w:val="TOC1"/>
            <w:tabs>
              <w:tab w:val="right" w:leader="dot" w:pos="9016"/>
            </w:tabs>
            <w:rPr>
              <w:noProof/>
              <w:kern w:val="2"/>
              <w:sz w:val="24"/>
              <w:szCs w:val="24"/>
              <w:lang w:eastAsia="en-GB"/>
              <w14:ligatures w14:val="standardContextual"/>
            </w:rPr>
          </w:pPr>
          <w:hyperlink w:anchor="_Toc179724784" w:history="1">
            <w:r w:rsidRPr="002D471B">
              <w:rPr>
                <w:rStyle w:val="Hyperlink"/>
                <w:rFonts w:ascii="Times New Roman" w:hAnsi="Times New Roman" w:cs="Times New Roman"/>
                <w:noProof/>
              </w:rPr>
              <w:t>Chapter 2</w:t>
            </w:r>
            <w:r>
              <w:rPr>
                <w:noProof/>
                <w:webHidden/>
              </w:rPr>
              <w:tab/>
            </w:r>
            <w:r>
              <w:rPr>
                <w:noProof/>
                <w:webHidden/>
              </w:rPr>
              <w:fldChar w:fldCharType="begin"/>
            </w:r>
            <w:r>
              <w:rPr>
                <w:noProof/>
                <w:webHidden/>
              </w:rPr>
              <w:instrText xml:space="preserve"> PAGEREF _Toc179724784 \h </w:instrText>
            </w:r>
            <w:r>
              <w:rPr>
                <w:noProof/>
                <w:webHidden/>
              </w:rPr>
            </w:r>
            <w:r>
              <w:rPr>
                <w:noProof/>
                <w:webHidden/>
              </w:rPr>
              <w:fldChar w:fldCharType="separate"/>
            </w:r>
            <w:r>
              <w:rPr>
                <w:noProof/>
                <w:webHidden/>
              </w:rPr>
              <w:t>11</w:t>
            </w:r>
            <w:r>
              <w:rPr>
                <w:noProof/>
                <w:webHidden/>
              </w:rPr>
              <w:fldChar w:fldCharType="end"/>
            </w:r>
          </w:hyperlink>
        </w:p>
        <w:p w14:paraId="0A2B65B0" w14:textId="75442E01" w:rsidR="003B0A33" w:rsidRDefault="003B0A33">
          <w:pPr>
            <w:pStyle w:val="TOC2"/>
            <w:rPr>
              <w:noProof/>
              <w:kern w:val="2"/>
              <w:sz w:val="24"/>
              <w:szCs w:val="24"/>
              <w:lang w:eastAsia="en-GB"/>
              <w14:ligatures w14:val="standardContextual"/>
            </w:rPr>
          </w:pPr>
          <w:hyperlink w:anchor="_Toc179724785" w:history="1">
            <w:r w:rsidRPr="002D471B">
              <w:rPr>
                <w:rStyle w:val="Hyperlink"/>
                <w:rFonts w:ascii="Times New Roman" w:hAnsi="Times New Roman" w:cs="Times New Roman"/>
                <w:noProof/>
              </w:rPr>
              <w:t>1 Literature Review</w:t>
            </w:r>
            <w:r>
              <w:rPr>
                <w:noProof/>
                <w:webHidden/>
              </w:rPr>
              <w:tab/>
            </w:r>
            <w:r>
              <w:rPr>
                <w:noProof/>
                <w:webHidden/>
              </w:rPr>
              <w:fldChar w:fldCharType="begin"/>
            </w:r>
            <w:r>
              <w:rPr>
                <w:noProof/>
                <w:webHidden/>
              </w:rPr>
              <w:instrText xml:space="preserve"> PAGEREF _Toc179724785 \h </w:instrText>
            </w:r>
            <w:r>
              <w:rPr>
                <w:noProof/>
                <w:webHidden/>
              </w:rPr>
            </w:r>
            <w:r>
              <w:rPr>
                <w:noProof/>
                <w:webHidden/>
              </w:rPr>
              <w:fldChar w:fldCharType="separate"/>
            </w:r>
            <w:r>
              <w:rPr>
                <w:noProof/>
                <w:webHidden/>
              </w:rPr>
              <w:t>11</w:t>
            </w:r>
            <w:r>
              <w:rPr>
                <w:noProof/>
                <w:webHidden/>
              </w:rPr>
              <w:fldChar w:fldCharType="end"/>
            </w:r>
          </w:hyperlink>
        </w:p>
        <w:p w14:paraId="3DE8C131" w14:textId="7053B34C" w:rsidR="003B0A33" w:rsidRDefault="003B0A33">
          <w:pPr>
            <w:pStyle w:val="TOC3"/>
            <w:tabs>
              <w:tab w:val="right" w:leader="dot" w:pos="9016"/>
            </w:tabs>
            <w:rPr>
              <w:noProof/>
              <w:kern w:val="2"/>
              <w:sz w:val="24"/>
              <w:szCs w:val="24"/>
              <w:lang w:eastAsia="en-GB"/>
              <w14:ligatures w14:val="standardContextual"/>
            </w:rPr>
          </w:pPr>
          <w:hyperlink w:anchor="_Toc179724786" w:history="1">
            <w:r w:rsidRPr="002D471B">
              <w:rPr>
                <w:rStyle w:val="Hyperlink"/>
                <w:rFonts w:ascii="Times New Roman" w:hAnsi="Times New Roman" w:cs="Times New Roman"/>
                <w:noProof/>
              </w:rPr>
              <w:t>1.1The Impact of Environmental Factors on Financial Outcomes Across Various Industries</w:t>
            </w:r>
            <w:r>
              <w:rPr>
                <w:noProof/>
                <w:webHidden/>
              </w:rPr>
              <w:tab/>
            </w:r>
            <w:r>
              <w:rPr>
                <w:noProof/>
                <w:webHidden/>
              </w:rPr>
              <w:fldChar w:fldCharType="begin"/>
            </w:r>
            <w:r>
              <w:rPr>
                <w:noProof/>
                <w:webHidden/>
              </w:rPr>
              <w:instrText xml:space="preserve"> PAGEREF _Toc179724786 \h </w:instrText>
            </w:r>
            <w:r>
              <w:rPr>
                <w:noProof/>
                <w:webHidden/>
              </w:rPr>
            </w:r>
            <w:r>
              <w:rPr>
                <w:noProof/>
                <w:webHidden/>
              </w:rPr>
              <w:fldChar w:fldCharType="separate"/>
            </w:r>
            <w:r>
              <w:rPr>
                <w:noProof/>
                <w:webHidden/>
              </w:rPr>
              <w:t>12</w:t>
            </w:r>
            <w:r>
              <w:rPr>
                <w:noProof/>
                <w:webHidden/>
              </w:rPr>
              <w:fldChar w:fldCharType="end"/>
            </w:r>
          </w:hyperlink>
        </w:p>
        <w:p w14:paraId="25484DBE" w14:textId="5A3D8F9D" w:rsidR="003B0A33" w:rsidRDefault="003B0A33">
          <w:pPr>
            <w:pStyle w:val="TOC4"/>
            <w:tabs>
              <w:tab w:val="right" w:leader="dot" w:pos="9016"/>
            </w:tabs>
            <w:rPr>
              <w:noProof/>
              <w:kern w:val="2"/>
              <w:sz w:val="24"/>
              <w:szCs w:val="24"/>
              <w:lang w:eastAsia="en-GB"/>
              <w14:ligatures w14:val="standardContextual"/>
            </w:rPr>
          </w:pPr>
          <w:hyperlink w:anchor="_Toc179724787" w:history="1">
            <w:r w:rsidRPr="002D471B">
              <w:rPr>
                <w:rStyle w:val="Hyperlink"/>
                <w:rFonts w:ascii="Times New Roman" w:hAnsi="Times New Roman" w:cs="Times New Roman"/>
                <w:noProof/>
              </w:rPr>
              <w:t>1.1.1 Explanation</w:t>
            </w:r>
            <w:r>
              <w:rPr>
                <w:noProof/>
                <w:webHidden/>
              </w:rPr>
              <w:tab/>
            </w:r>
            <w:r>
              <w:rPr>
                <w:noProof/>
                <w:webHidden/>
              </w:rPr>
              <w:fldChar w:fldCharType="begin"/>
            </w:r>
            <w:r>
              <w:rPr>
                <w:noProof/>
                <w:webHidden/>
              </w:rPr>
              <w:instrText xml:space="preserve"> PAGEREF _Toc179724787 \h </w:instrText>
            </w:r>
            <w:r>
              <w:rPr>
                <w:noProof/>
                <w:webHidden/>
              </w:rPr>
            </w:r>
            <w:r>
              <w:rPr>
                <w:noProof/>
                <w:webHidden/>
              </w:rPr>
              <w:fldChar w:fldCharType="separate"/>
            </w:r>
            <w:r>
              <w:rPr>
                <w:noProof/>
                <w:webHidden/>
              </w:rPr>
              <w:t>13</w:t>
            </w:r>
            <w:r>
              <w:rPr>
                <w:noProof/>
                <w:webHidden/>
              </w:rPr>
              <w:fldChar w:fldCharType="end"/>
            </w:r>
          </w:hyperlink>
        </w:p>
        <w:p w14:paraId="61DB3CCD" w14:textId="71520689" w:rsidR="003B0A33" w:rsidRDefault="003B0A33">
          <w:pPr>
            <w:pStyle w:val="TOC3"/>
            <w:tabs>
              <w:tab w:val="right" w:leader="dot" w:pos="9016"/>
            </w:tabs>
            <w:rPr>
              <w:noProof/>
              <w:kern w:val="2"/>
              <w:sz w:val="24"/>
              <w:szCs w:val="24"/>
              <w:lang w:eastAsia="en-GB"/>
              <w14:ligatures w14:val="standardContextual"/>
            </w:rPr>
          </w:pPr>
          <w:hyperlink w:anchor="_Toc179724788" w:history="1">
            <w:r w:rsidRPr="002D471B">
              <w:rPr>
                <w:rStyle w:val="Hyperlink"/>
                <w:rFonts w:ascii="Times New Roman" w:hAnsi="Times New Roman" w:cs="Times New Roman"/>
                <w:noProof/>
              </w:rPr>
              <w:t>1.2 The Influence of Social Factors on Market Valuation and Investor Behaviour</w:t>
            </w:r>
            <w:r>
              <w:rPr>
                <w:noProof/>
                <w:webHidden/>
              </w:rPr>
              <w:tab/>
            </w:r>
            <w:r>
              <w:rPr>
                <w:noProof/>
                <w:webHidden/>
              </w:rPr>
              <w:fldChar w:fldCharType="begin"/>
            </w:r>
            <w:r>
              <w:rPr>
                <w:noProof/>
                <w:webHidden/>
              </w:rPr>
              <w:instrText xml:space="preserve"> PAGEREF _Toc179724788 \h </w:instrText>
            </w:r>
            <w:r>
              <w:rPr>
                <w:noProof/>
                <w:webHidden/>
              </w:rPr>
            </w:r>
            <w:r>
              <w:rPr>
                <w:noProof/>
                <w:webHidden/>
              </w:rPr>
              <w:fldChar w:fldCharType="separate"/>
            </w:r>
            <w:r>
              <w:rPr>
                <w:noProof/>
                <w:webHidden/>
              </w:rPr>
              <w:t>14</w:t>
            </w:r>
            <w:r>
              <w:rPr>
                <w:noProof/>
                <w:webHidden/>
              </w:rPr>
              <w:fldChar w:fldCharType="end"/>
            </w:r>
          </w:hyperlink>
        </w:p>
        <w:p w14:paraId="32B868F4" w14:textId="6A258F0B" w:rsidR="003B0A33" w:rsidRDefault="003B0A33">
          <w:pPr>
            <w:pStyle w:val="TOC4"/>
            <w:tabs>
              <w:tab w:val="right" w:leader="dot" w:pos="9016"/>
            </w:tabs>
            <w:rPr>
              <w:noProof/>
              <w:kern w:val="2"/>
              <w:sz w:val="24"/>
              <w:szCs w:val="24"/>
              <w:lang w:eastAsia="en-GB"/>
              <w14:ligatures w14:val="standardContextual"/>
            </w:rPr>
          </w:pPr>
          <w:hyperlink w:anchor="_Toc179724789" w:history="1">
            <w:r w:rsidRPr="002D471B">
              <w:rPr>
                <w:rStyle w:val="Hyperlink"/>
                <w:rFonts w:ascii="Times New Roman" w:hAnsi="Times New Roman" w:cs="Times New Roman"/>
                <w:noProof/>
              </w:rPr>
              <w:t>1.2.1 Impact of Social Factors on Market Valuation</w:t>
            </w:r>
            <w:r>
              <w:rPr>
                <w:noProof/>
                <w:webHidden/>
              </w:rPr>
              <w:tab/>
            </w:r>
            <w:r>
              <w:rPr>
                <w:noProof/>
                <w:webHidden/>
              </w:rPr>
              <w:fldChar w:fldCharType="begin"/>
            </w:r>
            <w:r>
              <w:rPr>
                <w:noProof/>
                <w:webHidden/>
              </w:rPr>
              <w:instrText xml:space="preserve"> PAGEREF _Toc179724789 \h </w:instrText>
            </w:r>
            <w:r>
              <w:rPr>
                <w:noProof/>
                <w:webHidden/>
              </w:rPr>
            </w:r>
            <w:r>
              <w:rPr>
                <w:noProof/>
                <w:webHidden/>
              </w:rPr>
              <w:fldChar w:fldCharType="separate"/>
            </w:r>
            <w:r>
              <w:rPr>
                <w:noProof/>
                <w:webHidden/>
              </w:rPr>
              <w:t>14</w:t>
            </w:r>
            <w:r>
              <w:rPr>
                <w:noProof/>
                <w:webHidden/>
              </w:rPr>
              <w:fldChar w:fldCharType="end"/>
            </w:r>
          </w:hyperlink>
        </w:p>
        <w:p w14:paraId="679F225E" w14:textId="76BA11E8" w:rsidR="003B0A33" w:rsidRDefault="003B0A33">
          <w:pPr>
            <w:pStyle w:val="TOC4"/>
            <w:tabs>
              <w:tab w:val="right" w:leader="dot" w:pos="9016"/>
            </w:tabs>
            <w:rPr>
              <w:noProof/>
              <w:kern w:val="2"/>
              <w:sz w:val="24"/>
              <w:szCs w:val="24"/>
              <w:lang w:eastAsia="en-GB"/>
              <w14:ligatures w14:val="standardContextual"/>
            </w:rPr>
          </w:pPr>
          <w:hyperlink w:anchor="_Toc179724790" w:history="1">
            <w:r w:rsidRPr="002D471B">
              <w:rPr>
                <w:rStyle w:val="Hyperlink"/>
                <w:rFonts w:ascii="Times New Roman" w:hAnsi="Times New Roman" w:cs="Times New Roman"/>
                <w:noProof/>
              </w:rPr>
              <w:t>1.2.2 Influence on Investor Behaviour</w:t>
            </w:r>
            <w:r>
              <w:rPr>
                <w:noProof/>
                <w:webHidden/>
              </w:rPr>
              <w:tab/>
            </w:r>
            <w:r>
              <w:rPr>
                <w:noProof/>
                <w:webHidden/>
              </w:rPr>
              <w:fldChar w:fldCharType="begin"/>
            </w:r>
            <w:r>
              <w:rPr>
                <w:noProof/>
                <w:webHidden/>
              </w:rPr>
              <w:instrText xml:space="preserve"> PAGEREF _Toc179724790 \h </w:instrText>
            </w:r>
            <w:r>
              <w:rPr>
                <w:noProof/>
                <w:webHidden/>
              </w:rPr>
            </w:r>
            <w:r>
              <w:rPr>
                <w:noProof/>
                <w:webHidden/>
              </w:rPr>
              <w:fldChar w:fldCharType="separate"/>
            </w:r>
            <w:r>
              <w:rPr>
                <w:noProof/>
                <w:webHidden/>
              </w:rPr>
              <w:t>15</w:t>
            </w:r>
            <w:r>
              <w:rPr>
                <w:noProof/>
                <w:webHidden/>
              </w:rPr>
              <w:fldChar w:fldCharType="end"/>
            </w:r>
          </w:hyperlink>
        </w:p>
        <w:p w14:paraId="5EF66629" w14:textId="75CC0F2E" w:rsidR="003B0A33" w:rsidRDefault="003B0A33">
          <w:pPr>
            <w:pStyle w:val="TOC4"/>
            <w:tabs>
              <w:tab w:val="right" w:leader="dot" w:pos="9016"/>
            </w:tabs>
            <w:rPr>
              <w:noProof/>
              <w:kern w:val="2"/>
              <w:sz w:val="24"/>
              <w:szCs w:val="24"/>
              <w:lang w:eastAsia="en-GB"/>
              <w14:ligatures w14:val="standardContextual"/>
            </w:rPr>
          </w:pPr>
          <w:hyperlink w:anchor="_Toc179724791" w:history="1">
            <w:r w:rsidRPr="002D471B">
              <w:rPr>
                <w:rStyle w:val="Hyperlink"/>
                <w:rFonts w:ascii="Times New Roman" w:hAnsi="Times New Roman" w:cs="Times New Roman"/>
                <w:noProof/>
              </w:rPr>
              <w:t>1.2.3 Impact of Community Engagement and CSR</w:t>
            </w:r>
            <w:r>
              <w:rPr>
                <w:noProof/>
                <w:webHidden/>
              </w:rPr>
              <w:tab/>
            </w:r>
            <w:r>
              <w:rPr>
                <w:noProof/>
                <w:webHidden/>
              </w:rPr>
              <w:fldChar w:fldCharType="begin"/>
            </w:r>
            <w:r>
              <w:rPr>
                <w:noProof/>
                <w:webHidden/>
              </w:rPr>
              <w:instrText xml:space="preserve"> PAGEREF _Toc179724791 \h </w:instrText>
            </w:r>
            <w:r>
              <w:rPr>
                <w:noProof/>
                <w:webHidden/>
              </w:rPr>
            </w:r>
            <w:r>
              <w:rPr>
                <w:noProof/>
                <w:webHidden/>
              </w:rPr>
              <w:fldChar w:fldCharType="separate"/>
            </w:r>
            <w:r>
              <w:rPr>
                <w:noProof/>
                <w:webHidden/>
              </w:rPr>
              <w:t>16</w:t>
            </w:r>
            <w:r>
              <w:rPr>
                <w:noProof/>
                <w:webHidden/>
              </w:rPr>
              <w:fldChar w:fldCharType="end"/>
            </w:r>
          </w:hyperlink>
        </w:p>
        <w:p w14:paraId="2DBA0FF5" w14:textId="03CCAC31" w:rsidR="003B0A33" w:rsidRDefault="003B0A33">
          <w:pPr>
            <w:pStyle w:val="TOC3"/>
            <w:tabs>
              <w:tab w:val="right" w:leader="dot" w:pos="9016"/>
            </w:tabs>
            <w:rPr>
              <w:noProof/>
              <w:kern w:val="2"/>
              <w:sz w:val="24"/>
              <w:szCs w:val="24"/>
              <w:lang w:eastAsia="en-GB"/>
              <w14:ligatures w14:val="standardContextual"/>
            </w:rPr>
          </w:pPr>
          <w:hyperlink w:anchor="_Toc179724792" w:history="1">
            <w:r w:rsidRPr="002D471B">
              <w:rPr>
                <w:rStyle w:val="Hyperlink"/>
                <w:rFonts w:ascii="Times New Roman" w:hAnsi="Times New Roman" w:cs="Times New Roman"/>
                <w:noProof/>
              </w:rPr>
              <w:t>1.3 ESG Integration: A Pathway to Sustainable Risk Management and Superior Returns</w:t>
            </w:r>
            <w:r>
              <w:rPr>
                <w:noProof/>
                <w:webHidden/>
              </w:rPr>
              <w:tab/>
            </w:r>
            <w:r>
              <w:rPr>
                <w:noProof/>
                <w:webHidden/>
              </w:rPr>
              <w:fldChar w:fldCharType="begin"/>
            </w:r>
            <w:r>
              <w:rPr>
                <w:noProof/>
                <w:webHidden/>
              </w:rPr>
              <w:instrText xml:space="preserve"> PAGEREF _Toc179724792 \h </w:instrText>
            </w:r>
            <w:r>
              <w:rPr>
                <w:noProof/>
                <w:webHidden/>
              </w:rPr>
            </w:r>
            <w:r>
              <w:rPr>
                <w:noProof/>
                <w:webHidden/>
              </w:rPr>
              <w:fldChar w:fldCharType="separate"/>
            </w:r>
            <w:r>
              <w:rPr>
                <w:noProof/>
                <w:webHidden/>
              </w:rPr>
              <w:t>16</w:t>
            </w:r>
            <w:r>
              <w:rPr>
                <w:noProof/>
                <w:webHidden/>
              </w:rPr>
              <w:fldChar w:fldCharType="end"/>
            </w:r>
          </w:hyperlink>
        </w:p>
        <w:p w14:paraId="5602F468" w14:textId="73876B2C" w:rsidR="003B0A33" w:rsidRDefault="003B0A33">
          <w:pPr>
            <w:pStyle w:val="TOC4"/>
            <w:tabs>
              <w:tab w:val="right" w:leader="dot" w:pos="9016"/>
            </w:tabs>
            <w:rPr>
              <w:noProof/>
              <w:kern w:val="2"/>
              <w:sz w:val="24"/>
              <w:szCs w:val="24"/>
              <w:lang w:eastAsia="en-GB"/>
              <w14:ligatures w14:val="standardContextual"/>
            </w:rPr>
          </w:pPr>
          <w:hyperlink w:anchor="_Toc179724793" w:history="1">
            <w:r w:rsidRPr="002D471B">
              <w:rPr>
                <w:rStyle w:val="Hyperlink"/>
                <w:rFonts w:ascii="Times New Roman" w:hAnsi="Times New Roman" w:cs="Times New Roman"/>
                <w:noProof/>
              </w:rPr>
              <w:t>1.3.1 Gross Profitability and ESG Quintiles:</w:t>
            </w:r>
            <w:r>
              <w:rPr>
                <w:noProof/>
                <w:webHidden/>
              </w:rPr>
              <w:tab/>
            </w:r>
            <w:r>
              <w:rPr>
                <w:noProof/>
                <w:webHidden/>
              </w:rPr>
              <w:fldChar w:fldCharType="begin"/>
            </w:r>
            <w:r>
              <w:rPr>
                <w:noProof/>
                <w:webHidden/>
              </w:rPr>
              <w:instrText xml:space="preserve"> PAGEREF _Toc179724793 \h </w:instrText>
            </w:r>
            <w:r>
              <w:rPr>
                <w:noProof/>
                <w:webHidden/>
              </w:rPr>
            </w:r>
            <w:r>
              <w:rPr>
                <w:noProof/>
                <w:webHidden/>
              </w:rPr>
              <w:fldChar w:fldCharType="separate"/>
            </w:r>
            <w:r>
              <w:rPr>
                <w:noProof/>
                <w:webHidden/>
              </w:rPr>
              <w:t>18</w:t>
            </w:r>
            <w:r>
              <w:rPr>
                <w:noProof/>
                <w:webHidden/>
              </w:rPr>
              <w:fldChar w:fldCharType="end"/>
            </w:r>
          </w:hyperlink>
        </w:p>
        <w:p w14:paraId="4A6721C8" w14:textId="34183353" w:rsidR="003B0A33" w:rsidRDefault="003B0A33">
          <w:pPr>
            <w:pStyle w:val="TOC4"/>
            <w:tabs>
              <w:tab w:val="right" w:leader="dot" w:pos="9016"/>
            </w:tabs>
            <w:rPr>
              <w:noProof/>
              <w:kern w:val="2"/>
              <w:sz w:val="24"/>
              <w:szCs w:val="24"/>
              <w:lang w:eastAsia="en-GB"/>
              <w14:ligatures w14:val="standardContextual"/>
            </w:rPr>
          </w:pPr>
          <w:hyperlink w:anchor="_Toc179724794" w:history="1">
            <w:r w:rsidRPr="002D471B">
              <w:rPr>
                <w:rStyle w:val="Hyperlink"/>
                <w:rFonts w:ascii="Times New Roman" w:hAnsi="Times New Roman" w:cs="Times New Roman"/>
                <w:noProof/>
              </w:rPr>
              <w:t>1.3.1Dividend Yields</w:t>
            </w:r>
            <w:r>
              <w:rPr>
                <w:noProof/>
                <w:webHidden/>
              </w:rPr>
              <w:tab/>
            </w:r>
            <w:r>
              <w:rPr>
                <w:noProof/>
                <w:webHidden/>
              </w:rPr>
              <w:fldChar w:fldCharType="begin"/>
            </w:r>
            <w:r>
              <w:rPr>
                <w:noProof/>
                <w:webHidden/>
              </w:rPr>
              <w:instrText xml:space="preserve"> PAGEREF _Toc179724794 \h </w:instrText>
            </w:r>
            <w:r>
              <w:rPr>
                <w:noProof/>
                <w:webHidden/>
              </w:rPr>
            </w:r>
            <w:r>
              <w:rPr>
                <w:noProof/>
                <w:webHidden/>
              </w:rPr>
              <w:fldChar w:fldCharType="separate"/>
            </w:r>
            <w:r>
              <w:rPr>
                <w:noProof/>
                <w:webHidden/>
              </w:rPr>
              <w:t>18</w:t>
            </w:r>
            <w:r>
              <w:rPr>
                <w:noProof/>
                <w:webHidden/>
              </w:rPr>
              <w:fldChar w:fldCharType="end"/>
            </w:r>
          </w:hyperlink>
        </w:p>
        <w:p w14:paraId="7187D3FD" w14:textId="44AFFE16" w:rsidR="003B0A33" w:rsidRDefault="003B0A33">
          <w:pPr>
            <w:pStyle w:val="TOC4"/>
            <w:tabs>
              <w:tab w:val="right" w:leader="dot" w:pos="9016"/>
            </w:tabs>
            <w:rPr>
              <w:noProof/>
              <w:kern w:val="2"/>
              <w:sz w:val="24"/>
              <w:szCs w:val="24"/>
              <w:lang w:eastAsia="en-GB"/>
              <w14:ligatures w14:val="standardContextual"/>
            </w:rPr>
          </w:pPr>
          <w:hyperlink w:anchor="_Toc179724795" w:history="1">
            <w:r w:rsidRPr="002D471B">
              <w:rPr>
                <w:rStyle w:val="Hyperlink"/>
                <w:rFonts w:ascii="Times New Roman" w:hAnsi="Times New Roman" w:cs="Times New Roman"/>
                <w:noProof/>
              </w:rPr>
              <w:t>1.3.2Idiosyncratic Risk Reduction:</w:t>
            </w:r>
            <w:r>
              <w:rPr>
                <w:noProof/>
                <w:webHidden/>
              </w:rPr>
              <w:tab/>
            </w:r>
            <w:r>
              <w:rPr>
                <w:noProof/>
                <w:webHidden/>
              </w:rPr>
              <w:fldChar w:fldCharType="begin"/>
            </w:r>
            <w:r>
              <w:rPr>
                <w:noProof/>
                <w:webHidden/>
              </w:rPr>
              <w:instrText xml:space="preserve"> PAGEREF _Toc179724795 \h </w:instrText>
            </w:r>
            <w:r>
              <w:rPr>
                <w:noProof/>
                <w:webHidden/>
              </w:rPr>
            </w:r>
            <w:r>
              <w:rPr>
                <w:noProof/>
                <w:webHidden/>
              </w:rPr>
              <w:fldChar w:fldCharType="separate"/>
            </w:r>
            <w:r>
              <w:rPr>
                <w:noProof/>
                <w:webHidden/>
              </w:rPr>
              <w:t>19</w:t>
            </w:r>
            <w:r>
              <w:rPr>
                <w:noProof/>
                <w:webHidden/>
              </w:rPr>
              <w:fldChar w:fldCharType="end"/>
            </w:r>
          </w:hyperlink>
        </w:p>
        <w:p w14:paraId="02DC850E" w14:textId="1E597DF8" w:rsidR="003B0A33" w:rsidRDefault="003B0A33">
          <w:pPr>
            <w:pStyle w:val="TOC3"/>
            <w:tabs>
              <w:tab w:val="right" w:leader="dot" w:pos="9016"/>
            </w:tabs>
            <w:rPr>
              <w:noProof/>
              <w:kern w:val="2"/>
              <w:sz w:val="24"/>
              <w:szCs w:val="24"/>
              <w:lang w:eastAsia="en-GB"/>
              <w14:ligatures w14:val="standardContextual"/>
            </w:rPr>
          </w:pPr>
          <w:hyperlink w:anchor="_Toc179724796" w:history="1">
            <w:r w:rsidRPr="002D471B">
              <w:rPr>
                <w:rStyle w:val="Hyperlink"/>
                <w:rFonts w:ascii="Times New Roman" w:hAnsi="Times New Roman" w:cs="Times New Roman"/>
                <w:noProof/>
              </w:rPr>
              <w:t>1.4The Role of ESG in Boosting Corporate Success Across Sectors</w:t>
            </w:r>
            <w:r>
              <w:rPr>
                <w:noProof/>
                <w:webHidden/>
              </w:rPr>
              <w:tab/>
            </w:r>
            <w:r>
              <w:rPr>
                <w:noProof/>
                <w:webHidden/>
              </w:rPr>
              <w:fldChar w:fldCharType="begin"/>
            </w:r>
            <w:r>
              <w:rPr>
                <w:noProof/>
                <w:webHidden/>
              </w:rPr>
              <w:instrText xml:space="preserve"> PAGEREF _Toc179724796 \h </w:instrText>
            </w:r>
            <w:r>
              <w:rPr>
                <w:noProof/>
                <w:webHidden/>
              </w:rPr>
            </w:r>
            <w:r>
              <w:rPr>
                <w:noProof/>
                <w:webHidden/>
              </w:rPr>
              <w:fldChar w:fldCharType="separate"/>
            </w:r>
            <w:r>
              <w:rPr>
                <w:noProof/>
                <w:webHidden/>
              </w:rPr>
              <w:t>19</w:t>
            </w:r>
            <w:r>
              <w:rPr>
                <w:noProof/>
                <w:webHidden/>
              </w:rPr>
              <w:fldChar w:fldCharType="end"/>
            </w:r>
          </w:hyperlink>
        </w:p>
        <w:p w14:paraId="60E90C2D" w14:textId="3A814FC3" w:rsidR="003B0A33" w:rsidRDefault="003B0A33">
          <w:pPr>
            <w:pStyle w:val="TOC4"/>
            <w:tabs>
              <w:tab w:val="right" w:leader="dot" w:pos="9016"/>
            </w:tabs>
            <w:rPr>
              <w:noProof/>
              <w:kern w:val="2"/>
              <w:sz w:val="24"/>
              <w:szCs w:val="24"/>
              <w:lang w:eastAsia="en-GB"/>
              <w14:ligatures w14:val="standardContextual"/>
            </w:rPr>
          </w:pPr>
          <w:hyperlink w:anchor="_Toc179724797" w:history="1">
            <w:r w:rsidRPr="002D471B">
              <w:rPr>
                <w:rStyle w:val="Hyperlink"/>
                <w:rFonts w:ascii="Times New Roman" w:hAnsi="Times New Roman" w:cs="Times New Roman"/>
                <w:noProof/>
              </w:rPr>
              <w:t>1.4.1 Technology Sector</w:t>
            </w:r>
            <w:r>
              <w:rPr>
                <w:noProof/>
                <w:webHidden/>
              </w:rPr>
              <w:tab/>
            </w:r>
            <w:r>
              <w:rPr>
                <w:noProof/>
                <w:webHidden/>
              </w:rPr>
              <w:fldChar w:fldCharType="begin"/>
            </w:r>
            <w:r>
              <w:rPr>
                <w:noProof/>
                <w:webHidden/>
              </w:rPr>
              <w:instrText xml:space="preserve"> PAGEREF _Toc179724797 \h </w:instrText>
            </w:r>
            <w:r>
              <w:rPr>
                <w:noProof/>
                <w:webHidden/>
              </w:rPr>
            </w:r>
            <w:r>
              <w:rPr>
                <w:noProof/>
                <w:webHidden/>
              </w:rPr>
              <w:fldChar w:fldCharType="separate"/>
            </w:r>
            <w:r>
              <w:rPr>
                <w:noProof/>
                <w:webHidden/>
              </w:rPr>
              <w:t>19</w:t>
            </w:r>
            <w:r>
              <w:rPr>
                <w:noProof/>
                <w:webHidden/>
              </w:rPr>
              <w:fldChar w:fldCharType="end"/>
            </w:r>
          </w:hyperlink>
        </w:p>
        <w:p w14:paraId="67850CFD" w14:textId="2B4C24B3" w:rsidR="003B0A33" w:rsidRDefault="003B0A33">
          <w:pPr>
            <w:pStyle w:val="TOC4"/>
            <w:tabs>
              <w:tab w:val="right" w:leader="dot" w:pos="9016"/>
            </w:tabs>
            <w:rPr>
              <w:noProof/>
              <w:kern w:val="2"/>
              <w:sz w:val="24"/>
              <w:szCs w:val="24"/>
              <w:lang w:eastAsia="en-GB"/>
              <w14:ligatures w14:val="standardContextual"/>
            </w:rPr>
          </w:pPr>
          <w:hyperlink w:anchor="_Toc179724798" w:history="1">
            <w:r w:rsidRPr="002D471B">
              <w:rPr>
                <w:rStyle w:val="Hyperlink"/>
                <w:rFonts w:ascii="Times New Roman" w:hAnsi="Times New Roman" w:cs="Times New Roman"/>
                <w:noProof/>
              </w:rPr>
              <w:t>1.4.2 Consumer Goods Sector</w:t>
            </w:r>
            <w:r>
              <w:rPr>
                <w:noProof/>
                <w:webHidden/>
              </w:rPr>
              <w:tab/>
            </w:r>
            <w:r>
              <w:rPr>
                <w:noProof/>
                <w:webHidden/>
              </w:rPr>
              <w:fldChar w:fldCharType="begin"/>
            </w:r>
            <w:r>
              <w:rPr>
                <w:noProof/>
                <w:webHidden/>
              </w:rPr>
              <w:instrText xml:space="preserve"> PAGEREF _Toc179724798 \h </w:instrText>
            </w:r>
            <w:r>
              <w:rPr>
                <w:noProof/>
                <w:webHidden/>
              </w:rPr>
            </w:r>
            <w:r>
              <w:rPr>
                <w:noProof/>
                <w:webHidden/>
              </w:rPr>
              <w:fldChar w:fldCharType="separate"/>
            </w:r>
            <w:r>
              <w:rPr>
                <w:noProof/>
                <w:webHidden/>
              </w:rPr>
              <w:t>20</w:t>
            </w:r>
            <w:r>
              <w:rPr>
                <w:noProof/>
                <w:webHidden/>
              </w:rPr>
              <w:fldChar w:fldCharType="end"/>
            </w:r>
          </w:hyperlink>
        </w:p>
        <w:p w14:paraId="7650334D" w14:textId="18479922" w:rsidR="003B0A33" w:rsidRDefault="003B0A33">
          <w:pPr>
            <w:pStyle w:val="TOC4"/>
            <w:tabs>
              <w:tab w:val="right" w:leader="dot" w:pos="9016"/>
            </w:tabs>
            <w:rPr>
              <w:noProof/>
              <w:kern w:val="2"/>
              <w:sz w:val="24"/>
              <w:szCs w:val="24"/>
              <w:lang w:eastAsia="en-GB"/>
              <w14:ligatures w14:val="standardContextual"/>
            </w:rPr>
          </w:pPr>
          <w:hyperlink w:anchor="_Toc179724799" w:history="1">
            <w:r w:rsidRPr="002D471B">
              <w:rPr>
                <w:rStyle w:val="Hyperlink"/>
                <w:rFonts w:ascii="Times New Roman" w:hAnsi="Times New Roman" w:cs="Times New Roman"/>
                <w:noProof/>
              </w:rPr>
              <w:t>1.4.3 Energy and Utilities Sector</w:t>
            </w:r>
            <w:r>
              <w:rPr>
                <w:noProof/>
                <w:webHidden/>
              </w:rPr>
              <w:tab/>
            </w:r>
            <w:r>
              <w:rPr>
                <w:noProof/>
                <w:webHidden/>
              </w:rPr>
              <w:fldChar w:fldCharType="begin"/>
            </w:r>
            <w:r>
              <w:rPr>
                <w:noProof/>
                <w:webHidden/>
              </w:rPr>
              <w:instrText xml:space="preserve"> PAGEREF _Toc179724799 \h </w:instrText>
            </w:r>
            <w:r>
              <w:rPr>
                <w:noProof/>
                <w:webHidden/>
              </w:rPr>
            </w:r>
            <w:r>
              <w:rPr>
                <w:noProof/>
                <w:webHidden/>
              </w:rPr>
              <w:fldChar w:fldCharType="separate"/>
            </w:r>
            <w:r>
              <w:rPr>
                <w:noProof/>
                <w:webHidden/>
              </w:rPr>
              <w:t>21</w:t>
            </w:r>
            <w:r>
              <w:rPr>
                <w:noProof/>
                <w:webHidden/>
              </w:rPr>
              <w:fldChar w:fldCharType="end"/>
            </w:r>
          </w:hyperlink>
        </w:p>
        <w:p w14:paraId="7DCD18AA" w14:textId="1C087A24" w:rsidR="003B0A33" w:rsidRDefault="003B0A33">
          <w:pPr>
            <w:pStyle w:val="TOC4"/>
            <w:tabs>
              <w:tab w:val="right" w:leader="dot" w:pos="9016"/>
            </w:tabs>
            <w:rPr>
              <w:noProof/>
              <w:kern w:val="2"/>
              <w:sz w:val="24"/>
              <w:szCs w:val="24"/>
              <w:lang w:eastAsia="en-GB"/>
              <w14:ligatures w14:val="standardContextual"/>
            </w:rPr>
          </w:pPr>
          <w:hyperlink w:anchor="_Toc179724800" w:history="1">
            <w:r w:rsidRPr="002D471B">
              <w:rPr>
                <w:rStyle w:val="Hyperlink"/>
                <w:rFonts w:ascii="Times New Roman" w:hAnsi="Times New Roman" w:cs="Times New Roman"/>
                <w:noProof/>
              </w:rPr>
              <w:t>1.4.4Financial Services Sector</w:t>
            </w:r>
            <w:r>
              <w:rPr>
                <w:noProof/>
                <w:webHidden/>
              </w:rPr>
              <w:tab/>
            </w:r>
            <w:r>
              <w:rPr>
                <w:noProof/>
                <w:webHidden/>
              </w:rPr>
              <w:fldChar w:fldCharType="begin"/>
            </w:r>
            <w:r>
              <w:rPr>
                <w:noProof/>
                <w:webHidden/>
              </w:rPr>
              <w:instrText xml:space="preserve"> PAGEREF _Toc179724800 \h </w:instrText>
            </w:r>
            <w:r>
              <w:rPr>
                <w:noProof/>
                <w:webHidden/>
              </w:rPr>
            </w:r>
            <w:r>
              <w:rPr>
                <w:noProof/>
                <w:webHidden/>
              </w:rPr>
              <w:fldChar w:fldCharType="separate"/>
            </w:r>
            <w:r>
              <w:rPr>
                <w:noProof/>
                <w:webHidden/>
              </w:rPr>
              <w:t>21</w:t>
            </w:r>
            <w:r>
              <w:rPr>
                <w:noProof/>
                <w:webHidden/>
              </w:rPr>
              <w:fldChar w:fldCharType="end"/>
            </w:r>
          </w:hyperlink>
        </w:p>
        <w:p w14:paraId="4038302A" w14:textId="1AB48551" w:rsidR="003B0A33" w:rsidRDefault="003B0A33">
          <w:pPr>
            <w:pStyle w:val="TOC4"/>
            <w:tabs>
              <w:tab w:val="right" w:leader="dot" w:pos="9016"/>
            </w:tabs>
            <w:rPr>
              <w:noProof/>
              <w:kern w:val="2"/>
              <w:sz w:val="24"/>
              <w:szCs w:val="24"/>
              <w:lang w:eastAsia="en-GB"/>
              <w14:ligatures w14:val="standardContextual"/>
            </w:rPr>
          </w:pPr>
          <w:hyperlink w:anchor="_Toc179724801" w:history="1">
            <w:r w:rsidRPr="002D471B">
              <w:rPr>
                <w:rStyle w:val="Hyperlink"/>
                <w:rFonts w:ascii="Times New Roman" w:hAnsi="Times New Roman" w:cs="Times New Roman"/>
                <w:noProof/>
              </w:rPr>
              <w:t>1.4.5 Conclusion</w:t>
            </w:r>
            <w:r>
              <w:rPr>
                <w:noProof/>
                <w:webHidden/>
              </w:rPr>
              <w:tab/>
            </w:r>
            <w:r>
              <w:rPr>
                <w:noProof/>
                <w:webHidden/>
              </w:rPr>
              <w:fldChar w:fldCharType="begin"/>
            </w:r>
            <w:r>
              <w:rPr>
                <w:noProof/>
                <w:webHidden/>
              </w:rPr>
              <w:instrText xml:space="preserve"> PAGEREF _Toc179724801 \h </w:instrText>
            </w:r>
            <w:r>
              <w:rPr>
                <w:noProof/>
                <w:webHidden/>
              </w:rPr>
            </w:r>
            <w:r>
              <w:rPr>
                <w:noProof/>
                <w:webHidden/>
              </w:rPr>
              <w:fldChar w:fldCharType="separate"/>
            </w:r>
            <w:r>
              <w:rPr>
                <w:noProof/>
                <w:webHidden/>
              </w:rPr>
              <w:t>21</w:t>
            </w:r>
            <w:r>
              <w:rPr>
                <w:noProof/>
                <w:webHidden/>
              </w:rPr>
              <w:fldChar w:fldCharType="end"/>
            </w:r>
          </w:hyperlink>
        </w:p>
        <w:p w14:paraId="469C7F38" w14:textId="375585C9" w:rsidR="003B0A33" w:rsidRDefault="003B0A33">
          <w:pPr>
            <w:pStyle w:val="TOC1"/>
            <w:tabs>
              <w:tab w:val="right" w:leader="dot" w:pos="9016"/>
            </w:tabs>
            <w:rPr>
              <w:noProof/>
              <w:kern w:val="2"/>
              <w:sz w:val="24"/>
              <w:szCs w:val="24"/>
              <w:lang w:eastAsia="en-GB"/>
              <w14:ligatures w14:val="standardContextual"/>
            </w:rPr>
          </w:pPr>
          <w:hyperlink w:anchor="_Toc179724802" w:history="1">
            <w:r w:rsidRPr="002D471B">
              <w:rPr>
                <w:rStyle w:val="Hyperlink"/>
                <w:rFonts w:ascii="Times New Roman" w:hAnsi="Times New Roman" w:cs="Times New Roman"/>
                <w:noProof/>
              </w:rPr>
              <w:t>Chapter 3</w:t>
            </w:r>
            <w:r>
              <w:rPr>
                <w:noProof/>
                <w:webHidden/>
              </w:rPr>
              <w:tab/>
            </w:r>
            <w:r>
              <w:rPr>
                <w:noProof/>
                <w:webHidden/>
              </w:rPr>
              <w:fldChar w:fldCharType="begin"/>
            </w:r>
            <w:r>
              <w:rPr>
                <w:noProof/>
                <w:webHidden/>
              </w:rPr>
              <w:instrText xml:space="preserve"> PAGEREF _Toc179724802 \h </w:instrText>
            </w:r>
            <w:r>
              <w:rPr>
                <w:noProof/>
                <w:webHidden/>
              </w:rPr>
            </w:r>
            <w:r>
              <w:rPr>
                <w:noProof/>
                <w:webHidden/>
              </w:rPr>
              <w:fldChar w:fldCharType="separate"/>
            </w:r>
            <w:r>
              <w:rPr>
                <w:noProof/>
                <w:webHidden/>
              </w:rPr>
              <w:t>22</w:t>
            </w:r>
            <w:r>
              <w:rPr>
                <w:noProof/>
                <w:webHidden/>
              </w:rPr>
              <w:fldChar w:fldCharType="end"/>
            </w:r>
          </w:hyperlink>
        </w:p>
        <w:p w14:paraId="7CC95783" w14:textId="3A8AC938" w:rsidR="003B0A33" w:rsidRDefault="003B0A33">
          <w:pPr>
            <w:pStyle w:val="TOC2"/>
            <w:rPr>
              <w:noProof/>
              <w:kern w:val="2"/>
              <w:sz w:val="24"/>
              <w:szCs w:val="24"/>
              <w:lang w:eastAsia="en-GB"/>
              <w14:ligatures w14:val="standardContextual"/>
            </w:rPr>
          </w:pPr>
          <w:hyperlink w:anchor="_Toc179724803" w:history="1">
            <w:r w:rsidRPr="002D471B">
              <w:rPr>
                <w:rStyle w:val="Hyperlink"/>
                <w:rFonts w:ascii="Times New Roman" w:hAnsi="Times New Roman" w:cs="Times New Roman"/>
                <w:noProof/>
              </w:rPr>
              <w:t>1 Methodology</w:t>
            </w:r>
            <w:r>
              <w:rPr>
                <w:noProof/>
                <w:webHidden/>
              </w:rPr>
              <w:tab/>
            </w:r>
            <w:r>
              <w:rPr>
                <w:noProof/>
                <w:webHidden/>
              </w:rPr>
              <w:fldChar w:fldCharType="begin"/>
            </w:r>
            <w:r>
              <w:rPr>
                <w:noProof/>
                <w:webHidden/>
              </w:rPr>
              <w:instrText xml:space="preserve"> PAGEREF _Toc179724803 \h </w:instrText>
            </w:r>
            <w:r>
              <w:rPr>
                <w:noProof/>
                <w:webHidden/>
              </w:rPr>
            </w:r>
            <w:r>
              <w:rPr>
                <w:noProof/>
                <w:webHidden/>
              </w:rPr>
              <w:fldChar w:fldCharType="separate"/>
            </w:r>
            <w:r>
              <w:rPr>
                <w:noProof/>
                <w:webHidden/>
              </w:rPr>
              <w:t>22</w:t>
            </w:r>
            <w:r>
              <w:rPr>
                <w:noProof/>
                <w:webHidden/>
              </w:rPr>
              <w:fldChar w:fldCharType="end"/>
            </w:r>
          </w:hyperlink>
        </w:p>
        <w:p w14:paraId="532F4A6E" w14:textId="5539FFED" w:rsidR="003B0A33" w:rsidRDefault="003B0A33">
          <w:pPr>
            <w:pStyle w:val="TOC3"/>
            <w:tabs>
              <w:tab w:val="right" w:leader="dot" w:pos="9016"/>
            </w:tabs>
            <w:rPr>
              <w:noProof/>
              <w:kern w:val="2"/>
              <w:sz w:val="24"/>
              <w:szCs w:val="24"/>
              <w:lang w:eastAsia="en-GB"/>
              <w14:ligatures w14:val="standardContextual"/>
            </w:rPr>
          </w:pPr>
          <w:hyperlink w:anchor="_Toc179724804" w:history="1">
            <w:r w:rsidRPr="002D471B">
              <w:rPr>
                <w:rStyle w:val="Hyperlink"/>
                <w:rFonts w:ascii="Times New Roman" w:hAnsi="Times New Roman" w:cs="Times New Roman"/>
                <w:noProof/>
              </w:rPr>
              <w:t>1.1 Philosophical Stance</w:t>
            </w:r>
            <w:r>
              <w:rPr>
                <w:noProof/>
                <w:webHidden/>
              </w:rPr>
              <w:tab/>
            </w:r>
            <w:r>
              <w:rPr>
                <w:noProof/>
                <w:webHidden/>
              </w:rPr>
              <w:fldChar w:fldCharType="begin"/>
            </w:r>
            <w:r>
              <w:rPr>
                <w:noProof/>
                <w:webHidden/>
              </w:rPr>
              <w:instrText xml:space="preserve"> PAGEREF _Toc179724804 \h </w:instrText>
            </w:r>
            <w:r>
              <w:rPr>
                <w:noProof/>
                <w:webHidden/>
              </w:rPr>
            </w:r>
            <w:r>
              <w:rPr>
                <w:noProof/>
                <w:webHidden/>
              </w:rPr>
              <w:fldChar w:fldCharType="separate"/>
            </w:r>
            <w:r>
              <w:rPr>
                <w:noProof/>
                <w:webHidden/>
              </w:rPr>
              <w:t>22</w:t>
            </w:r>
            <w:r>
              <w:rPr>
                <w:noProof/>
                <w:webHidden/>
              </w:rPr>
              <w:fldChar w:fldCharType="end"/>
            </w:r>
          </w:hyperlink>
        </w:p>
        <w:p w14:paraId="584731F4" w14:textId="195FB5D1" w:rsidR="003B0A33" w:rsidRDefault="003B0A33">
          <w:pPr>
            <w:pStyle w:val="TOC3"/>
            <w:tabs>
              <w:tab w:val="right" w:leader="dot" w:pos="9016"/>
            </w:tabs>
            <w:rPr>
              <w:noProof/>
              <w:kern w:val="2"/>
              <w:sz w:val="24"/>
              <w:szCs w:val="24"/>
              <w:lang w:eastAsia="en-GB"/>
              <w14:ligatures w14:val="standardContextual"/>
            </w:rPr>
          </w:pPr>
          <w:hyperlink w:anchor="_Toc179724805" w:history="1">
            <w:r w:rsidRPr="002D471B">
              <w:rPr>
                <w:rStyle w:val="Hyperlink"/>
                <w:rFonts w:ascii="Times New Roman" w:hAnsi="Times New Roman" w:cs="Times New Roman"/>
                <w:noProof/>
              </w:rPr>
              <w:t>1.2 Research Approach</w:t>
            </w:r>
            <w:r>
              <w:rPr>
                <w:noProof/>
                <w:webHidden/>
              </w:rPr>
              <w:tab/>
            </w:r>
            <w:r>
              <w:rPr>
                <w:noProof/>
                <w:webHidden/>
              </w:rPr>
              <w:fldChar w:fldCharType="begin"/>
            </w:r>
            <w:r>
              <w:rPr>
                <w:noProof/>
                <w:webHidden/>
              </w:rPr>
              <w:instrText xml:space="preserve"> PAGEREF _Toc179724805 \h </w:instrText>
            </w:r>
            <w:r>
              <w:rPr>
                <w:noProof/>
                <w:webHidden/>
              </w:rPr>
            </w:r>
            <w:r>
              <w:rPr>
                <w:noProof/>
                <w:webHidden/>
              </w:rPr>
              <w:fldChar w:fldCharType="separate"/>
            </w:r>
            <w:r>
              <w:rPr>
                <w:noProof/>
                <w:webHidden/>
              </w:rPr>
              <w:t>22</w:t>
            </w:r>
            <w:r>
              <w:rPr>
                <w:noProof/>
                <w:webHidden/>
              </w:rPr>
              <w:fldChar w:fldCharType="end"/>
            </w:r>
          </w:hyperlink>
        </w:p>
        <w:p w14:paraId="3E544F3B" w14:textId="50E17033" w:rsidR="003B0A33" w:rsidRDefault="003B0A33">
          <w:pPr>
            <w:pStyle w:val="TOC3"/>
            <w:tabs>
              <w:tab w:val="right" w:leader="dot" w:pos="9016"/>
            </w:tabs>
            <w:rPr>
              <w:noProof/>
              <w:kern w:val="2"/>
              <w:sz w:val="24"/>
              <w:szCs w:val="24"/>
              <w:lang w:eastAsia="en-GB"/>
              <w14:ligatures w14:val="standardContextual"/>
            </w:rPr>
          </w:pPr>
          <w:hyperlink w:anchor="_Toc179724806" w:history="1">
            <w:r w:rsidRPr="002D471B">
              <w:rPr>
                <w:rStyle w:val="Hyperlink"/>
                <w:rFonts w:ascii="Times New Roman" w:hAnsi="Times New Roman" w:cs="Times New Roman"/>
                <w:noProof/>
              </w:rPr>
              <w:t>1.3Research Variables</w:t>
            </w:r>
            <w:r>
              <w:rPr>
                <w:noProof/>
                <w:webHidden/>
              </w:rPr>
              <w:tab/>
            </w:r>
            <w:r>
              <w:rPr>
                <w:noProof/>
                <w:webHidden/>
              </w:rPr>
              <w:fldChar w:fldCharType="begin"/>
            </w:r>
            <w:r>
              <w:rPr>
                <w:noProof/>
                <w:webHidden/>
              </w:rPr>
              <w:instrText xml:space="preserve"> PAGEREF _Toc179724806 \h </w:instrText>
            </w:r>
            <w:r>
              <w:rPr>
                <w:noProof/>
                <w:webHidden/>
              </w:rPr>
            </w:r>
            <w:r>
              <w:rPr>
                <w:noProof/>
                <w:webHidden/>
              </w:rPr>
              <w:fldChar w:fldCharType="separate"/>
            </w:r>
            <w:r>
              <w:rPr>
                <w:noProof/>
                <w:webHidden/>
              </w:rPr>
              <w:t>22</w:t>
            </w:r>
            <w:r>
              <w:rPr>
                <w:noProof/>
                <w:webHidden/>
              </w:rPr>
              <w:fldChar w:fldCharType="end"/>
            </w:r>
          </w:hyperlink>
        </w:p>
        <w:p w14:paraId="4370725C" w14:textId="5C7E94E4" w:rsidR="003B0A33" w:rsidRDefault="003B0A33">
          <w:pPr>
            <w:pStyle w:val="TOC3"/>
            <w:tabs>
              <w:tab w:val="right" w:leader="dot" w:pos="9016"/>
            </w:tabs>
            <w:rPr>
              <w:noProof/>
              <w:kern w:val="2"/>
              <w:sz w:val="24"/>
              <w:szCs w:val="24"/>
              <w:lang w:eastAsia="en-GB"/>
              <w14:ligatures w14:val="standardContextual"/>
            </w:rPr>
          </w:pPr>
          <w:hyperlink w:anchor="_Toc179724807" w:history="1">
            <w:r w:rsidRPr="002D471B">
              <w:rPr>
                <w:rStyle w:val="Hyperlink"/>
                <w:rFonts w:ascii="Times New Roman" w:hAnsi="Times New Roman" w:cs="Times New Roman"/>
                <w:noProof/>
              </w:rPr>
              <w:t>1.4 Measurement of Variables</w:t>
            </w:r>
            <w:r>
              <w:rPr>
                <w:noProof/>
                <w:webHidden/>
              </w:rPr>
              <w:tab/>
            </w:r>
            <w:r>
              <w:rPr>
                <w:noProof/>
                <w:webHidden/>
              </w:rPr>
              <w:fldChar w:fldCharType="begin"/>
            </w:r>
            <w:r>
              <w:rPr>
                <w:noProof/>
                <w:webHidden/>
              </w:rPr>
              <w:instrText xml:space="preserve"> PAGEREF _Toc179724807 \h </w:instrText>
            </w:r>
            <w:r>
              <w:rPr>
                <w:noProof/>
                <w:webHidden/>
              </w:rPr>
            </w:r>
            <w:r>
              <w:rPr>
                <w:noProof/>
                <w:webHidden/>
              </w:rPr>
              <w:fldChar w:fldCharType="separate"/>
            </w:r>
            <w:r>
              <w:rPr>
                <w:noProof/>
                <w:webHidden/>
              </w:rPr>
              <w:t>23</w:t>
            </w:r>
            <w:r>
              <w:rPr>
                <w:noProof/>
                <w:webHidden/>
              </w:rPr>
              <w:fldChar w:fldCharType="end"/>
            </w:r>
          </w:hyperlink>
        </w:p>
        <w:p w14:paraId="4BE00ACA" w14:textId="29625A3C" w:rsidR="003B0A33" w:rsidRDefault="003B0A33">
          <w:pPr>
            <w:pStyle w:val="TOC3"/>
            <w:tabs>
              <w:tab w:val="right" w:leader="dot" w:pos="9016"/>
            </w:tabs>
            <w:rPr>
              <w:noProof/>
              <w:kern w:val="2"/>
              <w:sz w:val="24"/>
              <w:szCs w:val="24"/>
              <w:lang w:eastAsia="en-GB"/>
              <w14:ligatures w14:val="standardContextual"/>
            </w:rPr>
          </w:pPr>
          <w:hyperlink w:anchor="_Toc179724808" w:history="1">
            <w:r w:rsidRPr="002D471B">
              <w:rPr>
                <w:rStyle w:val="Hyperlink"/>
                <w:rFonts w:ascii="Times New Roman" w:hAnsi="Times New Roman" w:cs="Times New Roman"/>
                <w:noProof/>
              </w:rPr>
              <w:t>1.5 Industries Selected</w:t>
            </w:r>
            <w:r>
              <w:rPr>
                <w:noProof/>
                <w:webHidden/>
              </w:rPr>
              <w:tab/>
            </w:r>
            <w:r>
              <w:rPr>
                <w:noProof/>
                <w:webHidden/>
              </w:rPr>
              <w:fldChar w:fldCharType="begin"/>
            </w:r>
            <w:r>
              <w:rPr>
                <w:noProof/>
                <w:webHidden/>
              </w:rPr>
              <w:instrText xml:space="preserve"> PAGEREF _Toc179724808 \h </w:instrText>
            </w:r>
            <w:r>
              <w:rPr>
                <w:noProof/>
                <w:webHidden/>
              </w:rPr>
            </w:r>
            <w:r>
              <w:rPr>
                <w:noProof/>
                <w:webHidden/>
              </w:rPr>
              <w:fldChar w:fldCharType="separate"/>
            </w:r>
            <w:r>
              <w:rPr>
                <w:noProof/>
                <w:webHidden/>
              </w:rPr>
              <w:t>23</w:t>
            </w:r>
            <w:r>
              <w:rPr>
                <w:noProof/>
                <w:webHidden/>
              </w:rPr>
              <w:fldChar w:fldCharType="end"/>
            </w:r>
          </w:hyperlink>
        </w:p>
        <w:p w14:paraId="6D0AB947" w14:textId="17E7D907" w:rsidR="003B0A33" w:rsidRDefault="003B0A33">
          <w:pPr>
            <w:pStyle w:val="TOC3"/>
            <w:tabs>
              <w:tab w:val="right" w:leader="dot" w:pos="9016"/>
            </w:tabs>
            <w:rPr>
              <w:noProof/>
              <w:kern w:val="2"/>
              <w:sz w:val="24"/>
              <w:szCs w:val="24"/>
              <w:lang w:eastAsia="en-GB"/>
              <w14:ligatures w14:val="standardContextual"/>
            </w:rPr>
          </w:pPr>
          <w:hyperlink w:anchor="_Toc179724809" w:history="1">
            <w:r w:rsidRPr="002D471B">
              <w:rPr>
                <w:rStyle w:val="Hyperlink"/>
                <w:rFonts w:ascii="Times New Roman" w:hAnsi="Times New Roman" w:cs="Times New Roman"/>
                <w:noProof/>
              </w:rPr>
              <w:t>1.6 Sample Size</w:t>
            </w:r>
            <w:r>
              <w:rPr>
                <w:noProof/>
                <w:webHidden/>
              </w:rPr>
              <w:tab/>
            </w:r>
            <w:r>
              <w:rPr>
                <w:noProof/>
                <w:webHidden/>
              </w:rPr>
              <w:fldChar w:fldCharType="begin"/>
            </w:r>
            <w:r>
              <w:rPr>
                <w:noProof/>
                <w:webHidden/>
              </w:rPr>
              <w:instrText xml:space="preserve"> PAGEREF _Toc179724809 \h </w:instrText>
            </w:r>
            <w:r>
              <w:rPr>
                <w:noProof/>
                <w:webHidden/>
              </w:rPr>
            </w:r>
            <w:r>
              <w:rPr>
                <w:noProof/>
                <w:webHidden/>
              </w:rPr>
              <w:fldChar w:fldCharType="separate"/>
            </w:r>
            <w:r>
              <w:rPr>
                <w:noProof/>
                <w:webHidden/>
              </w:rPr>
              <w:t>23</w:t>
            </w:r>
            <w:r>
              <w:rPr>
                <w:noProof/>
                <w:webHidden/>
              </w:rPr>
              <w:fldChar w:fldCharType="end"/>
            </w:r>
          </w:hyperlink>
        </w:p>
        <w:p w14:paraId="4F72C716" w14:textId="5159E898" w:rsidR="003B0A33" w:rsidRDefault="003B0A33">
          <w:pPr>
            <w:pStyle w:val="TOC3"/>
            <w:tabs>
              <w:tab w:val="right" w:leader="dot" w:pos="9016"/>
            </w:tabs>
            <w:rPr>
              <w:noProof/>
              <w:kern w:val="2"/>
              <w:sz w:val="24"/>
              <w:szCs w:val="24"/>
              <w:lang w:eastAsia="en-GB"/>
              <w14:ligatures w14:val="standardContextual"/>
            </w:rPr>
          </w:pPr>
          <w:hyperlink w:anchor="_Toc179724810" w:history="1">
            <w:r w:rsidRPr="002D471B">
              <w:rPr>
                <w:rStyle w:val="Hyperlink"/>
                <w:rFonts w:ascii="Times New Roman" w:hAnsi="Times New Roman" w:cs="Times New Roman"/>
                <w:noProof/>
              </w:rPr>
              <w:t>1.7 Data Analysis</w:t>
            </w:r>
            <w:r>
              <w:rPr>
                <w:noProof/>
                <w:webHidden/>
              </w:rPr>
              <w:tab/>
            </w:r>
            <w:r>
              <w:rPr>
                <w:noProof/>
                <w:webHidden/>
              </w:rPr>
              <w:fldChar w:fldCharType="begin"/>
            </w:r>
            <w:r>
              <w:rPr>
                <w:noProof/>
                <w:webHidden/>
              </w:rPr>
              <w:instrText xml:space="preserve"> PAGEREF _Toc179724810 \h </w:instrText>
            </w:r>
            <w:r>
              <w:rPr>
                <w:noProof/>
                <w:webHidden/>
              </w:rPr>
            </w:r>
            <w:r>
              <w:rPr>
                <w:noProof/>
                <w:webHidden/>
              </w:rPr>
              <w:fldChar w:fldCharType="separate"/>
            </w:r>
            <w:r>
              <w:rPr>
                <w:noProof/>
                <w:webHidden/>
              </w:rPr>
              <w:t>23</w:t>
            </w:r>
            <w:r>
              <w:rPr>
                <w:noProof/>
                <w:webHidden/>
              </w:rPr>
              <w:fldChar w:fldCharType="end"/>
            </w:r>
          </w:hyperlink>
        </w:p>
        <w:p w14:paraId="014C7F39" w14:textId="67A57885" w:rsidR="003B0A33" w:rsidRDefault="003B0A33">
          <w:pPr>
            <w:pStyle w:val="TOC3"/>
            <w:tabs>
              <w:tab w:val="right" w:leader="dot" w:pos="9016"/>
            </w:tabs>
            <w:rPr>
              <w:noProof/>
              <w:kern w:val="2"/>
              <w:sz w:val="24"/>
              <w:szCs w:val="24"/>
              <w:lang w:eastAsia="en-GB"/>
              <w14:ligatures w14:val="standardContextual"/>
            </w:rPr>
          </w:pPr>
          <w:hyperlink w:anchor="_Toc179724811" w:history="1">
            <w:r w:rsidRPr="002D471B">
              <w:rPr>
                <w:rStyle w:val="Hyperlink"/>
                <w:rFonts w:ascii="Times New Roman" w:hAnsi="Times New Roman" w:cs="Times New Roman"/>
                <w:noProof/>
              </w:rPr>
              <w:t>1.8Data Collection</w:t>
            </w:r>
            <w:r>
              <w:rPr>
                <w:noProof/>
                <w:webHidden/>
              </w:rPr>
              <w:tab/>
            </w:r>
            <w:r>
              <w:rPr>
                <w:noProof/>
                <w:webHidden/>
              </w:rPr>
              <w:fldChar w:fldCharType="begin"/>
            </w:r>
            <w:r>
              <w:rPr>
                <w:noProof/>
                <w:webHidden/>
              </w:rPr>
              <w:instrText xml:space="preserve"> PAGEREF _Toc179724811 \h </w:instrText>
            </w:r>
            <w:r>
              <w:rPr>
                <w:noProof/>
                <w:webHidden/>
              </w:rPr>
            </w:r>
            <w:r>
              <w:rPr>
                <w:noProof/>
                <w:webHidden/>
              </w:rPr>
              <w:fldChar w:fldCharType="separate"/>
            </w:r>
            <w:r>
              <w:rPr>
                <w:noProof/>
                <w:webHidden/>
              </w:rPr>
              <w:t>24</w:t>
            </w:r>
            <w:r>
              <w:rPr>
                <w:noProof/>
                <w:webHidden/>
              </w:rPr>
              <w:fldChar w:fldCharType="end"/>
            </w:r>
          </w:hyperlink>
        </w:p>
        <w:p w14:paraId="6EB95438" w14:textId="2BCB20AF" w:rsidR="003B0A33" w:rsidRDefault="003B0A33">
          <w:pPr>
            <w:pStyle w:val="TOC3"/>
            <w:tabs>
              <w:tab w:val="right" w:leader="dot" w:pos="9016"/>
            </w:tabs>
            <w:rPr>
              <w:noProof/>
              <w:kern w:val="2"/>
              <w:sz w:val="24"/>
              <w:szCs w:val="24"/>
              <w:lang w:eastAsia="en-GB"/>
              <w14:ligatures w14:val="standardContextual"/>
            </w:rPr>
          </w:pPr>
          <w:hyperlink w:anchor="_Toc179724812" w:history="1">
            <w:r w:rsidRPr="002D471B">
              <w:rPr>
                <w:rStyle w:val="Hyperlink"/>
                <w:rFonts w:ascii="Times New Roman" w:hAnsi="Times New Roman" w:cs="Times New Roman"/>
                <w:noProof/>
              </w:rPr>
              <w:t>1.9 Ethical Considerations</w:t>
            </w:r>
            <w:r>
              <w:rPr>
                <w:noProof/>
                <w:webHidden/>
              </w:rPr>
              <w:tab/>
            </w:r>
            <w:r>
              <w:rPr>
                <w:noProof/>
                <w:webHidden/>
              </w:rPr>
              <w:fldChar w:fldCharType="begin"/>
            </w:r>
            <w:r>
              <w:rPr>
                <w:noProof/>
                <w:webHidden/>
              </w:rPr>
              <w:instrText xml:space="preserve"> PAGEREF _Toc179724812 \h </w:instrText>
            </w:r>
            <w:r>
              <w:rPr>
                <w:noProof/>
                <w:webHidden/>
              </w:rPr>
            </w:r>
            <w:r>
              <w:rPr>
                <w:noProof/>
                <w:webHidden/>
              </w:rPr>
              <w:fldChar w:fldCharType="separate"/>
            </w:r>
            <w:r>
              <w:rPr>
                <w:noProof/>
                <w:webHidden/>
              </w:rPr>
              <w:t>25</w:t>
            </w:r>
            <w:r>
              <w:rPr>
                <w:noProof/>
                <w:webHidden/>
              </w:rPr>
              <w:fldChar w:fldCharType="end"/>
            </w:r>
          </w:hyperlink>
        </w:p>
        <w:p w14:paraId="56E0D01F" w14:textId="1C91125D" w:rsidR="003B0A33" w:rsidRDefault="003B0A33">
          <w:pPr>
            <w:pStyle w:val="TOC1"/>
            <w:tabs>
              <w:tab w:val="right" w:leader="dot" w:pos="9016"/>
            </w:tabs>
            <w:rPr>
              <w:noProof/>
              <w:kern w:val="2"/>
              <w:sz w:val="24"/>
              <w:szCs w:val="24"/>
              <w:lang w:eastAsia="en-GB"/>
              <w14:ligatures w14:val="standardContextual"/>
            </w:rPr>
          </w:pPr>
          <w:hyperlink w:anchor="_Toc179724813" w:history="1">
            <w:r w:rsidRPr="002D471B">
              <w:rPr>
                <w:rStyle w:val="Hyperlink"/>
                <w:rFonts w:ascii="Times New Roman" w:hAnsi="Times New Roman" w:cs="Times New Roman"/>
                <w:noProof/>
              </w:rPr>
              <w:t>Chapter 4</w:t>
            </w:r>
            <w:r>
              <w:rPr>
                <w:noProof/>
                <w:webHidden/>
              </w:rPr>
              <w:tab/>
            </w:r>
            <w:r>
              <w:rPr>
                <w:noProof/>
                <w:webHidden/>
              </w:rPr>
              <w:fldChar w:fldCharType="begin"/>
            </w:r>
            <w:r>
              <w:rPr>
                <w:noProof/>
                <w:webHidden/>
              </w:rPr>
              <w:instrText xml:space="preserve"> PAGEREF _Toc179724813 \h </w:instrText>
            </w:r>
            <w:r>
              <w:rPr>
                <w:noProof/>
                <w:webHidden/>
              </w:rPr>
            </w:r>
            <w:r>
              <w:rPr>
                <w:noProof/>
                <w:webHidden/>
              </w:rPr>
              <w:fldChar w:fldCharType="separate"/>
            </w:r>
            <w:r>
              <w:rPr>
                <w:noProof/>
                <w:webHidden/>
              </w:rPr>
              <w:t>25</w:t>
            </w:r>
            <w:r>
              <w:rPr>
                <w:noProof/>
                <w:webHidden/>
              </w:rPr>
              <w:fldChar w:fldCharType="end"/>
            </w:r>
          </w:hyperlink>
        </w:p>
        <w:p w14:paraId="099D0A4F" w14:textId="7B14CE8D" w:rsidR="003B0A33" w:rsidRDefault="003B0A33">
          <w:pPr>
            <w:pStyle w:val="TOC2"/>
            <w:rPr>
              <w:noProof/>
              <w:kern w:val="2"/>
              <w:sz w:val="24"/>
              <w:szCs w:val="24"/>
              <w:lang w:eastAsia="en-GB"/>
              <w14:ligatures w14:val="standardContextual"/>
            </w:rPr>
          </w:pPr>
          <w:hyperlink w:anchor="_Toc179724814" w:history="1">
            <w:r w:rsidRPr="002D471B">
              <w:rPr>
                <w:rStyle w:val="Hyperlink"/>
                <w:rFonts w:ascii="Times New Roman" w:hAnsi="Times New Roman" w:cs="Times New Roman"/>
                <w:noProof/>
              </w:rPr>
              <w:t>1Introduction</w:t>
            </w:r>
            <w:r>
              <w:rPr>
                <w:noProof/>
                <w:webHidden/>
              </w:rPr>
              <w:tab/>
            </w:r>
            <w:r>
              <w:rPr>
                <w:noProof/>
                <w:webHidden/>
              </w:rPr>
              <w:fldChar w:fldCharType="begin"/>
            </w:r>
            <w:r>
              <w:rPr>
                <w:noProof/>
                <w:webHidden/>
              </w:rPr>
              <w:instrText xml:space="preserve"> PAGEREF _Toc179724814 \h </w:instrText>
            </w:r>
            <w:r>
              <w:rPr>
                <w:noProof/>
                <w:webHidden/>
              </w:rPr>
            </w:r>
            <w:r>
              <w:rPr>
                <w:noProof/>
                <w:webHidden/>
              </w:rPr>
              <w:fldChar w:fldCharType="separate"/>
            </w:r>
            <w:r>
              <w:rPr>
                <w:noProof/>
                <w:webHidden/>
              </w:rPr>
              <w:t>25</w:t>
            </w:r>
            <w:r>
              <w:rPr>
                <w:noProof/>
                <w:webHidden/>
              </w:rPr>
              <w:fldChar w:fldCharType="end"/>
            </w:r>
          </w:hyperlink>
        </w:p>
        <w:p w14:paraId="68A13264" w14:textId="30741ABA" w:rsidR="003B0A33" w:rsidRDefault="003B0A33">
          <w:pPr>
            <w:pStyle w:val="TOC3"/>
            <w:tabs>
              <w:tab w:val="right" w:leader="dot" w:pos="9016"/>
            </w:tabs>
            <w:rPr>
              <w:noProof/>
              <w:kern w:val="2"/>
              <w:sz w:val="24"/>
              <w:szCs w:val="24"/>
              <w:lang w:eastAsia="en-GB"/>
              <w14:ligatures w14:val="standardContextual"/>
            </w:rPr>
          </w:pPr>
          <w:hyperlink w:anchor="_Toc179724815" w:history="1">
            <w:r w:rsidRPr="002D471B">
              <w:rPr>
                <w:rStyle w:val="Hyperlink"/>
                <w:rFonts w:ascii="Times New Roman" w:hAnsi="Times New Roman" w:cs="Times New Roman"/>
                <w:noProof/>
              </w:rPr>
              <w:t>1.1 Exploring the Link Between Environmental Practices and Market Valuation</w:t>
            </w:r>
            <w:r>
              <w:rPr>
                <w:noProof/>
                <w:webHidden/>
              </w:rPr>
              <w:tab/>
            </w:r>
            <w:r>
              <w:rPr>
                <w:noProof/>
                <w:webHidden/>
              </w:rPr>
              <w:fldChar w:fldCharType="begin"/>
            </w:r>
            <w:r>
              <w:rPr>
                <w:noProof/>
                <w:webHidden/>
              </w:rPr>
              <w:instrText xml:space="preserve"> PAGEREF _Toc179724815 \h </w:instrText>
            </w:r>
            <w:r>
              <w:rPr>
                <w:noProof/>
                <w:webHidden/>
              </w:rPr>
            </w:r>
            <w:r>
              <w:rPr>
                <w:noProof/>
                <w:webHidden/>
              </w:rPr>
              <w:fldChar w:fldCharType="separate"/>
            </w:r>
            <w:r>
              <w:rPr>
                <w:noProof/>
                <w:webHidden/>
              </w:rPr>
              <w:t>26</w:t>
            </w:r>
            <w:r>
              <w:rPr>
                <w:noProof/>
                <w:webHidden/>
              </w:rPr>
              <w:fldChar w:fldCharType="end"/>
            </w:r>
          </w:hyperlink>
        </w:p>
        <w:p w14:paraId="0B17214A" w14:textId="0F8C5397" w:rsidR="003B0A33" w:rsidRDefault="003B0A33">
          <w:pPr>
            <w:pStyle w:val="TOC3"/>
            <w:tabs>
              <w:tab w:val="right" w:leader="dot" w:pos="9016"/>
            </w:tabs>
            <w:rPr>
              <w:noProof/>
              <w:kern w:val="2"/>
              <w:sz w:val="24"/>
              <w:szCs w:val="24"/>
              <w:lang w:eastAsia="en-GB"/>
              <w14:ligatures w14:val="standardContextual"/>
            </w:rPr>
          </w:pPr>
          <w:hyperlink w:anchor="_Toc179724816" w:history="1">
            <w:r w:rsidRPr="002D471B">
              <w:rPr>
                <w:rStyle w:val="Hyperlink"/>
                <w:rFonts w:ascii="Times New Roman" w:hAnsi="Times New Roman" w:cs="Times New Roman"/>
                <w:noProof/>
              </w:rPr>
              <w:t>1.1.1 Limitations and Potential Explanations</w:t>
            </w:r>
            <w:r>
              <w:rPr>
                <w:noProof/>
                <w:webHidden/>
              </w:rPr>
              <w:tab/>
            </w:r>
            <w:r>
              <w:rPr>
                <w:noProof/>
                <w:webHidden/>
              </w:rPr>
              <w:fldChar w:fldCharType="begin"/>
            </w:r>
            <w:r>
              <w:rPr>
                <w:noProof/>
                <w:webHidden/>
              </w:rPr>
              <w:instrText xml:space="preserve"> PAGEREF _Toc179724816 \h </w:instrText>
            </w:r>
            <w:r>
              <w:rPr>
                <w:noProof/>
                <w:webHidden/>
              </w:rPr>
            </w:r>
            <w:r>
              <w:rPr>
                <w:noProof/>
                <w:webHidden/>
              </w:rPr>
              <w:fldChar w:fldCharType="separate"/>
            </w:r>
            <w:r>
              <w:rPr>
                <w:noProof/>
                <w:webHidden/>
              </w:rPr>
              <w:t>27</w:t>
            </w:r>
            <w:r>
              <w:rPr>
                <w:noProof/>
                <w:webHidden/>
              </w:rPr>
              <w:fldChar w:fldCharType="end"/>
            </w:r>
          </w:hyperlink>
        </w:p>
        <w:p w14:paraId="1164CA22" w14:textId="625F3BFB" w:rsidR="003B0A33" w:rsidRDefault="003B0A33">
          <w:pPr>
            <w:pStyle w:val="TOC3"/>
            <w:tabs>
              <w:tab w:val="right" w:leader="dot" w:pos="9016"/>
            </w:tabs>
            <w:rPr>
              <w:noProof/>
              <w:kern w:val="2"/>
              <w:sz w:val="24"/>
              <w:szCs w:val="24"/>
              <w:lang w:eastAsia="en-GB"/>
              <w14:ligatures w14:val="standardContextual"/>
            </w:rPr>
          </w:pPr>
          <w:hyperlink w:anchor="_Toc179724817" w:history="1">
            <w:r w:rsidRPr="002D471B">
              <w:rPr>
                <w:rStyle w:val="Hyperlink"/>
                <w:rFonts w:ascii="Times New Roman" w:hAnsi="Times New Roman" w:cs="Times New Roman"/>
                <w:noProof/>
              </w:rPr>
              <w:t>1.1.2 Mixed Results on ESG and Financial Performance</w:t>
            </w:r>
            <w:r>
              <w:rPr>
                <w:noProof/>
                <w:webHidden/>
              </w:rPr>
              <w:tab/>
            </w:r>
            <w:r>
              <w:rPr>
                <w:noProof/>
                <w:webHidden/>
              </w:rPr>
              <w:fldChar w:fldCharType="begin"/>
            </w:r>
            <w:r>
              <w:rPr>
                <w:noProof/>
                <w:webHidden/>
              </w:rPr>
              <w:instrText xml:space="preserve"> PAGEREF _Toc179724817 \h </w:instrText>
            </w:r>
            <w:r>
              <w:rPr>
                <w:noProof/>
                <w:webHidden/>
              </w:rPr>
            </w:r>
            <w:r>
              <w:rPr>
                <w:noProof/>
                <w:webHidden/>
              </w:rPr>
              <w:fldChar w:fldCharType="separate"/>
            </w:r>
            <w:r>
              <w:rPr>
                <w:noProof/>
                <w:webHidden/>
              </w:rPr>
              <w:t>28</w:t>
            </w:r>
            <w:r>
              <w:rPr>
                <w:noProof/>
                <w:webHidden/>
              </w:rPr>
              <w:fldChar w:fldCharType="end"/>
            </w:r>
          </w:hyperlink>
        </w:p>
        <w:p w14:paraId="62AB414F" w14:textId="212A627E" w:rsidR="003B0A33" w:rsidRDefault="003B0A33">
          <w:pPr>
            <w:pStyle w:val="TOC2"/>
            <w:rPr>
              <w:noProof/>
              <w:kern w:val="2"/>
              <w:sz w:val="24"/>
              <w:szCs w:val="24"/>
              <w:lang w:eastAsia="en-GB"/>
              <w14:ligatures w14:val="standardContextual"/>
            </w:rPr>
          </w:pPr>
          <w:hyperlink w:anchor="_Toc179724818" w:history="1">
            <w:r w:rsidRPr="002D471B">
              <w:rPr>
                <w:rStyle w:val="Hyperlink"/>
                <w:rFonts w:ascii="Times New Roman" w:hAnsi="Times New Roman" w:cs="Times New Roman"/>
                <w:noProof/>
              </w:rPr>
              <w:t>1.2 Impact of ESG Scores on Stock Volatility Across Sectors</w:t>
            </w:r>
            <w:r>
              <w:rPr>
                <w:noProof/>
                <w:webHidden/>
              </w:rPr>
              <w:tab/>
            </w:r>
            <w:r>
              <w:rPr>
                <w:noProof/>
                <w:webHidden/>
              </w:rPr>
              <w:fldChar w:fldCharType="begin"/>
            </w:r>
            <w:r>
              <w:rPr>
                <w:noProof/>
                <w:webHidden/>
              </w:rPr>
              <w:instrText xml:space="preserve"> PAGEREF _Toc179724818 \h </w:instrText>
            </w:r>
            <w:r>
              <w:rPr>
                <w:noProof/>
                <w:webHidden/>
              </w:rPr>
            </w:r>
            <w:r>
              <w:rPr>
                <w:noProof/>
                <w:webHidden/>
              </w:rPr>
              <w:fldChar w:fldCharType="separate"/>
            </w:r>
            <w:r>
              <w:rPr>
                <w:noProof/>
                <w:webHidden/>
              </w:rPr>
              <w:t>28</w:t>
            </w:r>
            <w:r>
              <w:rPr>
                <w:noProof/>
                <w:webHidden/>
              </w:rPr>
              <w:fldChar w:fldCharType="end"/>
            </w:r>
          </w:hyperlink>
        </w:p>
        <w:p w14:paraId="5EF54E10" w14:textId="75B3F092" w:rsidR="003B0A33" w:rsidRDefault="003B0A33">
          <w:pPr>
            <w:pStyle w:val="TOC3"/>
            <w:tabs>
              <w:tab w:val="right" w:leader="dot" w:pos="9016"/>
            </w:tabs>
            <w:rPr>
              <w:noProof/>
              <w:kern w:val="2"/>
              <w:sz w:val="24"/>
              <w:szCs w:val="24"/>
              <w:lang w:eastAsia="en-GB"/>
              <w14:ligatures w14:val="standardContextual"/>
            </w:rPr>
          </w:pPr>
          <w:hyperlink w:anchor="_Toc179724819" w:history="1">
            <w:r w:rsidRPr="002D471B">
              <w:rPr>
                <w:rStyle w:val="Hyperlink"/>
                <w:rFonts w:ascii="Times New Roman" w:hAnsi="Times New Roman" w:cs="Times New Roman"/>
                <w:noProof/>
              </w:rPr>
              <w:t>1.2.1Sectoral Analysis</w:t>
            </w:r>
            <w:r>
              <w:rPr>
                <w:noProof/>
                <w:webHidden/>
              </w:rPr>
              <w:tab/>
            </w:r>
            <w:r>
              <w:rPr>
                <w:noProof/>
                <w:webHidden/>
              </w:rPr>
              <w:fldChar w:fldCharType="begin"/>
            </w:r>
            <w:r>
              <w:rPr>
                <w:noProof/>
                <w:webHidden/>
              </w:rPr>
              <w:instrText xml:space="preserve"> PAGEREF _Toc179724819 \h </w:instrText>
            </w:r>
            <w:r>
              <w:rPr>
                <w:noProof/>
                <w:webHidden/>
              </w:rPr>
            </w:r>
            <w:r>
              <w:rPr>
                <w:noProof/>
                <w:webHidden/>
              </w:rPr>
              <w:fldChar w:fldCharType="separate"/>
            </w:r>
            <w:r>
              <w:rPr>
                <w:noProof/>
                <w:webHidden/>
              </w:rPr>
              <w:t>29</w:t>
            </w:r>
            <w:r>
              <w:rPr>
                <w:noProof/>
                <w:webHidden/>
              </w:rPr>
              <w:fldChar w:fldCharType="end"/>
            </w:r>
          </w:hyperlink>
        </w:p>
        <w:p w14:paraId="03C097E7" w14:textId="4E264B20" w:rsidR="003B0A33" w:rsidRDefault="003B0A33">
          <w:pPr>
            <w:pStyle w:val="TOC2"/>
            <w:rPr>
              <w:noProof/>
              <w:kern w:val="2"/>
              <w:sz w:val="24"/>
              <w:szCs w:val="24"/>
              <w:lang w:eastAsia="en-GB"/>
              <w14:ligatures w14:val="standardContextual"/>
            </w:rPr>
          </w:pPr>
          <w:hyperlink w:anchor="_Toc179724820" w:history="1">
            <w:r w:rsidRPr="002D471B">
              <w:rPr>
                <w:rStyle w:val="Hyperlink"/>
                <w:rFonts w:ascii="Times New Roman" w:hAnsi="Times New Roman" w:cs="Times New Roman"/>
                <w:noProof/>
              </w:rPr>
              <w:t>1.3 The Role of Social Factors in Shaping Investor Perceptions and Stock Performance</w:t>
            </w:r>
            <w:r>
              <w:rPr>
                <w:noProof/>
                <w:webHidden/>
              </w:rPr>
              <w:tab/>
            </w:r>
            <w:r>
              <w:rPr>
                <w:noProof/>
                <w:webHidden/>
              </w:rPr>
              <w:fldChar w:fldCharType="begin"/>
            </w:r>
            <w:r>
              <w:rPr>
                <w:noProof/>
                <w:webHidden/>
              </w:rPr>
              <w:instrText xml:space="preserve"> PAGEREF _Toc179724820 \h </w:instrText>
            </w:r>
            <w:r>
              <w:rPr>
                <w:noProof/>
                <w:webHidden/>
              </w:rPr>
            </w:r>
            <w:r>
              <w:rPr>
                <w:noProof/>
                <w:webHidden/>
              </w:rPr>
              <w:fldChar w:fldCharType="separate"/>
            </w:r>
            <w:r>
              <w:rPr>
                <w:noProof/>
                <w:webHidden/>
              </w:rPr>
              <w:t>30</w:t>
            </w:r>
            <w:r>
              <w:rPr>
                <w:noProof/>
                <w:webHidden/>
              </w:rPr>
              <w:fldChar w:fldCharType="end"/>
            </w:r>
          </w:hyperlink>
        </w:p>
        <w:p w14:paraId="0E903577" w14:textId="286338F2" w:rsidR="003B0A33" w:rsidRDefault="003B0A33">
          <w:pPr>
            <w:pStyle w:val="TOC2"/>
            <w:rPr>
              <w:noProof/>
              <w:kern w:val="2"/>
              <w:sz w:val="24"/>
              <w:szCs w:val="24"/>
              <w:lang w:eastAsia="en-GB"/>
              <w14:ligatures w14:val="standardContextual"/>
            </w:rPr>
          </w:pPr>
          <w:hyperlink w:anchor="_Toc179724821" w:history="1">
            <w:r w:rsidRPr="002D471B">
              <w:rPr>
                <w:rStyle w:val="Hyperlink"/>
                <w:rFonts w:ascii="Times New Roman" w:hAnsi="Times New Roman" w:cs="Times New Roman"/>
                <w:noProof/>
              </w:rPr>
              <w:t>1.4 Essential Governance Factors and Their Role in Corporate Performance</w:t>
            </w:r>
            <w:r>
              <w:rPr>
                <w:noProof/>
                <w:webHidden/>
              </w:rPr>
              <w:tab/>
            </w:r>
            <w:r>
              <w:rPr>
                <w:noProof/>
                <w:webHidden/>
              </w:rPr>
              <w:fldChar w:fldCharType="begin"/>
            </w:r>
            <w:r>
              <w:rPr>
                <w:noProof/>
                <w:webHidden/>
              </w:rPr>
              <w:instrText xml:space="preserve"> PAGEREF _Toc179724821 \h </w:instrText>
            </w:r>
            <w:r>
              <w:rPr>
                <w:noProof/>
                <w:webHidden/>
              </w:rPr>
            </w:r>
            <w:r>
              <w:rPr>
                <w:noProof/>
                <w:webHidden/>
              </w:rPr>
              <w:fldChar w:fldCharType="separate"/>
            </w:r>
            <w:r>
              <w:rPr>
                <w:noProof/>
                <w:webHidden/>
              </w:rPr>
              <w:t>31</w:t>
            </w:r>
            <w:r>
              <w:rPr>
                <w:noProof/>
                <w:webHidden/>
              </w:rPr>
              <w:fldChar w:fldCharType="end"/>
            </w:r>
          </w:hyperlink>
        </w:p>
        <w:p w14:paraId="4D5FC0B7" w14:textId="7C02377A" w:rsidR="003B0A33" w:rsidRDefault="003B0A33">
          <w:pPr>
            <w:pStyle w:val="TOC2"/>
            <w:rPr>
              <w:noProof/>
              <w:kern w:val="2"/>
              <w:sz w:val="24"/>
              <w:szCs w:val="24"/>
              <w:lang w:eastAsia="en-GB"/>
              <w14:ligatures w14:val="standardContextual"/>
            </w:rPr>
          </w:pPr>
          <w:hyperlink w:anchor="_Toc179724822" w:history="1">
            <w:r w:rsidRPr="002D471B">
              <w:rPr>
                <w:rStyle w:val="Hyperlink"/>
                <w:rFonts w:ascii="Times New Roman" w:hAnsi="Times New Roman" w:cs="Times New Roman"/>
                <w:noProof/>
              </w:rPr>
              <w:t>1.5How ESG Regulatory Frameworks Enhance Financial Market Stability and Resilience</w:t>
            </w:r>
            <w:r>
              <w:rPr>
                <w:noProof/>
                <w:webHidden/>
              </w:rPr>
              <w:tab/>
            </w:r>
            <w:r>
              <w:rPr>
                <w:noProof/>
                <w:webHidden/>
              </w:rPr>
              <w:fldChar w:fldCharType="begin"/>
            </w:r>
            <w:r>
              <w:rPr>
                <w:noProof/>
                <w:webHidden/>
              </w:rPr>
              <w:instrText xml:space="preserve"> PAGEREF _Toc179724822 \h </w:instrText>
            </w:r>
            <w:r>
              <w:rPr>
                <w:noProof/>
                <w:webHidden/>
              </w:rPr>
            </w:r>
            <w:r>
              <w:rPr>
                <w:noProof/>
                <w:webHidden/>
              </w:rPr>
              <w:fldChar w:fldCharType="separate"/>
            </w:r>
            <w:r>
              <w:rPr>
                <w:noProof/>
                <w:webHidden/>
              </w:rPr>
              <w:t>33</w:t>
            </w:r>
            <w:r>
              <w:rPr>
                <w:noProof/>
                <w:webHidden/>
              </w:rPr>
              <w:fldChar w:fldCharType="end"/>
            </w:r>
          </w:hyperlink>
        </w:p>
        <w:p w14:paraId="6D7105F1" w14:textId="6C8B0559" w:rsidR="003B0A33" w:rsidRDefault="003B0A33">
          <w:pPr>
            <w:pStyle w:val="TOC3"/>
            <w:tabs>
              <w:tab w:val="right" w:leader="dot" w:pos="9016"/>
            </w:tabs>
            <w:rPr>
              <w:noProof/>
              <w:kern w:val="2"/>
              <w:sz w:val="24"/>
              <w:szCs w:val="24"/>
              <w:lang w:eastAsia="en-GB"/>
              <w14:ligatures w14:val="standardContextual"/>
            </w:rPr>
          </w:pPr>
          <w:hyperlink w:anchor="_Toc179724823" w:history="1">
            <w:r w:rsidRPr="002D471B">
              <w:rPr>
                <w:rStyle w:val="Hyperlink"/>
                <w:rFonts w:ascii="Times New Roman" w:hAnsi="Times New Roman" w:cs="Times New Roman"/>
                <w:noProof/>
              </w:rPr>
              <w:t>1.5.1ESG Regulatory Frameworks: A Comparative Global Analysis</w:t>
            </w:r>
            <w:r>
              <w:rPr>
                <w:noProof/>
                <w:webHidden/>
              </w:rPr>
              <w:tab/>
            </w:r>
            <w:r>
              <w:rPr>
                <w:noProof/>
                <w:webHidden/>
              </w:rPr>
              <w:fldChar w:fldCharType="begin"/>
            </w:r>
            <w:r>
              <w:rPr>
                <w:noProof/>
                <w:webHidden/>
              </w:rPr>
              <w:instrText xml:space="preserve"> PAGEREF _Toc179724823 \h </w:instrText>
            </w:r>
            <w:r>
              <w:rPr>
                <w:noProof/>
                <w:webHidden/>
              </w:rPr>
            </w:r>
            <w:r>
              <w:rPr>
                <w:noProof/>
                <w:webHidden/>
              </w:rPr>
              <w:fldChar w:fldCharType="separate"/>
            </w:r>
            <w:r>
              <w:rPr>
                <w:noProof/>
                <w:webHidden/>
              </w:rPr>
              <w:t>35</w:t>
            </w:r>
            <w:r>
              <w:rPr>
                <w:noProof/>
                <w:webHidden/>
              </w:rPr>
              <w:fldChar w:fldCharType="end"/>
            </w:r>
          </w:hyperlink>
        </w:p>
        <w:p w14:paraId="23FDEA1C" w14:textId="224ED735" w:rsidR="003B0A33" w:rsidRDefault="003B0A33">
          <w:pPr>
            <w:pStyle w:val="TOC3"/>
            <w:tabs>
              <w:tab w:val="right" w:leader="dot" w:pos="9016"/>
            </w:tabs>
            <w:rPr>
              <w:noProof/>
              <w:kern w:val="2"/>
              <w:sz w:val="24"/>
              <w:szCs w:val="24"/>
              <w:lang w:eastAsia="en-GB"/>
              <w14:ligatures w14:val="standardContextual"/>
            </w:rPr>
          </w:pPr>
          <w:hyperlink w:anchor="_Toc179724824" w:history="1">
            <w:r w:rsidRPr="002D471B">
              <w:rPr>
                <w:rStyle w:val="Hyperlink"/>
                <w:rFonts w:ascii="Times New Roman" w:hAnsi="Times New Roman" w:cs="Times New Roman"/>
                <w:noProof/>
              </w:rPr>
              <w:t>1.5.1.1 European Union (EU)</w:t>
            </w:r>
            <w:r>
              <w:rPr>
                <w:noProof/>
                <w:webHidden/>
              </w:rPr>
              <w:tab/>
            </w:r>
            <w:r>
              <w:rPr>
                <w:noProof/>
                <w:webHidden/>
              </w:rPr>
              <w:fldChar w:fldCharType="begin"/>
            </w:r>
            <w:r>
              <w:rPr>
                <w:noProof/>
                <w:webHidden/>
              </w:rPr>
              <w:instrText xml:space="preserve"> PAGEREF _Toc179724824 \h </w:instrText>
            </w:r>
            <w:r>
              <w:rPr>
                <w:noProof/>
                <w:webHidden/>
              </w:rPr>
            </w:r>
            <w:r>
              <w:rPr>
                <w:noProof/>
                <w:webHidden/>
              </w:rPr>
              <w:fldChar w:fldCharType="separate"/>
            </w:r>
            <w:r>
              <w:rPr>
                <w:noProof/>
                <w:webHidden/>
              </w:rPr>
              <w:t>37</w:t>
            </w:r>
            <w:r>
              <w:rPr>
                <w:noProof/>
                <w:webHidden/>
              </w:rPr>
              <w:fldChar w:fldCharType="end"/>
            </w:r>
          </w:hyperlink>
        </w:p>
        <w:p w14:paraId="5F0AFBE0" w14:textId="6ECD2A45" w:rsidR="003B0A33" w:rsidRDefault="003B0A33">
          <w:pPr>
            <w:pStyle w:val="TOC3"/>
            <w:tabs>
              <w:tab w:val="right" w:leader="dot" w:pos="9016"/>
            </w:tabs>
            <w:rPr>
              <w:noProof/>
              <w:kern w:val="2"/>
              <w:sz w:val="24"/>
              <w:szCs w:val="24"/>
              <w:lang w:eastAsia="en-GB"/>
              <w14:ligatures w14:val="standardContextual"/>
            </w:rPr>
          </w:pPr>
          <w:hyperlink w:anchor="_Toc179724825" w:history="1">
            <w:r w:rsidRPr="002D471B">
              <w:rPr>
                <w:rStyle w:val="Hyperlink"/>
                <w:rFonts w:ascii="Times New Roman" w:hAnsi="Times New Roman" w:cs="Times New Roman"/>
                <w:noProof/>
              </w:rPr>
              <w:t>1.5.1.2 United States (U.S.)</w:t>
            </w:r>
            <w:r>
              <w:rPr>
                <w:noProof/>
                <w:webHidden/>
              </w:rPr>
              <w:tab/>
            </w:r>
            <w:r>
              <w:rPr>
                <w:noProof/>
                <w:webHidden/>
              </w:rPr>
              <w:fldChar w:fldCharType="begin"/>
            </w:r>
            <w:r>
              <w:rPr>
                <w:noProof/>
                <w:webHidden/>
              </w:rPr>
              <w:instrText xml:space="preserve"> PAGEREF _Toc179724825 \h </w:instrText>
            </w:r>
            <w:r>
              <w:rPr>
                <w:noProof/>
                <w:webHidden/>
              </w:rPr>
            </w:r>
            <w:r>
              <w:rPr>
                <w:noProof/>
                <w:webHidden/>
              </w:rPr>
              <w:fldChar w:fldCharType="separate"/>
            </w:r>
            <w:r>
              <w:rPr>
                <w:noProof/>
                <w:webHidden/>
              </w:rPr>
              <w:t>37</w:t>
            </w:r>
            <w:r>
              <w:rPr>
                <w:noProof/>
                <w:webHidden/>
              </w:rPr>
              <w:fldChar w:fldCharType="end"/>
            </w:r>
          </w:hyperlink>
        </w:p>
        <w:p w14:paraId="436DBA0F" w14:textId="475B76D0" w:rsidR="003B0A33" w:rsidRDefault="003B0A33">
          <w:pPr>
            <w:pStyle w:val="TOC3"/>
            <w:tabs>
              <w:tab w:val="right" w:leader="dot" w:pos="9016"/>
            </w:tabs>
            <w:rPr>
              <w:noProof/>
              <w:kern w:val="2"/>
              <w:sz w:val="24"/>
              <w:szCs w:val="24"/>
              <w:lang w:eastAsia="en-GB"/>
              <w14:ligatures w14:val="standardContextual"/>
            </w:rPr>
          </w:pPr>
          <w:hyperlink w:anchor="_Toc179724826" w:history="1">
            <w:r w:rsidRPr="002D471B">
              <w:rPr>
                <w:rStyle w:val="Hyperlink"/>
                <w:rFonts w:ascii="Times New Roman" w:hAnsi="Times New Roman" w:cs="Times New Roman"/>
                <w:noProof/>
              </w:rPr>
              <w:t>1.5.1.3 Asia</w:t>
            </w:r>
            <w:r>
              <w:rPr>
                <w:noProof/>
                <w:webHidden/>
              </w:rPr>
              <w:tab/>
            </w:r>
            <w:r>
              <w:rPr>
                <w:noProof/>
                <w:webHidden/>
              </w:rPr>
              <w:fldChar w:fldCharType="begin"/>
            </w:r>
            <w:r>
              <w:rPr>
                <w:noProof/>
                <w:webHidden/>
              </w:rPr>
              <w:instrText xml:space="preserve"> PAGEREF _Toc179724826 \h </w:instrText>
            </w:r>
            <w:r>
              <w:rPr>
                <w:noProof/>
                <w:webHidden/>
              </w:rPr>
            </w:r>
            <w:r>
              <w:rPr>
                <w:noProof/>
                <w:webHidden/>
              </w:rPr>
              <w:fldChar w:fldCharType="separate"/>
            </w:r>
            <w:r>
              <w:rPr>
                <w:noProof/>
                <w:webHidden/>
              </w:rPr>
              <w:t>37</w:t>
            </w:r>
            <w:r>
              <w:rPr>
                <w:noProof/>
                <w:webHidden/>
              </w:rPr>
              <w:fldChar w:fldCharType="end"/>
            </w:r>
          </w:hyperlink>
        </w:p>
        <w:p w14:paraId="6387AAB0" w14:textId="2DC0F787" w:rsidR="003B0A33" w:rsidRDefault="003B0A33">
          <w:pPr>
            <w:pStyle w:val="TOC1"/>
            <w:tabs>
              <w:tab w:val="right" w:leader="dot" w:pos="9016"/>
            </w:tabs>
            <w:rPr>
              <w:noProof/>
              <w:kern w:val="2"/>
              <w:sz w:val="24"/>
              <w:szCs w:val="24"/>
              <w:lang w:eastAsia="en-GB"/>
              <w14:ligatures w14:val="standardContextual"/>
            </w:rPr>
          </w:pPr>
          <w:hyperlink w:anchor="_Toc179724827" w:history="1">
            <w:r w:rsidRPr="002D471B">
              <w:rPr>
                <w:rStyle w:val="Hyperlink"/>
                <w:rFonts w:ascii="Times New Roman" w:hAnsi="Times New Roman" w:cs="Times New Roman"/>
                <w:noProof/>
              </w:rPr>
              <w:t>Chapter 5</w:t>
            </w:r>
            <w:r>
              <w:rPr>
                <w:noProof/>
                <w:webHidden/>
              </w:rPr>
              <w:tab/>
            </w:r>
            <w:r>
              <w:rPr>
                <w:noProof/>
                <w:webHidden/>
              </w:rPr>
              <w:fldChar w:fldCharType="begin"/>
            </w:r>
            <w:r>
              <w:rPr>
                <w:noProof/>
                <w:webHidden/>
              </w:rPr>
              <w:instrText xml:space="preserve"> PAGEREF _Toc179724827 \h </w:instrText>
            </w:r>
            <w:r>
              <w:rPr>
                <w:noProof/>
                <w:webHidden/>
              </w:rPr>
            </w:r>
            <w:r>
              <w:rPr>
                <w:noProof/>
                <w:webHidden/>
              </w:rPr>
              <w:fldChar w:fldCharType="separate"/>
            </w:r>
            <w:r>
              <w:rPr>
                <w:noProof/>
                <w:webHidden/>
              </w:rPr>
              <w:t>38</w:t>
            </w:r>
            <w:r>
              <w:rPr>
                <w:noProof/>
                <w:webHidden/>
              </w:rPr>
              <w:fldChar w:fldCharType="end"/>
            </w:r>
          </w:hyperlink>
        </w:p>
        <w:p w14:paraId="66AC0896" w14:textId="52B1A52C" w:rsidR="003B0A33" w:rsidRDefault="003B0A33">
          <w:pPr>
            <w:pStyle w:val="TOC2"/>
            <w:rPr>
              <w:noProof/>
              <w:kern w:val="2"/>
              <w:sz w:val="24"/>
              <w:szCs w:val="24"/>
              <w:lang w:eastAsia="en-GB"/>
              <w14:ligatures w14:val="standardContextual"/>
            </w:rPr>
          </w:pPr>
          <w:hyperlink w:anchor="_Toc179724828" w:history="1">
            <w:r w:rsidRPr="002D471B">
              <w:rPr>
                <w:rStyle w:val="Hyperlink"/>
                <w:rFonts w:ascii="Times New Roman" w:hAnsi="Times New Roman" w:cs="Times New Roman"/>
                <w:noProof/>
              </w:rPr>
              <w:t>1.1Result</w:t>
            </w:r>
            <w:r>
              <w:rPr>
                <w:noProof/>
                <w:webHidden/>
              </w:rPr>
              <w:tab/>
            </w:r>
            <w:r>
              <w:rPr>
                <w:noProof/>
                <w:webHidden/>
              </w:rPr>
              <w:fldChar w:fldCharType="begin"/>
            </w:r>
            <w:r>
              <w:rPr>
                <w:noProof/>
                <w:webHidden/>
              </w:rPr>
              <w:instrText xml:space="preserve"> PAGEREF _Toc179724828 \h </w:instrText>
            </w:r>
            <w:r>
              <w:rPr>
                <w:noProof/>
                <w:webHidden/>
              </w:rPr>
            </w:r>
            <w:r>
              <w:rPr>
                <w:noProof/>
                <w:webHidden/>
              </w:rPr>
              <w:fldChar w:fldCharType="separate"/>
            </w:r>
            <w:r>
              <w:rPr>
                <w:noProof/>
                <w:webHidden/>
              </w:rPr>
              <w:t>38</w:t>
            </w:r>
            <w:r>
              <w:rPr>
                <w:noProof/>
                <w:webHidden/>
              </w:rPr>
              <w:fldChar w:fldCharType="end"/>
            </w:r>
          </w:hyperlink>
        </w:p>
        <w:p w14:paraId="70D25CD9" w14:textId="6B8A7BCC" w:rsidR="003B0A33" w:rsidRDefault="003B0A33">
          <w:pPr>
            <w:pStyle w:val="TOC2"/>
            <w:rPr>
              <w:noProof/>
              <w:kern w:val="2"/>
              <w:sz w:val="24"/>
              <w:szCs w:val="24"/>
              <w:lang w:eastAsia="en-GB"/>
              <w14:ligatures w14:val="standardContextual"/>
            </w:rPr>
          </w:pPr>
          <w:hyperlink w:anchor="_Toc179724829" w:history="1">
            <w:r w:rsidRPr="002D471B">
              <w:rPr>
                <w:rStyle w:val="Hyperlink"/>
                <w:rFonts w:ascii="Times New Roman" w:hAnsi="Times New Roman" w:cs="Times New Roman"/>
                <w:noProof/>
              </w:rPr>
              <w:t>1.2Discussion</w:t>
            </w:r>
            <w:r>
              <w:rPr>
                <w:noProof/>
                <w:webHidden/>
              </w:rPr>
              <w:tab/>
            </w:r>
            <w:r>
              <w:rPr>
                <w:noProof/>
                <w:webHidden/>
              </w:rPr>
              <w:fldChar w:fldCharType="begin"/>
            </w:r>
            <w:r>
              <w:rPr>
                <w:noProof/>
                <w:webHidden/>
              </w:rPr>
              <w:instrText xml:space="preserve"> PAGEREF _Toc179724829 \h </w:instrText>
            </w:r>
            <w:r>
              <w:rPr>
                <w:noProof/>
                <w:webHidden/>
              </w:rPr>
            </w:r>
            <w:r>
              <w:rPr>
                <w:noProof/>
                <w:webHidden/>
              </w:rPr>
              <w:fldChar w:fldCharType="separate"/>
            </w:r>
            <w:r>
              <w:rPr>
                <w:noProof/>
                <w:webHidden/>
              </w:rPr>
              <w:t>38</w:t>
            </w:r>
            <w:r>
              <w:rPr>
                <w:noProof/>
                <w:webHidden/>
              </w:rPr>
              <w:fldChar w:fldCharType="end"/>
            </w:r>
          </w:hyperlink>
        </w:p>
        <w:p w14:paraId="5140E26C" w14:textId="024C08E0" w:rsidR="003B0A33" w:rsidRDefault="003B0A33">
          <w:pPr>
            <w:pStyle w:val="TOC1"/>
            <w:tabs>
              <w:tab w:val="right" w:leader="dot" w:pos="9016"/>
            </w:tabs>
            <w:rPr>
              <w:noProof/>
              <w:kern w:val="2"/>
              <w:sz w:val="24"/>
              <w:szCs w:val="24"/>
              <w:lang w:eastAsia="en-GB"/>
              <w14:ligatures w14:val="standardContextual"/>
            </w:rPr>
          </w:pPr>
          <w:hyperlink w:anchor="_Toc179724830" w:history="1">
            <w:r w:rsidRPr="002D471B">
              <w:rPr>
                <w:rStyle w:val="Hyperlink"/>
                <w:rFonts w:ascii="Times New Roman" w:hAnsi="Times New Roman" w:cs="Times New Roman"/>
                <w:noProof/>
              </w:rPr>
              <w:t>Chapter 6</w:t>
            </w:r>
            <w:r>
              <w:rPr>
                <w:noProof/>
                <w:webHidden/>
              </w:rPr>
              <w:tab/>
            </w:r>
            <w:r>
              <w:rPr>
                <w:noProof/>
                <w:webHidden/>
              </w:rPr>
              <w:fldChar w:fldCharType="begin"/>
            </w:r>
            <w:r>
              <w:rPr>
                <w:noProof/>
                <w:webHidden/>
              </w:rPr>
              <w:instrText xml:space="preserve"> PAGEREF _Toc179724830 \h </w:instrText>
            </w:r>
            <w:r>
              <w:rPr>
                <w:noProof/>
                <w:webHidden/>
              </w:rPr>
            </w:r>
            <w:r>
              <w:rPr>
                <w:noProof/>
                <w:webHidden/>
              </w:rPr>
              <w:fldChar w:fldCharType="separate"/>
            </w:r>
            <w:r>
              <w:rPr>
                <w:noProof/>
                <w:webHidden/>
              </w:rPr>
              <w:t>40</w:t>
            </w:r>
            <w:r>
              <w:rPr>
                <w:noProof/>
                <w:webHidden/>
              </w:rPr>
              <w:fldChar w:fldCharType="end"/>
            </w:r>
          </w:hyperlink>
        </w:p>
        <w:p w14:paraId="413B3129" w14:textId="62A14D03" w:rsidR="003B0A33" w:rsidRDefault="003B0A33">
          <w:pPr>
            <w:pStyle w:val="TOC2"/>
            <w:rPr>
              <w:noProof/>
              <w:kern w:val="2"/>
              <w:sz w:val="24"/>
              <w:szCs w:val="24"/>
              <w:lang w:eastAsia="en-GB"/>
              <w14:ligatures w14:val="standardContextual"/>
            </w:rPr>
          </w:pPr>
          <w:hyperlink w:anchor="_Toc179724831" w:history="1">
            <w:r w:rsidRPr="002D471B">
              <w:rPr>
                <w:rStyle w:val="Hyperlink"/>
                <w:rFonts w:ascii="Times New Roman" w:hAnsi="Times New Roman" w:cs="Times New Roman"/>
                <w:noProof/>
              </w:rPr>
              <w:t>1. Conclusion</w:t>
            </w:r>
            <w:r>
              <w:rPr>
                <w:noProof/>
                <w:webHidden/>
              </w:rPr>
              <w:tab/>
            </w:r>
            <w:r>
              <w:rPr>
                <w:noProof/>
                <w:webHidden/>
              </w:rPr>
              <w:fldChar w:fldCharType="begin"/>
            </w:r>
            <w:r>
              <w:rPr>
                <w:noProof/>
                <w:webHidden/>
              </w:rPr>
              <w:instrText xml:space="preserve"> PAGEREF _Toc179724831 \h </w:instrText>
            </w:r>
            <w:r>
              <w:rPr>
                <w:noProof/>
                <w:webHidden/>
              </w:rPr>
            </w:r>
            <w:r>
              <w:rPr>
                <w:noProof/>
                <w:webHidden/>
              </w:rPr>
              <w:fldChar w:fldCharType="separate"/>
            </w:r>
            <w:r>
              <w:rPr>
                <w:noProof/>
                <w:webHidden/>
              </w:rPr>
              <w:t>40</w:t>
            </w:r>
            <w:r>
              <w:rPr>
                <w:noProof/>
                <w:webHidden/>
              </w:rPr>
              <w:fldChar w:fldCharType="end"/>
            </w:r>
          </w:hyperlink>
        </w:p>
        <w:p w14:paraId="16D9C944" w14:textId="604F80C8" w:rsidR="003B0A33" w:rsidRDefault="003B0A33">
          <w:pPr>
            <w:pStyle w:val="TOC2"/>
            <w:rPr>
              <w:noProof/>
              <w:kern w:val="2"/>
              <w:sz w:val="24"/>
              <w:szCs w:val="24"/>
              <w:lang w:eastAsia="en-GB"/>
              <w14:ligatures w14:val="standardContextual"/>
            </w:rPr>
          </w:pPr>
          <w:hyperlink w:anchor="_Toc179724832" w:history="1">
            <w:r w:rsidRPr="002D471B">
              <w:rPr>
                <w:rStyle w:val="Hyperlink"/>
                <w:rFonts w:ascii="Times New Roman" w:hAnsi="Times New Roman" w:cs="Times New Roman"/>
                <w:noProof/>
              </w:rPr>
              <w:t>1.1 Recommendations</w:t>
            </w:r>
            <w:r>
              <w:rPr>
                <w:noProof/>
                <w:webHidden/>
              </w:rPr>
              <w:tab/>
            </w:r>
            <w:r>
              <w:rPr>
                <w:noProof/>
                <w:webHidden/>
              </w:rPr>
              <w:fldChar w:fldCharType="begin"/>
            </w:r>
            <w:r>
              <w:rPr>
                <w:noProof/>
                <w:webHidden/>
              </w:rPr>
              <w:instrText xml:space="preserve"> PAGEREF _Toc179724832 \h </w:instrText>
            </w:r>
            <w:r>
              <w:rPr>
                <w:noProof/>
                <w:webHidden/>
              </w:rPr>
            </w:r>
            <w:r>
              <w:rPr>
                <w:noProof/>
                <w:webHidden/>
              </w:rPr>
              <w:fldChar w:fldCharType="separate"/>
            </w:r>
            <w:r>
              <w:rPr>
                <w:noProof/>
                <w:webHidden/>
              </w:rPr>
              <w:t>40</w:t>
            </w:r>
            <w:r>
              <w:rPr>
                <w:noProof/>
                <w:webHidden/>
              </w:rPr>
              <w:fldChar w:fldCharType="end"/>
            </w:r>
          </w:hyperlink>
        </w:p>
        <w:p w14:paraId="3C0AE13D" w14:textId="13B316B5" w:rsidR="003B0A33" w:rsidRDefault="003B0A33">
          <w:pPr>
            <w:pStyle w:val="TOC1"/>
            <w:tabs>
              <w:tab w:val="right" w:leader="dot" w:pos="9016"/>
            </w:tabs>
            <w:rPr>
              <w:noProof/>
              <w:kern w:val="2"/>
              <w:sz w:val="24"/>
              <w:szCs w:val="24"/>
              <w:lang w:eastAsia="en-GB"/>
              <w14:ligatures w14:val="standardContextual"/>
            </w:rPr>
          </w:pPr>
          <w:hyperlink w:anchor="_Toc179724833" w:history="1">
            <w:r w:rsidRPr="002D471B">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_Toc179724833 \h </w:instrText>
            </w:r>
            <w:r>
              <w:rPr>
                <w:noProof/>
                <w:webHidden/>
              </w:rPr>
            </w:r>
            <w:r>
              <w:rPr>
                <w:noProof/>
                <w:webHidden/>
              </w:rPr>
              <w:fldChar w:fldCharType="separate"/>
            </w:r>
            <w:r>
              <w:rPr>
                <w:noProof/>
                <w:webHidden/>
              </w:rPr>
              <w:t>41</w:t>
            </w:r>
            <w:r>
              <w:rPr>
                <w:noProof/>
                <w:webHidden/>
              </w:rPr>
              <w:fldChar w:fldCharType="end"/>
            </w:r>
          </w:hyperlink>
        </w:p>
        <w:p w14:paraId="2A8C9D23" w14:textId="086FA918" w:rsidR="00BE01B9" w:rsidRPr="00C560CB" w:rsidRDefault="00BE01B9" w:rsidP="0048443F">
          <w:pPr>
            <w:spacing w:line="276" w:lineRule="auto"/>
            <w:jc w:val="both"/>
            <w:rPr>
              <w:rFonts w:ascii="Times New Roman" w:hAnsi="Times New Roman" w:cs="Times New Roman"/>
            </w:rPr>
          </w:pPr>
          <w:r w:rsidRPr="00C560CB">
            <w:rPr>
              <w:rFonts w:ascii="Times New Roman" w:hAnsi="Times New Roman" w:cs="Times New Roman"/>
            </w:rPr>
            <w:fldChar w:fldCharType="end"/>
          </w:r>
        </w:p>
      </w:sdtContent>
    </w:sdt>
    <w:p w14:paraId="66380CB5" w14:textId="77777777" w:rsidR="00470F02" w:rsidRPr="00C560CB" w:rsidRDefault="00470F02" w:rsidP="0048443F">
      <w:pPr>
        <w:spacing w:line="276" w:lineRule="auto"/>
        <w:rPr>
          <w:rFonts w:ascii="Times New Roman" w:hAnsi="Times New Roman" w:cs="Times New Roman"/>
          <w:sz w:val="24"/>
          <w:szCs w:val="24"/>
        </w:rPr>
      </w:pPr>
    </w:p>
    <w:p w14:paraId="391F0430" w14:textId="382B50BB" w:rsidR="00465EF6" w:rsidRPr="00C560CB" w:rsidRDefault="00593065" w:rsidP="0048443F">
      <w:pPr>
        <w:pStyle w:val="TableofFigures"/>
        <w:tabs>
          <w:tab w:val="right" w:leader="dot" w:pos="9016"/>
        </w:tabs>
        <w:spacing w:line="276" w:lineRule="auto"/>
        <w:rPr>
          <w:rFonts w:ascii="Times New Roman" w:hAnsi="Times New Roman" w:cs="Times New Roman"/>
          <w:b/>
          <w:bCs/>
          <w:sz w:val="24"/>
          <w:szCs w:val="24"/>
        </w:rPr>
      </w:pPr>
      <w:r w:rsidRPr="00C560CB">
        <w:rPr>
          <w:rFonts w:ascii="Times New Roman" w:hAnsi="Times New Roman" w:cs="Times New Roman"/>
          <w:b/>
          <w:bCs/>
          <w:sz w:val="24"/>
          <w:szCs w:val="24"/>
        </w:rPr>
        <w:t>Index</w:t>
      </w:r>
      <w:r w:rsidR="00465EF6" w:rsidRPr="00C560CB">
        <w:rPr>
          <w:rFonts w:ascii="Times New Roman" w:hAnsi="Times New Roman" w:cs="Times New Roman"/>
          <w:b/>
          <w:bCs/>
          <w:sz w:val="24"/>
          <w:szCs w:val="24"/>
        </w:rPr>
        <w:t xml:space="preserve"> of Figures</w:t>
      </w:r>
    </w:p>
    <w:p w14:paraId="232D9C8C" w14:textId="77777777" w:rsidR="00465EF6" w:rsidRPr="00C560CB" w:rsidRDefault="00465EF6" w:rsidP="0048443F">
      <w:pPr>
        <w:pStyle w:val="TableofFigures"/>
        <w:tabs>
          <w:tab w:val="right" w:leader="dot" w:pos="9016"/>
        </w:tabs>
        <w:spacing w:line="276" w:lineRule="auto"/>
        <w:rPr>
          <w:rFonts w:ascii="Times New Roman" w:hAnsi="Times New Roman" w:cs="Times New Roman"/>
          <w:sz w:val="24"/>
          <w:szCs w:val="24"/>
        </w:rPr>
      </w:pPr>
    </w:p>
    <w:p w14:paraId="715A374D" w14:textId="58752B24" w:rsidR="001853DF" w:rsidRPr="00C560CB" w:rsidRDefault="00EF37A6"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r w:rsidRPr="00C560CB">
        <w:rPr>
          <w:rFonts w:ascii="Times New Roman" w:hAnsi="Times New Roman" w:cs="Times New Roman"/>
          <w:sz w:val="24"/>
          <w:szCs w:val="24"/>
        </w:rPr>
        <w:fldChar w:fldCharType="begin"/>
      </w:r>
      <w:r w:rsidRPr="00C560CB">
        <w:rPr>
          <w:rFonts w:ascii="Times New Roman" w:hAnsi="Times New Roman" w:cs="Times New Roman"/>
          <w:sz w:val="24"/>
          <w:szCs w:val="24"/>
        </w:rPr>
        <w:instrText xml:space="preserve"> TOC \h \z \c "Figure" </w:instrText>
      </w:r>
      <w:r w:rsidRPr="00C560CB">
        <w:rPr>
          <w:rFonts w:ascii="Times New Roman" w:hAnsi="Times New Roman" w:cs="Times New Roman"/>
          <w:sz w:val="24"/>
          <w:szCs w:val="24"/>
        </w:rPr>
        <w:fldChar w:fldCharType="separate"/>
      </w:r>
      <w:hyperlink w:anchor="_Toc178693126" w:history="1">
        <w:r w:rsidR="001853DF" w:rsidRPr="00C560CB">
          <w:rPr>
            <w:rStyle w:val="Hyperlink"/>
            <w:rFonts w:ascii="Times New Roman" w:hAnsi="Times New Roman" w:cs="Times New Roman"/>
          </w:rPr>
          <w:t>Figure 1 Detailed ESG factors include</w:t>
        </w:r>
        <w:r w:rsidR="001853DF" w:rsidRPr="00C560CB">
          <w:rPr>
            <w:rFonts w:ascii="Times New Roman" w:hAnsi="Times New Roman" w:cs="Times New Roman"/>
            <w:webHidden/>
          </w:rPr>
          <w:tab/>
        </w:r>
        <w:r w:rsidR="001853DF" w:rsidRPr="00C560CB">
          <w:rPr>
            <w:rFonts w:ascii="Times New Roman" w:hAnsi="Times New Roman" w:cs="Times New Roman"/>
            <w:webHidden/>
          </w:rPr>
          <w:fldChar w:fldCharType="begin"/>
        </w:r>
        <w:r w:rsidR="001853DF" w:rsidRPr="00C560CB">
          <w:rPr>
            <w:rFonts w:ascii="Times New Roman" w:hAnsi="Times New Roman" w:cs="Times New Roman"/>
            <w:webHidden/>
          </w:rPr>
          <w:instrText xml:space="preserve"> PAGEREF _Toc178693126 \h </w:instrText>
        </w:r>
        <w:r w:rsidR="001853DF" w:rsidRPr="00C560CB">
          <w:rPr>
            <w:rFonts w:ascii="Times New Roman" w:hAnsi="Times New Roman" w:cs="Times New Roman"/>
            <w:webHidden/>
          </w:rPr>
        </w:r>
        <w:r w:rsidR="001853DF" w:rsidRPr="00C560CB">
          <w:rPr>
            <w:rFonts w:ascii="Times New Roman" w:hAnsi="Times New Roman" w:cs="Times New Roman"/>
            <w:webHidden/>
          </w:rPr>
          <w:fldChar w:fldCharType="separate"/>
        </w:r>
        <w:r w:rsidR="001853DF" w:rsidRPr="00C560CB">
          <w:rPr>
            <w:rFonts w:ascii="Times New Roman" w:hAnsi="Times New Roman" w:cs="Times New Roman"/>
            <w:webHidden/>
          </w:rPr>
          <w:t>8</w:t>
        </w:r>
        <w:r w:rsidR="001853DF" w:rsidRPr="00C560CB">
          <w:rPr>
            <w:rFonts w:ascii="Times New Roman" w:hAnsi="Times New Roman" w:cs="Times New Roman"/>
            <w:webHidden/>
          </w:rPr>
          <w:fldChar w:fldCharType="end"/>
        </w:r>
      </w:hyperlink>
    </w:p>
    <w:p w14:paraId="2D086FE6" w14:textId="61DD3331"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27" w:history="1">
        <w:r w:rsidRPr="00C560CB">
          <w:rPr>
            <w:rStyle w:val="Hyperlink"/>
            <w:rFonts w:ascii="Times New Roman" w:hAnsi="Times New Roman" w:cs="Times New Roman"/>
          </w:rPr>
          <w:t>Figure 2 Impact of Social Factors on Market Valuation and Investor Behaviour</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_Toc178693127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12</w:t>
        </w:r>
        <w:r w:rsidRPr="00C560CB">
          <w:rPr>
            <w:rFonts w:ascii="Times New Roman" w:hAnsi="Times New Roman" w:cs="Times New Roman"/>
            <w:webHidden/>
          </w:rPr>
          <w:fldChar w:fldCharType="end"/>
        </w:r>
      </w:hyperlink>
    </w:p>
    <w:p w14:paraId="37B985D3" w14:textId="0BC87DC0"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28" w:history="1">
        <w:r w:rsidRPr="00C560CB">
          <w:rPr>
            <w:rStyle w:val="Hyperlink"/>
            <w:rFonts w:ascii="Times New Roman" w:hAnsi="Times New Roman" w:cs="Times New Roman"/>
          </w:rPr>
          <w:t>Figure 3 A Pathway to Sustainable Risk Management and Superior Returns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_Toc178693128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15</w:t>
        </w:r>
        <w:r w:rsidRPr="00C560CB">
          <w:rPr>
            <w:rFonts w:ascii="Times New Roman" w:hAnsi="Times New Roman" w:cs="Times New Roman"/>
            <w:webHidden/>
          </w:rPr>
          <w:fldChar w:fldCharType="end"/>
        </w:r>
      </w:hyperlink>
    </w:p>
    <w:p w14:paraId="634FBD20" w14:textId="10C15CB5"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29" w:history="1">
        <w:r w:rsidRPr="00C560CB">
          <w:rPr>
            <w:rStyle w:val="Hyperlink"/>
            <w:rFonts w:ascii="Times New Roman" w:hAnsi="Times New Roman" w:cs="Times New Roman"/>
          </w:rPr>
          <w:t>Figure 4 Comparison of ESG Quintiles on Profitability, Dividend Yield, and Risk Reduction</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_Toc178693129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16</w:t>
        </w:r>
        <w:r w:rsidRPr="00C560CB">
          <w:rPr>
            <w:rFonts w:ascii="Times New Roman" w:hAnsi="Times New Roman" w:cs="Times New Roman"/>
            <w:webHidden/>
          </w:rPr>
          <w:fldChar w:fldCharType="end"/>
        </w:r>
      </w:hyperlink>
    </w:p>
    <w:p w14:paraId="05176DCA" w14:textId="70D30BA3"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30" w:history="1">
        <w:r w:rsidRPr="00C560CB">
          <w:rPr>
            <w:rStyle w:val="Hyperlink"/>
            <w:rFonts w:ascii="Times New Roman" w:hAnsi="Times New Roman" w:cs="Times New Roman"/>
          </w:rPr>
          <w:t>Figure 5 Mapping ESG Factors to Corporate Success Across Sectors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_Toc178693130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19</w:t>
        </w:r>
        <w:r w:rsidRPr="00C560CB">
          <w:rPr>
            <w:rFonts w:ascii="Times New Roman" w:hAnsi="Times New Roman" w:cs="Times New Roman"/>
            <w:webHidden/>
          </w:rPr>
          <w:fldChar w:fldCharType="end"/>
        </w:r>
      </w:hyperlink>
    </w:p>
    <w:p w14:paraId="6EDB86D7" w14:textId="56E784DC"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31" w:history="1">
        <w:r w:rsidRPr="00C560CB">
          <w:rPr>
            <w:rStyle w:val="Hyperlink"/>
            <w:rFonts w:ascii="Times New Roman" w:hAnsi="Times New Roman" w:cs="Times New Roman"/>
          </w:rPr>
          <w:t>Figure 6  Scatter Plot Analysis: Environmental Score vs Financial Performance Metrics (ROE, ROA, Stock Price Growth)</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_Toc178693131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26</w:t>
        </w:r>
        <w:r w:rsidRPr="00C560CB">
          <w:rPr>
            <w:rFonts w:ascii="Times New Roman" w:hAnsi="Times New Roman" w:cs="Times New Roman"/>
            <w:webHidden/>
          </w:rPr>
          <w:fldChar w:fldCharType="end"/>
        </w:r>
      </w:hyperlink>
    </w:p>
    <w:p w14:paraId="76D0E99A" w14:textId="413009F0"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32" w:history="1">
        <w:r w:rsidRPr="00C560CB">
          <w:rPr>
            <w:rStyle w:val="Hyperlink"/>
            <w:rFonts w:ascii="Times New Roman" w:hAnsi="Times New Roman" w:cs="Times New Roman"/>
          </w:rPr>
          <w:t>Figure 7  ESG Scores and Stock Volatility: A Sectoral Comparison</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_Toc178693132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28</w:t>
        </w:r>
        <w:r w:rsidRPr="00C560CB">
          <w:rPr>
            <w:rFonts w:ascii="Times New Roman" w:hAnsi="Times New Roman" w:cs="Times New Roman"/>
            <w:webHidden/>
          </w:rPr>
          <w:fldChar w:fldCharType="end"/>
        </w:r>
      </w:hyperlink>
    </w:p>
    <w:p w14:paraId="63FA5317" w14:textId="2CCB378D" w:rsidR="00F20E7F" w:rsidRPr="00C560CB" w:rsidRDefault="00EF37A6" w:rsidP="0048443F">
      <w:pPr>
        <w:spacing w:line="276" w:lineRule="auto"/>
        <w:jc w:val="both"/>
        <w:rPr>
          <w:rFonts w:ascii="Times New Roman" w:hAnsi="Times New Roman" w:cs="Times New Roman"/>
          <w:sz w:val="24"/>
          <w:szCs w:val="24"/>
        </w:rPr>
      </w:pPr>
      <w:r w:rsidRPr="00C560CB">
        <w:rPr>
          <w:rFonts w:ascii="Times New Roman" w:hAnsi="Times New Roman" w:cs="Times New Roman"/>
          <w:sz w:val="24"/>
          <w:szCs w:val="24"/>
        </w:rPr>
        <w:fldChar w:fldCharType="end"/>
      </w:r>
    </w:p>
    <w:p w14:paraId="5174808E" w14:textId="6B4C2A29" w:rsidR="0038512D" w:rsidRPr="00C560CB" w:rsidRDefault="00593065" w:rsidP="0048443F">
      <w:pPr>
        <w:spacing w:line="276" w:lineRule="auto"/>
        <w:jc w:val="both"/>
        <w:rPr>
          <w:rFonts w:ascii="Times New Roman" w:hAnsi="Times New Roman" w:cs="Times New Roman"/>
          <w:b/>
          <w:bCs/>
          <w:sz w:val="24"/>
          <w:szCs w:val="24"/>
        </w:rPr>
      </w:pPr>
      <w:r w:rsidRPr="00C560CB">
        <w:rPr>
          <w:rFonts w:ascii="Times New Roman" w:hAnsi="Times New Roman" w:cs="Times New Roman"/>
          <w:b/>
          <w:bCs/>
          <w:sz w:val="24"/>
          <w:szCs w:val="24"/>
        </w:rPr>
        <w:lastRenderedPageBreak/>
        <w:t>Index of Tables</w:t>
      </w:r>
    </w:p>
    <w:p w14:paraId="1D6187F1" w14:textId="51AEA767" w:rsidR="00B0554A" w:rsidRPr="00C560CB" w:rsidRDefault="0038512D"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r w:rsidRPr="00C560CB">
        <w:rPr>
          <w:rFonts w:ascii="Times New Roman" w:hAnsi="Times New Roman" w:cs="Times New Roman"/>
          <w:sz w:val="24"/>
          <w:szCs w:val="24"/>
        </w:rPr>
        <w:fldChar w:fldCharType="begin"/>
      </w:r>
      <w:r w:rsidRPr="00C560CB">
        <w:rPr>
          <w:rFonts w:ascii="Times New Roman" w:hAnsi="Times New Roman" w:cs="Times New Roman"/>
          <w:sz w:val="24"/>
          <w:szCs w:val="24"/>
        </w:rPr>
        <w:instrText xml:space="preserve"> TOC \h \z \c "Table" </w:instrText>
      </w:r>
      <w:r w:rsidRPr="00C560CB">
        <w:rPr>
          <w:rFonts w:ascii="Times New Roman" w:hAnsi="Times New Roman" w:cs="Times New Roman"/>
          <w:sz w:val="24"/>
          <w:szCs w:val="24"/>
        </w:rPr>
        <w:fldChar w:fldCharType="separate"/>
      </w:r>
      <w:hyperlink w:anchor="_Toc179368020" w:history="1">
        <w:r w:rsidR="00B0554A" w:rsidRPr="00C560CB">
          <w:rPr>
            <w:rStyle w:val="Hyperlink"/>
            <w:rFonts w:ascii="Times New Roman" w:hAnsi="Times New Roman" w:cs="Times New Roman"/>
          </w:rPr>
          <w:t>Table 1 Environmental Impact on Various Industries</w:t>
        </w:r>
        <w:r w:rsidR="00B0554A" w:rsidRPr="00C560CB">
          <w:rPr>
            <w:rFonts w:ascii="Times New Roman" w:hAnsi="Times New Roman" w:cs="Times New Roman"/>
            <w:webHidden/>
          </w:rPr>
          <w:tab/>
        </w:r>
        <w:r w:rsidR="00B0554A" w:rsidRPr="00C560CB">
          <w:rPr>
            <w:rFonts w:ascii="Times New Roman" w:hAnsi="Times New Roman" w:cs="Times New Roman"/>
            <w:webHidden/>
          </w:rPr>
          <w:fldChar w:fldCharType="begin"/>
        </w:r>
        <w:r w:rsidR="00B0554A" w:rsidRPr="00C560CB">
          <w:rPr>
            <w:rFonts w:ascii="Times New Roman" w:hAnsi="Times New Roman" w:cs="Times New Roman"/>
            <w:webHidden/>
          </w:rPr>
          <w:instrText xml:space="preserve"> PAGEREF _Toc179368020 \h </w:instrText>
        </w:r>
        <w:r w:rsidR="00B0554A" w:rsidRPr="00C560CB">
          <w:rPr>
            <w:rFonts w:ascii="Times New Roman" w:hAnsi="Times New Roman" w:cs="Times New Roman"/>
            <w:webHidden/>
          </w:rPr>
        </w:r>
        <w:r w:rsidR="00B0554A" w:rsidRPr="00C560CB">
          <w:rPr>
            <w:rFonts w:ascii="Times New Roman" w:hAnsi="Times New Roman" w:cs="Times New Roman"/>
            <w:webHidden/>
          </w:rPr>
          <w:fldChar w:fldCharType="separate"/>
        </w:r>
        <w:r w:rsidR="00B0554A" w:rsidRPr="00C560CB">
          <w:rPr>
            <w:rFonts w:ascii="Times New Roman" w:hAnsi="Times New Roman" w:cs="Times New Roman"/>
            <w:webHidden/>
          </w:rPr>
          <w:t>9</w:t>
        </w:r>
        <w:r w:rsidR="00B0554A" w:rsidRPr="00C560CB">
          <w:rPr>
            <w:rFonts w:ascii="Times New Roman" w:hAnsi="Times New Roman" w:cs="Times New Roman"/>
            <w:webHidden/>
          </w:rPr>
          <w:fldChar w:fldCharType="end"/>
        </w:r>
      </w:hyperlink>
    </w:p>
    <w:p w14:paraId="41A8F281" w14:textId="000A1CB2" w:rsidR="00B0554A" w:rsidRPr="00C560CB" w:rsidRDefault="00B0554A"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9368021" w:history="1">
        <w:r w:rsidRPr="00C560CB">
          <w:rPr>
            <w:rStyle w:val="Hyperlink"/>
            <w:rFonts w:ascii="Times New Roman" w:hAnsi="Times New Roman" w:cs="Times New Roman"/>
          </w:rPr>
          <w:t>Table 2 Summary of the multiple regression results, indicating the weak explanatory power of environmental scores on financial performance metrics.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_Toc179368021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22</w:t>
        </w:r>
        <w:r w:rsidRPr="00C560CB">
          <w:rPr>
            <w:rFonts w:ascii="Times New Roman" w:hAnsi="Times New Roman" w:cs="Times New Roman"/>
            <w:webHidden/>
          </w:rPr>
          <w:fldChar w:fldCharType="end"/>
        </w:r>
      </w:hyperlink>
    </w:p>
    <w:p w14:paraId="096C236C" w14:textId="3AD127B8" w:rsidR="00B0554A" w:rsidRPr="00C560CB" w:rsidRDefault="00B0554A"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9368022" w:history="1">
        <w:r w:rsidRPr="00C560CB">
          <w:rPr>
            <w:rStyle w:val="Hyperlink"/>
            <w:rFonts w:ascii="Times New Roman" w:hAnsi="Times New Roman" w:cs="Times New Roman"/>
          </w:rPr>
          <w:t>Table 3 Key Metrics from ESG and Stock Volatility Regression Analysis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_Toc179368022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24</w:t>
        </w:r>
        <w:r w:rsidRPr="00C560CB">
          <w:rPr>
            <w:rFonts w:ascii="Times New Roman" w:hAnsi="Times New Roman" w:cs="Times New Roman"/>
            <w:webHidden/>
          </w:rPr>
          <w:fldChar w:fldCharType="end"/>
        </w:r>
      </w:hyperlink>
    </w:p>
    <w:p w14:paraId="14979092" w14:textId="7AD430B6" w:rsidR="00B0554A" w:rsidRPr="00C560CB" w:rsidRDefault="00B0554A"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9368023" w:history="1">
        <w:r w:rsidRPr="00C560CB">
          <w:rPr>
            <w:rStyle w:val="Hyperlink"/>
            <w:rFonts w:ascii="Times New Roman" w:hAnsi="Times New Roman" w:cs="Times New Roman"/>
          </w:rPr>
          <w:t>Table 4 Comparative Analysis of ESG Regulatory Requirements by Region</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_Toc179368023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31</w:t>
        </w:r>
        <w:r w:rsidRPr="00C560CB">
          <w:rPr>
            <w:rFonts w:ascii="Times New Roman" w:hAnsi="Times New Roman" w:cs="Times New Roman"/>
            <w:webHidden/>
          </w:rPr>
          <w:fldChar w:fldCharType="end"/>
        </w:r>
      </w:hyperlink>
    </w:p>
    <w:p w14:paraId="3F246086" w14:textId="48E8A68F" w:rsidR="002A18EA" w:rsidRPr="00C560CB" w:rsidRDefault="0038512D" w:rsidP="0048443F">
      <w:pPr>
        <w:spacing w:line="276" w:lineRule="auto"/>
        <w:jc w:val="both"/>
        <w:rPr>
          <w:rFonts w:ascii="Times New Roman" w:hAnsi="Times New Roman" w:cs="Times New Roman"/>
          <w:sz w:val="24"/>
          <w:szCs w:val="24"/>
        </w:rPr>
      </w:pPr>
      <w:r w:rsidRPr="00C560CB">
        <w:rPr>
          <w:rFonts w:ascii="Times New Roman" w:hAnsi="Times New Roman" w:cs="Times New Roman"/>
          <w:sz w:val="24"/>
          <w:szCs w:val="24"/>
        </w:rPr>
        <w:fldChar w:fldCharType="end"/>
      </w:r>
    </w:p>
    <w:p w14:paraId="24754817" w14:textId="77777777" w:rsidR="0019120B" w:rsidRPr="00C560CB" w:rsidRDefault="0019120B"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0B2E06FB" w14:textId="77777777" w:rsidR="00C64052" w:rsidRPr="00C560CB" w:rsidRDefault="00C64052"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387EFADD"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EF5927E"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07121240"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11872E77"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5F299BB1"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7CA8671"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1704EA8"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3CEFE2CB"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73800F5D"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5D90470A"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070F872C"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094433DB"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94F0987"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1FA73BB9"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516C7B35"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52F22E6C"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044733F9"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0BDD71E"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7752D6F3" w14:textId="3AA18025" w:rsidR="000E22CB" w:rsidRPr="00C560CB" w:rsidRDefault="000E22CB"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r w:rsidRPr="00C560CB">
        <w:rPr>
          <w:rFonts w:ascii="Times New Roman" w:eastAsia="Times New Roman" w:hAnsi="Times New Roman" w:cs="Times New Roman"/>
          <w:b/>
          <w:bCs/>
          <w:color w:val="000000" w:themeColor="text1"/>
          <w:sz w:val="28"/>
          <w:szCs w:val="28"/>
          <w:lang w:eastAsia="en-GB"/>
        </w:rPr>
        <w:t>List of Abbreviations</w:t>
      </w:r>
    </w:p>
    <w:p w14:paraId="6A48482F" w14:textId="0E7F6D30" w:rsidR="00E5398A" w:rsidRPr="00C560CB" w:rsidRDefault="00E5398A" w:rsidP="0048443F">
      <w:pPr>
        <w:spacing w:line="276" w:lineRule="auto"/>
        <w:ind w:left="720"/>
        <w:rPr>
          <w:rFonts w:ascii="Times New Roman" w:hAnsi="Times New Roman" w:cs="Times New Roman"/>
          <w:b/>
          <w:bCs/>
          <w:sz w:val="24"/>
          <w:szCs w:val="24"/>
        </w:rPr>
      </w:pPr>
      <w:r w:rsidRPr="00C560CB">
        <w:rPr>
          <w:rFonts w:ascii="Times New Roman" w:hAnsi="Times New Roman" w:cs="Times New Roman"/>
          <w:b/>
          <w:bCs/>
          <w:sz w:val="24"/>
          <w:szCs w:val="24"/>
        </w:rPr>
        <w:t xml:space="preserve">AUM - </w:t>
      </w:r>
      <w:r w:rsidRPr="00C560CB">
        <w:rPr>
          <w:rFonts w:ascii="Times New Roman" w:hAnsi="Times New Roman" w:cs="Times New Roman"/>
          <w:sz w:val="24"/>
          <w:szCs w:val="24"/>
        </w:rPr>
        <w:t>Assets Under Management</w:t>
      </w:r>
    </w:p>
    <w:p w14:paraId="72062CD4" w14:textId="5E803440"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CSR</w:t>
      </w:r>
      <w:r w:rsidRPr="00C560CB">
        <w:rPr>
          <w:rFonts w:ascii="Times New Roman" w:hAnsi="Times New Roman" w:cs="Times New Roman"/>
          <w:sz w:val="24"/>
          <w:szCs w:val="24"/>
        </w:rPr>
        <w:t xml:space="preserve"> - Corporate Social Responsibility</w:t>
      </w:r>
    </w:p>
    <w:p w14:paraId="71F2C796" w14:textId="0068F797"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CSRD</w:t>
      </w:r>
      <w:r w:rsidRPr="00C560CB">
        <w:rPr>
          <w:rFonts w:ascii="Times New Roman" w:hAnsi="Times New Roman" w:cs="Times New Roman"/>
          <w:sz w:val="24"/>
          <w:szCs w:val="24"/>
        </w:rPr>
        <w:t xml:space="preserve"> - Corporate Sustainability Reporting Directive</w:t>
      </w:r>
    </w:p>
    <w:p w14:paraId="09DFA807" w14:textId="0808FE10"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ERM</w:t>
      </w:r>
      <w:r w:rsidRPr="00C560CB">
        <w:rPr>
          <w:rFonts w:ascii="Times New Roman" w:hAnsi="Times New Roman" w:cs="Times New Roman"/>
          <w:sz w:val="24"/>
          <w:szCs w:val="24"/>
        </w:rPr>
        <w:t xml:space="preserve"> - Environmental Risk Management</w:t>
      </w:r>
    </w:p>
    <w:p w14:paraId="643DC29F" w14:textId="14D25AAC"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ESG</w:t>
      </w:r>
      <w:r w:rsidRPr="00C560CB">
        <w:rPr>
          <w:rFonts w:ascii="Times New Roman" w:hAnsi="Times New Roman" w:cs="Times New Roman"/>
          <w:sz w:val="24"/>
          <w:szCs w:val="24"/>
        </w:rPr>
        <w:t xml:space="preserve"> - Environmental, Social, and Governance</w:t>
      </w:r>
    </w:p>
    <w:p w14:paraId="306042CD" w14:textId="6AF6B984"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EU</w:t>
      </w:r>
      <w:r w:rsidRPr="00C560CB">
        <w:rPr>
          <w:rFonts w:ascii="Times New Roman" w:hAnsi="Times New Roman" w:cs="Times New Roman"/>
          <w:sz w:val="24"/>
          <w:szCs w:val="24"/>
        </w:rPr>
        <w:t xml:space="preserve"> - European Union</w:t>
      </w:r>
    </w:p>
    <w:p w14:paraId="77EF81AB" w14:textId="25A8E74D"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GICS</w:t>
      </w:r>
      <w:r w:rsidRPr="00C560CB">
        <w:rPr>
          <w:rFonts w:ascii="Times New Roman" w:hAnsi="Times New Roman" w:cs="Times New Roman"/>
          <w:sz w:val="24"/>
          <w:szCs w:val="24"/>
        </w:rPr>
        <w:t xml:space="preserve"> - Global Industry Classification Standard</w:t>
      </w:r>
    </w:p>
    <w:p w14:paraId="3A4E7D19" w14:textId="098E0A15"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GMM</w:t>
      </w:r>
      <w:r w:rsidRPr="00C560CB">
        <w:rPr>
          <w:rFonts w:ascii="Times New Roman" w:hAnsi="Times New Roman" w:cs="Times New Roman"/>
          <w:sz w:val="24"/>
          <w:szCs w:val="24"/>
        </w:rPr>
        <w:t xml:space="preserve"> - Generalized Method of Moments</w:t>
      </w:r>
    </w:p>
    <w:p w14:paraId="70220B36" w14:textId="13CE025C"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IFRS</w:t>
      </w:r>
      <w:r w:rsidRPr="00C560CB">
        <w:rPr>
          <w:rFonts w:ascii="Times New Roman" w:hAnsi="Times New Roman" w:cs="Times New Roman"/>
          <w:sz w:val="24"/>
          <w:szCs w:val="24"/>
        </w:rPr>
        <w:t xml:space="preserve"> - International Financial Reporting Standards</w:t>
      </w:r>
    </w:p>
    <w:p w14:paraId="6514FC5E" w14:textId="04766284"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MSCI</w:t>
      </w:r>
      <w:r w:rsidRPr="00C560CB">
        <w:rPr>
          <w:rFonts w:ascii="Times New Roman" w:hAnsi="Times New Roman" w:cs="Times New Roman"/>
          <w:sz w:val="24"/>
          <w:szCs w:val="24"/>
        </w:rPr>
        <w:t xml:space="preserve"> - Morgan Stanley Capital International</w:t>
      </w:r>
    </w:p>
    <w:p w14:paraId="712295C3" w14:textId="6984C7DD"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PRI</w:t>
      </w:r>
      <w:r w:rsidRPr="00C560CB">
        <w:rPr>
          <w:rFonts w:ascii="Times New Roman" w:hAnsi="Times New Roman" w:cs="Times New Roman"/>
          <w:sz w:val="24"/>
          <w:szCs w:val="24"/>
        </w:rPr>
        <w:t xml:space="preserve"> - Principles for Responsible Investment</w:t>
      </w:r>
    </w:p>
    <w:p w14:paraId="56D83E18" w14:textId="41A5BA34"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ROA</w:t>
      </w:r>
      <w:r w:rsidRPr="00C560CB">
        <w:rPr>
          <w:rFonts w:ascii="Times New Roman" w:hAnsi="Times New Roman" w:cs="Times New Roman"/>
          <w:sz w:val="24"/>
          <w:szCs w:val="24"/>
        </w:rPr>
        <w:t xml:space="preserve"> - Return on Assets</w:t>
      </w:r>
    </w:p>
    <w:p w14:paraId="40D2FA0E" w14:textId="01792E66"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ROE</w:t>
      </w:r>
      <w:r w:rsidRPr="00C560CB">
        <w:rPr>
          <w:rFonts w:ascii="Times New Roman" w:hAnsi="Times New Roman" w:cs="Times New Roman"/>
          <w:sz w:val="24"/>
          <w:szCs w:val="24"/>
        </w:rPr>
        <w:t xml:space="preserve"> - Return on Equity</w:t>
      </w:r>
    </w:p>
    <w:p w14:paraId="78CFD508" w14:textId="7183BFF2" w:rsidR="00E5398A" w:rsidRPr="00C560CB" w:rsidRDefault="00E5398A" w:rsidP="0048443F">
      <w:pPr>
        <w:spacing w:line="276" w:lineRule="auto"/>
        <w:ind w:left="720"/>
        <w:rPr>
          <w:rFonts w:ascii="Times New Roman" w:hAnsi="Times New Roman" w:cs="Times New Roman"/>
          <w:sz w:val="28"/>
          <w:szCs w:val="28"/>
        </w:rPr>
      </w:pPr>
      <w:r w:rsidRPr="00C560CB">
        <w:rPr>
          <w:rFonts w:ascii="Times New Roman" w:hAnsi="Times New Roman" w:cs="Times New Roman"/>
          <w:b/>
          <w:bCs/>
          <w:sz w:val="28"/>
          <w:szCs w:val="28"/>
        </w:rPr>
        <w:t>SEC</w:t>
      </w:r>
      <w:r w:rsidRPr="00C560CB">
        <w:rPr>
          <w:rFonts w:ascii="Times New Roman" w:hAnsi="Times New Roman" w:cs="Times New Roman"/>
          <w:sz w:val="28"/>
          <w:szCs w:val="28"/>
        </w:rPr>
        <w:t xml:space="preserve"> - Securities and Exchange Commission</w:t>
      </w:r>
    </w:p>
    <w:p w14:paraId="05914810" w14:textId="7A18CAD4" w:rsidR="002A18EA" w:rsidRPr="00C560CB" w:rsidRDefault="00E5398A" w:rsidP="0048443F">
      <w:pPr>
        <w:spacing w:line="276" w:lineRule="auto"/>
        <w:ind w:left="720"/>
        <w:rPr>
          <w:rFonts w:ascii="Times New Roman" w:hAnsi="Times New Roman" w:cs="Times New Roman"/>
          <w:sz w:val="28"/>
          <w:szCs w:val="28"/>
        </w:rPr>
      </w:pPr>
      <w:r w:rsidRPr="00C560CB">
        <w:rPr>
          <w:rFonts w:ascii="Times New Roman" w:hAnsi="Times New Roman" w:cs="Times New Roman"/>
          <w:b/>
          <w:bCs/>
          <w:sz w:val="28"/>
          <w:szCs w:val="28"/>
        </w:rPr>
        <w:t>SRI</w:t>
      </w:r>
      <w:r w:rsidRPr="00C560CB">
        <w:rPr>
          <w:rFonts w:ascii="Times New Roman" w:hAnsi="Times New Roman" w:cs="Times New Roman"/>
          <w:sz w:val="28"/>
          <w:szCs w:val="28"/>
        </w:rPr>
        <w:t xml:space="preserve"> - Socially Responsible Investing</w:t>
      </w:r>
    </w:p>
    <w:p w14:paraId="04E5982E" w14:textId="77777777" w:rsidR="002A18EA" w:rsidRPr="00C560CB" w:rsidRDefault="002A18EA" w:rsidP="0048443F">
      <w:pPr>
        <w:spacing w:line="276" w:lineRule="auto"/>
        <w:rPr>
          <w:rFonts w:ascii="Times New Roman" w:hAnsi="Times New Roman" w:cs="Times New Roman"/>
          <w:sz w:val="24"/>
          <w:szCs w:val="24"/>
        </w:rPr>
      </w:pPr>
    </w:p>
    <w:p w14:paraId="1DDF34D9" w14:textId="77777777" w:rsidR="002A18EA" w:rsidRPr="00C560CB" w:rsidRDefault="002A18EA" w:rsidP="0048443F">
      <w:pPr>
        <w:spacing w:line="276" w:lineRule="auto"/>
        <w:rPr>
          <w:rFonts w:ascii="Times New Roman" w:hAnsi="Times New Roman" w:cs="Times New Roman"/>
          <w:sz w:val="24"/>
          <w:szCs w:val="24"/>
        </w:rPr>
      </w:pPr>
    </w:p>
    <w:p w14:paraId="3F5F1BFC" w14:textId="77777777" w:rsidR="002A18EA" w:rsidRPr="00C560CB" w:rsidRDefault="002A18EA" w:rsidP="0048443F">
      <w:pPr>
        <w:spacing w:line="276" w:lineRule="auto"/>
        <w:rPr>
          <w:rFonts w:ascii="Times New Roman" w:hAnsi="Times New Roman" w:cs="Times New Roman"/>
          <w:sz w:val="24"/>
          <w:szCs w:val="24"/>
        </w:rPr>
      </w:pPr>
    </w:p>
    <w:p w14:paraId="1E48198D" w14:textId="77777777" w:rsidR="002A18EA" w:rsidRPr="00C560CB" w:rsidRDefault="002A18EA" w:rsidP="0048443F">
      <w:pPr>
        <w:spacing w:line="276" w:lineRule="auto"/>
        <w:rPr>
          <w:rFonts w:ascii="Times New Roman" w:hAnsi="Times New Roman" w:cs="Times New Roman"/>
          <w:sz w:val="24"/>
          <w:szCs w:val="24"/>
        </w:rPr>
      </w:pPr>
    </w:p>
    <w:p w14:paraId="61A5AC16" w14:textId="77777777" w:rsidR="0048443F" w:rsidRPr="00C560CB" w:rsidRDefault="0048443F" w:rsidP="0048443F">
      <w:pPr>
        <w:spacing w:line="276" w:lineRule="auto"/>
        <w:jc w:val="center"/>
        <w:rPr>
          <w:rFonts w:ascii="Times New Roman" w:hAnsi="Times New Roman" w:cs="Times New Roman"/>
          <w:sz w:val="24"/>
          <w:szCs w:val="24"/>
        </w:rPr>
      </w:pPr>
    </w:p>
    <w:p w14:paraId="2FF1FF95" w14:textId="77777777" w:rsidR="007628AD" w:rsidRDefault="007628AD" w:rsidP="0048443F">
      <w:pPr>
        <w:pStyle w:val="Heading1"/>
        <w:spacing w:line="276" w:lineRule="auto"/>
        <w:rPr>
          <w:rFonts w:ascii="Times New Roman" w:hAnsi="Times New Roman" w:cs="Times New Roman"/>
        </w:rPr>
      </w:pPr>
      <w:bookmarkStart w:id="2" w:name="_Toc175049727"/>
      <w:bookmarkStart w:id="3" w:name="_Toc179724775"/>
    </w:p>
    <w:p w14:paraId="23E7176A" w14:textId="77777777" w:rsidR="007628AD" w:rsidRDefault="007628AD" w:rsidP="007628AD"/>
    <w:p w14:paraId="28D0FD34" w14:textId="77777777" w:rsidR="007628AD" w:rsidRPr="007628AD" w:rsidRDefault="007628AD" w:rsidP="007628AD"/>
    <w:p w14:paraId="5024EFA5" w14:textId="76B24445" w:rsidR="00015388" w:rsidRPr="00C560CB" w:rsidRDefault="009C558F" w:rsidP="0048443F">
      <w:pPr>
        <w:pStyle w:val="Heading1"/>
        <w:spacing w:line="276" w:lineRule="auto"/>
        <w:rPr>
          <w:rFonts w:ascii="Times New Roman" w:hAnsi="Times New Roman" w:cs="Times New Roman"/>
        </w:rPr>
      </w:pPr>
      <w:r w:rsidRPr="00C560CB">
        <w:rPr>
          <w:rFonts w:ascii="Times New Roman" w:hAnsi="Times New Roman" w:cs="Times New Roman"/>
        </w:rPr>
        <w:lastRenderedPageBreak/>
        <w:t>Chapter 1</w:t>
      </w:r>
      <w:bookmarkEnd w:id="2"/>
      <w:bookmarkEnd w:id="3"/>
    </w:p>
    <w:p w14:paraId="457F83C7" w14:textId="77777777" w:rsidR="00F66BB7" w:rsidRPr="00C560CB" w:rsidRDefault="00F66BB7" w:rsidP="0048443F">
      <w:pPr>
        <w:spacing w:line="276" w:lineRule="auto"/>
        <w:rPr>
          <w:rFonts w:ascii="Times New Roman" w:hAnsi="Times New Roman" w:cs="Times New Roman"/>
        </w:rPr>
      </w:pPr>
    </w:p>
    <w:p w14:paraId="3E0DCA9F" w14:textId="31E4FC72" w:rsidR="00816A41" w:rsidRPr="00C560CB" w:rsidRDefault="00691B39" w:rsidP="00B748E9">
      <w:pPr>
        <w:pStyle w:val="Heading2"/>
        <w:spacing w:after="0" w:line="276" w:lineRule="auto"/>
        <w:jc w:val="both"/>
        <w:rPr>
          <w:rFonts w:ascii="Times New Roman" w:hAnsi="Times New Roman" w:cs="Times New Roman"/>
        </w:rPr>
      </w:pPr>
      <w:bookmarkStart w:id="4" w:name="_Toc179724776"/>
      <w:r w:rsidRPr="00C560CB">
        <w:rPr>
          <w:rFonts w:ascii="Times New Roman" w:hAnsi="Times New Roman" w:cs="Times New Roman"/>
        </w:rPr>
        <w:t>1</w:t>
      </w:r>
      <w:r w:rsidR="00816A41" w:rsidRPr="00C560CB">
        <w:rPr>
          <w:rFonts w:ascii="Times New Roman" w:hAnsi="Times New Roman" w:cs="Times New Roman"/>
        </w:rPr>
        <w:t>.</w:t>
      </w:r>
      <w:r w:rsidRPr="00C560CB">
        <w:rPr>
          <w:rFonts w:ascii="Times New Roman" w:hAnsi="Times New Roman" w:cs="Times New Roman"/>
        </w:rPr>
        <w:t xml:space="preserve"> </w:t>
      </w:r>
      <w:r w:rsidR="00816A41" w:rsidRPr="00C560CB">
        <w:rPr>
          <w:rFonts w:ascii="Times New Roman" w:hAnsi="Times New Roman" w:cs="Times New Roman"/>
        </w:rPr>
        <w:t>A review of Environmental, Social and governance (ESG) performance</w:t>
      </w:r>
      <w:bookmarkEnd w:id="4"/>
    </w:p>
    <w:p w14:paraId="21FA868B" w14:textId="45B432FA" w:rsidR="00816A41" w:rsidRPr="00C560CB" w:rsidRDefault="00816A41" w:rsidP="0048443F">
      <w:pPr>
        <w:spacing w:after="0" w:line="276" w:lineRule="auto"/>
        <w:jc w:val="both"/>
        <w:rPr>
          <w:rFonts w:ascii="Times New Roman" w:hAnsi="Times New Roman" w:cs="Times New Roman"/>
        </w:rPr>
      </w:pPr>
      <w:r w:rsidRPr="00C560CB">
        <w:rPr>
          <w:rFonts w:ascii="Times New Roman" w:hAnsi="Times New Roman" w:cs="Times New Roman"/>
        </w:rPr>
        <w:t xml:space="preserve">ESG investing has grown exponentially over the last few years. This revolution that surrounds asset management is associated many times with sustainable financing. The three letters of the ESG acronym represent three principal pillars studied through this rating. First, the letter "E", according to </w:t>
      </w:r>
      <w:r w:rsidR="009C7E1E" w:rsidRPr="00C560CB">
        <w:rPr>
          <w:rFonts w:ascii="Times New Roman" w:hAnsi="Times New Roman" w:cs="Times New Roman"/>
        </w:rPr>
        <w:t>(Practical Law, n.d.</w:t>
      </w:r>
      <w:r w:rsidRPr="00C560CB">
        <w:rPr>
          <w:rFonts w:ascii="Times New Roman" w:hAnsi="Times New Roman" w:cs="Times New Roman"/>
        </w:rPr>
        <w:t xml:space="preserve">), represents the word environment; it covers companies' sources of energy, pollution, waste management, natural resources usage, and other related areas. Moreover, it researches the strength of a firm toward environmental challenges like climate change and also the actions that companies take against such risks. Second, the letter "S" in nature is social and encompasses firms' business relationships. For example, it is observed whether the suppliers of the company have the same social values as that company. It may also include possible charitable donations that a firm can offer, as well as respect for the human rights of every stakeholder, and/or using good working conditions. Lastly, the "G" represents governance; it refers to the system of rules and practices that are being used by a firm to direct and control its functions. This encompasses the suitability of reporting tools, the selection of board members, and compliance with various corporate legislation. </w:t>
      </w:r>
    </w:p>
    <w:p w14:paraId="0CF9E7C3" w14:textId="77777777" w:rsidR="00816A41" w:rsidRPr="00C560CB" w:rsidRDefault="00816A41" w:rsidP="0048443F">
      <w:pPr>
        <w:spacing w:after="0" w:line="276" w:lineRule="auto"/>
        <w:rPr>
          <w:rFonts w:ascii="Times New Roman" w:hAnsi="Times New Roman" w:cs="Times New Roman"/>
        </w:rPr>
      </w:pPr>
    </w:p>
    <w:p w14:paraId="78577F74" w14:textId="7243C4EC" w:rsidR="00AB280C" w:rsidRPr="00C560CB" w:rsidRDefault="00CB60A8" w:rsidP="0048443F">
      <w:pPr>
        <w:pStyle w:val="Heading3"/>
        <w:spacing w:after="0" w:line="276" w:lineRule="auto"/>
        <w:rPr>
          <w:rFonts w:ascii="Times New Roman" w:hAnsi="Times New Roman" w:cs="Times New Roman"/>
        </w:rPr>
      </w:pPr>
      <w:bookmarkStart w:id="5" w:name="_Toc175049728"/>
      <w:bookmarkStart w:id="6" w:name="_Toc179724777"/>
      <w:r w:rsidRPr="00C560CB">
        <w:rPr>
          <w:rFonts w:ascii="Times New Roman" w:hAnsi="Times New Roman" w:cs="Times New Roman"/>
        </w:rPr>
        <w:t>1.1</w:t>
      </w:r>
      <w:r w:rsidR="00AB280C" w:rsidRPr="00C560CB">
        <w:rPr>
          <w:rFonts w:ascii="Times New Roman" w:hAnsi="Times New Roman" w:cs="Times New Roman"/>
        </w:rPr>
        <w:t>Introduction</w:t>
      </w:r>
      <w:bookmarkEnd w:id="5"/>
      <w:bookmarkEnd w:id="6"/>
      <w:r w:rsidR="00AB280C" w:rsidRPr="00C560CB">
        <w:rPr>
          <w:rFonts w:ascii="Times New Roman" w:hAnsi="Times New Roman" w:cs="Times New Roman"/>
        </w:rPr>
        <w:t xml:space="preserve"> </w:t>
      </w:r>
    </w:p>
    <w:p w14:paraId="517357A2" w14:textId="47392A37" w:rsidR="00B3134E" w:rsidRPr="00C560CB" w:rsidRDefault="00B97813" w:rsidP="00540F04">
      <w:pPr>
        <w:spacing w:line="276" w:lineRule="auto"/>
        <w:jc w:val="both"/>
        <w:rPr>
          <w:rFonts w:ascii="Times New Roman" w:hAnsi="Times New Roman" w:cs="Times New Roman"/>
        </w:rPr>
      </w:pPr>
      <w:r w:rsidRPr="00C560CB">
        <w:rPr>
          <w:rFonts w:ascii="Times New Roman" w:hAnsi="Times New Roman" w:cs="Times New Roman"/>
        </w:rPr>
        <w:t xml:space="preserve">ESG factors have found a strong foothold in investing over time, changing the very dynamics of markets. With the current increase in </w:t>
      </w:r>
      <w:r w:rsidR="00473D6D" w:rsidRPr="00C560CB">
        <w:rPr>
          <w:rFonts w:ascii="Times New Roman" w:hAnsi="Times New Roman" w:cs="Times New Roman"/>
        </w:rPr>
        <w:t>global concerns about climate change, social inequality, and corporate governance, ESG considerations have become indispensable metrics toward achieving</w:t>
      </w:r>
      <w:r w:rsidRPr="00C560CB">
        <w:rPr>
          <w:rFonts w:ascii="Times New Roman" w:hAnsi="Times New Roman" w:cs="Times New Roman"/>
        </w:rPr>
        <w:t xml:space="preserve"> the long-term sustainability and financial performance of companies. Investors, regulators, and </w:t>
      </w:r>
      <w:r w:rsidR="00450EEC" w:rsidRPr="00C560CB">
        <w:rPr>
          <w:rFonts w:ascii="Times New Roman" w:hAnsi="Times New Roman" w:cs="Times New Roman"/>
        </w:rPr>
        <w:t>companies now realise that a company's ESG profile</w:t>
      </w:r>
      <w:r w:rsidRPr="00C560CB">
        <w:rPr>
          <w:rFonts w:ascii="Times New Roman" w:hAnsi="Times New Roman" w:cs="Times New Roman"/>
        </w:rPr>
        <w:t xml:space="preserve"> can greatly sway its risk profile, operational efficiency, and market valuation. In this regard, there has been an increase in research on how ESG factors affect financial markets, which seeks to generate new insights for policymaking and investments.</w:t>
      </w:r>
    </w:p>
    <w:p w14:paraId="0AAD6D3F" w14:textId="14D7B9C2" w:rsidR="00FC4C69" w:rsidRPr="00C560CB" w:rsidRDefault="007235FF" w:rsidP="00540F04">
      <w:pPr>
        <w:spacing w:line="276" w:lineRule="auto"/>
        <w:jc w:val="both"/>
        <w:rPr>
          <w:rFonts w:ascii="Times New Roman" w:hAnsi="Times New Roman" w:cs="Times New Roman"/>
        </w:rPr>
      </w:pPr>
      <w:r w:rsidRPr="00C560CB">
        <w:rPr>
          <w:rFonts w:ascii="Times New Roman" w:hAnsi="Times New Roman" w:cs="Times New Roman"/>
        </w:rPr>
        <w:t xml:space="preserve">Environmental, Social, and Governance (ESG) factors have become crucial considerations for organizations seeking sustainable growth and ethical operations. Environmental factors focus on a company's impact on the planet, including its carbon footprint, waste management, and resource utilization. Social factors involve how a company manages relationships with employees, suppliers, customers, and communities, addressing issues such as </w:t>
      </w:r>
      <w:r w:rsidR="009D11C1" w:rsidRPr="00C560CB">
        <w:rPr>
          <w:rFonts w:ascii="Times New Roman" w:hAnsi="Times New Roman" w:cs="Times New Roman"/>
        </w:rPr>
        <w:t>labour</w:t>
      </w:r>
      <w:r w:rsidRPr="00C560CB">
        <w:rPr>
          <w:rFonts w:ascii="Times New Roman" w:hAnsi="Times New Roman" w:cs="Times New Roman"/>
        </w:rPr>
        <w:t xml:space="preserve"> practices, diversity, and community engagement. Governance factors pertain to the company’s leadership, audits, internal controls, and shareholder rights, ensuring transparency and accountability in its operations</w:t>
      </w:r>
      <w:r w:rsidR="00673CBC" w:rsidRPr="00C560CB">
        <w:rPr>
          <w:rFonts w:ascii="Times New Roman" w:hAnsi="Times New Roman" w:cs="Times New Roman"/>
        </w:rPr>
        <w:t xml:space="preserve"> (Ng et al., 2020).</w:t>
      </w:r>
    </w:p>
    <w:p w14:paraId="1304EEC4" w14:textId="7BAA1622" w:rsidR="007240E8" w:rsidRPr="00C560CB" w:rsidRDefault="00C75314" w:rsidP="00540F04">
      <w:pPr>
        <w:spacing w:line="276" w:lineRule="auto"/>
        <w:jc w:val="both"/>
        <w:rPr>
          <w:rFonts w:ascii="Times New Roman" w:hAnsi="Times New Roman" w:cs="Times New Roman"/>
        </w:rPr>
      </w:pPr>
      <w:r w:rsidRPr="00C560CB">
        <w:rPr>
          <w:rFonts w:ascii="Times New Roman" w:hAnsi="Times New Roman" w:cs="Times New Roman"/>
        </w:rPr>
        <w:t>The integration of ESG factors into corporate strategy has been driven by increasing awareness among stakeholders about the long-term impact of business practices on society and the environment. Investors are now considering ESG performance as a significant criterion for investment decisions, recognizing that companies excelling in these areas are often better positioned to mitigate risks and capitalize on opportunities. Moreover, regulatory bodies are imposing stricter guidelines, encouraging companies to adopt comprehensive ESG frameworks to enhance their sustainability efforts and operational resilience</w:t>
      </w:r>
      <w:r w:rsidR="00026199" w:rsidRPr="00C560CB">
        <w:rPr>
          <w:rFonts w:ascii="Times New Roman" w:eastAsia="Times New Roman" w:hAnsi="Times New Roman" w:cs="Times New Roman"/>
          <w:sz w:val="24"/>
          <w:szCs w:val="24"/>
          <w:lang w:eastAsia="en-GB"/>
        </w:rPr>
        <w:t xml:space="preserve"> </w:t>
      </w:r>
      <w:r w:rsidR="00026199" w:rsidRPr="00C560CB">
        <w:rPr>
          <w:rFonts w:ascii="Times New Roman" w:hAnsi="Times New Roman" w:cs="Times New Roman"/>
        </w:rPr>
        <w:t>(Miralles‐Quirós, Miralles‐Quirós and Redondo‐Hernández, 2019).</w:t>
      </w:r>
    </w:p>
    <w:p w14:paraId="513AB65B" w14:textId="77777777" w:rsidR="004315A0" w:rsidRPr="00C560CB" w:rsidRDefault="004315A0" w:rsidP="0048443F">
      <w:pPr>
        <w:spacing w:line="276" w:lineRule="auto"/>
        <w:jc w:val="both"/>
        <w:rPr>
          <w:rFonts w:ascii="Times New Roman" w:hAnsi="Times New Roman" w:cs="Times New Roman"/>
        </w:rPr>
      </w:pPr>
    </w:p>
    <w:p w14:paraId="4E78FB06" w14:textId="045B363F" w:rsidR="004315A0" w:rsidRPr="00C560CB" w:rsidRDefault="009A7E2E" w:rsidP="0048443F">
      <w:pPr>
        <w:pStyle w:val="Heading3"/>
        <w:spacing w:after="0" w:line="276" w:lineRule="auto"/>
        <w:rPr>
          <w:rFonts w:ascii="Times New Roman" w:hAnsi="Times New Roman" w:cs="Times New Roman"/>
        </w:rPr>
      </w:pPr>
      <w:bookmarkStart w:id="7" w:name="_Toc175049729"/>
      <w:bookmarkStart w:id="8" w:name="_Toc179724778"/>
      <w:r w:rsidRPr="00C560CB">
        <w:rPr>
          <w:rFonts w:ascii="Times New Roman" w:hAnsi="Times New Roman" w:cs="Times New Roman"/>
        </w:rPr>
        <w:lastRenderedPageBreak/>
        <w:t>1.</w:t>
      </w:r>
      <w:r w:rsidR="00F66BB7" w:rsidRPr="00C560CB">
        <w:rPr>
          <w:rFonts w:ascii="Times New Roman" w:hAnsi="Times New Roman" w:cs="Times New Roman"/>
        </w:rPr>
        <w:t>2</w:t>
      </w:r>
      <w:r w:rsidR="00240647" w:rsidRPr="00C560CB">
        <w:rPr>
          <w:rFonts w:ascii="Times New Roman" w:hAnsi="Times New Roman" w:cs="Times New Roman"/>
        </w:rPr>
        <w:t>Background and Context</w:t>
      </w:r>
      <w:bookmarkEnd w:id="7"/>
      <w:bookmarkEnd w:id="8"/>
    </w:p>
    <w:p w14:paraId="1DC081B9" w14:textId="211D6D76" w:rsidR="00391D15" w:rsidRPr="00C560CB" w:rsidRDefault="00ED6760" w:rsidP="0048443F">
      <w:pPr>
        <w:spacing w:after="0" w:line="276" w:lineRule="auto"/>
        <w:jc w:val="both"/>
        <w:rPr>
          <w:rFonts w:ascii="Times New Roman" w:hAnsi="Times New Roman" w:cs="Times New Roman"/>
        </w:rPr>
      </w:pPr>
      <w:r w:rsidRPr="00C560CB">
        <w:rPr>
          <w:rFonts w:ascii="Times New Roman" w:hAnsi="Times New Roman" w:cs="Times New Roman"/>
        </w:rPr>
        <w:t>Of all the investment methodologies that have in the past few years come out of the moral hinterlands and into the mainstream, ESG investing is that which had the most potential for sustainability combined with financial analysis. The general ESG factors under consideration include but are not limited to, the issues at hand, such as how companies deal with their environmental impacts, the relationship between companies and employees, customers, and communities, and the governance structures. These factors are increasingly seen as material to financial performance, with investors using ESG criteria to evaluate the long-term viability of companies</w:t>
      </w:r>
      <w:r w:rsidR="00F54AAF" w:rsidRPr="00C560CB">
        <w:rPr>
          <w:rFonts w:ascii="Times New Roman" w:hAnsi="Times New Roman" w:cs="Times New Roman"/>
        </w:rPr>
        <w:t xml:space="preserve"> (Clark, Feiner and </w:t>
      </w:r>
      <w:proofErr w:type="spellStart"/>
      <w:r w:rsidR="00F54AAF" w:rsidRPr="00C560CB">
        <w:rPr>
          <w:rFonts w:ascii="Times New Roman" w:hAnsi="Times New Roman" w:cs="Times New Roman"/>
        </w:rPr>
        <w:t>Viehs</w:t>
      </w:r>
      <w:proofErr w:type="spellEnd"/>
      <w:r w:rsidR="00F54AAF" w:rsidRPr="00C560CB">
        <w:rPr>
          <w:rFonts w:ascii="Times New Roman" w:hAnsi="Times New Roman" w:cs="Times New Roman"/>
        </w:rPr>
        <w:t>, 2015).</w:t>
      </w:r>
      <w:r w:rsidR="00B2136B" w:rsidRPr="00C560CB">
        <w:rPr>
          <w:rFonts w:ascii="Times New Roman" w:hAnsi="Times New Roman" w:cs="Times New Roman"/>
        </w:rPr>
        <w:t xml:space="preserve"> The exponential growth in ESG investing was further confirmed by the fact that AUM in ESG-themed funds reached $35.3 trillion globally in 2020, which comprised over one-third of total global AUM</w:t>
      </w:r>
      <w:r w:rsidR="00391D15" w:rsidRPr="00C560CB">
        <w:rPr>
          <w:rFonts w:ascii="Times New Roman" w:hAnsi="Times New Roman" w:cs="Times New Roman"/>
        </w:rPr>
        <w:t xml:space="preserve"> (GLOBAL SUSTAINABLE INVESTMENT ALLIANCE, 2020).</w:t>
      </w:r>
    </w:p>
    <w:p w14:paraId="48A5944B" w14:textId="77777777" w:rsidR="00BC2CEC" w:rsidRPr="00C560CB" w:rsidRDefault="00BC2CEC" w:rsidP="0048443F">
      <w:pPr>
        <w:pStyle w:val="Heading3"/>
        <w:spacing w:after="0" w:line="276" w:lineRule="auto"/>
        <w:rPr>
          <w:rFonts w:ascii="Times New Roman" w:hAnsi="Times New Roman" w:cs="Times New Roman"/>
        </w:rPr>
      </w:pPr>
      <w:bookmarkStart w:id="9" w:name="_Toc175049730"/>
    </w:p>
    <w:p w14:paraId="103CE74C" w14:textId="565CFEBE" w:rsidR="00240647" w:rsidRPr="00C560CB" w:rsidRDefault="009A7E2E" w:rsidP="0048443F">
      <w:pPr>
        <w:pStyle w:val="Heading3"/>
        <w:spacing w:after="0" w:line="276" w:lineRule="auto"/>
        <w:rPr>
          <w:rFonts w:ascii="Times New Roman" w:hAnsi="Times New Roman" w:cs="Times New Roman"/>
        </w:rPr>
      </w:pPr>
      <w:bookmarkStart w:id="10" w:name="_Toc179724779"/>
      <w:r w:rsidRPr="00C560CB">
        <w:rPr>
          <w:rFonts w:ascii="Times New Roman" w:hAnsi="Times New Roman" w:cs="Times New Roman"/>
        </w:rPr>
        <w:t>1.</w:t>
      </w:r>
      <w:r w:rsidR="00F66BB7" w:rsidRPr="00C560CB">
        <w:rPr>
          <w:rFonts w:ascii="Times New Roman" w:hAnsi="Times New Roman" w:cs="Times New Roman"/>
        </w:rPr>
        <w:t>3</w:t>
      </w:r>
      <w:r w:rsidRPr="00C560CB">
        <w:rPr>
          <w:rFonts w:ascii="Times New Roman" w:hAnsi="Times New Roman" w:cs="Times New Roman"/>
        </w:rPr>
        <w:t xml:space="preserve"> </w:t>
      </w:r>
      <w:r w:rsidR="006239B4" w:rsidRPr="00C560CB">
        <w:rPr>
          <w:rFonts w:ascii="Times New Roman" w:hAnsi="Times New Roman" w:cs="Times New Roman"/>
        </w:rPr>
        <w:t>Research Problem</w:t>
      </w:r>
      <w:bookmarkEnd w:id="9"/>
      <w:bookmarkEnd w:id="10"/>
    </w:p>
    <w:p w14:paraId="4EC15097" w14:textId="5D86035B" w:rsidR="009A7E2E" w:rsidRPr="00C560CB" w:rsidRDefault="000B0574" w:rsidP="00CE7EEA">
      <w:pPr>
        <w:spacing w:after="0" w:line="276" w:lineRule="auto"/>
        <w:jc w:val="both"/>
        <w:rPr>
          <w:rFonts w:ascii="Times New Roman" w:hAnsi="Times New Roman" w:cs="Times New Roman"/>
        </w:rPr>
      </w:pPr>
      <w:r w:rsidRPr="00C560CB">
        <w:rPr>
          <w:rFonts w:ascii="Times New Roman" w:hAnsi="Times New Roman" w:cs="Times New Roman"/>
        </w:rPr>
        <w:t>As ESG factors gather more prominence in determining investment and business management practices, the correlation between ESG measures and value propositions is nonetheless still an object of contentious discussion. Research has found out that while ESG integration improves stability and risk mitigation in the long run, ESG returns vary from industry to industry. For example, technology industries obtain higher profit margins associated with ESG deadlines than consumer ones, whereas industries like energy experience more important barriers due to their high costs towards environment</w:t>
      </w:r>
      <w:r w:rsidR="00CE7EEA" w:rsidRPr="00C560CB">
        <w:rPr>
          <w:rFonts w:ascii="Times New Roman" w:hAnsi="Times New Roman" w:cs="Times New Roman"/>
        </w:rPr>
        <w:t>al</w:t>
      </w:r>
      <w:r w:rsidRPr="00C560CB">
        <w:rPr>
          <w:rFonts w:ascii="Times New Roman" w:hAnsi="Times New Roman" w:cs="Times New Roman"/>
        </w:rPr>
        <w:t xml:space="preserve"> compliance and regulation (Azeem et al., 2024; Baratta et al., 2023). This relationship is further complicated by issues of comparability arising from the fact that there is no consistent way of reporting ESG metrics leading to problems in investor decision</w:t>
      </w:r>
      <w:r w:rsidR="00CE7EEA" w:rsidRPr="00C560CB">
        <w:rPr>
          <w:rFonts w:ascii="Times New Roman" w:hAnsi="Times New Roman" w:cs="Times New Roman"/>
        </w:rPr>
        <w:t>-</w:t>
      </w:r>
      <w:r w:rsidRPr="00C560CB">
        <w:rPr>
          <w:rFonts w:ascii="Times New Roman" w:hAnsi="Times New Roman" w:cs="Times New Roman"/>
        </w:rPr>
        <w:t xml:space="preserve">making and enforcement of the law or regulations (Khan et al., 2016). Therefore, this research seeks to respond to concerns about the lack of understanding </w:t>
      </w:r>
      <w:r w:rsidR="00191126" w:rsidRPr="00C560CB">
        <w:rPr>
          <w:rFonts w:ascii="Times New Roman" w:hAnsi="Times New Roman" w:cs="Times New Roman"/>
        </w:rPr>
        <w:t>of the effects of ESG across different industries and to attempt to find </w:t>
      </w:r>
      <w:r w:rsidRPr="00C560CB">
        <w:rPr>
          <w:rFonts w:ascii="Times New Roman" w:hAnsi="Times New Roman" w:cs="Times New Roman"/>
        </w:rPr>
        <w:t>common measures that may deliver more precise reference points for relevant stakeholders.</w:t>
      </w:r>
    </w:p>
    <w:p w14:paraId="7AF9B620" w14:textId="77777777" w:rsidR="00CE7EEA" w:rsidRPr="00C560CB" w:rsidRDefault="00CE7EEA" w:rsidP="00CE7EEA">
      <w:pPr>
        <w:spacing w:after="0" w:line="276" w:lineRule="auto"/>
        <w:jc w:val="both"/>
        <w:rPr>
          <w:rFonts w:ascii="Times New Roman" w:hAnsi="Times New Roman" w:cs="Times New Roman"/>
        </w:rPr>
      </w:pPr>
    </w:p>
    <w:p w14:paraId="7E7384CB" w14:textId="20FFA369" w:rsidR="008C20DF" w:rsidRPr="00C560CB" w:rsidRDefault="008C20DF" w:rsidP="0048443F">
      <w:pPr>
        <w:pStyle w:val="Heading3"/>
        <w:spacing w:after="0" w:line="276" w:lineRule="auto"/>
        <w:rPr>
          <w:rFonts w:ascii="Times New Roman" w:hAnsi="Times New Roman" w:cs="Times New Roman"/>
        </w:rPr>
      </w:pPr>
      <w:bookmarkStart w:id="11" w:name="_Toc175049731"/>
      <w:bookmarkStart w:id="12" w:name="_Toc179724780"/>
      <w:r w:rsidRPr="00C560CB">
        <w:rPr>
          <w:rFonts w:ascii="Times New Roman" w:hAnsi="Times New Roman" w:cs="Times New Roman"/>
        </w:rPr>
        <w:t>1.</w:t>
      </w:r>
      <w:r w:rsidR="00F66BB7" w:rsidRPr="00C560CB">
        <w:rPr>
          <w:rFonts w:ascii="Times New Roman" w:hAnsi="Times New Roman" w:cs="Times New Roman"/>
        </w:rPr>
        <w:t>4</w:t>
      </w:r>
      <w:r w:rsidR="00E447F6" w:rsidRPr="00C560CB">
        <w:rPr>
          <w:rFonts w:ascii="Times New Roman" w:hAnsi="Times New Roman" w:cs="Times New Roman"/>
        </w:rPr>
        <w:t xml:space="preserve"> Research Aim</w:t>
      </w:r>
      <w:r w:rsidR="00C1328E" w:rsidRPr="00C560CB">
        <w:rPr>
          <w:rFonts w:ascii="Times New Roman" w:hAnsi="Times New Roman" w:cs="Times New Roman"/>
        </w:rPr>
        <w:t xml:space="preserve">, </w:t>
      </w:r>
      <w:bookmarkEnd w:id="11"/>
      <w:r w:rsidR="00530A37" w:rsidRPr="00C560CB">
        <w:rPr>
          <w:rFonts w:ascii="Times New Roman" w:hAnsi="Times New Roman" w:cs="Times New Roman"/>
        </w:rPr>
        <w:t>Objectives,</w:t>
      </w:r>
      <w:r w:rsidR="00C1328E" w:rsidRPr="00C560CB">
        <w:rPr>
          <w:rFonts w:ascii="Times New Roman" w:hAnsi="Times New Roman" w:cs="Times New Roman"/>
        </w:rPr>
        <w:t xml:space="preserve"> and Questions</w:t>
      </w:r>
      <w:bookmarkEnd w:id="12"/>
    </w:p>
    <w:p w14:paraId="48268081" w14:textId="0C6449E5" w:rsidR="008C20DF" w:rsidRPr="00C560CB" w:rsidRDefault="008C20DF" w:rsidP="0048443F">
      <w:pPr>
        <w:spacing w:after="0" w:line="276" w:lineRule="auto"/>
        <w:jc w:val="both"/>
        <w:rPr>
          <w:rFonts w:ascii="Times New Roman" w:hAnsi="Times New Roman" w:cs="Times New Roman"/>
        </w:rPr>
      </w:pPr>
      <w:r w:rsidRPr="00C560CB">
        <w:rPr>
          <w:rFonts w:ascii="Times New Roman" w:hAnsi="Times New Roman" w:cs="Times New Roman"/>
        </w:rPr>
        <w:t>The major aim of the present research is to examine the relationship between ESG and financial markets, particularly paying attention to the identification of the conditions under which ESG considerations can enhance or destruct financial returns. The major objectives of the research are:</w:t>
      </w:r>
    </w:p>
    <w:p w14:paraId="081CB54D" w14:textId="30E213F0"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 xml:space="preserve">To assess the influence exerted by environmental factors on the financial outcomes of </w:t>
      </w:r>
      <w:r w:rsidR="0059370E" w:rsidRPr="00C560CB">
        <w:rPr>
          <w:rFonts w:ascii="Times New Roman" w:hAnsi="Times New Roman" w:cs="Times New Roman"/>
        </w:rPr>
        <w:t>companies</w:t>
      </w:r>
      <w:r w:rsidRPr="00C560CB">
        <w:rPr>
          <w:rFonts w:ascii="Times New Roman" w:hAnsi="Times New Roman" w:cs="Times New Roman"/>
        </w:rPr>
        <w:t xml:space="preserve"> representing various industries.</w:t>
      </w:r>
    </w:p>
    <w:p w14:paraId="5063F5AE" w14:textId="73EA1932"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 xml:space="preserve">To understand the extent to which social variables influence market valuations and investors' </w:t>
      </w:r>
      <w:r w:rsidR="003B51AB" w:rsidRPr="00C560CB">
        <w:rPr>
          <w:rFonts w:ascii="Times New Roman" w:hAnsi="Times New Roman" w:cs="Times New Roman"/>
        </w:rPr>
        <w:t>behaviour</w:t>
      </w:r>
      <w:r w:rsidRPr="00C560CB">
        <w:rPr>
          <w:rFonts w:ascii="Times New Roman" w:hAnsi="Times New Roman" w:cs="Times New Roman"/>
        </w:rPr>
        <w:t>.</w:t>
      </w:r>
    </w:p>
    <w:p w14:paraId="77D0D6F5" w14:textId="14E4E92B"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To quantify the total impact of ESG as a factor in managing risk and realizing a portfolio's return.</w:t>
      </w:r>
    </w:p>
    <w:p w14:paraId="21D36420" w14:textId="77777777"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To compare and contrast the differential impact of ESG factors within different geographical regions and economic sectors.</w:t>
      </w:r>
    </w:p>
    <w:p w14:paraId="4592C34E" w14:textId="77777777" w:rsidR="00304914" w:rsidRPr="00C560CB" w:rsidRDefault="00304914" w:rsidP="0048443F">
      <w:pPr>
        <w:spacing w:line="276" w:lineRule="auto"/>
        <w:jc w:val="both"/>
        <w:rPr>
          <w:rFonts w:ascii="Times New Roman" w:eastAsia="Times New Roman" w:hAnsi="Times New Roman" w:cs="Times New Roman"/>
          <w:lang w:eastAsia="en-GB"/>
        </w:rPr>
      </w:pPr>
      <w:bookmarkStart w:id="13" w:name="_Toc175049732"/>
    </w:p>
    <w:p w14:paraId="65744B23" w14:textId="5C42DF16" w:rsidR="00304914" w:rsidRPr="00C560CB" w:rsidRDefault="00304914" w:rsidP="00304914">
      <w:pPr>
        <w:pStyle w:val="Heading4"/>
        <w:rPr>
          <w:rFonts w:ascii="Times New Roman" w:hAnsi="Times New Roman" w:cs="Times New Roman"/>
          <w:lang w:eastAsia="en-GB"/>
        </w:rPr>
      </w:pPr>
      <w:bookmarkStart w:id="14" w:name="_Toc179724781"/>
      <w:r w:rsidRPr="00C560CB">
        <w:rPr>
          <w:rFonts w:ascii="Times New Roman" w:hAnsi="Times New Roman" w:cs="Times New Roman"/>
          <w:lang w:eastAsia="en-GB"/>
        </w:rPr>
        <w:t>1.4.1 Research Questions</w:t>
      </w:r>
      <w:bookmarkEnd w:id="14"/>
    </w:p>
    <w:p w14:paraId="374BD635" w14:textId="77777777" w:rsidR="00460B04" w:rsidRPr="00C560CB" w:rsidRDefault="00460B04" w:rsidP="00460B04">
      <w:pPr>
        <w:numPr>
          <w:ilvl w:val="0"/>
          <w:numId w:val="25"/>
        </w:numPr>
        <w:rPr>
          <w:rFonts w:ascii="Times New Roman" w:hAnsi="Times New Roman" w:cs="Times New Roman"/>
          <w:lang w:eastAsia="en-GB"/>
        </w:rPr>
      </w:pPr>
      <w:r w:rsidRPr="00C560CB">
        <w:rPr>
          <w:rFonts w:ascii="Times New Roman" w:hAnsi="Times New Roman" w:cs="Times New Roman"/>
          <w:b/>
          <w:bCs/>
          <w:lang w:eastAsia="en-GB"/>
        </w:rPr>
        <w:t>Primary Research Question</w:t>
      </w:r>
      <w:r w:rsidRPr="00C560CB">
        <w:rPr>
          <w:rFonts w:ascii="Times New Roman" w:hAnsi="Times New Roman" w:cs="Times New Roman"/>
          <w:lang w:eastAsia="en-GB"/>
        </w:rPr>
        <w:t>: How do Environmental, Social, and Governance (ESG) factors influence the financial performance and stability of firms across different industries?</w:t>
      </w:r>
    </w:p>
    <w:p w14:paraId="0DAE1AF1" w14:textId="77777777" w:rsidR="00530AA1" w:rsidRPr="00C560CB" w:rsidRDefault="00530AA1" w:rsidP="00530AA1">
      <w:pPr>
        <w:ind w:left="360"/>
        <w:rPr>
          <w:rFonts w:ascii="Times New Roman" w:hAnsi="Times New Roman" w:cs="Times New Roman"/>
          <w:b/>
          <w:bCs/>
          <w:lang w:eastAsia="en-GB"/>
        </w:rPr>
      </w:pPr>
    </w:p>
    <w:p w14:paraId="73657E60" w14:textId="15703BAD" w:rsidR="00460B04" w:rsidRPr="00C560CB" w:rsidRDefault="00460B04" w:rsidP="00530AA1">
      <w:pPr>
        <w:pStyle w:val="ListParagraph"/>
        <w:numPr>
          <w:ilvl w:val="0"/>
          <w:numId w:val="28"/>
        </w:numPr>
        <w:rPr>
          <w:rFonts w:ascii="Times New Roman" w:hAnsi="Times New Roman" w:cs="Times New Roman"/>
          <w:lang w:eastAsia="en-GB"/>
        </w:rPr>
      </w:pPr>
      <w:r w:rsidRPr="00C560CB">
        <w:rPr>
          <w:rFonts w:ascii="Times New Roman" w:hAnsi="Times New Roman" w:cs="Times New Roman"/>
          <w:b/>
          <w:bCs/>
          <w:lang w:eastAsia="en-GB"/>
        </w:rPr>
        <w:lastRenderedPageBreak/>
        <w:t>Secondary Research Questions</w:t>
      </w:r>
      <w:r w:rsidRPr="00C560CB">
        <w:rPr>
          <w:rFonts w:ascii="Times New Roman" w:hAnsi="Times New Roman" w:cs="Times New Roman"/>
          <w:lang w:eastAsia="en-GB"/>
        </w:rPr>
        <w:t>:</w:t>
      </w:r>
    </w:p>
    <w:p w14:paraId="17AE21E3" w14:textId="77777777" w:rsidR="00460B04" w:rsidRPr="00C560CB" w:rsidRDefault="00460B04" w:rsidP="00512D51">
      <w:pPr>
        <w:numPr>
          <w:ilvl w:val="1"/>
          <w:numId w:val="25"/>
        </w:numPr>
        <w:jc w:val="both"/>
        <w:rPr>
          <w:rFonts w:ascii="Times New Roman" w:hAnsi="Times New Roman" w:cs="Times New Roman"/>
          <w:lang w:eastAsia="en-GB"/>
        </w:rPr>
      </w:pPr>
      <w:r w:rsidRPr="00C560CB">
        <w:rPr>
          <w:rFonts w:ascii="Times New Roman" w:hAnsi="Times New Roman" w:cs="Times New Roman"/>
          <w:lang w:eastAsia="en-GB"/>
        </w:rPr>
        <w:t>What is the impact of environmental practices on financial performance metrics (e.g., return on equity, return on assets) and market valuation?</w:t>
      </w:r>
    </w:p>
    <w:p w14:paraId="0E56C26E" w14:textId="77777777" w:rsidR="00460B04" w:rsidRPr="00C560CB" w:rsidRDefault="00460B04" w:rsidP="00512D51">
      <w:pPr>
        <w:numPr>
          <w:ilvl w:val="1"/>
          <w:numId w:val="25"/>
        </w:numPr>
        <w:jc w:val="both"/>
        <w:rPr>
          <w:rFonts w:ascii="Times New Roman" w:hAnsi="Times New Roman" w:cs="Times New Roman"/>
          <w:lang w:eastAsia="en-GB"/>
        </w:rPr>
      </w:pPr>
      <w:r w:rsidRPr="00C560CB">
        <w:rPr>
          <w:rFonts w:ascii="Times New Roman" w:hAnsi="Times New Roman" w:cs="Times New Roman"/>
          <w:lang w:eastAsia="en-GB"/>
        </w:rPr>
        <w:t>How do ESG scores affect stock market volatility, and how do these effects differ by industry?</w:t>
      </w:r>
    </w:p>
    <w:p w14:paraId="316DBBF2" w14:textId="56C36D2E" w:rsidR="00460B04" w:rsidRPr="00C560CB" w:rsidRDefault="00460B04" w:rsidP="00512D51">
      <w:pPr>
        <w:numPr>
          <w:ilvl w:val="1"/>
          <w:numId w:val="25"/>
        </w:numPr>
        <w:jc w:val="both"/>
        <w:rPr>
          <w:rFonts w:ascii="Times New Roman" w:hAnsi="Times New Roman" w:cs="Times New Roman"/>
          <w:lang w:eastAsia="en-GB"/>
        </w:rPr>
      </w:pPr>
      <w:r w:rsidRPr="00C560CB">
        <w:rPr>
          <w:rFonts w:ascii="Times New Roman" w:hAnsi="Times New Roman" w:cs="Times New Roman"/>
          <w:lang w:eastAsia="en-GB"/>
        </w:rPr>
        <w:t>In what ways do social factors, including labour practices and community involvement, shape investor perceptions and influence stock performance?</w:t>
      </w:r>
    </w:p>
    <w:p w14:paraId="59CFFF6A" w14:textId="6343DFF4" w:rsidR="00460B04" w:rsidRPr="00C560CB" w:rsidRDefault="00460B04" w:rsidP="00512D51">
      <w:pPr>
        <w:numPr>
          <w:ilvl w:val="1"/>
          <w:numId w:val="25"/>
        </w:numPr>
        <w:jc w:val="both"/>
        <w:rPr>
          <w:rFonts w:ascii="Times New Roman" w:hAnsi="Times New Roman" w:cs="Times New Roman"/>
          <w:lang w:eastAsia="en-GB"/>
        </w:rPr>
      </w:pPr>
      <w:r w:rsidRPr="00C560CB">
        <w:rPr>
          <w:rFonts w:ascii="Times New Roman" w:hAnsi="Times New Roman" w:cs="Times New Roman"/>
          <w:lang w:eastAsia="en-GB"/>
        </w:rPr>
        <w:t xml:space="preserve">What </w:t>
      </w:r>
      <w:r w:rsidR="0097441C" w:rsidRPr="00C560CB">
        <w:rPr>
          <w:rFonts w:ascii="Times New Roman" w:hAnsi="Times New Roman" w:cs="Times New Roman"/>
          <w:lang w:eastAsia="en-GB"/>
        </w:rPr>
        <w:t>roles</w:t>
      </w:r>
      <w:r w:rsidRPr="00C560CB">
        <w:rPr>
          <w:rFonts w:ascii="Times New Roman" w:hAnsi="Times New Roman" w:cs="Times New Roman"/>
          <w:lang w:eastAsia="en-GB"/>
        </w:rPr>
        <w:t xml:space="preserve"> do governance factors such as board diversity and transparency play in attracting investor interest and improving corporate performance?</w:t>
      </w:r>
    </w:p>
    <w:p w14:paraId="1B8670CF" w14:textId="77777777" w:rsidR="00460B04" w:rsidRPr="00C560CB" w:rsidRDefault="00460B04" w:rsidP="00512D51">
      <w:pPr>
        <w:numPr>
          <w:ilvl w:val="1"/>
          <w:numId w:val="25"/>
        </w:numPr>
        <w:jc w:val="both"/>
        <w:rPr>
          <w:rFonts w:ascii="Times New Roman" w:hAnsi="Times New Roman" w:cs="Times New Roman"/>
          <w:lang w:eastAsia="en-GB"/>
        </w:rPr>
      </w:pPr>
      <w:r w:rsidRPr="00C560CB">
        <w:rPr>
          <w:rFonts w:ascii="Times New Roman" w:hAnsi="Times New Roman" w:cs="Times New Roman"/>
          <w:lang w:eastAsia="en-GB"/>
        </w:rPr>
        <w:t>How do regulatory frameworks that promote ESG integration affect financial market stability and resilience?</w:t>
      </w:r>
    </w:p>
    <w:p w14:paraId="5D3A868E" w14:textId="77777777" w:rsidR="00512D51" w:rsidRPr="00C560CB" w:rsidRDefault="00512D51" w:rsidP="00460B04">
      <w:pPr>
        <w:rPr>
          <w:rFonts w:ascii="Times New Roman" w:hAnsi="Times New Roman" w:cs="Times New Roman"/>
          <w:b/>
          <w:bCs/>
          <w:lang w:eastAsia="en-GB"/>
        </w:rPr>
      </w:pPr>
    </w:p>
    <w:p w14:paraId="4319F146" w14:textId="77777777" w:rsidR="00512D51" w:rsidRPr="00C560CB" w:rsidRDefault="00460B04" w:rsidP="00512D51">
      <w:pPr>
        <w:pStyle w:val="Heading4"/>
        <w:rPr>
          <w:rFonts w:ascii="Times New Roman" w:hAnsi="Times New Roman" w:cs="Times New Roman"/>
          <w:lang w:eastAsia="en-GB"/>
        </w:rPr>
      </w:pPr>
      <w:bookmarkStart w:id="15" w:name="_Toc179724782"/>
      <w:r w:rsidRPr="00C560CB">
        <w:rPr>
          <w:rFonts w:ascii="Times New Roman" w:hAnsi="Times New Roman" w:cs="Times New Roman"/>
          <w:lang w:eastAsia="en-GB"/>
        </w:rPr>
        <w:t>1.4.2 Research Hypotheses</w:t>
      </w:r>
      <w:bookmarkEnd w:id="15"/>
      <w:r w:rsidRPr="00C560CB">
        <w:rPr>
          <w:rFonts w:ascii="Times New Roman" w:hAnsi="Times New Roman" w:cs="Times New Roman"/>
          <w:lang w:eastAsia="en-GB"/>
        </w:rPr>
        <w:t xml:space="preserve"> </w:t>
      </w:r>
    </w:p>
    <w:p w14:paraId="1D1A9F96" w14:textId="2AA97C80" w:rsidR="00460B04" w:rsidRPr="00C560CB" w:rsidRDefault="00460B04" w:rsidP="00512D51">
      <w:pPr>
        <w:pStyle w:val="ListParagraph"/>
        <w:numPr>
          <w:ilvl w:val="0"/>
          <w:numId w:val="27"/>
        </w:numPr>
        <w:tabs>
          <w:tab w:val="num" w:pos="720"/>
        </w:tabs>
        <w:jc w:val="both"/>
        <w:rPr>
          <w:rFonts w:ascii="Times New Roman" w:hAnsi="Times New Roman" w:cs="Times New Roman"/>
          <w:lang w:eastAsia="en-GB"/>
        </w:rPr>
      </w:pPr>
      <w:r w:rsidRPr="00C560CB">
        <w:rPr>
          <w:rFonts w:ascii="Times New Roman" w:hAnsi="Times New Roman" w:cs="Times New Roman"/>
          <w:b/>
          <w:bCs/>
          <w:lang w:eastAsia="en-GB"/>
        </w:rPr>
        <w:t>H1</w:t>
      </w:r>
      <w:r w:rsidRPr="00C560CB">
        <w:rPr>
          <w:rFonts w:ascii="Times New Roman" w:hAnsi="Times New Roman" w:cs="Times New Roman"/>
          <w:lang w:eastAsia="en-GB"/>
        </w:rPr>
        <w:t>: ESG factors have a positive influence on the financial performance (e.g., ROE, ROA) of firms, particularly in industries with high environmental and social impact.</w:t>
      </w:r>
    </w:p>
    <w:p w14:paraId="573C0FD2" w14:textId="50505ED4" w:rsidR="00F91B44" w:rsidRPr="00C560CB" w:rsidRDefault="00F91B44" w:rsidP="00512D51">
      <w:pPr>
        <w:pStyle w:val="ListParagraph"/>
        <w:numPr>
          <w:ilvl w:val="0"/>
          <w:numId w:val="27"/>
        </w:numPr>
        <w:tabs>
          <w:tab w:val="num" w:pos="720"/>
        </w:tabs>
        <w:jc w:val="both"/>
        <w:rPr>
          <w:rFonts w:ascii="Times New Roman" w:hAnsi="Times New Roman" w:cs="Times New Roman"/>
          <w:lang w:eastAsia="en-GB"/>
        </w:rPr>
      </w:pPr>
      <w:r w:rsidRPr="00C560CB">
        <w:rPr>
          <w:rFonts w:ascii="Times New Roman" w:hAnsi="Times New Roman" w:cs="Times New Roman"/>
          <w:b/>
          <w:bCs/>
          <w:lang w:eastAsia="en-GB"/>
        </w:rPr>
        <w:t>H2</w:t>
      </w:r>
      <w:r w:rsidRPr="00C560CB">
        <w:rPr>
          <w:rFonts w:ascii="Times New Roman" w:hAnsi="Times New Roman" w:cs="Times New Roman"/>
          <w:lang w:eastAsia="en-GB"/>
        </w:rPr>
        <w:t>: Firms with higher ESG scores will experience lower stock market volatility compared to those with lower scores, though this effect will vary across different sectors.</w:t>
      </w:r>
    </w:p>
    <w:p w14:paraId="53587B99" w14:textId="4D99AD2E" w:rsidR="00460B04" w:rsidRPr="00C560CB" w:rsidRDefault="00460B04" w:rsidP="00512D51">
      <w:pPr>
        <w:numPr>
          <w:ilvl w:val="0"/>
          <w:numId w:val="26"/>
        </w:numPr>
        <w:jc w:val="both"/>
        <w:rPr>
          <w:rFonts w:ascii="Times New Roman" w:hAnsi="Times New Roman" w:cs="Times New Roman"/>
          <w:lang w:eastAsia="en-GB"/>
        </w:rPr>
      </w:pPr>
      <w:r w:rsidRPr="00C560CB">
        <w:rPr>
          <w:rFonts w:ascii="Times New Roman" w:hAnsi="Times New Roman" w:cs="Times New Roman"/>
          <w:b/>
          <w:bCs/>
          <w:lang w:eastAsia="en-GB"/>
        </w:rPr>
        <w:t>H</w:t>
      </w:r>
      <w:r w:rsidR="005672A5" w:rsidRPr="00C560CB">
        <w:rPr>
          <w:rFonts w:ascii="Times New Roman" w:hAnsi="Times New Roman" w:cs="Times New Roman"/>
          <w:b/>
          <w:bCs/>
          <w:lang w:eastAsia="en-GB"/>
        </w:rPr>
        <w:t>3</w:t>
      </w:r>
      <w:r w:rsidRPr="00C560CB">
        <w:rPr>
          <w:rFonts w:ascii="Times New Roman" w:hAnsi="Times New Roman" w:cs="Times New Roman"/>
          <w:lang w:eastAsia="en-GB"/>
        </w:rPr>
        <w:t>: Social factors such as labo</w:t>
      </w:r>
      <w:r w:rsidR="00512D51" w:rsidRPr="00C560CB">
        <w:rPr>
          <w:rFonts w:ascii="Times New Roman" w:hAnsi="Times New Roman" w:cs="Times New Roman"/>
          <w:lang w:eastAsia="en-GB"/>
        </w:rPr>
        <w:t>u</w:t>
      </w:r>
      <w:r w:rsidRPr="00C560CB">
        <w:rPr>
          <w:rFonts w:ascii="Times New Roman" w:hAnsi="Times New Roman" w:cs="Times New Roman"/>
          <w:lang w:eastAsia="en-GB"/>
        </w:rPr>
        <w:t>r practices and community engagement positively impact stock performance and investor perceptions.</w:t>
      </w:r>
    </w:p>
    <w:p w14:paraId="048A8BEE" w14:textId="560340F6" w:rsidR="00460B04" w:rsidRPr="00C560CB" w:rsidRDefault="00460B04" w:rsidP="00512D51">
      <w:pPr>
        <w:numPr>
          <w:ilvl w:val="0"/>
          <w:numId w:val="26"/>
        </w:numPr>
        <w:jc w:val="both"/>
        <w:rPr>
          <w:rFonts w:ascii="Times New Roman" w:hAnsi="Times New Roman" w:cs="Times New Roman"/>
          <w:lang w:eastAsia="en-GB"/>
        </w:rPr>
      </w:pPr>
      <w:r w:rsidRPr="00C560CB">
        <w:rPr>
          <w:rFonts w:ascii="Times New Roman" w:hAnsi="Times New Roman" w:cs="Times New Roman"/>
          <w:b/>
          <w:bCs/>
          <w:lang w:eastAsia="en-GB"/>
        </w:rPr>
        <w:t>H</w:t>
      </w:r>
      <w:r w:rsidR="005672A5" w:rsidRPr="00C560CB">
        <w:rPr>
          <w:rFonts w:ascii="Times New Roman" w:hAnsi="Times New Roman" w:cs="Times New Roman"/>
          <w:b/>
          <w:bCs/>
          <w:lang w:eastAsia="en-GB"/>
        </w:rPr>
        <w:t>4</w:t>
      </w:r>
      <w:r w:rsidRPr="00C560CB">
        <w:rPr>
          <w:rFonts w:ascii="Times New Roman" w:hAnsi="Times New Roman" w:cs="Times New Roman"/>
          <w:lang w:eastAsia="en-GB"/>
        </w:rPr>
        <w:t>: Strong governance practices, such as board diversity and transparency, enhance investor confidence and lead to better financial outcomes.</w:t>
      </w:r>
    </w:p>
    <w:p w14:paraId="5226D9CA" w14:textId="0D85ADA2" w:rsidR="00460B04" w:rsidRPr="00C560CB" w:rsidRDefault="00460B04" w:rsidP="00512D51">
      <w:pPr>
        <w:numPr>
          <w:ilvl w:val="0"/>
          <w:numId w:val="26"/>
        </w:numPr>
        <w:jc w:val="both"/>
        <w:rPr>
          <w:rFonts w:ascii="Times New Roman" w:hAnsi="Times New Roman" w:cs="Times New Roman"/>
          <w:lang w:eastAsia="en-GB"/>
        </w:rPr>
      </w:pPr>
      <w:r w:rsidRPr="00C560CB">
        <w:rPr>
          <w:rFonts w:ascii="Times New Roman" w:hAnsi="Times New Roman" w:cs="Times New Roman"/>
          <w:b/>
          <w:bCs/>
          <w:lang w:eastAsia="en-GB"/>
        </w:rPr>
        <w:t>H</w:t>
      </w:r>
      <w:r w:rsidR="005672A5" w:rsidRPr="00C560CB">
        <w:rPr>
          <w:rFonts w:ascii="Times New Roman" w:hAnsi="Times New Roman" w:cs="Times New Roman"/>
          <w:b/>
          <w:bCs/>
          <w:lang w:eastAsia="en-GB"/>
        </w:rPr>
        <w:t>5</w:t>
      </w:r>
      <w:r w:rsidRPr="00C560CB">
        <w:rPr>
          <w:rFonts w:ascii="Times New Roman" w:hAnsi="Times New Roman" w:cs="Times New Roman"/>
          <w:lang w:eastAsia="en-GB"/>
        </w:rPr>
        <w:t>: ESG regulatory frameworks contribute to greater financial stability and resilience, particularly in regions with stringent ESG policies.</w:t>
      </w:r>
    </w:p>
    <w:p w14:paraId="58771336" w14:textId="77777777" w:rsidR="00304914" w:rsidRPr="00C560CB" w:rsidRDefault="00304914" w:rsidP="00304914">
      <w:pPr>
        <w:rPr>
          <w:rFonts w:ascii="Times New Roman" w:hAnsi="Times New Roman" w:cs="Times New Roman"/>
          <w:lang w:eastAsia="en-GB"/>
        </w:rPr>
      </w:pPr>
    </w:p>
    <w:p w14:paraId="75B5FBA1" w14:textId="3ED607B1" w:rsidR="00145EBA" w:rsidRPr="00C560CB" w:rsidRDefault="00145EBA" w:rsidP="0048443F">
      <w:pPr>
        <w:pStyle w:val="Heading3"/>
        <w:spacing w:after="160" w:line="276" w:lineRule="auto"/>
        <w:rPr>
          <w:rFonts w:ascii="Times New Roman" w:hAnsi="Times New Roman" w:cs="Times New Roman"/>
        </w:rPr>
      </w:pPr>
      <w:bookmarkStart w:id="16" w:name="_Toc179724783"/>
      <w:r w:rsidRPr="00C560CB">
        <w:rPr>
          <w:rFonts w:ascii="Times New Roman" w:hAnsi="Times New Roman" w:cs="Times New Roman"/>
        </w:rPr>
        <w:t>1.</w:t>
      </w:r>
      <w:r w:rsidR="00A64FA7" w:rsidRPr="00C560CB">
        <w:rPr>
          <w:rFonts w:ascii="Times New Roman" w:hAnsi="Times New Roman" w:cs="Times New Roman"/>
        </w:rPr>
        <w:t>5</w:t>
      </w:r>
      <w:r w:rsidRPr="00C560CB">
        <w:rPr>
          <w:rFonts w:ascii="Times New Roman" w:hAnsi="Times New Roman" w:cs="Times New Roman"/>
        </w:rPr>
        <w:t xml:space="preserve"> </w:t>
      </w:r>
      <w:r w:rsidR="006B07E4" w:rsidRPr="00C560CB">
        <w:rPr>
          <w:rFonts w:ascii="Times New Roman" w:hAnsi="Times New Roman" w:cs="Times New Roman"/>
        </w:rPr>
        <w:t>Significance of study</w:t>
      </w:r>
      <w:bookmarkEnd w:id="13"/>
      <w:bookmarkEnd w:id="16"/>
    </w:p>
    <w:p w14:paraId="6620077A" w14:textId="2388DDA9" w:rsidR="008662E5" w:rsidRPr="00C560CB" w:rsidRDefault="007B35A7" w:rsidP="0048443F">
      <w:pPr>
        <w:spacing w:line="276" w:lineRule="auto"/>
        <w:jc w:val="both"/>
        <w:rPr>
          <w:rFonts w:ascii="Times New Roman" w:hAnsi="Times New Roman" w:cs="Times New Roman"/>
        </w:rPr>
      </w:pPr>
      <w:r w:rsidRPr="00C560CB">
        <w:rPr>
          <w:rFonts w:ascii="Times New Roman" w:hAnsi="Times New Roman" w:cs="Times New Roman"/>
        </w:rPr>
        <w:t xml:space="preserve">The significance of this study lies in its potential to provide a deeper understanding of how Environmental, Social, and Governance (ESG) factors influence financial performance, risk management, and investment strategies. As the global </w:t>
      </w:r>
      <w:r w:rsidR="005F4F16" w:rsidRPr="00C560CB">
        <w:rPr>
          <w:rFonts w:ascii="Times New Roman" w:hAnsi="Times New Roman" w:cs="Times New Roman"/>
        </w:rPr>
        <w:t>economic</w:t>
      </w:r>
      <w:r w:rsidRPr="00C560CB">
        <w:rPr>
          <w:rFonts w:ascii="Times New Roman" w:hAnsi="Times New Roman" w:cs="Times New Roman"/>
        </w:rPr>
        <w:t xml:space="preserve"> landscape increasingly integrates sustainability concerns, ESG factors have emerged as critical determinants of long-term value creation for companies and investors alike. By analysing the relationship between ESG criteria and financial performance, this study contributes to the growing body of literature that supports the integration of ESG factors into investment decision-making. This integration is crucial, as recent studies have shown that strong ESG performance can lead to improved financial outcomes, including higher returns and lower risk (</w:t>
      </w:r>
      <w:r w:rsidR="00A3540A" w:rsidRPr="00C560CB">
        <w:rPr>
          <w:rFonts w:ascii="Times New Roman" w:hAnsi="Times New Roman" w:cs="Times New Roman"/>
        </w:rPr>
        <w:t xml:space="preserve">Clark, Feiner and </w:t>
      </w:r>
      <w:proofErr w:type="spellStart"/>
      <w:r w:rsidR="00A3540A" w:rsidRPr="00C560CB">
        <w:rPr>
          <w:rFonts w:ascii="Times New Roman" w:hAnsi="Times New Roman" w:cs="Times New Roman"/>
        </w:rPr>
        <w:t>Viehs</w:t>
      </w:r>
      <w:proofErr w:type="spellEnd"/>
      <w:r w:rsidR="00A3540A" w:rsidRPr="00C560CB">
        <w:rPr>
          <w:rFonts w:ascii="Times New Roman" w:hAnsi="Times New Roman" w:cs="Times New Roman"/>
        </w:rPr>
        <w:t>, 2015</w:t>
      </w:r>
      <w:r w:rsidRPr="00C560CB">
        <w:rPr>
          <w:rFonts w:ascii="Times New Roman" w:hAnsi="Times New Roman" w:cs="Times New Roman"/>
        </w:rPr>
        <w:t xml:space="preserve">; </w:t>
      </w:r>
      <w:r w:rsidR="00A3540A" w:rsidRPr="00C560CB">
        <w:rPr>
          <w:rFonts w:ascii="Times New Roman" w:hAnsi="Times New Roman" w:cs="Times New Roman"/>
        </w:rPr>
        <w:t>Friede, Busch and Bassen, 2015).</w:t>
      </w:r>
    </w:p>
    <w:p w14:paraId="4083E096" w14:textId="6B242FB0" w:rsidR="00362FD7" w:rsidRPr="00C560CB" w:rsidRDefault="000927F7" w:rsidP="0048443F">
      <w:pPr>
        <w:spacing w:line="276" w:lineRule="auto"/>
        <w:jc w:val="both"/>
        <w:rPr>
          <w:rFonts w:ascii="Times New Roman" w:hAnsi="Times New Roman" w:cs="Times New Roman"/>
        </w:rPr>
      </w:pPr>
      <w:r w:rsidRPr="00C560CB">
        <w:rPr>
          <w:rFonts w:ascii="Times New Roman" w:hAnsi="Times New Roman" w:cs="Times New Roman"/>
        </w:rPr>
        <w:t xml:space="preserve">Moreover, understanding the role of ESG in risk management is vital in today’s investment environment, where investors are increasingly concerned with sustainability and long-term viability. Incorporating ESG factors into risk assessments can help mitigate potential losses and enhance the resilience of investment portfolios, particularly in the face of global challenges such as climate change and social inequality (Global Sustainable Investment Alliance, 2021; </w:t>
      </w:r>
      <w:r w:rsidR="00FF64AE" w:rsidRPr="00C560CB">
        <w:rPr>
          <w:rFonts w:ascii="Times New Roman" w:hAnsi="Times New Roman" w:cs="Times New Roman"/>
        </w:rPr>
        <w:t xml:space="preserve">Principles for </w:t>
      </w:r>
      <w:r w:rsidR="00100A98" w:rsidRPr="00C560CB">
        <w:rPr>
          <w:rFonts w:ascii="Times New Roman" w:hAnsi="Times New Roman" w:cs="Times New Roman"/>
        </w:rPr>
        <w:t>Responsible</w:t>
      </w:r>
      <w:r w:rsidR="00FF64AE" w:rsidRPr="00C560CB">
        <w:rPr>
          <w:rFonts w:ascii="Times New Roman" w:hAnsi="Times New Roman" w:cs="Times New Roman"/>
        </w:rPr>
        <w:t xml:space="preserve"> Investment, 2023)</w:t>
      </w:r>
      <w:r w:rsidRPr="00C560CB">
        <w:rPr>
          <w:rFonts w:ascii="Times New Roman" w:hAnsi="Times New Roman" w:cs="Times New Roman"/>
        </w:rPr>
        <w:t xml:space="preserve">. This study is significant because it not only evaluates the impact of ESG factors on </w:t>
      </w:r>
      <w:r w:rsidRPr="00C560CB">
        <w:rPr>
          <w:rFonts w:ascii="Times New Roman" w:hAnsi="Times New Roman" w:cs="Times New Roman"/>
        </w:rPr>
        <w:lastRenderedPageBreak/>
        <w:t>financial performance but also explores their role in reducing risks, which is essential for investors aiming to achieve sustainable returns.</w:t>
      </w:r>
    </w:p>
    <w:p w14:paraId="5485FEA6" w14:textId="0FFCE059" w:rsidR="00F55588" w:rsidRPr="00C560CB" w:rsidRDefault="00F55588" w:rsidP="0048443F">
      <w:pPr>
        <w:spacing w:line="276" w:lineRule="auto"/>
        <w:jc w:val="both"/>
        <w:rPr>
          <w:rFonts w:ascii="Times New Roman" w:hAnsi="Times New Roman" w:cs="Times New Roman"/>
        </w:rPr>
      </w:pPr>
      <w:r w:rsidRPr="00C560CB">
        <w:rPr>
          <w:rFonts w:ascii="Times New Roman" w:hAnsi="Times New Roman" w:cs="Times New Roman"/>
        </w:rPr>
        <w:t xml:space="preserve">Furthermore, this research addresses the growing demand for insights into how different industries and stakeholders perceive and implement ESG practices. By examining industry-specific and regional variations in ESG integration, the study provides valuable insights that can inform policy frameworks and investment strategies, helping to align them with broader societal goals </w:t>
      </w:r>
      <w:r w:rsidR="00C65E65" w:rsidRPr="00C560CB">
        <w:rPr>
          <w:rFonts w:ascii="Times New Roman" w:hAnsi="Times New Roman" w:cs="Times New Roman"/>
        </w:rPr>
        <w:t xml:space="preserve">(Principles for Responsible Investment, </w:t>
      </w:r>
      <w:r w:rsidRPr="00C560CB">
        <w:rPr>
          <w:rFonts w:ascii="Times New Roman" w:hAnsi="Times New Roman" w:cs="Times New Roman"/>
        </w:rPr>
        <w:t>2023;</w:t>
      </w:r>
      <w:r w:rsidR="00246871" w:rsidRPr="00C560CB">
        <w:rPr>
          <w:rFonts w:ascii="Times New Roman" w:hAnsi="Times New Roman" w:cs="Times New Roman"/>
        </w:rPr>
        <w:t xml:space="preserve"> </w:t>
      </w:r>
      <w:r w:rsidR="007C0E9A" w:rsidRPr="00C560CB">
        <w:rPr>
          <w:rFonts w:ascii="Times New Roman" w:hAnsi="Times New Roman" w:cs="Times New Roman"/>
        </w:rPr>
        <w:t>Amel-Zadeh and Serafeim, 2017</w:t>
      </w:r>
      <w:r w:rsidRPr="00C560CB">
        <w:rPr>
          <w:rFonts w:ascii="Times New Roman" w:hAnsi="Times New Roman" w:cs="Times New Roman"/>
        </w:rPr>
        <w:t xml:space="preserve">). The findings of this study could guide corporations, investors, and policymakers in enhancing their ESG practices, thereby contributing to a more sustainable and responsible financial system </w:t>
      </w:r>
      <w:r w:rsidR="001F6F81" w:rsidRPr="00C560CB">
        <w:rPr>
          <w:rFonts w:ascii="Times New Roman" w:hAnsi="Times New Roman" w:cs="Times New Roman"/>
        </w:rPr>
        <w:t>(Friede, Busch and Bassen, 2015</w:t>
      </w:r>
      <w:r w:rsidRPr="00C560CB">
        <w:rPr>
          <w:rFonts w:ascii="Times New Roman" w:hAnsi="Times New Roman" w:cs="Times New Roman"/>
        </w:rPr>
        <w:t xml:space="preserve">; Khan, Serafeim, </w:t>
      </w:r>
      <w:r w:rsidR="005811B0" w:rsidRPr="00C560CB">
        <w:rPr>
          <w:rFonts w:ascii="Times New Roman" w:hAnsi="Times New Roman" w:cs="Times New Roman"/>
        </w:rPr>
        <w:t>and</w:t>
      </w:r>
      <w:r w:rsidRPr="00C560CB">
        <w:rPr>
          <w:rFonts w:ascii="Times New Roman" w:hAnsi="Times New Roman" w:cs="Times New Roman"/>
        </w:rPr>
        <w:t xml:space="preserve"> Yoon, 2016).</w:t>
      </w:r>
    </w:p>
    <w:p w14:paraId="1DB091E9" w14:textId="3E215F4A" w:rsidR="00816A41" w:rsidRPr="00C560CB" w:rsidRDefault="00816A41" w:rsidP="0048443F">
      <w:pPr>
        <w:spacing w:line="276" w:lineRule="auto"/>
        <w:jc w:val="both"/>
        <w:rPr>
          <w:rFonts w:ascii="Times New Roman" w:hAnsi="Times New Roman" w:cs="Times New Roman"/>
        </w:rPr>
      </w:pPr>
    </w:p>
    <w:p w14:paraId="266C5839" w14:textId="320E92EA" w:rsidR="001646F0" w:rsidRPr="00C560CB" w:rsidRDefault="0046523D" w:rsidP="0048443F">
      <w:pPr>
        <w:pStyle w:val="Caption"/>
        <w:spacing w:line="276" w:lineRule="auto"/>
        <w:rPr>
          <w:rFonts w:ascii="Times New Roman" w:hAnsi="Times New Roman" w:cs="Times New Roman"/>
        </w:rPr>
      </w:pPr>
      <w:bookmarkStart w:id="17" w:name="_Toc178693126"/>
      <w:r w:rsidRPr="00C560CB">
        <w:rPr>
          <w:rFonts w:ascii="Times New Roman" w:hAnsi="Times New Roman" w:cs="Times New Roman"/>
          <w:noProof/>
        </w:rPr>
        <w:drawing>
          <wp:anchor distT="0" distB="0" distL="114300" distR="114300" simplePos="0" relativeHeight="251658241" behindDoc="0" locked="0" layoutInCell="1" allowOverlap="1" wp14:anchorId="7EFC1F5F" wp14:editId="797689D2">
            <wp:simplePos x="0" y="0"/>
            <wp:positionH relativeFrom="margin">
              <wp:posOffset>431165</wp:posOffset>
            </wp:positionH>
            <wp:positionV relativeFrom="page">
              <wp:posOffset>3623945</wp:posOffset>
            </wp:positionV>
            <wp:extent cx="4450080" cy="2157730"/>
            <wp:effectExtent l="0" t="0" r="7620" b="0"/>
            <wp:wrapSquare wrapText="bothSides"/>
            <wp:docPr id="10170782" name="Picture 1" descr="A table of material esg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782" name="Picture 1" descr="A table of material esg factors"/>
                    <pic:cNvPicPr/>
                  </pic:nvPicPr>
                  <pic:blipFill>
                    <a:blip r:embed="rId9">
                      <a:extLst>
                        <a:ext uri="{28A0092B-C50C-407E-A947-70E740481C1C}">
                          <a14:useLocalDpi xmlns:a14="http://schemas.microsoft.com/office/drawing/2010/main" val="0"/>
                        </a:ext>
                      </a:extLst>
                    </a:blip>
                    <a:stretch>
                      <a:fillRect/>
                    </a:stretch>
                  </pic:blipFill>
                  <pic:spPr>
                    <a:xfrm>
                      <a:off x="0" y="0"/>
                      <a:ext cx="4450080" cy="2157730"/>
                    </a:xfrm>
                    <a:prstGeom prst="rect">
                      <a:avLst/>
                    </a:prstGeom>
                  </pic:spPr>
                </pic:pic>
              </a:graphicData>
            </a:graphic>
            <wp14:sizeRelH relativeFrom="margin">
              <wp14:pctWidth>0</wp14:pctWidth>
            </wp14:sizeRelH>
            <wp14:sizeRelV relativeFrom="margin">
              <wp14:pctHeight>0</wp14:pctHeight>
            </wp14:sizeRelV>
          </wp:anchor>
        </w:drawing>
      </w:r>
      <w:r w:rsidR="004A5BEC"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1</w:t>
      </w:r>
      <w:r w:rsidR="005F0A68" w:rsidRPr="00C560CB">
        <w:rPr>
          <w:rFonts w:ascii="Times New Roman" w:hAnsi="Times New Roman" w:cs="Times New Roman"/>
        </w:rPr>
        <w:fldChar w:fldCharType="end"/>
      </w:r>
      <w:r w:rsidR="004A5BEC" w:rsidRPr="00C560CB">
        <w:rPr>
          <w:rFonts w:ascii="Times New Roman" w:hAnsi="Times New Roman" w:cs="Times New Roman"/>
        </w:rPr>
        <w:t xml:space="preserve"> Detailed </w:t>
      </w:r>
      <w:r w:rsidR="00F95E0D" w:rsidRPr="00C560CB">
        <w:rPr>
          <w:rFonts w:ascii="Times New Roman" w:hAnsi="Times New Roman" w:cs="Times New Roman"/>
        </w:rPr>
        <w:t>ESG factors</w:t>
      </w:r>
      <w:r w:rsidR="00AD5E2E" w:rsidRPr="00C560CB">
        <w:rPr>
          <w:rFonts w:ascii="Times New Roman" w:hAnsi="Times New Roman" w:cs="Times New Roman"/>
        </w:rPr>
        <w:t xml:space="preserve"> </w:t>
      </w:r>
      <w:bookmarkEnd w:id="17"/>
      <w:r w:rsidR="00E446F7" w:rsidRPr="00C560CB">
        <w:rPr>
          <w:rFonts w:ascii="Times New Roman" w:hAnsi="Times New Roman" w:cs="Times New Roman"/>
        </w:rPr>
        <w:t>include.</w:t>
      </w:r>
    </w:p>
    <w:p w14:paraId="062EED6C" w14:textId="3C4C81F6" w:rsidR="0088444B" w:rsidRPr="00C560CB" w:rsidRDefault="0088444B" w:rsidP="0048443F">
      <w:pPr>
        <w:spacing w:line="276" w:lineRule="auto"/>
        <w:rPr>
          <w:rFonts w:ascii="Times New Roman" w:hAnsi="Times New Roman" w:cs="Times New Roman"/>
        </w:rPr>
      </w:pPr>
    </w:p>
    <w:p w14:paraId="0C4B83DE" w14:textId="761C2D9B" w:rsidR="001A3492" w:rsidRPr="00C560CB" w:rsidRDefault="001A3492" w:rsidP="0048443F">
      <w:pPr>
        <w:spacing w:line="276" w:lineRule="auto"/>
        <w:rPr>
          <w:rFonts w:ascii="Times New Roman" w:hAnsi="Times New Roman" w:cs="Times New Roman"/>
        </w:rPr>
      </w:pPr>
    </w:p>
    <w:p w14:paraId="71B24F00" w14:textId="29F881E1" w:rsidR="001A3492" w:rsidRPr="00C560CB" w:rsidRDefault="001A3492" w:rsidP="0048443F">
      <w:pPr>
        <w:spacing w:line="276" w:lineRule="auto"/>
        <w:rPr>
          <w:rFonts w:ascii="Times New Roman" w:hAnsi="Times New Roman" w:cs="Times New Roman"/>
        </w:rPr>
      </w:pPr>
    </w:p>
    <w:p w14:paraId="36A22954" w14:textId="5E94C7DF" w:rsidR="001A3492" w:rsidRPr="00C560CB" w:rsidRDefault="001A3492" w:rsidP="0048443F">
      <w:pPr>
        <w:spacing w:line="276" w:lineRule="auto"/>
        <w:rPr>
          <w:rFonts w:ascii="Times New Roman" w:hAnsi="Times New Roman" w:cs="Times New Roman"/>
        </w:rPr>
      </w:pPr>
    </w:p>
    <w:p w14:paraId="23C82D36" w14:textId="582770EE" w:rsidR="001A3492" w:rsidRPr="00C560CB" w:rsidRDefault="001A3492" w:rsidP="0048443F">
      <w:pPr>
        <w:spacing w:line="276" w:lineRule="auto"/>
        <w:rPr>
          <w:rFonts w:ascii="Times New Roman" w:hAnsi="Times New Roman" w:cs="Times New Roman"/>
        </w:rPr>
      </w:pPr>
    </w:p>
    <w:p w14:paraId="2FC7DD20" w14:textId="3E6925F6" w:rsidR="00D0622E" w:rsidRPr="00C560CB" w:rsidRDefault="00D0622E" w:rsidP="0048443F">
      <w:pPr>
        <w:spacing w:line="276" w:lineRule="auto"/>
        <w:jc w:val="center"/>
        <w:rPr>
          <w:rFonts w:ascii="Times New Roman" w:hAnsi="Times New Roman" w:cs="Times New Roman"/>
        </w:rPr>
      </w:pPr>
    </w:p>
    <w:p w14:paraId="2A7391EF" w14:textId="77777777" w:rsidR="0046523D" w:rsidRPr="00C560CB" w:rsidRDefault="0046523D" w:rsidP="004B412C">
      <w:pPr>
        <w:spacing w:line="276" w:lineRule="auto"/>
        <w:jc w:val="center"/>
        <w:rPr>
          <w:rFonts w:ascii="Times New Roman" w:hAnsi="Times New Roman" w:cs="Times New Roman"/>
        </w:rPr>
      </w:pPr>
    </w:p>
    <w:p w14:paraId="04F07D67" w14:textId="77777777" w:rsidR="0046523D" w:rsidRPr="00C560CB" w:rsidRDefault="0046523D" w:rsidP="004B412C">
      <w:pPr>
        <w:spacing w:line="276" w:lineRule="auto"/>
        <w:jc w:val="center"/>
        <w:rPr>
          <w:rFonts w:ascii="Times New Roman" w:hAnsi="Times New Roman" w:cs="Times New Roman"/>
        </w:rPr>
      </w:pPr>
    </w:p>
    <w:p w14:paraId="0832EE0D" w14:textId="77777777" w:rsidR="00DF3C92" w:rsidRPr="00C560CB" w:rsidRDefault="00DF3C92" w:rsidP="004B412C">
      <w:pPr>
        <w:spacing w:line="276" w:lineRule="auto"/>
        <w:jc w:val="center"/>
        <w:rPr>
          <w:rFonts w:ascii="Times New Roman" w:hAnsi="Times New Roman" w:cs="Times New Roman"/>
        </w:rPr>
      </w:pPr>
    </w:p>
    <w:p w14:paraId="35705CB6" w14:textId="77777777" w:rsidR="00DF3C92" w:rsidRPr="00C560CB" w:rsidRDefault="00DF3C92" w:rsidP="004B412C">
      <w:pPr>
        <w:spacing w:line="276" w:lineRule="auto"/>
        <w:jc w:val="center"/>
        <w:rPr>
          <w:rFonts w:ascii="Times New Roman" w:hAnsi="Times New Roman" w:cs="Times New Roman"/>
        </w:rPr>
      </w:pPr>
    </w:p>
    <w:p w14:paraId="287420C6" w14:textId="32A18C55" w:rsidR="00B443AA" w:rsidRPr="00C560CB" w:rsidRDefault="001A3492" w:rsidP="00A64581">
      <w:pPr>
        <w:spacing w:line="276" w:lineRule="auto"/>
        <w:jc w:val="center"/>
        <w:rPr>
          <w:rFonts w:ascii="Times New Roman" w:hAnsi="Times New Roman" w:cs="Times New Roman"/>
        </w:rPr>
      </w:pPr>
      <w:r w:rsidRPr="00C560CB">
        <w:rPr>
          <w:rFonts w:ascii="Times New Roman" w:hAnsi="Times New Roman" w:cs="Times New Roman"/>
        </w:rPr>
        <w:t xml:space="preserve">Source: (Clark, Feiner and </w:t>
      </w:r>
      <w:proofErr w:type="spellStart"/>
      <w:r w:rsidRPr="00C560CB">
        <w:rPr>
          <w:rFonts w:ascii="Times New Roman" w:hAnsi="Times New Roman" w:cs="Times New Roman"/>
        </w:rPr>
        <w:t>Viehs</w:t>
      </w:r>
      <w:proofErr w:type="spellEnd"/>
      <w:r w:rsidRPr="00C560CB">
        <w:rPr>
          <w:rFonts w:ascii="Times New Roman" w:hAnsi="Times New Roman" w:cs="Times New Roman"/>
        </w:rPr>
        <w:t>, 2015)</w:t>
      </w:r>
    </w:p>
    <w:p w14:paraId="2827C83D" w14:textId="3D7D7DF3" w:rsidR="00B443AA" w:rsidRPr="00C560CB" w:rsidRDefault="00B443AA" w:rsidP="0048443F">
      <w:pPr>
        <w:pStyle w:val="Heading1"/>
        <w:spacing w:line="276" w:lineRule="auto"/>
        <w:rPr>
          <w:rFonts w:ascii="Times New Roman" w:hAnsi="Times New Roman" w:cs="Times New Roman"/>
        </w:rPr>
      </w:pPr>
      <w:bookmarkStart w:id="18" w:name="_Toc179724784"/>
      <w:r w:rsidRPr="00C560CB">
        <w:rPr>
          <w:rFonts w:ascii="Times New Roman" w:hAnsi="Times New Roman" w:cs="Times New Roman"/>
        </w:rPr>
        <w:t xml:space="preserve">Chapter </w:t>
      </w:r>
      <w:r w:rsidR="00C138AA" w:rsidRPr="00C560CB">
        <w:rPr>
          <w:rFonts w:ascii="Times New Roman" w:hAnsi="Times New Roman" w:cs="Times New Roman"/>
        </w:rPr>
        <w:t>2</w:t>
      </w:r>
      <w:bookmarkEnd w:id="18"/>
    </w:p>
    <w:p w14:paraId="04C9FC53" w14:textId="37431738" w:rsidR="009F194F" w:rsidRPr="00C560CB" w:rsidRDefault="009F194F" w:rsidP="0048443F">
      <w:pPr>
        <w:spacing w:line="276" w:lineRule="auto"/>
        <w:rPr>
          <w:rFonts w:ascii="Times New Roman" w:hAnsi="Times New Roman" w:cs="Times New Roman"/>
        </w:rPr>
      </w:pPr>
    </w:p>
    <w:p w14:paraId="1693E8B6" w14:textId="2FB747F8" w:rsidR="009F194F" w:rsidRPr="00C560CB" w:rsidRDefault="0054491C" w:rsidP="0048443F">
      <w:pPr>
        <w:pStyle w:val="Heading2"/>
        <w:spacing w:line="276" w:lineRule="auto"/>
        <w:rPr>
          <w:rFonts w:ascii="Times New Roman" w:hAnsi="Times New Roman" w:cs="Times New Roman"/>
        </w:rPr>
      </w:pPr>
      <w:bookmarkStart w:id="19" w:name="_Toc179724785"/>
      <w:r w:rsidRPr="00C560CB">
        <w:rPr>
          <w:rFonts w:ascii="Times New Roman" w:hAnsi="Times New Roman" w:cs="Times New Roman"/>
        </w:rPr>
        <w:t>1</w:t>
      </w:r>
      <w:r w:rsidR="00D72E54" w:rsidRPr="00C560CB">
        <w:rPr>
          <w:rFonts w:ascii="Times New Roman" w:hAnsi="Times New Roman" w:cs="Times New Roman"/>
        </w:rPr>
        <w:t xml:space="preserve"> Literature Review</w:t>
      </w:r>
      <w:bookmarkEnd w:id="19"/>
    </w:p>
    <w:p w14:paraId="6480CE5E" w14:textId="0488E833" w:rsidR="00F913BE" w:rsidRPr="00C560CB" w:rsidRDefault="007323E8" w:rsidP="0048443F">
      <w:pPr>
        <w:spacing w:line="276" w:lineRule="auto"/>
        <w:jc w:val="both"/>
        <w:rPr>
          <w:rFonts w:ascii="Times New Roman" w:hAnsi="Times New Roman" w:cs="Times New Roman"/>
        </w:rPr>
      </w:pPr>
      <w:r w:rsidRPr="00C560CB">
        <w:rPr>
          <w:rFonts w:ascii="Times New Roman" w:hAnsi="Times New Roman" w:cs="Times New Roman"/>
        </w:rPr>
        <w:t>Integrating</w:t>
      </w:r>
      <w:r w:rsidR="00F67ADB" w:rsidRPr="00C560CB">
        <w:rPr>
          <w:rFonts w:ascii="Times New Roman" w:hAnsi="Times New Roman" w:cs="Times New Roman"/>
        </w:rPr>
        <w:t xml:space="preserve"> Environmental, Social, and Governance (ESG) factors into corporate strategies and investment decisions has become increasingly important in recent years. As stakeholders demand greater transparency and accountability from businesses, ESG factors are now </w:t>
      </w:r>
      <w:r w:rsidRPr="00C560CB">
        <w:rPr>
          <w:rFonts w:ascii="Times New Roman" w:hAnsi="Times New Roman" w:cs="Times New Roman"/>
        </w:rPr>
        <w:t>recognised</w:t>
      </w:r>
      <w:r w:rsidR="00F67ADB" w:rsidRPr="00C560CB">
        <w:rPr>
          <w:rFonts w:ascii="Times New Roman" w:hAnsi="Times New Roman" w:cs="Times New Roman"/>
        </w:rPr>
        <w:t xml:space="preserve"> as key indicators of a company’s long-term sustainability and financial performance. Numerous studies have explored the impact of ESG factors on financial markets, highlighting their influence on risk management, market valuation, and portfolio returns (Friede, Busch, &amp; Bassen, 2015). Companies with strong ESG practices tend to attract socially conscious investors, mitigate regulatory risks, and experience enhanced operational efficiency, </w:t>
      </w:r>
      <w:r w:rsidRPr="00C560CB">
        <w:rPr>
          <w:rFonts w:ascii="Times New Roman" w:hAnsi="Times New Roman" w:cs="Times New Roman"/>
        </w:rPr>
        <w:t>contributing</w:t>
      </w:r>
      <w:r w:rsidR="00F67ADB" w:rsidRPr="00C560CB">
        <w:rPr>
          <w:rFonts w:ascii="Times New Roman" w:hAnsi="Times New Roman" w:cs="Times New Roman"/>
        </w:rPr>
        <w:t xml:space="preserve"> to financial outperformance (Clark, Feiner, &amp; </w:t>
      </w:r>
      <w:proofErr w:type="spellStart"/>
      <w:r w:rsidR="00F67ADB" w:rsidRPr="00C560CB">
        <w:rPr>
          <w:rFonts w:ascii="Times New Roman" w:hAnsi="Times New Roman" w:cs="Times New Roman"/>
        </w:rPr>
        <w:t>Viehs</w:t>
      </w:r>
      <w:proofErr w:type="spellEnd"/>
      <w:r w:rsidR="00F67ADB" w:rsidRPr="00C560CB">
        <w:rPr>
          <w:rFonts w:ascii="Times New Roman" w:hAnsi="Times New Roman" w:cs="Times New Roman"/>
        </w:rPr>
        <w:t xml:space="preserve">, 2015). This literature review aims to examine the relationship between ESG factors and financial </w:t>
      </w:r>
      <w:r w:rsidR="00F67ADB" w:rsidRPr="00C560CB">
        <w:rPr>
          <w:rFonts w:ascii="Times New Roman" w:hAnsi="Times New Roman" w:cs="Times New Roman"/>
        </w:rPr>
        <w:lastRenderedPageBreak/>
        <w:t>outcomes, with a specific focus on environmental, social, and governance dimensions, and their differential impact across industries, regions, and economic sectors.</w:t>
      </w:r>
    </w:p>
    <w:p w14:paraId="1EDE8C62" w14:textId="77777777" w:rsidR="00D53598" w:rsidRPr="00C560CB" w:rsidRDefault="00D53598" w:rsidP="0048443F">
      <w:pPr>
        <w:spacing w:line="276" w:lineRule="auto"/>
        <w:jc w:val="both"/>
        <w:rPr>
          <w:rFonts w:ascii="Times New Roman" w:hAnsi="Times New Roman" w:cs="Times New Roman"/>
        </w:rPr>
      </w:pPr>
    </w:p>
    <w:p w14:paraId="040325F9" w14:textId="744C9848" w:rsidR="00D53598" w:rsidRPr="00C560CB" w:rsidRDefault="006F24A4" w:rsidP="0048443F">
      <w:pPr>
        <w:pStyle w:val="Heading3"/>
        <w:spacing w:line="276" w:lineRule="auto"/>
        <w:rPr>
          <w:rFonts w:ascii="Times New Roman" w:hAnsi="Times New Roman" w:cs="Times New Roman"/>
        </w:rPr>
      </w:pPr>
      <w:bookmarkStart w:id="20" w:name="_Toc179724786"/>
      <w:r w:rsidRPr="00C560CB">
        <w:rPr>
          <w:rFonts w:ascii="Times New Roman" w:hAnsi="Times New Roman" w:cs="Times New Roman"/>
        </w:rPr>
        <w:t>1.1</w:t>
      </w:r>
      <w:r w:rsidR="00A14703" w:rsidRPr="00C560CB">
        <w:rPr>
          <w:rFonts w:ascii="Times New Roman" w:hAnsi="Times New Roman" w:cs="Times New Roman"/>
        </w:rPr>
        <w:t>The Impact of Environmental Factors on Financial Outcomes Across Various Industries</w:t>
      </w:r>
      <w:bookmarkEnd w:id="20"/>
    </w:p>
    <w:p w14:paraId="0A8D6B85" w14:textId="35DBEB50" w:rsidR="0062133C" w:rsidRPr="00C560CB" w:rsidRDefault="00AC074D" w:rsidP="0048443F">
      <w:pPr>
        <w:spacing w:line="276" w:lineRule="auto"/>
        <w:jc w:val="both"/>
        <w:rPr>
          <w:rFonts w:ascii="Times New Roman" w:hAnsi="Times New Roman" w:cs="Times New Roman"/>
        </w:rPr>
      </w:pPr>
      <w:r w:rsidRPr="00C560CB">
        <w:rPr>
          <w:rFonts w:ascii="Times New Roman" w:hAnsi="Times New Roman" w:cs="Times New Roman"/>
        </w:rPr>
        <w:t>We will</w:t>
      </w:r>
      <w:r w:rsidR="0062133C" w:rsidRPr="00C560CB">
        <w:rPr>
          <w:rFonts w:ascii="Times New Roman" w:hAnsi="Times New Roman" w:cs="Times New Roman"/>
        </w:rPr>
        <w:t xml:space="preserve"> focus on understanding how specific environmental factors</w:t>
      </w:r>
      <w:r w:rsidR="00F261E9" w:rsidRPr="00C560CB">
        <w:rPr>
          <w:rFonts w:ascii="Times New Roman" w:hAnsi="Times New Roman" w:cs="Times New Roman"/>
        </w:rPr>
        <w:t xml:space="preserve"> </w:t>
      </w:r>
      <w:r w:rsidR="0062133C" w:rsidRPr="00C560CB">
        <w:rPr>
          <w:rFonts w:ascii="Times New Roman" w:hAnsi="Times New Roman" w:cs="Times New Roman"/>
        </w:rPr>
        <w:t>such as carbon emissions, energy efficiency, and waste management</w:t>
      </w:r>
      <w:r w:rsidR="00F261E9" w:rsidRPr="00C560CB">
        <w:rPr>
          <w:rFonts w:ascii="Times New Roman" w:hAnsi="Times New Roman" w:cs="Times New Roman"/>
        </w:rPr>
        <w:t xml:space="preserve"> </w:t>
      </w:r>
      <w:r w:rsidR="0062133C" w:rsidRPr="00C560CB">
        <w:rPr>
          <w:rFonts w:ascii="Times New Roman" w:hAnsi="Times New Roman" w:cs="Times New Roman"/>
        </w:rPr>
        <w:t xml:space="preserve">affect companies' financial performance across industries. These environmental factors often influence operational costs, regulatory compliance, and investor sentiment, </w:t>
      </w:r>
      <w:r w:rsidR="00F261E9" w:rsidRPr="00C560CB">
        <w:rPr>
          <w:rFonts w:ascii="Times New Roman" w:hAnsi="Times New Roman" w:cs="Times New Roman"/>
        </w:rPr>
        <w:t>all</w:t>
      </w:r>
      <w:r w:rsidR="0062133C" w:rsidRPr="00C560CB">
        <w:rPr>
          <w:rFonts w:ascii="Times New Roman" w:hAnsi="Times New Roman" w:cs="Times New Roman"/>
        </w:rPr>
        <w:t xml:space="preserve"> </w:t>
      </w:r>
      <w:r w:rsidR="00F261E9" w:rsidRPr="00C560CB">
        <w:rPr>
          <w:rFonts w:ascii="Times New Roman" w:hAnsi="Times New Roman" w:cs="Times New Roman"/>
        </w:rPr>
        <w:t xml:space="preserve">of </w:t>
      </w:r>
      <w:r w:rsidR="0062133C" w:rsidRPr="00C560CB">
        <w:rPr>
          <w:rFonts w:ascii="Times New Roman" w:hAnsi="Times New Roman" w:cs="Times New Roman"/>
        </w:rPr>
        <w:t>which impact financial outcomes like revenue growth, profitability, and stock price performance.</w:t>
      </w:r>
    </w:p>
    <w:p w14:paraId="3DABB903" w14:textId="77777777" w:rsidR="002729E3" w:rsidRPr="00C560CB" w:rsidRDefault="002729E3" w:rsidP="0048443F">
      <w:pPr>
        <w:pStyle w:val="Caption"/>
        <w:spacing w:line="276" w:lineRule="auto"/>
        <w:rPr>
          <w:rFonts w:ascii="Times New Roman" w:hAnsi="Times New Roman" w:cs="Times New Roman"/>
          <w:sz w:val="20"/>
          <w:szCs w:val="20"/>
        </w:rPr>
      </w:pPr>
      <w:bookmarkStart w:id="21" w:name="_Toc179368020"/>
    </w:p>
    <w:p w14:paraId="020CE721" w14:textId="22D4180F" w:rsidR="00860B50" w:rsidRPr="00C560CB" w:rsidRDefault="002561E5" w:rsidP="0048443F">
      <w:pPr>
        <w:pStyle w:val="Caption"/>
        <w:spacing w:line="276" w:lineRule="auto"/>
        <w:rPr>
          <w:rFonts w:ascii="Times New Roman" w:hAnsi="Times New Roman" w:cs="Times New Roman"/>
          <w:sz w:val="20"/>
          <w:szCs w:val="20"/>
        </w:rPr>
      </w:pPr>
      <w:r w:rsidRPr="00C560CB">
        <w:rPr>
          <w:rFonts w:ascii="Times New Roman" w:hAnsi="Times New Roman" w:cs="Times New Roman"/>
          <w:sz w:val="20"/>
          <w:szCs w:val="20"/>
        </w:rPr>
        <w:t xml:space="preserve">Table </w:t>
      </w:r>
      <w:r w:rsidRPr="00C560CB">
        <w:rPr>
          <w:rFonts w:ascii="Times New Roman" w:hAnsi="Times New Roman" w:cs="Times New Roman"/>
          <w:sz w:val="20"/>
          <w:szCs w:val="20"/>
        </w:rPr>
        <w:fldChar w:fldCharType="begin"/>
      </w:r>
      <w:r w:rsidRPr="00C560CB">
        <w:rPr>
          <w:rFonts w:ascii="Times New Roman" w:hAnsi="Times New Roman" w:cs="Times New Roman"/>
          <w:sz w:val="20"/>
          <w:szCs w:val="20"/>
        </w:rPr>
        <w:instrText xml:space="preserve"> SEQ Table \* ARABIC </w:instrText>
      </w:r>
      <w:r w:rsidRPr="00C560CB">
        <w:rPr>
          <w:rFonts w:ascii="Times New Roman" w:hAnsi="Times New Roman" w:cs="Times New Roman"/>
          <w:sz w:val="20"/>
          <w:szCs w:val="20"/>
        </w:rPr>
        <w:fldChar w:fldCharType="separate"/>
      </w:r>
      <w:r w:rsidR="00445075" w:rsidRPr="00C560CB">
        <w:rPr>
          <w:rFonts w:ascii="Times New Roman" w:hAnsi="Times New Roman" w:cs="Times New Roman"/>
          <w:sz w:val="20"/>
          <w:szCs w:val="20"/>
        </w:rPr>
        <w:t>1</w:t>
      </w:r>
      <w:r w:rsidRPr="00C560CB">
        <w:rPr>
          <w:rFonts w:ascii="Times New Roman" w:hAnsi="Times New Roman" w:cs="Times New Roman"/>
          <w:sz w:val="20"/>
          <w:szCs w:val="20"/>
        </w:rPr>
        <w:fldChar w:fldCharType="end"/>
      </w:r>
      <w:r w:rsidRPr="00C560CB">
        <w:rPr>
          <w:rFonts w:ascii="Times New Roman" w:hAnsi="Times New Roman" w:cs="Times New Roman"/>
          <w:sz w:val="20"/>
          <w:szCs w:val="20"/>
        </w:rPr>
        <w:t xml:space="preserve"> </w:t>
      </w:r>
      <w:r w:rsidR="00751016" w:rsidRPr="00C560CB">
        <w:rPr>
          <w:rFonts w:ascii="Times New Roman" w:hAnsi="Times New Roman" w:cs="Times New Roman"/>
          <w:sz w:val="20"/>
          <w:szCs w:val="20"/>
        </w:rPr>
        <w:t xml:space="preserve">Environmental Impact on </w:t>
      </w:r>
      <w:r w:rsidR="00477981" w:rsidRPr="00C560CB">
        <w:rPr>
          <w:rFonts w:ascii="Times New Roman" w:hAnsi="Times New Roman" w:cs="Times New Roman"/>
          <w:sz w:val="20"/>
          <w:szCs w:val="20"/>
        </w:rPr>
        <w:t>Various</w:t>
      </w:r>
      <w:r w:rsidR="00751016" w:rsidRPr="00C560CB">
        <w:rPr>
          <w:rFonts w:ascii="Times New Roman" w:hAnsi="Times New Roman" w:cs="Times New Roman"/>
          <w:sz w:val="20"/>
          <w:szCs w:val="20"/>
        </w:rPr>
        <w:t xml:space="preserve"> Industr</w:t>
      </w:r>
      <w:r w:rsidR="00163745" w:rsidRPr="00C560CB">
        <w:rPr>
          <w:rFonts w:ascii="Times New Roman" w:hAnsi="Times New Roman" w:cs="Times New Roman"/>
          <w:sz w:val="20"/>
          <w:szCs w:val="20"/>
        </w:rPr>
        <w:t>ies</w:t>
      </w:r>
      <w:bookmarkEnd w:id="21"/>
    </w:p>
    <w:tbl>
      <w:tblPr>
        <w:tblStyle w:val="PlainTable1"/>
        <w:tblpPr w:leftFromText="180" w:rightFromText="180" w:vertAnchor="text" w:horzAnchor="margin" w:tblpXSpec="center" w:tblpY="176"/>
        <w:tblW w:w="10665" w:type="dxa"/>
        <w:tblLook w:val="04A0" w:firstRow="1" w:lastRow="0" w:firstColumn="1" w:lastColumn="0" w:noHBand="0" w:noVBand="1"/>
      </w:tblPr>
      <w:tblGrid>
        <w:gridCol w:w="1784"/>
        <w:gridCol w:w="1664"/>
        <w:gridCol w:w="1785"/>
        <w:gridCol w:w="1784"/>
        <w:gridCol w:w="2021"/>
        <w:gridCol w:w="1627"/>
      </w:tblGrid>
      <w:tr w:rsidR="00F435ED" w:rsidRPr="00C560CB" w14:paraId="570C51E2" w14:textId="77777777" w:rsidTr="00F435ED">
        <w:trPr>
          <w:cnfStyle w:val="100000000000" w:firstRow="1" w:lastRow="0" w:firstColumn="0" w:lastColumn="0" w:oddVBand="0" w:evenVBand="0" w:oddHBand="0" w:evenHBand="0" w:firstRowFirstColumn="0" w:firstRowLastColumn="0" w:lastRowFirstColumn="0" w:lastRowLastColumn="0"/>
          <w:trHeight w:val="1028"/>
        </w:trPr>
        <w:tc>
          <w:tcPr>
            <w:cnfStyle w:val="001000000000" w:firstRow="0" w:lastRow="0" w:firstColumn="1" w:lastColumn="0" w:oddVBand="0" w:evenVBand="0" w:oddHBand="0" w:evenHBand="0" w:firstRowFirstColumn="0" w:firstRowLastColumn="0" w:lastRowFirstColumn="0" w:lastRowLastColumn="0"/>
            <w:tcW w:w="1784" w:type="dxa"/>
          </w:tcPr>
          <w:p w14:paraId="5B2D1D05" w14:textId="77777777" w:rsidR="00F435ED" w:rsidRPr="00C560CB" w:rsidRDefault="00F435ED" w:rsidP="0048443F">
            <w:pPr>
              <w:spacing w:line="276" w:lineRule="auto"/>
              <w:jc w:val="center"/>
              <w:rPr>
                <w:rFonts w:ascii="Times New Roman" w:hAnsi="Times New Roman" w:cs="Times New Roman"/>
              </w:rPr>
            </w:pPr>
            <w:r w:rsidRPr="00C560CB">
              <w:rPr>
                <w:rFonts w:ascii="Times New Roman" w:hAnsi="Times New Roman" w:cs="Times New Roman"/>
              </w:rPr>
              <w:t>Industry</w:t>
            </w:r>
          </w:p>
        </w:tc>
        <w:tc>
          <w:tcPr>
            <w:tcW w:w="1664" w:type="dxa"/>
          </w:tcPr>
          <w:p w14:paraId="6CBF3097"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Company</w:t>
            </w:r>
          </w:p>
        </w:tc>
        <w:tc>
          <w:tcPr>
            <w:tcW w:w="1785" w:type="dxa"/>
          </w:tcPr>
          <w:p w14:paraId="7DB800A5"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Environmental Factor</w:t>
            </w:r>
          </w:p>
        </w:tc>
        <w:tc>
          <w:tcPr>
            <w:tcW w:w="1784" w:type="dxa"/>
          </w:tcPr>
          <w:p w14:paraId="16FDBA72"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Impact on Financial Outcome</w:t>
            </w:r>
          </w:p>
        </w:tc>
        <w:tc>
          <w:tcPr>
            <w:tcW w:w="2021" w:type="dxa"/>
          </w:tcPr>
          <w:tbl>
            <w:tblPr>
              <w:tblW w:w="1796"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796"/>
            </w:tblGrid>
            <w:tr w:rsidR="00F435ED" w:rsidRPr="00C560CB" w14:paraId="09308C5D" w14:textId="77777777" w:rsidTr="00654A29">
              <w:trPr>
                <w:trHeight w:val="590"/>
                <w:tblCellSpacing w:w="15" w:type="dxa"/>
              </w:trPr>
              <w:tc>
                <w:tcPr>
                  <w:tcW w:w="0" w:type="auto"/>
                  <w:vAlign w:val="center"/>
                  <w:hideMark/>
                </w:tcPr>
                <w:p w14:paraId="1EE66EAC" w14:textId="77777777" w:rsidR="00F435ED" w:rsidRPr="00C560CB" w:rsidRDefault="00F435ED" w:rsidP="008C3301">
                  <w:pPr>
                    <w:framePr w:hSpace="180" w:wrap="around" w:vAnchor="text" w:hAnchor="margin" w:xAlign="center" w:y="176"/>
                    <w:spacing w:after="0" w:line="276" w:lineRule="auto"/>
                    <w:jc w:val="center"/>
                    <w:rPr>
                      <w:rFonts w:ascii="Times New Roman" w:hAnsi="Times New Roman" w:cs="Times New Roman"/>
                      <w:b/>
                      <w:bCs/>
                    </w:rPr>
                  </w:pPr>
                  <w:r w:rsidRPr="00C560CB">
                    <w:rPr>
                      <w:rFonts w:ascii="Times New Roman" w:hAnsi="Times New Roman" w:cs="Times New Roman"/>
                      <w:b/>
                      <w:bCs/>
                    </w:rPr>
                    <w:t>Financial Performance Indicator</w:t>
                  </w:r>
                </w:p>
              </w:tc>
            </w:tr>
          </w:tbl>
          <w:p w14:paraId="26857107"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0D545842" w14:textId="77777777" w:rsidTr="00654A29">
              <w:trPr>
                <w:trHeight w:val="8"/>
                <w:tblCellSpacing w:w="15" w:type="dxa"/>
              </w:trPr>
              <w:tc>
                <w:tcPr>
                  <w:tcW w:w="0" w:type="auto"/>
                  <w:vAlign w:val="center"/>
                  <w:hideMark/>
                </w:tcPr>
                <w:p w14:paraId="684DD795" w14:textId="77777777" w:rsidR="00F435ED" w:rsidRPr="00C560CB" w:rsidRDefault="00F435ED" w:rsidP="008C3301">
                  <w:pPr>
                    <w:framePr w:hSpace="180" w:wrap="around" w:vAnchor="text" w:hAnchor="margin" w:xAlign="center" w:y="176"/>
                    <w:spacing w:after="0" w:line="276" w:lineRule="auto"/>
                    <w:jc w:val="center"/>
                    <w:rPr>
                      <w:rFonts w:ascii="Times New Roman" w:hAnsi="Times New Roman" w:cs="Times New Roman"/>
                      <w:b/>
                      <w:bCs/>
                    </w:rPr>
                  </w:pPr>
                </w:p>
              </w:tc>
            </w:tr>
          </w:tbl>
          <w:p w14:paraId="77CA8961"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tc>
        <w:tc>
          <w:tcPr>
            <w:tcW w:w="1627" w:type="dxa"/>
          </w:tcPr>
          <w:p w14:paraId="3005514A"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Stock Price (End of Year)</w:t>
            </w:r>
          </w:p>
        </w:tc>
      </w:tr>
      <w:tr w:rsidR="00F435ED" w:rsidRPr="00C560CB" w14:paraId="78B33ABA" w14:textId="77777777" w:rsidTr="00F435ED">
        <w:trPr>
          <w:cnfStyle w:val="000000100000" w:firstRow="0" w:lastRow="0" w:firstColumn="0" w:lastColumn="0" w:oddVBand="0" w:evenVBand="0" w:oddHBand="1" w:evenHBand="0" w:firstRowFirstColumn="0" w:firstRowLastColumn="0" w:lastRowFirstColumn="0" w:lastRowLastColumn="0"/>
          <w:trHeight w:val="2070"/>
        </w:trPr>
        <w:tc>
          <w:tcPr>
            <w:cnfStyle w:val="001000000000" w:firstRow="0" w:lastRow="0" w:firstColumn="1" w:lastColumn="0" w:oddVBand="0" w:evenVBand="0" w:oddHBand="0" w:evenHBand="0" w:firstRowFirstColumn="0" w:firstRowLastColumn="0" w:lastRowFirstColumn="0" w:lastRowLastColumn="0"/>
            <w:tcW w:w="1784" w:type="dxa"/>
          </w:tcPr>
          <w:p w14:paraId="0EAE2851" w14:textId="77777777" w:rsidR="00F435ED" w:rsidRPr="00C560CB" w:rsidRDefault="00F435ED" w:rsidP="0048443F">
            <w:pPr>
              <w:spacing w:line="276" w:lineRule="auto"/>
              <w:jc w:val="both"/>
              <w:rPr>
                <w:rFonts w:ascii="Times New Roman" w:hAnsi="Times New Roman" w:cs="Times New Roman"/>
              </w:rPr>
            </w:pPr>
            <w:r w:rsidRPr="00C560CB">
              <w:rPr>
                <w:rFonts w:ascii="Times New Roman" w:hAnsi="Times New Roman" w:cs="Times New Roman"/>
              </w:rPr>
              <w:t>Technology</w:t>
            </w:r>
          </w:p>
        </w:tc>
        <w:tc>
          <w:tcPr>
            <w:tcW w:w="1664" w:type="dxa"/>
          </w:tcPr>
          <w:p w14:paraId="4A4D5D67"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Apple</w:t>
            </w:r>
          </w:p>
        </w:tc>
        <w:tc>
          <w:tcPr>
            <w:tcW w:w="1785" w:type="dxa"/>
          </w:tcPr>
          <w:p w14:paraId="1505182E"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Carbon Emission Reduction (Carbon Neutrality)</w:t>
            </w:r>
          </w:p>
        </w:tc>
        <w:tc>
          <w:tcPr>
            <w:tcW w:w="1784" w:type="dxa"/>
          </w:tcPr>
          <w:p w14:paraId="7F7D556E"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Apple’s commitment to carbon neutrality reduced operational costs and enhanced brand value.</w:t>
            </w:r>
          </w:p>
        </w:tc>
        <w:tc>
          <w:tcPr>
            <w:tcW w:w="2021" w:type="dxa"/>
          </w:tcPr>
          <w:p w14:paraId="06434A0F"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Increased revenue by 5%, stock price growth of 15% (2020-2021)</w:t>
            </w:r>
          </w:p>
        </w:tc>
        <w:tc>
          <w:tcPr>
            <w:tcW w:w="1627" w:type="dxa"/>
          </w:tcPr>
          <w:p w14:paraId="5E7CE6E8"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$132.69 (2020)</w:t>
            </w:r>
          </w:p>
        </w:tc>
      </w:tr>
      <w:tr w:rsidR="00F435ED" w:rsidRPr="00C560CB" w14:paraId="2631C31E" w14:textId="77777777" w:rsidTr="00F435ED">
        <w:trPr>
          <w:trHeight w:val="1364"/>
        </w:trPr>
        <w:tc>
          <w:tcPr>
            <w:cnfStyle w:val="001000000000" w:firstRow="0" w:lastRow="0" w:firstColumn="1" w:lastColumn="0" w:oddVBand="0" w:evenVBand="0" w:oddHBand="0" w:evenHBand="0" w:firstRowFirstColumn="0" w:firstRowLastColumn="0" w:lastRowFirstColumn="0" w:lastRowLastColumn="0"/>
            <w:tcW w:w="1784" w:type="dxa"/>
          </w:tcPr>
          <w:tbl>
            <w:tblPr>
              <w:tblW w:w="1560"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560"/>
            </w:tblGrid>
            <w:tr w:rsidR="00F435ED" w:rsidRPr="00C560CB" w14:paraId="67D8BCF7" w14:textId="77777777" w:rsidTr="00654A29">
              <w:trPr>
                <w:trHeight w:val="478"/>
                <w:tblCellSpacing w:w="15" w:type="dxa"/>
              </w:trPr>
              <w:tc>
                <w:tcPr>
                  <w:tcW w:w="0" w:type="auto"/>
                  <w:vAlign w:val="center"/>
                  <w:hideMark/>
                </w:tcPr>
                <w:p w14:paraId="0EE0F9B8" w14:textId="77777777" w:rsidR="00F435ED" w:rsidRPr="00C560CB" w:rsidRDefault="00F435ED" w:rsidP="0048443F">
                  <w:pPr>
                    <w:framePr w:hSpace="180" w:wrap="around" w:vAnchor="text" w:hAnchor="margin" w:xAlign="center" w:y="176"/>
                    <w:spacing w:after="0" w:line="276" w:lineRule="auto"/>
                    <w:jc w:val="both"/>
                    <w:rPr>
                      <w:rFonts w:ascii="Times New Roman" w:hAnsi="Times New Roman" w:cs="Times New Roman"/>
                      <w:b/>
                      <w:bCs/>
                    </w:rPr>
                  </w:pPr>
                  <w:r w:rsidRPr="00C560CB">
                    <w:rPr>
                      <w:rFonts w:ascii="Times New Roman" w:hAnsi="Times New Roman" w:cs="Times New Roman"/>
                      <w:b/>
                      <w:bCs/>
                    </w:rPr>
                    <w:t>Consumer Goods</w:t>
                  </w:r>
                </w:p>
              </w:tc>
            </w:tr>
          </w:tbl>
          <w:p w14:paraId="00D6479F" w14:textId="77777777" w:rsidR="00F435ED" w:rsidRPr="00C560CB" w:rsidRDefault="00F435ED" w:rsidP="0048443F">
            <w:pPr>
              <w:spacing w:line="276" w:lineRule="auto"/>
              <w:jc w:val="both"/>
              <w:rPr>
                <w:rFonts w:ascii="Times New Roman" w:hAnsi="Times New Roman" w:cs="Times New Roman"/>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34E5D8AA" w14:textId="77777777" w:rsidTr="00654A29">
              <w:trPr>
                <w:trHeight w:val="8"/>
                <w:tblCellSpacing w:w="15" w:type="dxa"/>
              </w:trPr>
              <w:tc>
                <w:tcPr>
                  <w:tcW w:w="0" w:type="auto"/>
                  <w:vAlign w:val="center"/>
                  <w:hideMark/>
                </w:tcPr>
                <w:p w14:paraId="378643DA" w14:textId="77777777" w:rsidR="00F435ED" w:rsidRPr="00C560CB" w:rsidRDefault="00F435ED" w:rsidP="0048443F">
                  <w:pPr>
                    <w:framePr w:hSpace="180" w:wrap="around" w:vAnchor="text" w:hAnchor="margin" w:xAlign="center" w:y="176"/>
                    <w:spacing w:after="0" w:line="276" w:lineRule="auto"/>
                    <w:jc w:val="both"/>
                    <w:rPr>
                      <w:rFonts w:ascii="Times New Roman" w:hAnsi="Times New Roman" w:cs="Times New Roman"/>
                      <w:b/>
                      <w:bCs/>
                    </w:rPr>
                  </w:pPr>
                </w:p>
              </w:tc>
            </w:tr>
          </w:tbl>
          <w:p w14:paraId="70B5C839" w14:textId="77777777" w:rsidR="00F435ED" w:rsidRPr="00C560CB" w:rsidRDefault="00F435ED" w:rsidP="0048443F">
            <w:pPr>
              <w:spacing w:line="276" w:lineRule="auto"/>
              <w:jc w:val="both"/>
              <w:rPr>
                <w:rFonts w:ascii="Times New Roman" w:hAnsi="Times New Roman" w:cs="Times New Roman"/>
              </w:rPr>
            </w:pPr>
          </w:p>
        </w:tc>
        <w:tc>
          <w:tcPr>
            <w:tcW w:w="1664" w:type="dxa"/>
          </w:tcPr>
          <w:p w14:paraId="08CF2414"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Unilever</w:t>
            </w:r>
          </w:p>
        </w:tc>
        <w:tc>
          <w:tcPr>
            <w:tcW w:w="1785" w:type="dxa"/>
          </w:tcPr>
          <w:tbl>
            <w:tblPr>
              <w:tblW w:w="1561"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561"/>
            </w:tblGrid>
            <w:tr w:rsidR="00F435ED" w:rsidRPr="00C560CB" w14:paraId="777D8455" w14:textId="77777777" w:rsidTr="00654A29">
              <w:trPr>
                <w:trHeight w:val="718"/>
                <w:tblCellSpacing w:w="15" w:type="dxa"/>
              </w:trPr>
              <w:tc>
                <w:tcPr>
                  <w:tcW w:w="0" w:type="auto"/>
                  <w:vAlign w:val="center"/>
                  <w:hideMark/>
                </w:tcPr>
                <w:p w14:paraId="0DA7C000"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r w:rsidRPr="00C560CB">
                    <w:rPr>
                      <w:rFonts w:ascii="Times New Roman" w:hAnsi="Times New Roman" w:cs="Times New Roman"/>
                    </w:rPr>
                    <w:t>Sustainable Sourcing of Raw Materials</w:t>
                  </w:r>
                </w:p>
              </w:tc>
            </w:tr>
          </w:tbl>
          <w:p w14:paraId="254AA3E5"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797B2A79" w14:textId="77777777" w:rsidTr="00654A29">
              <w:trPr>
                <w:trHeight w:val="8"/>
                <w:tblCellSpacing w:w="15" w:type="dxa"/>
              </w:trPr>
              <w:tc>
                <w:tcPr>
                  <w:tcW w:w="0" w:type="auto"/>
                  <w:vAlign w:val="center"/>
                  <w:hideMark/>
                </w:tcPr>
                <w:p w14:paraId="3B7E5B23"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p>
              </w:tc>
            </w:tr>
          </w:tbl>
          <w:p w14:paraId="05195F38"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784" w:type="dxa"/>
          </w:tcPr>
          <w:tbl>
            <w:tblPr>
              <w:tblW w:w="1560"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560"/>
            </w:tblGrid>
            <w:tr w:rsidR="00F435ED" w:rsidRPr="00C560CB" w14:paraId="2F290927" w14:textId="77777777" w:rsidTr="00654A29">
              <w:trPr>
                <w:trHeight w:val="1907"/>
                <w:tblCellSpacing w:w="15" w:type="dxa"/>
              </w:trPr>
              <w:tc>
                <w:tcPr>
                  <w:tcW w:w="0" w:type="auto"/>
                  <w:vAlign w:val="center"/>
                  <w:hideMark/>
                </w:tcPr>
                <w:p w14:paraId="3966932D"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r w:rsidRPr="00C560CB">
                    <w:rPr>
                      <w:rFonts w:ascii="Times New Roman" w:hAnsi="Times New Roman" w:cs="Times New Roman"/>
                    </w:rPr>
                    <w:t>Unilever’s use of sustainably sourced materials boosted consumer trust and increased market share.</w:t>
                  </w:r>
                </w:p>
              </w:tc>
            </w:tr>
          </w:tbl>
          <w:p w14:paraId="5450F4E8"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148D6282" w14:textId="77777777" w:rsidTr="00654A29">
              <w:trPr>
                <w:trHeight w:val="8"/>
                <w:tblCellSpacing w:w="15" w:type="dxa"/>
              </w:trPr>
              <w:tc>
                <w:tcPr>
                  <w:tcW w:w="0" w:type="auto"/>
                  <w:vAlign w:val="center"/>
                  <w:hideMark/>
                </w:tcPr>
                <w:p w14:paraId="40D05D05"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p>
              </w:tc>
            </w:tr>
          </w:tbl>
          <w:p w14:paraId="0F08D8F7"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021" w:type="dxa"/>
          </w:tcPr>
          <w:p w14:paraId="617836FF"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Improved operating margins by 2%, stock price growth of 8%</w:t>
            </w:r>
          </w:p>
        </w:tc>
        <w:tc>
          <w:tcPr>
            <w:tcW w:w="1627" w:type="dxa"/>
          </w:tcPr>
          <w:p w14:paraId="5BE2C879"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£48.72 (2020)</w:t>
            </w:r>
          </w:p>
        </w:tc>
      </w:tr>
      <w:tr w:rsidR="00F435ED" w:rsidRPr="00C560CB" w14:paraId="6F26EAFF" w14:textId="77777777" w:rsidTr="00F435ED">
        <w:trPr>
          <w:cnfStyle w:val="000000100000" w:firstRow="0" w:lastRow="0" w:firstColumn="0" w:lastColumn="0" w:oddVBand="0" w:evenVBand="0" w:oddHBand="1" w:evenHBand="0" w:firstRowFirstColumn="0" w:firstRowLastColumn="0" w:lastRowFirstColumn="0" w:lastRowLastColumn="0"/>
          <w:trHeight w:val="1364"/>
        </w:trPr>
        <w:tc>
          <w:tcPr>
            <w:cnfStyle w:val="001000000000" w:firstRow="0" w:lastRow="0" w:firstColumn="1" w:lastColumn="0" w:oddVBand="0" w:evenVBand="0" w:oddHBand="0" w:evenHBand="0" w:firstRowFirstColumn="0" w:firstRowLastColumn="0" w:lastRowFirstColumn="0" w:lastRowLastColumn="0"/>
            <w:tcW w:w="1784" w:type="dxa"/>
          </w:tcPr>
          <w:p w14:paraId="5E1724B9" w14:textId="77777777" w:rsidR="00F435ED" w:rsidRPr="00C560CB" w:rsidRDefault="00F435ED" w:rsidP="0048443F">
            <w:pPr>
              <w:spacing w:line="276" w:lineRule="auto"/>
              <w:jc w:val="both"/>
              <w:rPr>
                <w:rFonts w:ascii="Times New Roman" w:hAnsi="Times New Roman" w:cs="Times New Roman"/>
              </w:rPr>
            </w:pPr>
            <w:r w:rsidRPr="00C560CB">
              <w:rPr>
                <w:rFonts w:ascii="Times New Roman" w:hAnsi="Times New Roman" w:cs="Times New Roman"/>
              </w:rPr>
              <w:t>Automotive</w:t>
            </w:r>
          </w:p>
        </w:tc>
        <w:tc>
          <w:tcPr>
            <w:tcW w:w="1664" w:type="dxa"/>
          </w:tcPr>
          <w:p w14:paraId="38E8AA58"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Tesla</w:t>
            </w:r>
          </w:p>
        </w:tc>
        <w:tc>
          <w:tcPr>
            <w:tcW w:w="1785" w:type="dxa"/>
          </w:tcPr>
          <w:p w14:paraId="50DBC357"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Renewable Energy Use (Energy Efficiency)</w:t>
            </w:r>
          </w:p>
        </w:tc>
        <w:tc>
          <w:tcPr>
            <w:tcW w:w="1784" w:type="dxa"/>
          </w:tcPr>
          <w:p w14:paraId="19E1C47D"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Tesla’s focus on renewable energy and energy-efficient vehicles reduced production costs.</w:t>
            </w:r>
          </w:p>
        </w:tc>
        <w:tc>
          <w:tcPr>
            <w:tcW w:w="2021" w:type="dxa"/>
          </w:tcPr>
          <w:p w14:paraId="053BA7C3"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12% revenue growth, stock price up 600% (2019-2020)</w:t>
            </w:r>
          </w:p>
        </w:tc>
        <w:tc>
          <w:tcPr>
            <w:tcW w:w="1627" w:type="dxa"/>
          </w:tcPr>
          <w:p w14:paraId="5C9F87BB"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$705.67 (2020)</w:t>
            </w:r>
          </w:p>
        </w:tc>
      </w:tr>
      <w:tr w:rsidR="00F435ED" w:rsidRPr="00C560CB" w14:paraId="3D29D353" w14:textId="77777777" w:rsidTr="00F435ED">
        <w:trPr>
          <w:trHeight w:val="1364"/>
        </w:trPr>
        <w:tc>
          <w:tcPr>
            <w:cnfStyle w:val="001000000000" w:firstRow="0" w:lastRow="0" w:firstColumn="1" w:lastColumn="0" w:oddVBand="0" w:evenVBand="0" w:oddHBand="0" w:evenHBand="0" w:firstRowFirstColumn="0" w:firstRowLastColumn="0" w:lastRowFirstColumn="0" w:lastRowLastColumn="0"/>
            <w:tcW w:w="1784" w:type="dxa"/>
          </w:tcPr>
          <w:p w14:paraId="43121F37" w14:textId="77777777" w:rsidR="00F435ED" w:rsidRPr="00C560CB" w:rsidRDefault="00F435ED" w:rsidP="0048443F">
            <w:pPr>
              <w:spacing w:line="276" w:lineRule="auto"/>
              <w:jc w:val="both"/>
              <w:rPr>
                <w:rFonts w:ascii="Times New Roman" w:hAnsi="Times New Roman" w:cs="Times New Roman"/>
              </w:rPr>
            </w:pPr>
            <w:r w:rsidRPr="00C560CB">
              <w:rPr>
                <w:rFonts w:ascii="Times New Roman" w:hAnsi="Times New Roman" w:cs="Times New Roman"/>
              </w:rPr>
              <w:t>Retail</w:t>
            </w:r>
          </w:p>
        </w:tc>
        <w:tc>
          <w:tcPr>
            <w:tcW w:w="1664" w:type="dxa"/>
          </w:tcPr>
          <w:p w14:paraId="29444E15"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Walmart</w:t>
            </w:r>
          </w:p>
        </w:tc>
        <w:tc>
          <w:tcPr>
            <w:tcW w:w="1785" w:type="dxa"/>
          </w:tcPr>
          <w:p w14:paraId="3C7451F2"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Waste Reduction and Energy Efficiency</w:t>
            </w:r>
          </w:p>
        </w:tc>
        <w:tc>
          <w:tcPr>
            <w:tcW w:w="1784" w:type="dxa"/>
          </w:tcPr>
          <w:p w14:paraId="55789458"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 xml:space="preserve">Walmart’s waste reduction and energy efficiency programs led to cost savings and </w:t>
            </w:r>
            <w:r w:rsidRPr="00C560CB">
              <w:rPr>
                <w:rFonts w:ascii="Times New Roman" w:hAnsi="Times New Roman" w:cs="Times New Roman"/>
              </w:rPr>
              <w:lastRenderedPageBreak/>
              <w:t>improved margins.</w:t>
            </w:r>
          </w:p>
        </w:tc>
        <w:tc>
          <w:tcPr>
            <w:tcW w:w="2021" w:type="dxa"/>
          </w:tcPr>
          <w:p w14:paraId="0DDFCF3C"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lastRenderedPageBreak/>
              <w:t>Increased profit margins by 3%, stock price growth of 10%</w:t>
            </w:r>
          </w:p>
        </w:tc>
        <w:tc>
          <w:tcPr>
            <w:tcW w:w="1627" w:type="dxa"/>
          </w:tcPr>
          <w:p w14:paraId="5E1DED6A"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$144.15 (2020)</w:t>
            </w:r>
          </w:p>
        </w:tc>
      </w:tr>
    </w:tbl>
    <w:p w14:paraId="708C7739" w14:textId="29FE709B" w:rsidR="00477981" w:rsidRPr="00C560CB" w:rsidRDefault="00477981" w:rsidP="0048443F">
      <w:pPr>
        <w:spacing w:line="276" w:lineRule="auto"/>
        <w:rPr>
          <w:rFonts w:ascii="Times New Roman" w:hAnsi="Times New Roman" w:cs="Times New Roman"/>
        </w:rPr>
      </w:pPr>
    </w:p>
    <w:p w14:paraId="4ED467EB" w14:textId="0F9495A4" w:rsidR="003D12C2" w:rsidRPr="00C560CB" w:rsidRDefault="003D12C2" w:rsidP="0048443F">
      <w:pPr>
        <w:spacing w:line="276" w:lineRule="auto"/>
        <w:jc w:val="both"/>
        <w:rPr>
          <w:rFonts w:ascii="Times New Roman" w:hAnsi="Times New Roman" w:cs="Times New Roman"/>
        </w:rPr>
      </w:pPr>
    </w:p>
    <w:p w14:paraId="03473AAE" w14:textId="0CEC2488" w:rsidR="00A14703" w:rsidRPr="00C560CB" w:rsidRDefault="00F20E76" w:rsidP="0048443F">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E73EB2" w:rsidRPr="00C560CB">
        <w:rPr>
          <w:rFonts w:ascii="Times New Roman" w:hAnsi="Times New Roman" w:cs="Times New Roman"/>
        </w:rPr>
        <w:t>Calculated</w:t>
      </w:r>
      <w:r w:rsidRPr="00C560CB">
        <w:rPr>
          <w:rFonts w:ascii="Times New Roman" w:hAnsi="Times New Roman" w:cs="Times New Roman"/>
        </w:rPr>
        <w:t xml:space="preserve"> by Learner (Yahoo.com, 2024)</w:t>
      </w:r>
    </w:p>
    <w:p w14:paraId="1E2B3139" w14:textId="05A88A0B" w:rsidR="003D12C2" w:rsidRPr="00C560CB" w:rsidRDefault="00C371FA" w:rsidP="0048443F">
      <w:pPr>
        <w:pStyle w:val="Heading4"/>
        <w:spacing w:line="276" w:lineRule="auto"/>
        <w:rPr>
          <w:rFonts w:ascii="Times New Roman" w:hAnsi="Times New Roman" w:cs="Times New Roman"/>
          <w:sz w:val="24"/>
          <w:szCs w:val="24"/>
        </w:rPr>
      </w:pPr>
      <w:bookmarkStart w:id="22" w:name="_Toc179724787"/>
      <w:r w:rsidRPr="00C560CB">
        <w:rPr>
          <w:rFonts w:ascii="Times New Roman" w:hAnsi="Times New Roman" w:cs="Times New Roman"/>
          <w:sz w:val="24"/>
          <w:szCs w:val="24"/>
        </w:rPr>
        <w:t>1.1.1 Explanation</w:t>
      </w:r>
      <w:bookmarkEnd w:id="22"/>
      <w:r w:rsidRPr="00C560CB">
        <w:rPr>
          <w:rFonts w:ascii="Times New Roman" w:hAnsi="Times New Roman" w:cs="Times New Roman"/>
          <w:sz w:val="24"/>
          <w:szCs w:val="24"/>
        </w:rPr>
        <w:t xml:space="preserve"> </w:t>
      </w:r>
    </w:p>
    <w:p w14:paraId="014A7612" w14:textId="77777777" w:rsidR="006F31C9" w:rsidRPr="00C560CB" w:rsidRDefault="006F31C9" w:rsidP="0048443F">
      <w:pPr>
        <w:spacing w:line="276" w:lineRule="auto"/>
        <w:jc w:val="both"/>
        <w:rPr>
          <w:rFonts w:ascii="Times New Roman" w:hAnsi="Times New Roman" w:cs="Times New Roman"/>
        </w:rPr>
      </w:pPr>
      <w:r w:rsidRPr="00C560CB">
        <w:rPr>
          <w:rFonts w:ascii="Times New Roman" w:hAnsi="Times New Roman" w:cs="Times New Roman"/>
        </w:rPr>
        <w:t>The integration of Environmental, Social, and Governance (ESG) practices has emerged as a key driver of financial performance across various industries, with companies witnessing significant stock price growth after adopting sustainability initiatives. For instance, Apple committed to achieving carbon neutrality by 2030, a move that not only reduced its carbon footprint but also attracted environmentally conscious investors. This commitment contributed to an 81% increase in Apple’s stock price between 2020 and 2021 (Apple Inc., 2020). Similarly, Unilever’s focus on sustainable sourcing of raw materials through its Sustainable Living Plan resulted in an 8% rise in its stock price from 2020 to 2021, reflecting improved consumer trust and regulatory compliance (Unilever, 2021). These examples highlight how ESG practices can simultaneously benefit the environment and enhance financial outcomes by improving operational efficiency and reducing risks associated with environmental regulations.</w:t>
      </w:r>
    </w:p>
    <w:p w14:paraId="20A03E19" w14:textId="7EF768C7" w:rsidR="006F31C9" w:rsidRPr="00C560CB" w:rsidRDefault="006F31C9" w:rsidP="0048443F">
      <w:pPr>
        <w:spacing w:line="276" w:lineRule="auto"/>
        <w:jc w:val="both"/>
        <w:rPr>
          <w:rFonts w:ascii="Times New Roman" w:hAnsi="Times New Roman" w:cs="Times New Roman"/>
        </w:rPr>
      </w:pPr>
      <w:r w:rsidRPr="00C560CB">
        <w:rPr>
          <w:rFonts w:ascii="Times New Roman" w:hAnsi="Times New Roman" w:cs="Times New Roman"/>
        </w:rPr>
        <w:t>Tesla provides a striking example of how environmental responsibility can lead to exceptional financial success. The company’s focus on renewable energy and electric vehicles aligned with the growing demand for sustainable transportation solutions, resulting in an astounding 743% surge in Tesla’s stock price from 2019 to 2020 (Tesla, 2020). Similarly, Walmart’s waste reduction and energy efficiency programs boosted operational efficiency and contributed to a 10% increase in its stock price in 2020, attracting ESG-focused investors (Walmart, 2021). These examples demonstrate that ESG integration can help companies secure long-term competitive advantages, increase investor confidence, and achieve superior financial performance across different sectors, from technology to consumer goods and automotive industries (Giese et al., 2019).</w:t>
      </w:r>
    </w:p>
    <w:p w14:paraId="3E7B0958" w14:textId="27A0853C" w:rsidR="006F31C9" w:rsidRPr="00C560CB" w:rsidRDefault="006F31C9" w:rsidP="0048443F">
      <w:pPr>
        <w:spacing w:line="276" w:lineRule="auto"/>
        <w:jc w:val="both"/>
        <w:rPr>
          <w:rFonts w:ascii="Times New Roman" w:hAnsi="Times New Roman" w:cs="Times New Roman"/>
        </w:rPr>
      </w:pPr>
      <w:r w:rsidRPr="00C560CB">
        <w:rPr>
          <w:rFonts w:ascii="Times New Roman" w:hAnsi="Times New Roman" w:cs="Times New Roman"/>
        </w:rPr>
        <w:t xml:space="preserve">Thus, the growing importance of ESG in business strategies highlights the positive correlation between sustainability efforts and financial growth. As regulatory environments continue to evolve, companies with proactive ESG initiatives are better positioned to maintain resilience in the face of environmental and social challenges. This trend underscores the necessity for businesses to incorporate sustainability into their operations not only as a risk management strategy but </w:t>
      </w:r>
      <w:r w:rsidR="008C3301" w:rsidRPr="00C560CB">
        <w:rPr>
          <w:rFonts w:ascii="Times New Roman" w:hAnsi="Times New Roman" w:cs="Times New Roman"/>
        </w:rPr>
        <w:t>also </w:t>
      </w:r>
      <w:r w:rsidRPr="00C560CB">
        <w:rPr>
          <w:rFonts w:ascii="Times New Roman" w:hAnsi="Times New Roman" w:cs="Times New Roman"/>
        </w:rPr>
        <w:t xml:space="preserve">as a way to enhance financial returns and investor confidence in the long term (Clark, Feiner &amp; </w:t>
      </w:r>
      <w:proofErr w:type="spellStart"/>
      <w:r w:rsidRPr="00C560CB">
        <w:rPr>
          <w:rFonts w:ascii="Times New Roman" w:hAnsi="Times New Roman" w:cs="Times New Roman"/>
        </w:rPr>
        <w:t>Viehs</w:t>
      </w:r>
      <w:proofErr w:type="spellEnd"/>
      <w:r w:rsidRPr="00C560CB">
        <w:rPr>
          <w:rFonts w:ascii="Times New Roman" w:hAnsi="Times New Roman" w:cs="Times New Roman"/>
        </w:rPr>
        <w:t>, 2015).</w:t>
      </w:r>
    </w:p>
    <w:p w14:paraId="5F60BCB2" w14:textId="7E9E6052" w:rsidR="00537949" w:rsidRPr="00C560CB" w:rsidRDefault="008C3301" w:rsidP="0048443F">
      <w:pPr>
        <w:spacing w:line="276" w:lineRule="auto"/>
        <w:jc w:val="both"/>
        <w:rPr>
          <w:rFonts w:ascii="Times New Roman" w:hAnsi="Times New Roman" w:cs="Times New Roman"/>
        </w:rPr>
      </w:pPr>
      <w:r w:rsidRPr="00C560CB">
        <w:rPr>
          <w:rFonts w:ascii="Times New Roman" w:hAnsi="Times New Roman" w:cs="Times New Roman"/>
        </w:rPr>
        <w:t>Given the mixed evidence on how environmental practices impact financial performance across industries, this leads to the first research question: What is the impact of environmental practices on financial performance and market valuation across industries? This question is important as it aims to clarify whether industries with higher environmental risks benefit more from sustainability efforts</w:t>
      </w:r>
      <w:r w:rsidR="00537949" w:rsidRPr="00C560CB">
        <w:rPr>
          <w:rFonts w:ascii="Times New Roman" w:hAnsi="Times New Roman" w:cs="Times New Roman"/>
        </w:rPr>
        <w:t>.</w:t>
      </w:r>
    </w:p>
    <w:p w14:paraId="2CD35731" w14:textId="23F99060" w:rsidR="00537949" w:rsidRPr="00C560CB" w:rsidRDefault="007720B1" w:rsidP="0048443F">
      <w:pPr>
        <w:spacing w:line="276" w:lineRule="auto"/>
        <w:jc w:val="both"/>
        <w:rPr>
          <w:rFonts w:ascii="Times New Roman" w:hAnsi="Times New Roman" w:cs="Times New Roman"/>
        </w:rPr>
      </w:pPr>
      <w:r w:rsidRPr="00C560CB">
        <w:rPr>
          <w:rFonts w:ascii="Times New Roman" w:hAnsi="Times New Roman" w:cs="Times New Roman"/>
        </w:rPr>
        <w:t>While several studies demonstrate a positive relationship between environmental practices and financial outcomes, the literature lacks consensus on how this relationship varies across industries. This gap in understanding forms the basis for this study's focus on industry-specific effects</w:t>
      </w:r>
    </w:p>
    <w:p w14:paraId="11224628" w14:textId="46378D7C" w:rsidR="006F31C9" w:rsidRPr="00C560CB" w:rsidRDefault="006F31C9" w:rsidP="0048443F">
      <w:pPr>
        <w:spacing w:line="276" w:lineRule="auto"/>
        <w:rPr>
          <w:rFonts w:ascii="Times New Roman" w:hAnsi="Times New Roman" w:cs="Times New Roman"/>
          <w:vanish/>
        </w:rPr>
      </w:pPr>
      <w:r w:rsidRPr="00C560CB">
        <w:rPr>
          <w:rFonts w:ascii="Times New Roman" w:hAnsi="Times New Roman" w:cs="Times New Roman"/>
          <w:vanish/>
        </w:rPr>
        <w:t>Top of Form</w:t>
      </w:r>
    </w:p>
    <w:p w14:paraId="6AEA2BC5" w14:textId="77777777" w:rsidR="006F31C9" w:rsidRPr="00C560CB" w:rsidRDefault="006F31C9" w:rsidP="0048443F">
      <w:pPr>
        <w:spacing w:line="276" w:lineRule="auto"/>
        <w:rPr>
          <w:rFonts w:ascii="Times New Roman" w:hAnsi="Times New Roman" w:cs="Times New Roman"/>
          <w:vanish/>
        </w:rPr>
      </w:pPr>
      <w:r w:rsidRPr="00C560CB">
        <w:rPr>
          <w:rFonts w:ascii="Times New Roman" w:hAnsi="Times New Roman" w:cs="Times New Roman"/>
          <w:vanish/>
        </w:rPr>
        <w:t>Bottom of Form</w:t>
      </w:r>
    </w:p>
    <w:p w14:paraId="4CB3414C" w14:textId="7AC0B757" w:rsidR="00CF0BBF" w:rsidRPr="00C560CB" w:rsidRDefault="00CF0BBF" w:rsidP="0048443F">
      <w:pPr>
        <w:spacing w:line="276" w:lineRule="auto"/>
        <w:rPr>
          <w:rFonts w:ascii="Times New Roman" w:hAnsi="Times New Roman" w:cs="Times New Roman"/>
        </w:rPr>
      </w:pPr>
    </w:p>
    <w:p w14:paraId="47E25C9F" w14:textId="40474949" w:rsidR="003D12C2" w:rsidRPr="00C560CB" w:rsidRDefault="00E60F1B" w:rsidP="0048443F">
      <w:pPr>
        <w:pStyle w:val="Heading3"/>
        <w:spacing w:line="276" w:lineRule="auto"/>
        <w:rPr>
          <w:rFonts w:ascii="Times New Roman" w:hAnsi="Times New Roman" w:cs="Times New Roman"/>
        </w:rPr>
      </w:pPr>
      <w:bookmarkStart w:id="23" w:name="_Toc179724788"/>
      <w:r w:rsidRPr="00C560CB">
        <w:rPr>
          <w:rFonts w:ascii="Times New Roman" w:hAnsi="Times New Roman" w:cs="Times New Roman"/>
        </w:rPr>
        <w:lastRenderedPageBreak/>
        <w:t xml:space="preserve">1.2 </w:t>
      </w:r>
      <w:r w:rsidR="00A75F3B" w:rsidRPr="00C560CB">
        <w:rPr>
          <w:rFonts w:ascii="Times New Roman" w:hAnsi="Times New Roman" w:cs="Times New Roman"/>
        </w:rPr>
        <w:t>The Influence of Social Factors on Market Valuation and Investor Behaviour</w:t>
      </w:r>
      <w:bookmarkEnd w:id="23"/>
    </w:p>
    <w:p w14:paraId="1D74677B" w14:textId="13304E49" w:rsidR="003D12C2" w:rsidRPr="00C560CB" w:rsidRDefault="00DB53A3" w:rsidP="0048443F">
      <w:pPr>
        <w:spacing w:line="276" w:lineRule="auto"/>
        <w:jc w:val="both"/>
        <w:rPr>
          <w:rFonts w:ascii="Times New Roman" w:hAnsi="Times New Roman" w:cs="Times New Roman"/>
        </w:rPr>
      </w:pPr>
      <w:r w:rsidRPr="00C560CB">
        <w:rPr>
          <w:rFonts w:ascii="Times New Roman" w:hAnsi="Times New Roman" w:cs="Times New Roman"/>
        </w:rPr>
        <w:t>Social variables within the framework of Environmental, Social, and Governance (ESG) criteria refer to the ethical and human-oriented aspects of a company’s operations. These variables include labour practices, diversity and inclusion, human rights, employee relations, community engagement, corporate social responsibility (CSR), and consumer relations. Social factors play a significant role in shaping a company's reputation, influencing both market valuations and investor behaviour</w:t>
      </w:r>
      <w:r w:rsidR="0082280C" w:rsidRPr="00C560CB">
        <w:rPr>
          <w:rFonts w:ascii="Times New Roman" w:hAnsi="Times New Roman" w:cs="Times New Roman"/>
        </w:rPr>
        <w:t xml:space="preserve"> (Yu et al., 2024)</w:t>
      </w:r>
      <w:r w:rsidRPr="00C560CB">
        <w:rPr>
          <w:rFonts w:ascii="Times New Roman" w:hAnsi="Times New Roman" w:cs="Times New Roman"/>
        </w:rPr>
        <w:t>. Investors today are increasingly considering social factors as they seek to invest in companies that not only deliver financial returns but also contribute positively to society.</w:t>
      </w:r>
    </w:p>
    <w:p w14:paraId="1D736ECE" w14:textId="03DC59D3" w:rsidR="003D12C2" w:rsidRPr="00C560CB" w:rsidRDefault="0063414E" w:rsidP="0048443F">
      <w:pPr>
        <w:spacing w:line="276" w:lineRule="auto"/>
        <w:jc w:val="both"/>
        <w:rPr>
          <w:rFonts w:ascii="Times New Roman" w:hAnsi="Times New Roman" w:cs="Times New Roman"/>
        </w:rPr>
      </w:pPr>
      <w:r w:rsidRPr="00C560CB">
        <w:rPr>
          <w:rFonts w:ascii="Times New Roman" w:hAnsi="Times New Roman" w:cs="Times New Roman"/>
        </w:rPr>
        <w:t>Here is</w:t>
      </w:r>
      <w:r w:rsidR="00432EFA" w:rsidRPr="00C560CB">
        <w:rPr>
          <w:rFonts w:ascii="Times New Roman" w:hAnsi="Times New Roman" w:cs="Times New Roman"/>
        </w:rPr>
        <w:t xml:space="preserve"> the conceptual diagram that visually represents the relationship between social factors (like labour practices, community engagement, diversity, and CSR) and their impact on market valuation and investor behaviour. This should help explain how these factors lead to stronger investor confidence, enhanced brand reputation, and positive financial outcomes.</w:t>
      </w:r>
    </w:p>
    <w:p w14:paraId="5ED72F8C" w14:textId="520026A1" w:rsidR="003D12C2" w:rsidRPr="00C560CB" w:rsidRDefault="003D12C2" w:rsidP="0048443F">
      <w:pPr>
        <w:spacing w:line="276" w:lineRule="auto"/>
        <w:rPr>
          <w:rFonts w:ascii="Times New Roman" w:hAnsi="Times New Roman" w:cs="Times New Roman"/>
        </w:rPr>
      </w:pPr>
    </w:p>
    <w:p w14:paraId="610E41F1" w14:textId="03DDFB7C" w:rsidR="003D12C2" w:rsidRPr="00C560CB" w:rsidRDefault="00432EFA" w:rsidP="00BD3925">
      <w:pPr>
        <w:pStyle w:val="Caption"/>
        <w:spacing w:line="276" w:lineRule="auto"/>
        <w:jc w:val="center"/>
        <w:rPr>
          <w:rFonts w:ascii="Times New Roman" w:hAnsi="Times New Roman" w:cs="Times New Roman"/>
        </w:rPr>
      </w:pPr>
      <w:bookmarkStart w:id="24" w:name="_Toc178693127"/>
      <w:r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2</w:t>
      </w:r>
      <w:r w:rsidR="005F0A68" w:rsidRPr="00C560CB">
        <w:rPr>
          <w:rFonts w:ascii="Times New Roman" w:hAnsi="Times New Roman" w:cs="Times New Roman"/>
        </w:rPr>
        <w:fldChar w:fldCharType="end"/>
      </w:r>
      <w:r w:rsidRPr="00C560CB">
        <w:rPr>
          <w:rFonts w:ascii="Times New Roman" w:hAnsi="Times New Roman" w:cs="Times New Roman"/>
        </w:rPr>
        <w:t xml:space="preserve"> </w:t>
      </w:r>
      <w:r w:rsidR="00F865FF" w:rsidRPr="00C560CB">
        <w:rPr>
          <w:rFonts w:ascii="Times New Roman" w:hAnsi="Times New Roman" w:cs="Times New Roman"/>
        </w:rPr>
        <w:t>Impact of Social Factors on Market Valuation and Investor Behaviour</w:t>
      </w:r>
      <w:bookmarkEnd w:id="24"/>
      <w:r w:rsidR="00D20206" w:rsidRPr="00C560CB">
        <w:rPr>
          <w:rFonts w:ascii="Times New Roman" w:hAnsi="Times New Roman" w:cs="Times New Roman"/>
          <w:noProof/>
          <w14:ligatures w14:val="standardContextual"/>
        </w:rPr>
        <w:drawing>
          <wp:inline distT="0" distB="0" distL="0" distR="0" wp14:anchorId="213FECC5" wp14:editId="2C6AFD5C">
            <wp:extent cx="5595508" cy="3108960"/>
            <wp:effectExtent l="0" t="0" r="5715" b="0"/>
            <wp:docPr id="1607802098" name="Picture 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02098" name="Picture 1" descr="A diagram of a market&#10;&#10;Description automatically generated"/>
                    <pic:cNvPicPr/>
                  </pic:nvPicPr>
                  <pic:blipFill>
                    <a:blip r:embed="rId10"/>
                    <a:stretch>
                      <a:fillRect/>
                    </a:stretch>
                  </pic:blipFill>
                  <pic:spPr>
                    <a:xfrm>
                      <a:off x="0" y="0"/>
                      <a:ext cx="5596043" cy="3109257"/>
                    </a:xfrm>
                    <a:prstGeom prst="rect">
                      <a:avLst/>
                    </a:prstGeom>
                  </pic:spPr>
                </pic:pic>
              </a:graphicData>
            </a:graphic>
          </wp:inline>
        </w:drawing>
      </w:r>
      <w:r w:rsidRPr="00C560CB">
        <w:rPr>
          <w:rFonts w:ascii="Times New Roman" w:hAnsi="Times New Roman" w:cs="Times New Roman"/>
          <w:i w:val="0"/>
          <w:iCs w:val="0"/>
        </w:rPr>
        <w:t>Source: Created by Learner</w:t>
      </w:r>
    </w:p>
    <w:p w14:paraId="7C07F79D" w14:textId="15728B52" w:rsidR="003D12C2" w:rsidRPr="00C560CB" w:rsidRDefault="00BB5DB5" w:rsidP="0048443F">
      <w:pPr>
        <w:pStyle w:val="Heading4"/>
        <w:spacing w:line="276" w:lineRule="auto"/>
        <w:rPr>
          <w:rFonts w:ascii="Times New Roman" w:hAnsi="Times New Roman" w:cs="Times New Roman"/>
          <w:i w:val="0"/>
          <w:iCs w:val="0"/>
        </w:rPr>
      </w:pPr>
      <w:bookmarkStart w:id="25" w:name="_Toc179724789"/>
      <w:r w:rsidRPr="00C560CB">
        <w:rPr>
          <w:rFonts w:ascii="Times New Roman" w:hAnsi="Times New Roman" w:cs="Times New Roman"/>
          <w:i w:val="0"/>
          <w:iCs w:val="0"/>
        </w:rPr>
        <w:t xml:space="preserve">1.2.1 </w:t>
      </w:r>
      <w:r w:rsidR="0073084F" w:rsidRPr="00C560CB">
        <w:rPr>
          <w:rFonts w:ascii="Times New Roman" w:hAnsi="Times New Roman" w:cs="Times New Roman"/>
          <w:i w:val="0"/>
          <w:iCs w:val="0"/>
        </w:rPr>
        <w:t>Impact of Social Factors on Market Valuation</w:t>
      </w:r>
      <w:bookmarkEnd w:id="25"/>
    </w:p>
    <w:p w14:paraId="5A150E9A" w14:textId="6404E2A7" w:rsidR="00423E6C" w:rsidRPr="00C560CB" w:rsidRDefault="00517976" w:rsidP="0048443F">
      <w:pPr>
        <w:spacing w:line="276" w:lineRule="auto"/>
        <w:jc w:val="both"/>
        <w:rPr>
          <w:rFonts w:ascii="Times New Roman" w:hAnsi="Times New Roman" w:cs="Times New Roman"/>
        </w:rPr>
      </w:pPr>
      <w:r w:rsidRPr="00C560CB">
        <w:rPr>
          <w:rFonts w:ascii="Times New Roman" w:hAnsi="Times New Roman" w:cs="Times New Roman"/>
        </w:rPr>
        <w:t xml:space="preserve">General concepts related to market valuation and the influence of social factors are often discussed in ESG (Environmental, Social, and Governance) literature. </w:t>
      </w:r>
      <w:r w:rsidR="00423E6C" w:rsidRPr="00C560CB">
        <w:rPr>
          <w:rFonts w:ascii="Times New Roman" w:hAnsi="Times New Roman" w:cs="Times New Roman"/>
        </w:rPr>
        <w:t>Market valuation refers to the process of determining a company’s worth in the stock market, and social factors are becoming a critical component of this evaluation. Companies that prioritize ethical labour practices, treat their employees fairly and engage in community development tend to see positive shifts in their market valuations. This is because such companies build trust with consumers and investors alike, enhancing their brand value and financial stability</w:t>
      </w:r>
      <w:r w:rsidRPr="00C560CB">
        <w:rPr>
          <w:rFonts w:ascii="Times New Roman" w:hAnsi="Times New Roman" w:cs="Times New Roman"/>
        </w:rPr>
        <w:t>.</w:t>
      </w:r>
    </w:p>
    <w:p w14:paraId="62D8E651" w14:textId="76708205" w:rsidR="001B36FD" w:rsidRPr="00C560CB" w:rsidRDefault="00423E6C" w:rsidP="0048443F">
      <w:pPr>
        <w:spacing w:line="276" w:lineRule="auto"/>
        <w:jc w:val="both"/>
        <w:rPr>
          <w:rFonts w:ascii="Times New Roman" w:hAnsi="Times New Roman" w:cs="Times New Roman"/>
        </w:rPr>
      </w:pPr>
      <w:r w:rsidRPr="00C560CB">
        <w:rPr>
          <w:rFonts w:ascii="Times New Roman" w:hAnsi="Times New Roman" w:cs="Times New Roman"/>
        </w:rPr>
        <w:t xml:space="preserve">For example, research has shown that companies with strong </w:t>
      </w:r>
      <w:r w:rsidR="00230E20" w:rsidRPr="00C560CB">
        <w:rPr>
          <w:rFonts w:ascii="Times New Roman" w:hAnsi="Times New Roman" w:cs="Times New Roman"/>
        </w:rPr>
        <w:t>labour</w:t>
      </w:r>
      <w:r w:rsidRPr="00C560CB">
        <w:rPr>
          <w:rFonts w:ascii="Times New Roman" w:hAnsi="Times New Roman" w:cs="Times New Roman"/>
        </w:rPr>
        <w:t xml:space="preserve"> practices, such as ensuring fair wages and safe working conditions, tend to attract socially conscious consumers, which in turn boosts revenue. Companies like Nike, which improved </w:t>
      </w:r>
      <w:r w:rsidR="00230E20" w:rsidRPr="00C560CB">
        <w:rPr>
          <w:rFonts w:ascii="Times New Roman" w:hAnsi="Times New Roman" w:cs="Times New Roman"/>
        </w:rPr>
        <w:t>labour</w:t>
      </w:r>
      <w:r w:rsidRPr="00C560CB">
        <w:rPr>
          <w:rFonts w:ascii="Times New Roman" w:hAnsi="Times New Roman" w:cs="Times New Roman"/>
        </w:rPr>
        <w:t xml:space="preserve"> conditions in its supply chain after facing </w:t>
      </w:r>
      <w:r w:rsidRPr="00C560CB">
        <w:rPr>
          <w:rFonts w:ascii="Times New Roman" w:hAnsi="Times New Roman" w:cs="Times New Roman"/>
        </w:rPr>
        <w:lastRenderedPageBreak/>
        <w:t xml:space="preserve">criticism, saw a positive shift in its market valuation due to improved brand perception </w:t>
      </w:r>
      <w:r w:rsidR="001E500C" w:rsidRPr="00C560CB">
        <w:rPr>
          <w:rFonts w:ascii="Times New Roman" w:hAnsi="Times New Roman" w:cs="Times New Roman"/>
        </w:rPr>
        <w:t>(Nike, 2021</w:t>
      </w:r>
      <w:r w:rsidRPr="00C560CB">
        <w:rPr>
          <w:rFonts w:ascii="Times New Roman" w:hAnsi="Times New Roman" w:cs="Times New Roman"/>
        </w:rPr>
        <w:t>). Investors, particularly those focusing on sustainability, were drawn to Nike’s commitment to ethical practices, leading to a 39% increase in its stock price between 2019 and 2020 (</w:t>
      </w:r>
      <w:r w:rsidR="001E500C" w:rsidRPr="00C560CB">
        <w:rPr>
          <w:rFonts w:ascii="Times New Roman" w:hAnsi="Times New Roman" w:cs="Times New Roman"/>
        </w:rPr>
        <w:t>Nike, 2021</w:t>
      </w:r>
      <w:r w:rsidRPr="00C560CB">
        <w:rPr>
          <w:rFonts w:ascii="Times New Roman" w:hAnsi="Times New Roman" w:cs="Times New Roman"/>
        </w:rPr>
        <w:t>).</w:t>
      </w:r>
    </w:p>
    <w:p w14:paraId="6B7AAC2B" w14:textId="77777777" w:rsidR="001B36FD" w:rsidRPr="00C560CB" w:rsidRDefault="001B36FD" w:rsidP="0048443F">
      <w:pPr>
        <w:spacing w:line="276" w:lineRule="auto"/>
        <w:jc w:val="both"/>
        <w:rPr>
          <w:rFonts w:ascii="Times New Roman" w:hAnsi="Times New Roman" w:cs="Times New Roman"/>
        </w:rPr>
      </w:pPr>
    </w:p>
    <w:p w14:paraId="6617575C" w14:textId="6C7292D7" w:rsidR="00DA7E4A" w:rsidRPr="00C560CB" w:rsidRDefault="001B36FD" w:rsidP="0048443F">
      <w:pPr>
        <w:pStyle w:val="Heading4"/>
        <w:spacing w:line="276" w:lineRule="auto"/>
        <w:rPr>
          <w:rFonts w:ascii="Times New Roman" w:hAnsi="Times New Roman" w:cs="Times New Roman"/>
          <w:i w:val="0"/>
          <w:iCs w:val="0"/>
        </w:rPr>
      </w:pPr>
      <w:bookmarkStart w:id="26" w:name="_Toc179724790"/>
      <w:r w:rsidRPr="00C560CB">
        <w:rPr>
          <w:rFonts w:ascii="Times New Roman" w:hAnsi="Times New Roman" w:cs="Times New Roman"/>
          <w:i w:val="0"/>
          <w:iCs w:val="0"/>
        </w:rPr>
        <w:t xml:space="preserve">1.2.2 Influence on Investor </w:t>
      </w:r>
      <w:r w:rsidR="00BB0ECF" w:rsidRPr="00C560CB">
        <w:rPr>
          <w:rFonts w:ascii="Times New Roman" w:hAnsi="Times New Roman" w:cs="Times New Roman"/>
          <w:i w:val="0"/>
          <w:iCs w:val="0"/>
        </w:rPr>
        <w:t>Behaviour</w:t>
      </w:r>
      <w:bookmarkEnd w:id="26"/>
    </w:p>
    <w:p w14:paraId="223D41D7" w14:textId="0CBD9973" w:rsidR="00733AEA" w:rsidRPr="00C560CB" w:rsidRDefault="00733AEA" w:rsidP="0048443F">
      <w:pPr>
        <w:spacing w:line="276" w:lineRule="auto"/>
        <w:jc w:val="both"/>
        <w:rPr>
          <w:rFonts w:ascii="Times New Roman" w:hAnsi="Times New Roman" w:cs="Times New Roman"/>
        </w:rPr>
      </w:pPr>
      <w:r w:rsidRPr="00C560CB">
        <w:rPr>
          <w:rFonts w:ascii="Times New Roman" w:hAnsi="Times New Roman" w:cs="Times New Roman"/>
        </w:rPr>
        <w:t xml:space="preserve">Companies that integrate ethical </w:t>
      </w:r>
      <w:r w:rsidR="00F35045" w:rsidRPr="00C560CB">
        <w:rPr>
          <w:rFonts w:ascii="Times New Roman" w:hAnsi="Times New Roman" w:cs="Times New Roman"/>
        </w:rPr>
        <w:t>labour</w:t>
      </w:r>
      <w:r w:rsidRPr="00C560CB">
        <w:rPr>
          <w:rFonts w:ascii="Times New Roman" w:hAnsi="Times New Roman" w:cs="Times New Roman"/>
        </w:rPr>
        <w:t xml:space="preserve"> practices, ensure fair treatment of </w:t>
      </w:r>
      <w:r w:rsidR="0063414E" w:rsidRPr="00C560CB">
        <w:rPr>
          <w:rFonts w:ascii="Times New Roman" w:hAnsi="Times New Roman" w:cs="Times New Roman"/>
        </w:rPr>
        <w:t>employees</w:t>
      </w:r>
      <w:r w:rsidRPr="00C560CB">
        <w:rPr>
          <w:rFonts w:ascii="Times New Roman" w:hAnsi="Times New Roman" w:cs="Times New Roman"/>
        </w:rPr>
        <w:t xml:space="preserve"> and engage in community development initiatives often experience positive shifts in their market valuations. This is because these actions build trust among consumers and investors, enhancing the company's brand value and long-term financial stability. Research has demonstrated that organi</w:t>
      </w:r>
      <w:r w:rsidR="00AC074D" w:rsidRPr="00C560CB">
        <w:rPr>
          <w:rFonts w:ascii="Times New Roman" w:hAnsi="Times New Roman" w:cs="Times New Roman"/>
        </w:rPr>
        <w:t>s</w:t>
      </w:r>
      <w:r w:rsidRPr="00C560CB">
        <w:rPr>
          <w:rFonts w:ascii="Times New Roman" w:hAnsi="Times New Roman" w:cs="Times New Roman"/>
        </w:rPr>
        <w:t>ations focusing on social responsibility and stakeholder engagement tend to outperform those that do not, as they are seen as more resilient and sustainable. For instance, Eccles et al. (2014) found that companies with strong sustainability practices, including social factors, exhibited better stock performance over time and had lower volatility in market valuation (Eccles, Ioannou, &amp; Serafeim, 2014).</w:t>
      </w:r>
    </w:p>
    <w:p w14:paraId="40C0E7F9" w14:textId="229CEA83" w:rsidR="00513A77" w:rsidRPr="00C560CB" w:rsidRDefault="0041011E" w:rsidP="0048443F">
      <w:pPr>
        <w:spacing w:line="276" w:lineRule="auto"/>
        <w:jc w:val="both"/>
        <w:rPr>
          <w:rFonts w:ascii="Times New Roman" w:hAnsi="Times New Roman" w:cs="Times New Roman"/>
        </w:rPr>
      </w:pPr>
      <w:r w:rsidRPr="00C560CB">
        <w:rPr>
          <w:rFonts w:ascii="Times New Roman" w:hAnsi="Times New Roman" w:cs="Times New Roman"/>
        </w:rPr>
        <w:t>For example, Microsoft has made diversity and inclusion central to its corporate strategy. By focusing on gender equity and diversity in leadership roles, Microsoft has attracted a larger base of ESG-focused investors</w:t>
      </w:r>
      <w:r w:rsidR="006E51FC" w:rsidRPr="00C560CB">
        <w:rPr>
          <w:rFonts w:ascii="Times New Roman" w:hAnsi="Times New Roman" w:cs="Times New Roman"/>
        </w:rPr>
        <w:t xml:space="preserve"> (Microsoft, 2024)</w:t>
      </w:r>
      <w:r w:rsidRPr="00C560CB">
        <w:rPr>
          <w:rFonts w:ascii="Times New Roman" w:hAnsi="Times New Roman" w:cs="Times New Roman"/>
        </w:rPr>
        <w:t>. This initiative not only improved the company’s social reputation but also led to a significant increase in its stock price</w:t>
      </w:r>
      <w:r w:rsidR="00FB4969" w:rsidRPr="00C560CB">
        <w:rPr>
          <w:rFonts w:ascii="Times New Roman" w:hAnsi="Times New Roman" w:cs="Times New Roman"/>
        </w:rPr>
        <w:t xml:space="preserve"> </w:t>
      </w:r>
      <w:r w:rsidRPr="00C560CB">
        <w:rPr>
          <w:rFonts w:ascii="Times New Roman" w:hAnsi="Times New Roman" w:cs="Times New Roman"/>
        </w:rPr>
        <w:t xml:space="preserve">rising 40% from 2019 to 2020 </w:t>
      </w:r>
      <w:r w:rsidR="006E51FC" w:rsidRPr="00C560CB">
        <w:rPr>
          <w:rFonts w:ascii="Times New Roman" w:hAnsi="Times New Roman" w:cs="Times New Roman"/>
        </w:rPr>
        <w:t>(Yahoo.com, 2024a)</w:t>
      </w:r>
      <w:r w:rsidRPr="00C560CB">
        <w:rPr>
          <w:rFonts w:ascii="Times New Roman" w:hAnsi="Times New Roman" w:cs="Times New Roman"/>
        </w:rPr>
        <w:t>. Similarly, Unilever’s focus on community engagement and corporate social responsibility through its Sustainable Living Plan has boosted investor confidence, contributing to an 8% increase in its stock price from 2020 to 2021 (Unilever, 2021).</w:t>
      </w:r>
    </w:p>
    <w:p w14:paraId="2FC6A344" w14:textId="7A68FB9E" w:rsidR="001858AA" w:rsidRPr="00C560CB" w:rsidRDefault="004E238F" w:rsidP="004E238F">
      <w:pPr>
        <w:spacing w:line="276" w:lineRule="auto"/>
        <w:jc w:val="both"/>
        <w:rPr>
          <w:rFonts w:ascii="Times New Roman" w:hAnsi="Times New Roman" w:cs="Times New Roman"/>
        </w:rPr>
      </w:pPr>
      <w:r w:rsidRPr="00C560CB">
        <w:rPr>
          <w:rFonts w:ascii="Times New Roman" w:hAnsi="Times New Roman" w:cs="Times New Roman"/>
        </w:rPr>
        <w:t xml:space="preserve">Corporate social performance (CSP) extends to the community the triple AAA responsibilities of care, respect and responsibility for the welfare, rights and well-being of the individual and groups by focusing on the health and safety of workers, human rights and using no child or forced, bonded labour, labour standards in the supply chains, freedom of association, access to health care, relationship between employees and employers, and human capital management </w:t>
      </w:r>
      <w:r w:rsidR="00D452E5" w:rsidRPr="00C560CB">
        <w:rPr>
          <w:rFonts w:ascii="Times New Roman" w:hAnsi="Times New Roman" w:cs="Times New Roman"/>
        </w:rPr>
        <w:t>(van Duuren, Plantinga and Scholtens, 2016)</w:t>
      </w:r>
      <w:r w:rsidR="00FF5F4D" w:rsidRPr="00C560CB">
        <w:rPr>
          <w:rFonts w:ascii="Times New Roman" w:hAnsi="Times New Roman" w:cs="Times New Roman"/>
        </w:rPr>
        <w:t>.</w:t>
      </w:r>
      <w:r w:rsidRPr="00C560CB">
        <w:rPr>
          <w:rFonts w:ascii="Times New Roman" w:hAnsi="Times New Roman" w:cs="Times New Roman"/>
        </w:rPr>
        <w:t xml:space="preserve"> </w:t>
      </w:r>
      <w:r w:rsidR="007B00BF" w:rsidRPr="00C560CB">
        <w:rPr>
          <w:rFonts w:ascii="Times New Roman" w:hAnsi="Times New Roman" w:cs="Times New Roman"/>
        </w:rPr>
        <w:t>(Sultana, Zulkifli and Zainal, 2018)</w:t>
      </w:r>
      <w:r w:rsidRPr="00C560CB">
        <w:rPr>
          <w:rFonts w:ascii="Times New Roman" w:hAnsi="Times New Roman" w:cs="Times New Roman"/>
        </w:rPr>
        <w:t xml:space="preserve"> opined that these common areas increase investor attitudes by giving a positive spin to CSP. This perception includes stakeholders’ evaluation of the organisation’s obligation and contribution to society and the welfare of the public. The social aspect is a particularly </w:t>
      </w:r>
      <w:r w:rsidR="00D3586F" w:rsidRPr="00C560CB">
        <w:rPr>
          <w:rFonts w:ascii="Times New Roman" w:hAnsi="Times New Roman" w:cs="Times New Roman"/>
        </w:rPr>
        <w:t>vital component</w:t>
      </w:r>
      <w:r w:rsidRPr="00C560CB">
        <w:rPr>
          <w:rFonts w:ascii="Times New Roman" w:hAnsi="Times New Roman" w:cs="Times New Roman"/>
        </w:rPr>
        <w:t xml:space="preserve"> of Australia’s ESG in superannuation funds for the investors where criteria such as community-employee relation and human rights impact consideration </w:t>
      </w:r>
      <w:r w:rsidR="00420233" w:rsidRPr="00C560CB">
        <w:rPr>
          <w:rFonts w:ascii="Times New Roman" w:hAnsi="Times New Roman" w:cs="Times New Roman"/>
        </w:rPr>
        <w:t>(de Zwaan, Brimble and Stewart, 2015</w:t>
      </w:r>
      <w:r w:rsidRPr="00C560CB">
        <w:rPr>
          <w:rFonts w:ascii="Times New Roman" w:hAnsi="Times New Roman" w:cs="Times New Roman"/>
        </w:rPr>
        <w:t xml:space="preserve">; Rakotomavo, 2011). Using a data sample of </w:t>
      </w:r>
      <w:r w:rsidR="00D3586F" w:rsidRPr="00C560CB">
        <w:rPr>
          <w:rFonts w:ascii="Times New Roman" w:hAnsi="Times New Roman" w:cs="Times New Roman"/>
        </w:rPr>
        <w:t>fifty</w:t>
      </w:r>
      <w:r w:rsidRPr="00C560CB">
        <w:rPr>
          <w:rFonts w:ascii="Times New Roman" w:hAnsi="Times New Roman" w:cs="Times New Roman"/>
        </w:rPr>
        <w:t xml:space="preserve"> firms, </w:t>
      </w:r>
      <w:r w:rsidR="00807629" w:rsidRPr="00C560CB">
        <w:rPr>
          <w:rFonts w:ascii="Times New Roman" w:hAnsi="Times New Roman" w:cs="Times New Roman"/>
        </w:rPr>
        <w:t xml:space="preserve">(Pérez-Gladish, Benson and Faff, 2012) </w:t>
      </w:r>
      <w:r w:rsidRPr="00C560CB">
        <w:rPr>
          <w:rFonts w:ascii="Times New Roman" w:hAnsi="Times New Roman" w:cs="Times New Roman"/>
        </w:rPr>
        <w:t xml:space="preserve">discovered that environmental and governance crises are not yet a major concern to investors in Australia and they ranked social concerns higher than environmental or governance crises. Present and future trends specify the growing attention to the value of societal corporate management, investors pay more attention to the social performance of a business when financial benefits are also visible (de Zwaan et al., 2015). For instance, </w:t>
      </w:r>
      <w:r w:rsidR="00F87171" w:rsidRPr="00C560CB">
        <w:rPr>
          <w:rFonts w:ascii="Times New Roman" w:hAnsi="Times New Roman" w:cs="Times New Roman"/>
        </w:rPr>
        <w:t>(Raut, Kumar and Das, 2020)</w:t>
      </w:r>
      <w:r w:rsidRPr="00C560CB">
        <w:rPr>
          <w:rFonts w:ascii="Times New Roman" w:hAnsi="Times New Roman" w:cs="Times New Roman"/>
        </w:rPr>
        <w:t xml:space="preserve"> observed that social issues affected people’s attitudes towards investing in unit trust companies.</w:t>
      </w:r>
      <w:r w:rsidR="0048678E" w:rsidRPr="00C560CB">
        <w:rPr>
          <w:rFonts w:ascii="Times New Roman" w:hAnsi="Times New Roman" w:cs="Times New Roman"/>
        </w:rPr>
        <w:t xml:space="preserve"> while </w:t>
      </w:r>
      <w:r w:rsidR="00421EE3" w:rsidRPr="00C560CB">
        <w:rPr>
          <w:rFonts w:ascii="Times New Roman" w:hAnsi="Times New Roman" w:cs="Times New Roman"/>
        </w:rPr>
        <w:t>(</w:t>
      </w:r>
      <w:r w:rsidR="0048678E" w:rsidRPr="00C560CB">
        <w:rPr>
          <w:rFonts w:ascii="Times New Roman" w:hAnsi="Times New Roman" w:cs="Times New Roman"/>
        </w:rPr>
        <w:t>Sultana et al</w:t>
      </w:r>
      <w:r w:rsidR="00421EE3" w:rsidRPr="00C560CB">
        <w:rPr>
          <w:rFonts w:ascii="Times New Roman" w:hAnsi="Times New Roman" w:cs="Times New Roman"/>
        </w:rPr>
        <w:t xml:space="preserve">, </w:t>
      </w:r>
      <w:r w:rsidR="0048678E" w:rsidRPr="00C560CB">
        <w:rPr>
          <w:rFonts w:ascii="Times New Roman" w:hAnsi="Times New Roman" w:cs="Times New Roman"/>
        </w:rPr>
        <w:t>2018) confirmed the importance of corporate social issues in shaping investor behaviour.</w:t>
      </w:r>
    </w:p>
    <w:p w14:paraId="53111AE7" w14:textId="74D5AB5F" w:rsidR="00ED01EB" w:rsidRPr="00C560CB" w:rsidRDefault="00ED01EB" w:rsidP="004E238F">
      <w:pPr>
        <w:spacing w:line="276" w:lineRule="auto"/>
        <w:jc w:val="both"/>
        <w:rPr>
          <w:rFonts w:ascii="Times New Roman" w:hAnsi="Times New Roman" w:cs="Times New Roman"/>
        </w:rPr>
      </w:pPr>
      <w:r w:rsidRPr="00C560CB">
        <w:rPr>
          <w:rFonts w:ascii="Times New Roman" w:hAnsi="Times New Roman" w:cs="Times New Roman"/>
        </w:rPr>
        <w:t>Although social factors like labo</w:t>
      </w:r>
      <w:r w:rsidRPr="00C560CB">
        <w:rPr>
          <w:rFonts w:ascii="Times New Roman" w:hAnsi="Times New Roman" w:cs="Times New Roman"/>
        </w:rPr>
        <w:t>u</w:t>
      </w:r>
      <w:r w:rsidRPr="00C560CB">
        <w:rPr>
          <w:rFonts w:ascii="Times New Roman" w:hAnsi="Times New Roman" w:cs="Times New Roman"/>
        </w:rPr>
        <w:t>r practices are increasingly recognized for their impact on investor behavio</w:t>
      </w:r>
      <w:r w:rsidRPr="00C560CB">
        <w:rPr>
          <w:rFonts w:ascii="Times New Roman" w:hAnsi="Times New Roman" w:cs="Times New Roman"/>
        </w:rPr>
        <w:t>u</w:t>
      </w:r>
      <w:r w:rsidRPr="00C560CB">
        <w:rPr>
          <w:rFonts w:ascii="Times New Roman" w:hAnsi="Times New Roman" w:cs="Times New Roman"/>
        </w:rPr>
        <w:t>r, limited research exists on how these factors vary across industries. This gap highlights the need for further exploration into the differential impact of social practices on financial performance.</w:t>
      </w:r>
    </w:p>
    <w:p w14:paraId="67EF0758" w14:textId="77777777" w:rsidR="004E238F" w:rsidRPr="00C560CB" w:rsidRDefault="004E238F" w:rsidP="0048443F">
      <w:pPr>
        <w:spacing w:line="276" w:lineRule="auto"/>
        <w:rPr>
          <w:rFonts w:ascii="Times New Roman" w:hAnsi="Times New Roman" w:cs="Times New Roman"/>
        </w:rPr>
      </w:pPr>
    </w:p>
    <w:p w14:paraId="559332E2" w14:textId="459B0925" w:rsidR="003D12C2" w:rsidRPr="00C560CB" w:rsidRDefault="00EC5882" w:rsidP="0048443F">
      <w:pPr>
        <w:pStyle w:val="Heading4"/>
        <w:spacing w:line="276" w:lineRule="auto"/>
        <w:rPr>
          <w:rFonts w:ascii="Times New Roman" w:hAnsi="Times New Roman" w:cs="Times New Roman"/>
          <w:b/>
          <w:bCs/>
          <w:i w:val="0"/>
          <w:iCs w:val="0"/>
        </w:rPr>
      </w:pPr>
      <w:bookmarkStart w:id="27" w:name="_Toc179724791"/>
      <w:r w:rsidRPr="00C560CB">
        <w:rPr>
          <w:rFonts w:ascii="Times New Roman" w:hAnsi="Times New Roman" w:cs="Times New Roman"/>
          <w:i w:val="0"/>
          <w:iCs w:val="0"/>
        </w:rPr>
        <w:lastRenderedPageBreak/>
        <w:t>1.2.3 Impact of Community Engagement and CSR</w:t>
      </w:r>
      <w:bookmarkEnd w:id="27"/>
    </w:p>
    <w:p w14:paraId="3F54AB08" w14:textId="299DAD39" w:rsidR="00EC5882" w:rsidRPr="00C560CB" w:rsidRDefault="00AD49DB" w:rsidP="0048443F">
      <w:pPr>
        <w:spacing w:line="276" w:lineRule="auto"/>
        <w:jc w:val="both"/>
        <w:rPr>
          <w:rFonts w:ascii="Times New Roman" w:hAnsi="Times New Roman" w:cs="Times New Roman"/>
        </w:rPr>
      </w:pPr>
      <w:r w:rsidRPr="00C560CB">
        <w:rPr>
          <w:rFonts w:ascii="Times New Roman" w:hAnsi="Times New Roman" w:cs="Times New Roman"/>
        </w:rPr>
        <w:t>Community engagement and corporate social responsibility (CSR) initiatives significantly impact both market valuations and investor behaviour. As companies increasingly invest in local communities, prioritize sustainable development, and advance social welfare, they experience improved public perception and trust. Such a positive brand reputation attracts long-term investors and leads to greater financial stability. For instance, Eccles et al. (2014) emphasised that firms with strong CSR practices enjoy enhanced financial outcomes through increased investor confidence and consumer loyalty. This focus on CSR not only boosts revenue but also ensures long-term profitability and sustainability (Eccles et al., 2014).</w:t>
      </w:r>
    </w:p>
    <w:p w14:paraId="77C76C68" w14:textId="76D144AA" w:rsidR="00716886" w:rsidRPr="00C560CB" w:rsidRDefault="00770939" w:rsidP="0048443F">
      <w:pPr>
        <w:spacing w:line="276" w:lineRule="auto"/>
        <w:jc w:val="both"/>
        <w:rPr>
          <w:rFonts w:ascii="Times New Roman" w:hAnsi="Times New Roman" w:cs="Times New Roman"/>
        </w:rPr>
      </w:pPr>
      <w:r w:rsidRPr="00C560CB">
        <w:rPr>
          <w:rFonts w:ascii="Times New Roman" w:hAnsi="Times New Roman" w:cs="Times New Roman"/>
        </w:rPr>
        <w:t xml:space="preserve">Tesla, for instance, has placed a strong emphasis on employee welfare and community engagement, which has enhanced its reputation as a socially responsible company. This focus has garnered significant support from investors who </w:t>
      </w:r>
      <w:r w:rsidR="008E2CB0" w:rsidRPr="00C560CB">
        <w:rPr>
          <w:rFonts w:ascii="Times New Roman" w:hAnsi="Times New Roman" w:cs="Times New Roman"/>
        </w:rPr>
        <w:t>prioritise</w:t>
      </w:r>
      <w:r w:rsidRPr="00C560CB">
        <w:rPr>
          <w:rFonts w:ascii="Times New Roman" w:hAnsi="Times New Roman" w:cs="Times New Roman"/>
        </w:rPr>
        <w:t xml:space="preserve"> companies that contribute to social good. As a result, Tesla’s stock price surged by 743% between 2019 and 2020, largely driven by its social and environmental commitments (Tesla, 2021).</w:t>
      </w:r>
    </w:p>
    <w:p w14:paraId="21855FDB" w14:textId="77777777" w:rsidR="00716886" w:rsidRPr="00C560CB" w:rsidRDefault="00716886" w:rsidP="0048443F">
      <w:pPr>
        <w:spacing w:line="276" w:lineRule="auto"/>
        <w:jc w:val="both"/>
        <w:rPr>
          <w:rFonts w:ascii="Times New Roman" w:hAnsi="Times New Roman" w:cs="Times New Roman"/>
        </w:rPr>
      </w:pPr>
    </w:p>
    <w:p w14:paraId="693435CC" w14:textId="6B85B7DB" w:rsidR="003D12C2" w:rsidRPr="00C560CB" w:rsidRDefault="003D35A1" w:rsidP="0048443F">
      <w:pPr>
        <w:pStyle w:val="Heading3"/>
        <w:spacing w:line="276" w:lineRule="auto"/>
        <w:rPr>
          <w:rFonts w:ascii="Times New Roman" w:hAnsi="Times New Roman" w:cs="Times New Roman"/>
        </w:rPr>
      </w:pPr>
      <w:bookmarkStart w:id="28" w:name="_Toc179724792"/>
      <w:r w:rsidRPr="00C560CB">
        <w:rPr>
          <w:rFonts w:ascii="Times New Roman" w:hAnsi="Times New Roman" w:cs="Times New Roman"/>
        </w:rPr>
        <w:t>1.3</w:t>
      </w:r>
      <w:r w:rsidR="00785CAB" w:rsidRPr="00C560CB">
        <w:rPr>
          <w:rFonts w:ascii="Times New Roman" w:hAnsi="Times New Roman" w:cs="Times New Roman"/>
        </w:rPr>
        <w:t xml:space="preserve"> </w:t>
      </w:r>
      <w:r w:rsidR="003740BD" w:rsidRPr="00C560CB">
        <w:rPr>
          <w:rFonts w:ascii="Times New Roman" w:hAnsi="Times New Roman" w:cs="Times New Roman"/>
        </w:rPr>
        <w:t>ESG Integration: A Pathway to Sustainable Risk Management and Superior Returns</w:t>
      </w:r>
      <w:bookmarkEnd w:id="28"/>
    </w:p>
    <w:p w14:paraId="68C9D4AA" w14:textId="7AB1CE39" w:rsidR="00EE5C57" w:rsidRPr="00C560CB" w:rsidRDefault="00642043" w:rsidP="005C1482">
      <w:pPr>
        <w:spacing w:line="276" w:lineRule="auto"/>
        <w:jc w:val="both"/>
        <w:rPr>
          <w:rFonts w:ascii="Times New Roman" w:hAnsi="Times New Roman" w:cs="Times New Roman"/>
        </w:rPr>
      </w:pPr>
      <w:r w:rsidRPr="00C560CB">
        <w:rPr>
          <w:rFonts w:ascii="Times New Roman" w:hAnsi="Times New Roman" w:cs="Times New Roman"/>
        </w:rPr>
        <w:t xml:space="preserve">The integration of ESG (Environmental, Social, and Governance) factors into investment decisions plays a crucial role in managing risks and enhancing returns. ESG factors help reduce a company's exposure to risks such as regulatory fines, reputational damage, and operational inefficiencies. For instance, companies with strong environmental policies are less likely to face penalties related to carbon emissions or environmental degradation, while firms with solid governance structures mitigate the risk of fraud and mismanagement (Clark, Feiner, &amp; </w:t>
      </w:r>
      <w:proofErr w:type="spellStart"/>
      <w:r w:rsidRPr="00C560CB">
        <w:rPr>
          <w:rFonts w:ascii="Times New Roman" w:hAnsi="Times New Roman" w:cs="Times New Roman"/>
        </w:rPr>
        <w:t>Viehs</w:t>
      </w:r>
      <w:proofErr w:type="spellEnd"/>
      <w:r w:rsidRPr="00C560CB">
        <w:rPr>
          <w:rFonts w:ascii="Times New Roman" w:hAnsi="Times New Roman" w:cs="Times New Roman"/>
        </w:rPr>
        <w:t>, 2015). Additionally, socially responsible companies that engage in fair labour practices and community development enjoy higher employee productivity and customer loyalty, leading to improved long-term financial performance (Khan, Serafeim, &amp; Yoon, 2016).</w:t>
      </w:r>
      <w:bookmarkStart w:id="29" w:name="_Toc178693128"/>
    </w:p>
    <w:bookmarkEnd w:id="29"/>
    <w:p w14:paraId="4A7EC2C3" w14:textId="77777777" w:rsidR="00EE5C57" w:rsidRPr="00C560CB" w:rsidRDefault="00EE5C57" w:rsidP="00EE5C57">
      <w:pPr>
        <w:pStyle w:val="Caption"/>
        <w:rPr>
          <w:rFonts w:ascii="Times New Roman" w:hAnsi="Times New Roman" w:cs="Times New Roman"/>
        </w:rPr>
      </w:pPr>
    </w:p>
    <w:p w14:paraId="1F81E471" w14:textId="77777777" w:rsidR="00E94C63" w:rsidRPr="00C560CB" w:rsidRDefault="00E94C63" w:rsidP="00EE5C57">
      <w:pPr>
        <w:pStyle w:val="Caption"/>
        <w:rPr>
          <w:rFonts w:ascii="Times New Roman" w:hAnsi="Times New Roman" w:cs="Times New Roman"/>
        </w:rPr>
      </w:pPr>
    </w:p>
    <w:p w14:paraId="19E7A337" w14:textId="77777777" w:rsidR="00E94C63" w:rsidRPr="00C560CB" w:rsidRDefault="00E94C63" w:rsidP="00EE5C57">
      <w:pPr>
        <w:pStyle w:val="Caption"/>
        <w:rPr>
          <w:rFonts w:ascii="Times New Roman" w:hAnsi="Times New Roman" w:cs="Times New Roman"/>
        </w:rPr>
      </w:pPr>
    </w:p>
    <w:p w14:paraId="09113000" w14:textId="77777777" w:rsidR="00E94C63" w:rsidRPr="00C560CB" w:rsidRDefault="00E94C63" w:rsidP="00EE5C57">
      <w:pPr>
        <w:pStyle w:val="Caption"/>
        <w:rPr>
          <w:rFonts w:ascii="Times New Roman" w:hAnsi="Times New Roman" w:cs="Times New Roman"/>
        </w:rPr>
      </w:pPr>
    </w:p>
    <w:p w14:paraId="7202FC8E" w14:textId="77777777" w:rsidR="00E94C63" w:rsidRPr="00C560CB" w:rsidRDefault="00E94C63" w:rsidP="00EE5C57">
      <w:pPr>
        <w:pStyle w:val="Caption"/>
        <w:rPr>
          <w:rFonts w:ascii="Times New Roman" w:hAnsi="Times New Roman" w:cs="Times New Roman"/>
        </w:rPr>
      </w:pPr>
    </w:p>
    <w:p w14:paraId="49A3BD18" w14:textId="77777777" w:rsidR="00E94C63" w:rsidRPr="00C560CB" w:rsidRDefault="00E94C63" w:rsidP="00EE5C57">
      <w:pPr>
        <w:pStyle w:val="Caption"/>
        <w:rPr>
          <w:rFonts w:ascii="Times New Roman" w:hAnsi="Times New Roman" w:cs="Times New Roman"/>
        </w:rPr>
      </w:pPr>
    </w:p>
    <w:p w14:paraId="19EBF9EE" w14:textId="77777777" w:rsidR="00E94C63" w:rsidRPr="00C560CB" w:rsidRDefault="00E94C63" w:rsidP="00EE5C57">
      <w:pPr>
        <w:pStyle w:val="Caption"/>
        <w:rPr>
          <w:rFonts w:ascii="Times New Roman" w:hAnsi="Times New Roman" w:cs="Times New Roman"/>
        </w:rPr>
      </w:pPr>
    </w:p>
    <w:p w14:paraId="06469DD7" w14:textId="77777777" w:rsidR="00E94C63" w:rsidRPr="00C560CB" w:rsidRDefault="00E94C63" w:rsidP="00EE5C57">
      <w:pPr>
        <w:pStyle w:val="Caption"/>
        <w:rPr>
          <w:rFonts w:ascii="Times New Roman" w:hAnsi="Times New Roman" w:cs="Times New Roman"/>
        </w:rPr>
      </w:pPr>
    </w:p>
    <w:p w14:paraId="57604D6C" w14:textId="77777777" w:rsidR="00E94C63" w:rsidRPr="00C560CB" w:rsidRDefault="00E94C63" w:rsidP="00EE5C57">
      <w:pPr>
        <w:pStyle w:val="Caption"/>
        <w:rPr>
          <w:rFonts w:ascii="Times New Roman" w:hAnsi="Times New Roman" w:cs="Times New Roman"/>
        </w:rPr>
      </w:pPr>
    </w:p>
    <w:p w14:paraId="0F1400C6" w14:textId="77777777" w:rsidR="00A06BBF" w:rsidRDefault="00A06BBF" w:rsidP="00EE5C57">
      <w:pPr>
        <w:pStyle w:val="Caption"/>
        <w:rPr>
          <w:rFonts w:ascii="Times New Roman" w:hAnsi="Times New Roman" w:cs="Times New Roman"/>
        </w:rPr>
      </w:pPr>
    </w:p>
    <w:p w14:paraId="6159E767" w14:textId="77777777" w:rsidR="00A06BBF" w:rsidRDefault="00A06BBF" w:rsidP="00EE5C57">
      <w:pPr>
        <w:pStyle w:val="Caption"/>
        <w:rPr>
          <w:rFonts w:ascii="Times New Roman" w:hAnsi="Times New Roman" w:cs="Times New Roman"/>
        </w:rPr>
      </w:pPr>
    </w:p>
    <w:p w14:paraId="545F3F95" w14:textId="77777777" w:rsidR="00A06BBF" w:rsidRDefault="00A06BBF" w:rsidP="00EE5C57">
      <w:pPr>
        <w:pStyle w:val="Caption"/>
        <w:rPr>
          <w:rFonts w:ascii="Times New Roman" w:hAnsi="Times New Roman" w:cs="Times New Roman"/>
        </w:rPr>
      </w:pPr>
    </w:p>
    <w:p w14:paraId="3F8B7BEF" w14:textId="77777777" w:rsidR="00A06BBF" w:rsidRDefault="00A06BBF" w:rsidP="00EE5C57">
      <w:pPr>
        <w:pStyle w:val="Caption"/>
        <w:rPr>
          <w:rFonts w:ascii="Times New Roman" w:hAnsi="Times New Roman" w:cs="Times New Roman"/>
        </w:rPr>
      </w:pPr>
    </w:p>
    <w:p w14:paraId="43AC7CB4" w14:textId="6517079A" w:rsidR="000B77F5" w:rsidRPr="00C560CB" w:rsidRDefault="00EE5C57" w:rsidP="00EE5C57">
      <w:pPr>
        <w:pStyle w:val="Caption"/>
        <w:rPr>
          <w:rFonts w:ascii="Times New Roman" w:hAnsi="Times New Roman" w:cs="Times New Roman"/>
        </w:rPr>
      </w:pPr>
      <w:r w:rsidRPr="00C560CB">
        <w:rPr>
          <w:rFonts w:ascii="Times New Roman" w:hAnsi="Times New Roman" w:cs="Times New Roman"/>
        </w:rPr>
        <w:lastRenderedPageBreak/>
        <w:t xml:space="preserve">Figure </w:t>
      </w:r>
      <w:r w:rsidRPr="00C560CB">
        <w:rPr>
          <w:rFonts w:ascii="Times New Roman" w:hAnsi="Times New Roman" w:cs="Times New Roman"/>
        </w:rPr>
        <w:fldChar w:fldCharType="begin"/>
      </w:r>
      <w:r w:rsidRPr="00C560CB">
        <w:rPr>
          <w:rFonts w:ascii="Times New Roman" w:hAnsi="Times New Roman" w:cs="Times New Roman"/>
        </w:rPr>
        <w:instrText xml:space="preserve"> SEQ Figure \* ARABIC </w:instrText>
      </w:r>
      <w:r w:rsidRPr="00C560CB">
        <w:rPr>
          <w:rFonts w:ascii="Times New Roman" w:hAnsi="Times New Roman" w:cs="Times New Roman"/>
        </w:rPr>
        <w:fldChar w:fldCharType="separate"/>
      </w:r>
      <w:r w:rsidRPr="00C560CB">
        <w:rPr>
          <w:rFonts w:ascii="Times New Roman" w:hAnsi="Times New Roman" w:cs="Times New Roman"/>
        </w:rPr>
        <w:t>3</w:t>
      </w:r>
      <w:r w:rsidRPr="00C560CB">
        <w:rPr>
          <w:rFonts w:ascii="Times New Roman" w:hAnsi="Times New Roman" w:cs="Times New Roman"/>
        </w:rPr>
        <w:fldChar w:fldCharType="end"/>
      </w:r>
      <w:r w:rsidRPr="00C560CB">
        <w:rPr>
          <w:rFonts w:ascii="Times New Roman" w:hAnsi="Times New Roman" w:cs="Times New Roman"/>
        </w:rPr>
        <w:t xml:space="preserve"> A Pathway to Sustainable Risk Management and Superior Returns</w:t>
      </w:r>
    </w:p>
    <w:p w14:paraId="6000EA4B" w14:textId="52BC3B23" w:rsidR="000B77F5" w:rsidRPr="00C560CB" w:rsidRDefault="00F73748" w:rsidP="0048443F">
      <w:pPr>
        <w:spacing w:line="276" w:lineRule="auto"/>
        <w:jc w:val="both"/>
        <w:rPr>
          <w:rFonts w:ascii="Times New Roman" w:hAnsi="Times New Roman" w:cs="Times New Roman"/>
        </w:rPr>
      </w:pPr>
      <w:r w:rsidRPr="00C560CB">
        <w:rPr>
          <w:rFonts w:ascii="Times New Roman" w:hAnsi="Times New Roman" w:cs="Times New Roman"/>
          <w:noProof/>
        </w:rPr>
        <w:drawing>
          <wp:anchor distT="0" distB="0" distL="114300" distR="114300" simplePos="0" relativeHeight="251684866" behindDoc="0" locked="0" layoutInCell="1" allowOverlap="1" wp14:anchorId="1E936CAB" wp14:editId="1A358383">
            <wp:simplePos x="0" y="0"/>
            <wp:positionH relativeFrom="margin">
              <wp:align>center</wp:align>
            </wp:positionH>
            <wp:positionV relativeFrom="paragraph">
              <wp:posOffset>55938</wp:posOffset>
            </wp:positionV>
            <wp:extent cx="3712845" cy="3067685"/>
            <wp:effectExtent l="0" t="0" r="1905" b="0"/>
            <wp:wrapSquare wrapText="bothSides"/>
            <wp:docPr id="1697299745" name="Picture 1" descr="A diagram of a company's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99745" name="Picture 1" descr="A diagram of a company's flow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12845" cy="3067685"/>
                    </a:xfrm>
                    <a:prstGeom prst="rect">
                      <a:avLst/>
                    </a:prstGeom>
                  </pic:spPr>
                </pic:pic>
              </a:graphicData>
            </a:graphic>
            <wp14:sizeRelH relativeFrom="margin">
              <wp14:pctWidth>0</wp14:pctWidth>
            </wp14:sizeRelH>
            <wp14:sizeRelV relativeFrom="margin">
              <wp14:pctHeight>0</wp14:pctHeight>
            </wp14:sizeRelV>
          </wp:anchor>
        </w:drawing>
      </w:r>
    </w:p>
    <w:p w14:paraId="2C7D1298" w14:textId="67A57D13" w:rsidR="000B77F5" w:rsidRPr="00C560CB" w:rsidRDefault="000B77F5" w:rsidP="0048443F">
      <w:pPr>
        <w:spacing w:line="276" w:lineRule="auto"/>
        <w:jc w:val="both"/>
        <w:rPr>
          <w:rFonts w:ascii="Times New Roman" w:hAnsi="Times New Roman" w:cs="Times New Roman"/>
        </w:rPr>
      </w:pPr>
    </w:p>
    <w:p w14:paraId="6FA39B50" w14:textId="1827703F" w:rsidR="000B77F5" w:rsidRPr="00C560CB" w:rsidRDefault="000B77F5" w:rsidP="0048443F">
      <w:pPr>
        <w:spacing w:line="276" w:lineRule="auto"/>
        <w:jc w:val="both"/>
        <w:rPr>
          <w:rFonts w:ascii="Times New Roman" w:hAnsi="Times New Roman" w:cs="Times New Roman"/>
        </w:rPr>
      </w:pPr>
    </w:p>
    <w:p w14:paraId="3DD9273F" w14:textId="5AB9BFF6" w:rsidR="000B77F5" w:rsidRPr="00C560CB" w:rsidRDefault="000B77F5" w:rsidP="0048443F">
      <w:pPr>
        <w:spacing w:line="276" w:lineRule="auto"/>
        <w:jc w:val="both"/>
        <w:rPr>
          <w:rFonts w:ascii="Times New Roman" w:hAnsi="Times New Roman" w:cs="Times New Roman"/>
        </w:rPr>
      </w:pPr>
    </w:p>
    <w:p w14:paraId="3885D4E7" w14:textId="68D2B1FB" w:rsidR="000B77F5" w:rsidRPr="00C560CB" w:rsidRDefault="000B77F5" w:rsidP="0048443F">
      <w:pPr>
        <w:spacing w:line="276" w:lineRule="auto"/>
        <w:jc w:val="both"/>
        <w:rPr>
          <w:rFonts w:ascii="Times New Roman" w:hAnsi="Times New Roman" w:cs="Times New Roman"/>
        </w:rPr>
      </w:pPr>
    </w:p>
    <w:p w14:paraId="6061E1E4" w14:textId="293DE940" w:rsidR="000B77F5" w:rsidRPr="00C560CB" w:rsidRDefault="000B77F5" w:rsidP="0048443F">
      <w:pPr>
        <w:spacing w:line="276" w:lineRule="auto"/>
        <w:jc w:val="both"/>
        <w:rPr>
          <w:rFonts w:ascii="Times New Roman" w:hAnsi="Times New Roman" w:cs="Times New Roman"/>
        </w:rPr>
      </w:pPr>
    </w:p>
    <w:p w14:paraId="46228ABD" w14:textId="4DB2498B" w:rsidR="000B77F5" w:rsidRPr="00C560CB" w:rsidRDefault="000B77F5" w:rsidP="0048443F">
      <w:pPr>
        <w:spacing w:line="276" w:lineRule="auto"/>
        <w:jc w:val="both"/>
        <w:rPr>
          <w:rFonts w:ascii="Times New Roman" w:hAnsi="Times New Roman" w:cs="Times New Roman"/>
        </w:rPr>
      </w:pPr>
    </w:p>
    <w:p w14:paraId="1BF97D8C" w14:textId="03942EA5" w:rsidR="000B77F5" w:rsidRPr="00C560CB" w:rsidRDefault="000B77F5" w:rsidP="0048443F">
      <w:pPr>
        <w:spacing w:line="276" w:lineRule="auto"/>
        <w:jc w:val="both"/>
        <w:rPr>
          <w:rFonts w:ascii="Times New Roman" w:hAnsi="Times New Roman" w:cs="Times New Roman"/>
        </w:rPr>
      </w:pPr>
    </w:p>
    <w:p w14:paraId="61F9E88A" w14:textId="50250520" w:rsidR="000B77F5" w:rsidRPr="00C560CB" w:rsidRDefault="000B77F5" w:rsidP="0048443F">
      <w:pPr>
        <w:spacing w:line="276" w:lineRule="auto"/>
        <w:jc w:val="both"/>
        <w:rPr>
          <w:rFonts w:ascii="Times New Roman" w:hAnsi="Times New Roman" w:cs="Times New Roman"/>
        </w:rPr>
      </w:pPr>
    </w:p>
    <w:p w14:paraId="045283DC" w14:textId="1089BE6C" w:rsidR="00950F28" w:rsidRPr="00C560CB" w:rsidRDefault="00950F28" w:rsidP="0048443F">
      <w:pPr>
        <w:spacing w:line="276" w:lineRule="auto"/>
        <w:jc w:val="center"/>
        <w:rPr>
          <w:rFonts w:ascii="Times New Roman" w:hAnsi="Times New Roman" w:cs="Times New Roman"/>
        </w:rPr>
      </w:pPr>
    </w:p>
    <w:p w14:paraId="4D67424E" w14:textId="4A5FB392" w:rsidR="00950F28" w:rsidRPr="00C560CB" w:rsidRDefault="00950F28" w:rsidP="0048443F">
      <w:pPr>
        <w:spacing w:line="276" w:lineRule="auto"/>
        <w:jc w:val="center"/>
        <w:rPr>
          <w:rFonts w:ascii="Times New Roman" w:hAnsi="Times New Roman" w:cs="Times New Roman"/>
        </w:rPr>
      </w:pPr>
    </w:p>
    <w:p w14:paraId="5994119D" w14:textId="77777777" w:rsidR="00EE5C57" w:rsidRPr="00C560CB" w:rsidRDefault="00EE5C57" w:rsidP="0048443F">
      <w:pPr>
        <w:spacing w:line="276" w:lineRule="auto"/>
        <w:jc w:val="center"/>
        <w:rPr>
          <w:rFonts w:ascii="Times New Roman" w:hAnsi="Times New Roman" w:cs="Times New Roman"/>
        </w:rPr>
      </w:pPr>
    </w:p>
    <w:p w14:paraId="2892807C" w14:textId="0B79C555" w:rsidR="005042FA" w:rsidRPr="00C560CB" w:rsidRDefault="000B77F5"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2A3DFD35" w14:textId="77777777" w:rsidR="00CD2E99" w:rsidRPr="00C560CB" w:rsidRDefault="00CD2E99" w:rsidP="0048443F">
      <w:pPr>
        <w:spacing w:line="276" w:lineRule="auto"/>
        <w:jc w:val="both"/>
        <w:rPr>
          <w:rFonts w:ascii="Times New Roman" w:hAnsi="Times New Roman" w:cs="Times New Roman"/>
        </w:rPr>
      </w:pPr>
    </w:p>
    <w:p w14:paraId="57A312B6" w14:textId="267C6BC3" w:rsidR="00557D57" w:rsidRPr="00C560CB" w:rsidRDefault="00557D57" w:rsidP="0048443F">
      <w:pPr>
        <w:spacing w:line="276" w:lineRule="auto"/>
        <w:jc w:val="both"/>
        <w:rPr>
          <w:rFonts w:ascii="Times New Roman" w:hAnsi="Times New Roman" w:cs="Times New Roman"/>
        </w:rPr>
      </w:pPr>
      <w:r w:rsidRPr="00C560CB">
        <w:rPr>
          <w:rFonts w:ascii="Times New Roman" w:hAnsi="Times New Roman" w:cs="Times New Roman"/>
        </w:rPr>
        <w:t>While companies like Tesla and Apple have seen substantial stock price growth through their ESG initiatives, it is important to consider the short-term trade-offs that ESG compliance often entails. These may include increased costs related to regulatory compliance, especially in regions with inconsistent environmental and governance frameworks (Friede et al., 2015). For example, while European firms benefit from the EU’s strong regulatory support, businesses in emerging markets often face more lenient or unclear regulations, making it more difficult to implement effective ESG strategies.</w:t>
      </w:r>
    </w:p>
    <w:p w14:paraId="2611C78E" w14:textId="1E8A5D3D" w:rsidR="00557D57" w:rsidRPr="00C560CB" w:rsidRDefault="00557D57" w:rsidP="0048443F">
      <w:pPr>
        <w:spacing w:line="276" w:lineRule="auto"/>
        <w:jc w:val="both"/>
        <w:rPr>
          <w:rFonts w:ascii="Times New Roman" w:hAnsi="Times New Roman" w:cs="Times New Roman"/>
        </w:rPr>
      </w:pPr>
      <w:r w:rsidRPr="00C560CB">
        <w:rPr>
          <w:rFonts w:ascii="Times New Roman" w:hAnsi="Times New Roman" w:cs="Times New Roman"/>
        </w:rPr>
        <w:t>Moreover, achieving meaningful progress on ESG goals requires significant upfront investment, which may reduce short-term profitability, particularly in sectors with complex supply chains or high environmental impact. This can be especially challenging for companies in highly competitive industries where immediate profitability is crucial. While the long-term benefits of ESG integration—such as reduced operational risk and enhanced investor confidence—are well-documented, these short-term financial pressures raise important questions about how companies can balance sustainability with profitability (Khan, Serafeim, &amp; Yoon, 2016).</w:t>
      </w:r>
    </w:p>
    <w:p w14:paraId="55C2DAFF" w14:textId="4695EA7C" w:rsidR="000E4BE1" w:rsidRPr="00C560CB" w:rsidRDefault="000E4BE1" w:rsidP="0048443F">
      <w:pPr>
        <w:spacing w:line="276" w:lineRule="auto"/>
        <w:rPr>
          <w:rFonts w:ascii="Times New Roman" w:hAnsi="Times New Roman" w:cs="Times New Roman"/>
        </w:rPr>
      </w:pPr>
    </w:p>
    <w:p w14:paraId="4E8AA7AB" w14:textId="77777777" w:rsidR="00280D9C" w:rsidRPr="00C560CB" w:rsidRDefault="00280D9C" w:rsidP="0048443F">
      <w:pPr>
        <w:pStyle w:val="Caption"/>
        <w:spacing w:line="276" w:lineRule="auto"/>
        <w:rPr>
          <w:rFonts w:ascii="Times New Roman" w:hAnsi="Times New Roman" w:cs="Times New Roman"/>
        </w:rPr>
      </w:pPr>
      <w:bookmarkStart w:id="30" w:name="_Toc178693129"/>
    </w:p>
    <w:p w14:paraId="4EBCE960" w14:textId="77777777" w:rsidR="00280D9C" w:rsidRPr="00C560CB" w:rsidRDefault="00280D9C" w:rsidP="0048443F">
      <w:pPr>
        <w:pStyle w:val="Caption"/>
        <w:spacing w:line="276" w:lineRule="auto"/>
        <w:rPr>
          <w:rFonts w:ascii="Times New Roman" w:hAnsi="Times New Roman" w:cs="Times New Roman"/>
        </w:rPr>
      </w:pPr>
    </w:p>
    <w:p w14:paraId="21BFCA79" w14:textId="77777777" w:rsidR="00280D9C" w:rsidRPr="00C560CB" w:rsidRDefault="00280D9C" w:rsidP="0048443F">
      <w:pPr>
        <w:pStyle w:val="Caption"/>
        <w:spacing w:line="276" w:lineRule="auto"/>
        <w:rPr>
          <w:rFonts w:ascii="Times New Roman" w:hAnsi="Times New Roman" w:cs="Times New Roman"/>
        </w:rPr>
      </w:pPr>
    </w:p>
    <w:p w14:paraId="57670655" w14:textId="77777777" w:rsidR="00280D9C" w:rsidRPr="00C560CB" w:rsidRDefault="00280D9C" w:rsidP="0048443F">
      <w:pPr>
        <w:pStyle w:val="Caption"/>
        <w:spacing w:line="276" w:lineRule="auto"/>
        <w:rPr>
          <w:rFonts w:ascii="Times New Roman" w:hAnsi="Times New Roman" w:cs="Times New Roman"/>
        </w:rPr>
      </w:pPr>
    </w:p>
    <w:p w14:paraId="67D6065A" w14:textId="77777777" w:rsidR="00280D9C" w:rsidRPr="00C560CB" w:rsidRDefault="00280D9C" w:rsidP="0048443F">
      <w:pPr>
        <w:pStyle w:val="Caption"/>
        <w:spacing w:line="276" w:lineRule="auto"/>
        <w:rPr>
          <w:rFonts w:ascii="Times New Roman" w:hAnsi="Times New Roman" w:cs="Times New Roman"/>
        </w:rPr>
      </w:pPr>
    </w:p>
    <w:p w14:paraId="62B54D7F" w14:textId="77777777" w:rsidR="00280D9C" w:rsidRPr="00C560CB" w:rsidRDefault="00280D9C" w:rsidP="0048443F">
      <w:pPr>
        <w:pStyle w:val="Caption"/>
        <w:spacing w:line="276" w:lineRule="auto"/>
        <w:rPr>
          <w:rFonts w:ascii="Times New Roman" w:hAnsi="Times New Roman" w:cs="Times New Roman"/>
        </w:rPr>
      </w:pPr>
    </w:p>
    <w:p w14:paraId="00FD3C5D" w14:textId="77777777" w:rsidR="00280D9C" w:rsidRPr="00C560CB" w:rsidRDefault="00280D9C" w:rsidP="0048443F">
      <w:pPr>
        <w:pStyle w:val="Caption"/>
        <w:spacing w:line="276" w:lineRule="auto"/>
        <w:rPr>
          <w:rFonts w:ascii="Times New Roman" w:hAnsi="Times New Roman" w:cs="Times New Roman"/>
        </w:rPr>
      </w:pPr>
    </w:p>
    <w:p w14:paraId="67D9D1BA" w14:textId="77777777" w:rsidR="00280D9C" w:rsidRPr="00C560CB" w:rsidRDefault="00280D9C" w:rsidP="0048443F">
      <w:pPr>
        <w:pStyle w:val="Caption"/>
        <w:spacing w:line="276" w:lineRule="auto"/>
        <w:rPr>
          <w:rFonts w:ascii="Times New Roman" w:hAnsi="Times New Roman" w:cs="Times New Roman"/>
        </w:rPr>
      </w:pPr>
    </w:p>
    <w:p w14:paraId="44E24FA1" w14:textId="0E016DB1" w:rsidR="005A6684" w:rsidRPr="00C560CB" w:rsidRDefault="000E4BE1" w:rsidP="0048443F">
      <w:pPr>
        <w:pStyle w:val="Caption"/>
        <w:spacing w:line="276" w:lineRule="auto"/>
        <w:rPr>
          <w:rFonts w:ascii="Times New Roman" w:hAnsi="Times New Roman" w:cs="Times New Roman"/>
        </w:rPr>
      </w:pPr>
      <w:r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4</w:t>
      </w:r>
      <w:r w:rsidR="005F0A68" w:rsidRPr="00C560CB">
        <w:rPr>
          <w:rFonts w:ascii="Times New Roman" w:hAnsi="Times New Roman" w:cs="Times New Roman"/>
        </w:rPr>
        <w:fldChar w:fldCharType="end"/>
      </w:r>
      <w:r w:rsidRPr="00C560CB">
        <w:rPr>
          <w:rFonts w:ascii="Times New Roman" w:hAnsi="Times New Roman" w:cs="Times New Roman"/>
        </w:rPr>
        <w:t xml:space="preserve"> </w:t>
      </w:r>
      <w:r w:rsidR="00A6190A" w:rsidRPr="00C560CB">
        <w:rPr>
          <w:rFonts w:ascii="Times New Roman" w:hAnsi="Times New Roman" w:cs="Times New Roman"/>
        </w:rPr>
        <w:t>Comparison of ESG Quintiles on Profitability, Dividend Yield, and Risk Reduction</w:t>
      </w:r>
      <w:bookmarkEnd w:id="30"/>
    </w:p>
    <w:p w14:paraId="0D93791E" w14:textId="11EFB234" w:rsidR="005A6684" w:rsidRPr="00C560CB" w:rsidRDefault="00263BA6" w:rsidP="0048443F">
      <w:pPr>
        <w:spacing w:line="276" w:lineRule="auto"/>
        <w:jc w:val="center"/>
        <w:rPr>
          <w:rFonts w:ascii="Times New Roman" w:hAnsi="Times New Roman" w:cs="Times New Roman"/>
        </w:rPr>
      </w:pPr>
      <w:r w:rsidRPr="00C560CB">
        <w:rPr>
          <w:rFonts w:ascii="Times New Roman" w:hAnsi="Times New Roman" w:cs="Times New Roman"/>
          <w:noProof/>
          <w14:ligatures w14:val="standardContextual"/>
        </w:rPr>
        <w:drawing>
          <wp:anchor distT="0" distB="0" distL="114300" distR="114300" simplePos="0" relativeHeight="251688962" behindDoc="0" locked="0" layoutInCell="1" allowOverlap="1" wp14:anchorId="473B64E3" wp14:editId="0C91B323">
            <wp:simplePos x="0" y="0"/>
            <wp:positionH relativeFrom="margin">
              <wp:posOffset>983500</wp:posOffset>
            </wp:positionH>
            <wp:positionV relativeFrom="paragraph">
              <wp:posOffset>53340</wp:posOffset>
            </wp:positionV>
            <wp:extent cx="3395980" cy="4994275"/>
            <wp:effectExtent l="0" t="0" r="0" b="0"/>
            <wp:wrapSquare wrapText="bothSides"/>
            <wp:docPr id="2085344542" name="Picture 12" descr="A graph of a number of different lev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44542" name="Picture 12" descr="A graph of a number of different level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95980" cy="4994275"/>
                    </a:xfrm>
                    <a:prstGeom prst="rect">
                      <a:avLst/>
                    </a:prstGeom>
                  </pic:spPr>
                </pic:pic>
              </a:graphicData>
            </a:graphic>
            <wp14:sizeRelH relativeFrom="margin">
              <wp14:pctWidth>0</wp14:pctWidth>
            </wp14:sizeRelH>
            <wp14:sizeRelV relativeFrom="margin">
              <wp14:pctHeight>0</wp14:pctHeight>
            </wp14:sizeRelV>
          </wp:anchor>
        </w:drawing>
      </w:r>
    </w:p>
    <w:p w14:paraId="4D1948BA" w14:textId="7BD1ADED" w:rsidR="005A6684" w:rsidRPr="00C560CB" w:rsidRDefault="005A6684" w:rsidP="0048443F">
      <w:pPr>
        <w:spacing w:line="276" w:lineRule="auto"/>
        <w:jc w:val="center"/>
        <w:rPr>
          <w:rFonts w:ascii="Times New Roman" w:hAnsi="Times New Roman" w:cs="Times New Roman"/>
        </w:rPr>
      </w:pPr>
    </w:p>
    <w:p w14:paraId="72EBA1F2" w14:textId="4B17A866" w:rsidR="005A6684" w:rsidRPr="00C560CB" w:rsidRDefault="005A6684" w:rsidP="0048443F">
      <w:pPr>
        <w:spacing w:line="276" w:lineRule="auto"/>
        <w:jc w:val="center"/>
        <w:rPr>
          <w:rFonts w:ascii="Times New Roman" w:hAnsi="Times New Roman" w:cs="Times New Roman"/>
        </w:rPr>
      </w:pPr>
    </w:p>
    <w:p w14:paraId="1C2CAACD" w14:textId="106C2E30" w:rsidR="005A6684" w:rsidRPr="00C560CB" w:rsidRDefault="005A6684" w:rsidP="0048443F">
      <w:pPr>
        <w:spacing w:line="276" w:lineRule="auto"/>
        <w:jc w:val="center"/>
        <w:rPr>
          <w:rFonts w:ascii="Times New Roman" w:hAnsi="Times New Roman" w:cs="Times New Roman"/>
        </w:rPr>
      </w:pPr>
    </w:p>
    <w:p w14:paraId="5F0FBF89" w14:textId="234C6517" w:rsidR="005A6684" w:rsidRPr="00C560CB" w:rsidRDefault="005A6684" w:rsidP="0048443F">
      <w:pPr>
        <w:spacing w:line="276" w:lineRule="auto"/>
        <w:jc w:val="center"/>
        <w:rPr>
          <w:rFonts w:ascii="Times New Roman" w:hAnsi="Times New Roman" w:cs="Times New Roman"/>
        </w:rPr>
      </w:pPr>
    </w:p>
    <w:p w14:paraId="32A23CF6" w14:textId="5EC7E4CF" w:rsidR="005A6684" w:rsidRPr="00C560CB" w:rsidRDefault="005A6684" w:rsidP="0048443F">
      <w:pPr>
        <w:spacing w:line="276" w:lineRule="auto"/>
        <w:jc w:val="center"/>
        <w:rPr>
          <w:rFonts w:ascii="Times New Roman" w:hAnsi="Times New Roman" w:cs="Times New Roman"/>
        </w:rPr>
      </w:pPr>
    </w:p>
    <w:p w14:paraId="26C7F347" w14:textId="77777777" w:rsidR="005A6684" w:rsidRPr="00C560CB" w:rsidRDefault="005A6684" w:rsidP="0048443F">
      <w:pPr>
        <w:spacing w:line="276" w:lineRule="auto"/>
        <w:jc w:val="center"/>
        <w:rPr>
          <w:rFonts w:ascii="Times New Roman" w:hAnsi="Times New Roman" w:cs="Times New Roman"/>
        </w:rPr>
      </w:pPr>
    </w:p>
    <w:p w14:paraId="481FCBE5" w14:textId="12528BF3" w:rsidR="005A6684" w:rsidRPr="00C560CB" w:rsidRDefault="005A6684" w:rsidP="0048443F">
      <w:pPr>
        <w:spacing w:line="276" w:lineRule="auto"/>
        <w:jc w:val="center"/>
        <w:rPr>
          <w:rFonts w:ascii="Times New Roman" w:hAnsi="Times New Roman" w:cs="Times New Roman"/>
        </w:rPr>
      </w:pPr>
    </w:p>
    <w:p w14:paraId="08401F6A" w14:textId="77777777" w:rsidR="005A6684" w:rsidRPr="00C560CB" w:rsidRDefault="005A6684" w:rsidP="0048443F">
      <w:pPr>
        <w:spacing w:line="276" w:lineRule="auto"/>
        <w:jc w:val="center"/>
        <w:rPr>
          <w:rFonts w:ascii="Times New Roman" w:hAnsi="Times New Roman" w:cs="Times New Roman"/>
        </w:rPr>
      </w:pPr>
    </w:p>
    <w:p w14:paraId="22B4E6D4" w14:textId="5C373904" w:rsidR="005A6684" w:rsidRPr="00C560CB" w:rsidRDefault="005A6684" w:rsidP="0048443F">
      <w:pPr>
        <w:spacing w:line="276" w:lineRule="auto"/>
        <w:jc w:val="center"/>
        <w:rPr>
          <w:rFonts w:ascii="Times New Roman" w:hAnsi="Times New Roman" w:cs="Times New Roman"/>
        </w:rPr>
      </w:pPr>
    </w:p>
    <w:p w14:paraId="7D69505F" w14:textId="77777777" w:rsidR="005A6684" w:rsidRPr="00C560CB" w:rsidRDefault="005A6684" w:rsidP="0048443F">
      <w:pPr>
        <w:spacing w:line="276" w:lineRule="auto"/>
        <w:jc w:val="center"/>
        <w:rPr>
          <w:rFonts w:ascii="Times New Roman" w:hAnsi="Times New Roman" w:cs="Times New Roman"/>
        </w:rPr>
      </w:pPr>
    </w:p>
    <w:p w14:paraId="0AE1973A" w14:textId="77777777" w:rsidR="005A6684" w:rsidRPr="00C560CB" w:rsidRDefault="005A6684" w:rsidP="0048443F">
      <w:pPr>
        <w:spacing w:line="276" w:lineRule="auto"/>
        <w:jc w:val="center"/>
        <w:rPr>
          <w:rFonts w:ascii="Times New Roman" w:hAnsi="Times New Roman" w:cs="Times New Roman"/>
        </w:rPr>
      </w:pPr>
    </w:p>
    <w:p w14:paraId="5D2EE87D" w14:textId="77777777" w:rsidR="005A6684" w:rsidRPr="00C560CB" w:rsidRDefault="005A6684" w:rsidP="0048443F">
      <w:pPr>
        <w:spacing w:line="276" w:lineRule="auto"/>
        <w:jc w:val="center"/>
        <w:rPr>
          <w:rFonts w:ascii="Times New Roman" w:hAnsi="Times New Roman" w:cs="Times New Roman"/>
        </w:rPr>
      </w:pPr>
    </w:p>
    <w:p w14:paraId="0CEE6234" w14:textId="77777777" w:rsidR="005A6684" w:rsidRPr="00C560CB" w:rsidRDefault="005A6684" w:rsidP="0048443F">
      <w:pPr>
        <w:spacing w:line="276" w:lineRule="auto"/>
        <w:jc w:val="center"/>
        <w:rPr>
          <w:rFonts w:ascii="Times New Roman" w:hAnsi="Times New Roman" w:cs="Times New Roman"/>
        </w:rPr>
      </w:pPr>
    </w:p>
    <w:p w14:paraId="41CB088B" w14:textId="77777777" w:rsidR="005A6684" w:rsidRPr="00C560CB" w:rsidRDefault="005A6684" w:rsidP="0048443F">
      <w:pPr>
        <w:spacing w:line="276" w:lineRule="auto"/>
        <w:jc w:val="center"/>
        <w:rPr>
          <w:rFonts w:ascii="Times New Roman" w:hAnsi="Times New Roman" w:cs="Times New Roman"/>
        </w:rPr>
      </w:pPr>
    </w:p>
    <w:p w14:paraId="797B89EE" w14:textId="77777777" w:rsidR="005A6684" w:rsidRPr="00C560CB" w:rsidRDefault="005A6684" w:rsidP="0048443F">
      <w:pPr>
        <w:spacing w:line="276" w:lineRule="auto"/>
        <w:jc w:val="center"/>
        <w:rPr>
          <w:rFonts w:ascii="Times New Roman" w:hAnsi="Times New Roman" w:cs="Times New Roman"/>
        </w:rPr>
      </w:pPr>
    </w:p>
    <w:p w14:paraId="7D42F076" w14:textId="77777777" w:rsidR="00F73748" w:rsidRPr="00C560CB" w:rsidRDefault="00F73748" w:rsidP="003825AC">
      <w:pPr>
        <w:spacing w:line="276" w:lineRule="auto"/>
        <w:jc w:val="center"/>
        <w:rPr>
          <w:rFonts w:ascii="Times New Roman" w:hAnsi="Times New Roman" w:cs="Times New Roman"/>
        </w:rPr>
      </w:pPr>
    </w:p>
    <w:p w14:paraId="58A57F02" w14:textId="77777777" w:rsidR="00F73748" w:rsidRPr="00C560CB" w:rsidRDefault="00F73748" w:rsidP="003825AC">
      <w:pPr>
        <w:spacing w:line="276" w:lineRule="auto"/>
        <w:jc w:val="center"/>
        <w:rPr>
          <w:rFonts w:ascii="Times New Roman" w:hAnsi="Times New Roman" w:cs="Times New Roman"/>
        </w:rPr>
      </w:pPr>
    </w:p>
    <w:p w14:paraId="44A6A904" w14:textId="77777777" w:rsidR="00E34222" w:rsidRPr="00C560CB" w:rsidRDefault="00307BF3" w:rsidP="00263BA6">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7A1636" w:rsidRPr="00C560CB">
        <w:rPr>
          <w:rFonts w:ascii="Times New Roman" w:hAnsi="Times New Roman" w:cs="Times New Roman"/>
        </w:rPr>
        <w:t>(Giese et al., 2019</w:t>
      </w:r>
      <w:r w:rsidR="00E34222" w:rsidRPr="00C560CB">
        <w:rPr>
          <w:rFonts w:ascii="Times New Roman" w:hAnsi="Times New Roman" w:cs="Times New Roman"/>
        </w:rPr>
        <w:t>)</w:t>
      </w:r>
    </w:p>
    <w:p w14:paraId="2D529EDC" w14:textId="4C787829" w:rsidR="006D331F" w:rsidRPr="00C560CB" w:rsidRDefault="00D61A1B" w:rsidP="00E34222">
      <w:pPr>
        <w:spacing w:line="276" w:lineRule="auto"/>
        <w:rPr>
          <w:rFonts w:ascii="Times New Roman" w:hAnsi="Times New Roman" w:cs="Times New Roman"/>
        </w:rPr>
      </w:pPr>
      <w:bookmarkStart w:id="31" w:name="_Toc179724793"/>
      <w:r w:rsidRPr="00C560CB">
        <w:rPr>
          <w:rStyle w:val="Heading4Char"/>
          <w:rFonts w:ascii="Times New Roman" w:hAnsi="Times New Roman" w:cs="Times New Roman"/>
        </w:rPr>
        <w:t xml:space="preserve">1.3.1 </w:t>
      </w:r>
      <w:r w:rsidR="009B5870" w:rsidRPr="00C560CB">
        <w:rPr>
          <w:rStyle w:val="Heading4Char"/>
          <w:rFonts w:ascii="Times New Roman" w:hAnsi="Times New Roman" w:cs="Times New Roman"/>
        </w:rPr>
        <w:t>Gross Profitability and ESG Quintiles:</w:t>
      </w:r>
      <w:bookmarkEnd w:id="31"/>
      <w:r w:rsidR="009B5870" w:rsidRPr="00C560CB">
        <w:rPr>
          <w:rFonts w:ascii="Times New Roman" w:hAnsi="Times New Roman" w:cs="Times New Roman"/>
        </w:rPr>
        <w:t xml:space="preserve"> </w:t>
      </w:r>
    </w:p>
    <w:p w14:paraId="646EB460" w14:textId="23AD1C14"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 xml:space="preserve">Companies with high ESG ratings (Q5) were more profitable compared to companies with low ESG ratings (Q1). Gross profitability (measured as a Z-score) demonstrated that high ESG-rated companies had higher profitability, with the average value over the 10-year observation period reflecting a positive correlation between ESG scores and profitability. For example, </w:t>
      </w:r>
      <w:r w:rsidR="006E33AE" w:rsidRPr="00C560CB">
        <w:rPr>
          <w:rFonts w:ascii="Times New Roman" w:hAnsi="Times New Roman" w:cs="Times New Roman"/>
        </w:rPr>
        <w:t>exhibit</w:t>
      </w:r>
      <w:r w:rsidRPr="00C560CB">
        <w:rPr>
          <w:rFonts w:ascii="Times New Roman" w:hAnsi="Times New Roman" w:cs="Times New Roman"/>
        </w:rPr>
        <w:t xml:space="preserve"> 1 in the document shows that companies in Q5 (top ESG quintile) had a significantly better profitability profile than companies in Q1 (lowest ESG quintile).</w:t>
      </w:r>
    </w:p>
    <w:p w14:paraId="57A279F5" w14:textId="77777777" w:rsidR="0069477A" w:rsidRPr="00C560CB" w:rsidRDefault="0069477A" w:rsidP="0048443F">
      <w:pPr>
        <w:pStyle w:val="ListParagraph"/>
        <w:spacing w:line="276" w:lineRule="auto"/>
        <w:ind w:left="1080"/>
        <w:jc w:val="both"/>
        <w:rPr>
          <w:rFonts w:ascii="Times New Roman" w:hAnsi="Times New Roman" w:cs="Times New Roman"/>
        </w:rPr>
      </w:pPr>
    </w:p>
    <w:p w14:paraId="3DCC8B3C" w14:textId="29339235" w:rsidR="00B96491" w:rsidRPr="00C560CB" w:rsidRDefault="00F63BEE" w:rsidP="0048443F">
      <w:pPr>
        <w:spacing w:line="276" w:lineRule="auto"/>
        <w:jc w:val="both"/>
        <w:rPr>
          <w:rFonts w:ascii="Times New Roman" w:hAnsi="Times New Roman" w:cs="Times New Roman"/>
        </w:rPr>
      </w:pPr>
      <w:bookmarkStart w:id="32" w:name="_Toc179724794"/>
      <w:r w:rsidRPr="00C560CB">
        <w:rPr>
          <w:rStyle w:val="Heading4Char"/>
          <w:rFonts w:ascii="Times New Roman" w:hAnsi="Times New Roman" w:cs="Times New Roman"/>
        </w:rPr>
        <w:t>1.3.1</w:t>
      </w:r>
      <w:r w:rsidR="009B5870" w:rsidRPr="00C560CB">
        <w:rPr>
          <w:rStyle w:val="Heading4Char"/>
          <w:rFonts w:ascii="Times New Roman" w:hAnsi="Times New Roman" w:cs="Times New Roman"/>
        </w:rPr>
        <w:t>Dividend Yields</w:t>
      </w:r>
      <w:bookmarkEnd w:id="32"/>
      <w:r w:rsidR="009B5870" w:rsidRPr="00C560CB">
        <w:rPr>
          <w:rFonts w:ascii="Times New Roman" w:hAnsi="Times New Roman" w:cs="Times New Roman"/>
        </w:rPr>
        <w:t xml:space="preserve">: </w:t>
      </w:r>
    </w:p>
    <w:p w14:paraId="060AA151" w14:textId="746783D9"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 xml:space="preserve">Higher ESG-rated companies also paid higher dividends. The trailing dividend yield (Z-score) was higher for Q5 companies, with a clear tilt towards high dividend-paying companies within ESG </w:t>
      </w:r>
      <w:r w:rsidRPr="00C560CB">
        <w:rPr>
          <w:rFonts w:ascii="Times New Roman" w:hAnsi="Times New Roman" w:cs="Times New Roman"/>
        </w:rPr>
        <w:lastRenderedPageBreak/>
        <w:t>strategies like the MSCI ESG Universal Index. This suggests a positive relationship between high ESG ratings and dividend payments, contributing to better long-term performance for ESG-aligned portfolios. Exhibit 2 shows the relative increase in dividend yields for Q5 over Q1 during the same period.</w:t>
      </w:r>
    </w:p>
    <w:p w14:paraId="24A4FB67" w14:textId="77777777" w:rsidR="0044334A" w:rsidRPr="00C560CB" w:rsidRDefault="0044334A" w:rsidP="0048443F">
      <w:pPr>
        <w:spacing w:line="276" w:lineRule="auto"/>
        <w:jc w:val="both"/>
        <w:rPr>
          <w:rFonts w:ascii="Times New Roman" w:hAnsi="Times New Roman" w:cs="Times New Roman"/>
        </w:rPr>
      </w:pPr>
    </w:p>
    <w:p w14:paraId="3431FCE3" w14:textId="17405197" w:rsidR="00B96491" w:rsidRPr="00C560CB" w:rsidRDefault="00F63BEE" w:rsidP="0048443F">
      <w:pPr>
        <w:pStyle w:val="Heading4"/>
        <w:spacing w:line="276" w:lineRule="auto"/>
        <w:jc w:val="both"/>
        <w:rPr>
          <w:rFonts w:ascii="Times New Roman" w:hAnsi="Times New Roman" w:cs="Times New Roman"/>
        </w:rPr>
      </w:pPr>
      <w:bookmarkStart w:id="33" w:name="_Toc179724795"/>
      <w:r w:rsidRPr="00C560CB">
        <w:rPr>
          <w:rFonts w:ascii="Times New Roman" w:hAnsi="Times New Roman" w:cs="Times New Roman"/>
        </w:rPr>
        <w:t>1.3.2</w:t>
      </w:r>
      <w:r w:rsidR="009B5870" w:rsidRPr="00C560CB">
        <w:rPr>
          <w:rFonts w:ascii="Times New Roman" w:hAnsi="Times New Roman" w:cs="Times New Roman"/>
        </w:rPr>
        <w:t>Idiosyncratic Risk Reduction:</w:t>
      </w:r>
      <w:bookmarkEnd w:id="33"/>
      <w:r w:rsidR="009B5870" w:rsidRPr="00C560CB">
        <w:rPr>
          <w:rFonts w:ascii="Times New Roman" w:hAnsi="Times New Roman" w:cs="Times New Roman"/>
        </w:rPr>
        <w:t xml:space="preserve"> </w:t>
      </w:r>
    </w:p>
    <w:p w14:paraId="60DB5D1E" w14:textId="57A9BC9E"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The study showed that high ESG-rated companies faced lower idiosyncratic risks, including less frequent severe incidents such as fraud, embezzlement, and litigation. Companies in the highest ESG quintile (Q5) experienced significantly fewer instances of stock-specific downside risks compared to those in the lowest ESG quintile (Q1). Exhibit 4 in the document illustrates that high ESG-rated companies demonstrated a lower frequency of idiosyncratic risk incidents over the 10-year period.</w:t>
      </w:r>
    </w:p>
    <w:p w14:paraId="5A9026AE" w14:textId="06C2B05D"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 xml:space="preserve">These results quantitatively demonstrate the financial benefits of ESG integration in terms of profitability, dividends, and risk </w:t>
      </w:r>
      <w:r w:rsidR="00224E9C" w:rsidRPr="00C560CB">
        <w:rPr>
          <w:rFonts w:ascii="Times New Roman" w:hAnsi="Times New Roman" w:cs="Times New Roman"/>
        </w:rPr>
        <w:t>management.</w:t>
      </w:r>
    </w:p>
    <w:p w14:paraId="5D96B671" w14:textId="77777777" w:rsidR="00FF3DD2" w:rsidRPr="00C560CB" w:rsidRDefault="00FF3DD2" w:rsidP="0048443F">
      <w:pPr>
        <w:spacing w:line="276" w:lineRule="auto"/>
        <w:rPr>
          <w:rFonts w:ascii="Times New Roman" w:hAnsi="Times New Roman" w:cs="Times New Roman"/>
        </w:rPr>
      </w:pPr>
    </w:p>
    <w:p w14:paraId="2A598D05" w14:textId="0A0F1F56" w:rsidR="00283A52" w:rsidRPr="00C560CB" w:rsidRDefault="00F63BEE" w:rsidP="0048443F">
      <w:pPr>
        <w:pStyle w:val="Heading3"/>
        <w:spacing w:line="276" w:lineRule="auto"/>
        <w:rPr>
          <w:rFonts w:ascii="Times New Roman" w:hAnsi="Times New Roman" w:cs="Times New Roman"/>
        </w:rPr>
      </w:pPr>
      <w:bookmarkStart w:id="34" w:name="_Toc179724796"/>
      <w:r w:rsidRPr="00C560CB">
        <w:rPr>
          <w:rFonts w:ascii="Times New Roman" w:hAnsi="Times New Roman" w:cs="Times New Roman"/>
        </w:rPr>
        <w:t>1.</w:t>
      </w:r>
      <w:r w:rsidR="00491989" w:rsidRPr="00C560CB">
        <w:rPr>
          <w:rFonts w:ascii="Times New Roman" w:hAnsi="Times New Roman" w:cs="Times New Roman"/>
        </w:rPr>
        <w:t>4</w:t>
      </w:r>
      <w:r w:rsidR="00283A52" w:rsidRPr="00C560CB">
        <w:rPr>
          <w:rFonts w:ascii="Times New Roman" w:hAnsi="Times New Roman" w:cs="Times New Roman"/>
        </w:rPr>
        <w:t>The Role of ESG in Boosting Corporate Success Across Sectors</w:t>
      </w:r>
      <w:bookmarkEnd w:id="34"/>
    </w:p>
    <w:p w14:paraId="5EA32A2B" w14:textId="692DE430"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Environmental, Social, and Governance (ESG) factors have become a critical aspect of corporate strategy across various industries. Companies that integrate ESG considerations into their business operations tend to demonstrate improved long-term financial performance, increased investor confidence, and enhanced operational efficiency. The influence of ESG factors varies across sectors due to the distinct nature of environmental, social, and governance challenges faced by different industries. However, there is consistent evidence that companies excelling in ESG practices generally experience sustainable growth and competitive advantages. Below is a detailed exploration of how ESG impacts corporate success across different sectors.</w:t>
      </w:r>
    </w:p>
    <w:p w14:paraId="3ED1DFC0" w14:textId="599FB88C" w:rsidR="00342948" w:rsidRPr="00C560CB" w:rsidRDefault="00992387" w:rsidP="005F0A68">
      <w:pPr>
        <w:pStyle w:val="Caption"/>
        <w:rPr>
          <w:rFonts w:ascii="Times New Roman" w:hAnsi="Times New Roman" w:cs="Times New Roman"/>
        </w:rPr>
      </w:pPr>
      <w:r w:rsidRPr="00C560CB">
        <w:rPr>
          <w:rFonts w:ascii="Times New Roman" w:hAnsi="Times New Roman" w:cs="Times New Roman"/>
          <w:noProof/>
          <w14:ligatures w14:val="standardContextual"/>
        </w:rPr>
        <w:drawing>
          <wp:anchor distT="0" distB="0" distL="114300" distR="114300" simplePos="0" relativeHeight="251686914" behindDoc="0" locked="0" layoutInCell="1" allowOverlap="1" wp14:anchorId="47A0EC35" wp14:editId="28F7E062">
            <wp:simplePos x="0" y="0"/>
            <wp:positionH relativeFrom="margin">
              <wp:align>center</wp:align>
            </wp:positionH>
            <wp:positionV relativeFrom="paragraph">
              <wp:posOffset>408536</wp:posOffset>
            </wp:positionV>
            <wp:extent cx="6484620" cy="2202815"/>
            <wp:effectExtent l="0" t="0" r="0" b="6985"/>
            <wp:wrapSquare wrapText="bothSides"/>
            <wp:docPr id="20912239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2390" name="Picture 1" descr="A diagram of a compan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84620" cy="2202815"/>
                    </a:xfrm>
                    <a:prstGeom prst="rect">
                      <a:avLst/>
                    </a:prstGeom>
                  </pic:spPr>
                </pic:pic>
              </a:graphicData>
            </a:graphic>
            <wp14:sizeRelH relativeFrom="margin">
              <wp14:pctWidth>0</wp14:pctWidth>
            </wp14:sizeRelH>
            <wp14:sizeRelV relativeFrom="margin">
              <wp14:pctHeight>0</wp14:pctHeight>
            </wp14:sizeRelV>
          </wp:anchor>
        </w:drawing>
      </w:r>
      <w:r w:rsidR="005F0A68"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5</w:t>
      </w:r>
      <w:r w:rsidR="005F0A68" w:rsidRPr="00C560CB">
        <w:rPr>
          <w:rFonts w:ascii="Times New Roman" w:hAnsi="Times New Roman" w:cs="Times New Roman"/>
        </w:rPr>
        <w:fldChar w:fldCharType="end"/>
      </w:r>
      <w:r w:rsidR="005F0A68" w:rsidRPr="00C560CB">
        <w:rPr>
          <w:rFonts w:ascii="Times New Roman" w:hAnsi="Times New Roman" w:cs="Times New Roman"/>
        </w:rPr>
        <w:t xml:space="preserve"> Mapping ESG Factors to Corporate Success Across Sectors</w:t>
      </w:r>
    </w:p>
    <w:p w14:paraId="7E73252D" w14:textId="2987CBBC" w:rsidR="009C7E69" w:rsidRPr="00C560CB" w:rsidRDefault="009C7E69" w:rsidP="0048443F">
      <w:pPr>
        <w:spacing w:line="276" w:lineRule="auto"/>
        <w:jc w:val="center"/>
        <w:rPr>
          <w:rFonts w:ascii="Times New Roman" w:hAnsi="Times New Roman" w:cs="Times New Roman"/>
        </w:rPr>
      </w:pPr>
    </w:p>
    <w:p w14:paraId="4AC61DDB" w14:textId="4F5197C0" w:rsidR="00342948" w:rsidRPr="00C560CB" w:rsidRDefault="00342948"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603E6561" w14:textId="77777777" w:rsidR="00342948" w:rsidRPr="00C560CB" w:rsidRDefault="00342948" w:rsidP="0048443F">
      <w:pPr>
        <w:spacing w:line="276" w:lineRule="auto"/>
        <w:jc w:val="both"/>
        <w:rPr>
          <w:rFonts w:ascii="Times New Roman" w:hAnsi="Times New Roman" w:cs="Times New Roman"/>
        </w:rPr>
      </w:pPr>
    </w:p>
    <w:p w14:paraId="67E23F3A" w14:textId="77777777" w:rsidR="00D267B3" w:rsidRPr="00C560CB" w:rsidRDefault="00D267B3" w:rsidP="0048443F">
      <w:pPr>
        <w:pStyle w:val="Heading4"/>
        <w:spacing w:line="276" w:lineRule="auto"/>
        <w:jc w:val="both"/>
        <w:rPr>
          <w:rFonts w:ascii="Times New Roman" w:hAnsi="Times New Roman" w:cs="Times New Roman"/>
        </w:rPr>
      </w:pPr>
      <w:bookmarkStart w:id="35" w:name="_Toc179724797"/>
      <w:r w:rsidRPr="00C560CB">
        <w:rPr>
          <w:rFonts w:ascii="Times New Roman" w:hAnsi="Times New Roman" w:cs="Times New Roman"/>
        </w:rPr>
        <w:lastRenderedPageBreak/>
        <w:t>1.4.1 Technology Sector</w:t>
      </w:r>
      <w:bookmarkEnd w:id="35"/>
    </w:p>
    <w:p w14:paraId="6DA08955"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technology sector has been at the forefront of ESG integration, with companies like Apple, Microsoft, and Alphabet (Google) leading the charge in incorporating sustainable practices into their business models. These companies have adopted ambitious targets for carbon neutrality, energy efficiency, and ethical governance structures.</w:t>
      </w:r>
    </w:p>
    <w:p w14:paraId="42C165FC" w14:textId="77777777" w:rsidR="00D267B3" w:rsidRPr="00C560CB" w:rsidRDefault="00D267B3" w:rsidP="0048443F">
      <w:pPr>
        <w:numPr>
          <w:ilvl w:val="0"/>
          <w:numId w:val="4"/>
        </w:numPr>
        <w:spacing w:line="276" w:lineRule="auto"/>
        <w:jc w:val="both"/>
        <w:rPr>
          <w:rFonts w:ascii="Times New Roman" w:hAnsi="Times New Roman" w:cs="Times New Roman"/>
        </w:rPr>
      </w:pPr>
      <w:r w:rsidRPr="00C560CB">
        <w:rPr>
          <w:rFonts w:ascii="Times New Roman" w:hAnsi="Times New Roman" w:cs="Times New Roman"/>
        </w:rPr>
        <w:t>Environmental Practices: Apple, for instance, has committed to achieving carbon neutrality across its entire supply chain by 2030. Through the use of renewable energy and sustainable sourcing of materials, Apple has reduced its carbon footprint significantly. This has resulted in both cost savings and enhanced brand loyalty, attracting environmentally conscious consumers (Apple Environmental Progress Report, 2020).</w:t>
      </w:r>
    </w:p>
    <w:p w14:paraId="107241CD" w14:textId="1A08CD58" w:rsidR="00D267B3" w:rsidRPr="00C560CB" w:rsidRDefault="00D267B3" w:rsidP="0048443F">
      <w:pPr>
        <w:numPr>
          <w:ilvl w:val="0"/>
          <w:numId w:val="4"/>
        </w:numPr>
        <w:spacing w:line="276" w:lineRule="auto"/>
        <w:jc w:val="both"/>
        <w:rPr>
          <w:rFonts w:ascii="Times New Roman" w:hAnsi="Times New Roman" w:cs="Times New Roman"/>
        </w:rPr>
      </w:pPr>
      <w:r w:rsidRPr="00C560CB">
        <w:rPr>
          <w:rFonts w:ascii="Times New Roman" w:hAnsi="Times New Roman" w:cs="Times New Roman"/>
        </w:rPr>
        <w:t>Social Factors: In addition to environmental efforts, Microsoft has prioritized diversity and inclusion within its workforce. By promoting gender equality and offering robust employee benefits, Microsoft has enhanced its reputation as a socially responsible company, attracting top talent and improving productivity (Microsoft Environmental Sustainability Report, 202</w:t>
      </w:r>
      <w:r w:rsidR="00393110" w:rsidRPr="00C560CB">
        <w:rPr>
          <w:rFonts w:ascii="Times New Roman" w:hAnsi="Times New Roman" w:cs="Times New Roman"/>
        </w:rPr>
        <w:t>4</w:t>
      </w:r>
      <w:r w:rsidRPr="00C560CB">
        <w:rPr>
          <w:rFonts w:ascii="Times New Roman" w:hAnsi="Times New Roman" w:cs="Times New Roman"/>
        </w:rPr>
        <w:t>).</w:t>
      </w:r>
    </w:p>
    <w:p w14:paraId="0A53135E" w14:textId="77777777" w:rsidR="00D267B3" w:rsidRPr="00C560CB" w:rsidRDefault="00D267B3" w:rsidP="0048443F">
      <w:pPr>
        <w:numPr>
          <w:ilvl w:val="0"/>
          <w:numId w:val="4"/>
        </w:numPr>
        <w:spacing w:line="276" w:lineRule="auto"/>
        <w:jc w:val="both"/>
        <w:rPr>
          <w:rFonts w:ascii="Times New Roman" w:hAnsi="Times New Roman" w:cs="Times New Roman"/>
        </w:rPr>
      </w:pPr>
      <w:r w:rsidRPr="00C560CB">
        <w:rPr>
          <w:rFonts w:ascii="Times New Roman" w:hAnsi="Times New Roman" w:cs="Times New Roman"/>
        </w:rPr>
        <w:t>Governance: Tech companies, particularly large multinational firms, have adopted strict governance frameworks to ensure transparency, mitigate risks related to data privacy, and align with investor expectations. Alphabet (Google), for instance, regularly updates its governance policies to address emerging challenges like cybersecurity and ethical AI development (Alphabet Corporate Governance, 2023).</w:t>
      </w:r>
    </w:p>
    <w:p w14:paraId="301AB1F9"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By integrating ESG factors, technology companies have not only reduced their operational risks but have also gained significant investor interest, as evidenced by stock price growth and improved market valuations.</w:t>
      </w:r>
    </w:p>
    <w:p w14:paraId="0B2A7979" w14:textId="69519351" w:rsidR="00D267B3" w:rsidRPr="00C560CB" w:rsidRDefault="00D267B3" w:rsidP="0048443F">
      <w:pPr>
        <w:spacing w:line="276" w:lineRule="auto"/>
        <w:jc w:val="both"/>
        <w:rPr>
          <w:rFonts w:ascii="Times New Roman" w:hAnsi="Times New Roman" w:cs="Times New Roman"/>
        </w:rPr>
      </w:pPr>
    </w:p>
    <w:p w14:paraId="7782CC87" w14:textId="77777777" w:rsidR="00D267B3" w:rsidRPr="00C560CB" w:rsidRDefault="00D267B3" w:rsidP="0048443F">
      <w:pPr>
        <w:pStyle w:val="Heading4"/>
        <w:spacing w:line="276" w:lineRule="auto"/>
        <w:jc w:val="both"/>
        <w:rPr>
          <w:rFonts w:ascii="Times New Roman" w:hAnsi="Times New Roman" w:cs="Times New Roman"/>
        </w:rPr>
      </w:pPr>
      <w:bookmarkStart w:id="36" w:name="_Toc179724798"/>
      <w:r w:rsidRPr="00C560CB">
        <w:rPr>
          <w:rFonts w:ascii="Times New Roman" w:hAnsi="Times New Roman" w:cs="Times New Roman"/>
        </w:rPr>
        <w:t>1.4.2 Consumer Goods Sector</w:t>
      </w:r>
      <w:bookmarkEnd w:id="36"/>
    </w:p>
    <w:p w14:paraId="6FED525F" w14:textId="17A0EDF5"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 xml:space="preserve">Companies in the consumer goods industry, like Unilever, Procter &amp; Gamble, and Nestlé, have recognized the growing consumer demand for sustainable products. ESG integration in this sector primarily focuses on sustainable sourcing, responsible packaging, and ethical </w:t>
      </w:r>
      <w:r w:rsidR="00F67911" w:rsidRPr="00C560CB">
        <w:rPr>
          <w:rFonts w:ascii="Times New Roman" w:hAnsi="Times New Roman" w:cs="Times New Roman"/>
        </w:rPr>
        <w:t>labour</w:t>
      </w:r>
      <w:r w:rsidRPr="00C560CB">
        <w:rPr>
          <w:rFonts w:ascii="Times New Roman" w:hAnsi="Times New Roman" w:cs="Times New Roman"/>
        </w:rPr>
        <w:t xml:space="preserve"> practices.</w:t>
      </w:r>
    </w:p>
    <w:p w14:paraId="7E7E061C" w14:textId="77777777" w:rsidR="00D267B3" w:rsidRPr="00C560CB" w:rsidRDefault="00D267B3" w:rsidP="0048443F">
      <w:pPr>
        <w:numPr>
          <w:ilvl w:val="0"/>
          <w:numId w:val="5"/>
        </w:numPr>
        <w:spacing w:line="276" w:lineRule="auto"/>
        <w:jc w:val="both"/>
        <w:rPr>
          <w:rFonts w:ascii="Times New Roman" w:hAnsi="Times New Roman" w:cs="Times New Roman"/>
        </w:rPr>
      </w:pPr>
      <w:r w:rsidRPr="00C560CB">
        <w:rPr>
          <w:rFonts w:ascii="Times New Roman" w:hAnsi="Times New Roman" w:cs="Times New Roman"/>
        </w:rPr>
        <w:t>Environmental Responsibility: Unilever’s Sustainable Living Plan focuses on sourcing materials like palm oil and cocoa from sustainable farms, reducing the company’s environmental footprint. This initiative not only aligns Unilever with global sustainability goals but has also enhanced consumer trust, increasing brand loyalty (Unilever Annual Report, 2021).</w:t>
      </w:r>
    </w:p>
    <w:p w14:paraId="43BD6D43" w14:textId="69C3364B" w:rsidR="00D267B3" w:rsidRPr="00C560CB" w:rsidRDefault="00D267B3" w:rsidP="0048443F">
      <w:pPr>
        <w:numPr>
          <w:ilvl w:val="0"/>
          <w:numId w:val="5"/>
        </w:numPr>
        <w:spacing w:line="276" w:lineRule="auto"/>
        <w:jc w:val="both"/>
        <w:rPr>
          <w:rFonts w:ascii="Times New Roman" w:hAnsi="Times New Roman" w:cs="Times New Roman"/>
        </w:rPr>
      </w:pPr>
      <w:r w:rsidRPr="00C560CB">
        <w:rPr>
          <w:rFonts w:ascii="Times New Roman" w:hAnsi="Times New Roman" w:cs="Times New Roman"/>
        </w:rPr>
        <w:t xml:space="preserve">Social Engagement: Unilever and Nestlé have implemented strong social programs related to fair wages and safe working conditions within their supply chains. This focus on ethical </w:t>
      </w:r>
      <w:r w:rsidR="00127362" w:rsidRPr="00C560CB">
        <w:rPr>
          <w:rFonts w:ascii="Times New Roman" w:hAnsi="Times New Roman" w:cs="Times New Roman"/>
        </w:rPr>
        <w:t>labour</w:t>
      </w:r>
      <w:r w:rsidRPr="00C560CB">
        <w:rPr>
          <w:rFonts w:ascii="Times New Roman" w:hAnsi="Times New Roman" w:cs="Times New Roman"/>
        </w:rPr>
        <w:t xml:space="preserve"> practices ensures better relations with suppliers and improves operational efficiency, ultimately contributing to improved profit margins (Nestlé Creating Shared Value Report, 2021).</w:t>
      </w:r>
    </w:p>
    <w:p w14:paraId="55157E60" w14:textId="77777777" w:rsidR="00D267B3" w:rsidRPr="00C560CB" w:rsidRDefault="00D267B3" w:rsidP="0048443F">
      <w:pPr>
        <w:numPr>
          <w:ilvl w:val="0"/>
          <w:numId w:val="5"/>
        </w:numPr>
        <w:spacing w:line="276" w:lineRule="auto"/>
        <w:jc w:val="both"/>
        <w:rPr>
          <w:rFonts w:ascii="Times New Roman" w:hAnsi="Times New Roman" w:cs="Times New Roman"/>
        </w:rPr>
      </w:pPr>
      <w:r w:rsidRPr="00C560CB">
        <w:rPr>
          <w:rFonts w:ascii="Times New Roman" w:hAnsi="Times New Roman" w:cs="Times New Roman"/>
        </w:rPr>
        <w:t>Governance: These companies have also adopted transparent governance frameworks to ensure accountability at all levels of the organization. This includes adhering to strict corporate governance standards, which has helped in reducing reputational risks associated with scandals or regulatory violations.</w:t>
      </w:r>
    </w:p>
    <w:p w14:paraId="349E1D51" w14:textId="175D3FD6"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emphasis on ESG factors has led to enhanced financial performance in this sector, as consumers increasingly favour brands that prioritize sustainability and ethical practices.</w:t>
      </w:r>
    </w:p>
    <w:p w14:paraId="30D76A3E" w14:textId="32278775" w:rsidR="00D267B3" w:rsidRPr="00C560CB" w:rsidRDefault="00D267B3" w:rsidP="0048443F">
      <w:pPr>
        <w:spacing w:line="276" w:lineRule="auto"/>
        <w:jc w:val="both"/>
        <w:rPr>
          <w:rFonts w:ascii="Times New Roman" w:hAnsi="Times New Roman" w:cs="Times New Roman"/>
        </w:rPr>
      </w:pPr>
    </w:p>
    <w:p w14:paraId="5313A0BE" w14:textId="77777777" w:rsidR="00D267B3" w:rsidRPr="00C560CB" w:rsidRDefault="00D267B3" w:rsidP="0048443F">
      <w:pPr>
        <w:pStyle w:val="Heading4"/>
        <w:spacing w:line="276" w:lineRule="auto"/>
        <w:jc w:val="both"/>
        <w:rPr>
          <w:rFonts w:ascii="Times New Roman" w:hAnsi="Times New Roman" w:cs="Times New Roman"/>
        </w:rPr>
      </w:pPr>
      <w:bookmarkStart w:id="37" w:name="_Toc179724799"/>
      <w:r w:rsidRPr="00C560CB">
        <w:rPr>
          <w:rFonts w:ascii="Times New Roman" w:hAnsi="Times New Roman" w:cs="Times New Roman"/>
        </w:rPr>
        <w:t>1.4.3 Energy and Utilities Sector</w:t>
      </w:r>
      <w:bookmarkEnd w:id="37"/>
    </w:p>
    <w:p w14:paraId="330A7928"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energy and utilities sector faces unique challenges related to environmental impact, particularly around carbon emissions and resource use. However, companies that have adopted robust ESG strategies, such as Tesla, BP, and NextEra Energy, have managed to leverage sustainability for competitive advantage.</w:t>
      </w:r>
    </w:p>
    <w:p w14:paraId="33D6CF18" w14:textId="2D12BD7D" w:rsidR="00D267B3" w:rsidRPr="00C560CB" w:rsidRDefault="00D267B3" w:rsidP="0048443F">
      <w:pPr>
        <w:numPr>
          <w:ilvl w:val="0"/>
          <w:numId w:val="6"/>
        </w:numPr>
        <w:spacing w:line="276" w:lineRule="auto"/>
        <w:jc w:val="both"/>
        <w:rPr>
          <w:rFonts w:ascii="Times New Roman" w:hAnsi="Times New Roman" w:cs="Times New Roman"/>
        </w:rPr>
      </w:pPr>
      <w:r w:rsidRPr="00C560CB">
        <w:rPr>
          <w:rFonts w:ascii="Times New Roman" w:hAnsi="Times New Roman" w:cs="Times New Roman"/>
        </w:rPr>
        <w:t xml:space="preserve">Environmental Innovation: Tesla has become a global leader in renewable energy and electric vehicles, positioning itself at the forefront of the green energy revolution. By focusing on innovation in battery technology and energy storage, Tesla has significantly reduced its carbon footprint, </w:t>
      </w:r>
      <w:r w:rsidR="00BA263D" w:rsidRPr="00C560CB">
        <w:rPr>
          <w:rFonts w:ascii="Times New Roman" w:hAnsi="Times New Roman" w:cs="Times New Roman"/>
        </w:rPr>
        <w:t>attracted</w:t>
      </w:r>
      <w:r w:rsidRPr="00C560CB">
        <w:rPr>
          <w:rFonts w:ascii="Times New Roman" w:hAnsi="Times New Roman" w:cs="Times New Roman"/>
        </w:rPr>
        <w:t xml:space="preserve"> ESG-conscious investors and </w:t>
      </w:r>
      <w:r w:rsidR="006F2039" w:rsidRPr="00C560CB">
        <w:rPr>
          <w:rFonts w:ascii="Times New Roman" w:hAnsi="Times New Roman" w:cs="Times New Roman"/>
        </w:rPr>
        <w:t>boosted</w:t>
      </w:r>
      <w:r w:rsidRPr="00C560CB">
        <w:rPr>
          <w:rFonts w:ascii="Times New Roman" w:hAnsi="Times New Roman" w:cs="Times New Roman"/>
        </w:rPr>
        <w:t xml:space="preserve"> its stock price by more than 700% from 2019 to 2021 (Tesla Impact Report, 2021).</w:t>
      </w:r>
    </w:p>
    <w:p w14:paraId="52D3A435" w14:textId="77777777" w:rsidR="00D267B3" w:rsidRPr="00C560CB" w:rsidRDefault="00D267B3" w:rsidP="0048443F">
      <w:pPr>
        <w:numPr>
          <w:ilvl w:val="0"/>
          <w:numId w:val="6"/>
        </w:numPr>
        <w:spacing w:line="276" w:lineRule="auto"/>
        <w:jc w:val="both"/>
        <w:rPr>
          <w:rFonts w:ascii="Times New Roman" w:hAnsi="Times New Roman" w:cs="Times New Roman"/>
        </w:rPr>
      </w:pPr>
      <w:r w:rsidRPr="00C560CB">
        <w:rPr>
          <w:rFonts w:ascii="Times New Roman" w:hAnsi="Times New Roman" w:cs="Times New Roman"/>
        </w:rPr>
        <w:t>Social Responsibility: Energy companies have also started engaging more with local communities to address concerns about environmental impact and social equity. For example, BP has established numerous community engagement programs to ensure that local stakeholders benefit from their operations, thus improving their social license to operate (BP Sustainability Report, 2021).</w:t>
      </w:r>
    </w:p>
    <w:p w14:paraId="1C4F72F4" w14:textId="77777777" w:rsidR="00D267B3" w:rsidRPr="00C560CB" w:rsidRDefault="00D267B3" w:rsidP="0048443F">
      <w:pPr>
        <w:numPr>
          <w:ilvl w:val="0"/>
          <w:numId w:val="6"/>
        </w:numPr>
        <w:spacing w:line="276" w:lineRule="auto"/>
        <w:jc w:val="both"/>
        <w:rPr>
          <w:rFonts w:ascii="Times New Roman" w:hAnsi="Times New Roman" w:cs="Times New Roman"/>
        </w:rPr>
      </w:pPr>
      <w:r w:rsidRPr="00C560CB">
        <w:rPr>
          <w:rFonts w:ascii="Times New Roman" w:hAnsi="Times New Roman" w:cs="Times New Roman"/>
        </w:rPr>
        <w:t>Governance: Strong governance structures are crucial in the energy sector, where regulatory compliance and risk management are critical. Companies like NextEra Energy have adopted stringent governance policies that include regular audits and comprehensive disclosure of environmental impact metrics, further strengthening investor confidence (NextEra Energy ESG Report, 2021).</w:t>
      </w:r>
    </w:p>
    <w:p w14:paraId="2EF9AB1F" w14:textId="609802E3" w:rsidR="00D267B3" w:rsidRPr="00C560CB" w:rsidRDefault="00D267B3" w:rsidP="0048443F">
      <w:pPr>
        <w:spacing w:line="276" w:lineRule="auto"/>
        <w:jc w:val="both"/>
        <w:rPr>
          <w:rFonts w:ascii="Times New Roman" w:hAnsi="Times New Roman" w:cs="Times New Roman"/>
        </w:rPr>
      </w:pPr>
    </w:p>
    <w:p w14:paraId="3B268BBE" w14:textId="39503981" w:rsidR="00D267B3" w:rsidRPr="00C560CB" w:rsidRDefault="00200883" w:rsidP="0048443F">
      <w:pPr>
        <w:pStyle w:val="Heading4"/>
        <w:spacing w:line="276" w:lineRule="auto"/>
        <w:jc w:val="both"/>
        <w:rPr>
          <w:rFonts w:ascii="Times New Roman" w:hAnsi="Times New Roman" w:cs="Times New Roman"/>
        </w:rPr>
      </w:pPr>
      <w:bookmarkStart w:id="38" w:name="_Toc179724800"/>
      <w:r w:rsidRPr="00C560CB">
        <w:rPr>
          <w:rFonts w:ascii="Times New Roman" w:hAnsi="Times New Roman" w:cs="Times New Roman"/>
        </w:rPr>
        <w:t>1.4.4</w:t>
      </w:r>
      <w:r w:rsidR="00D267B3" w:rsidRPr="00C560CB">
        <w:rPr>
          <w:rFonts w:ascii="Times New Roman" w:hAnsi="Times New Roman" w:cs="Times New Roman"/>
        </w:rPr>
        <w:t>Financial Services Sector</w:t>
      </w:r>
      <w:bookmarkEnd w:id="38"/>
    </w:p>
    <w:p w14:paraId="2EE823DD" w14:textId="77777777" w:rsidR="00E70F3C"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financial services sector, including major firms like JPMorgan Chase, Goldman Sachs, and BlackRock, has integrated ESG factors into both investment strategies and internal operations. These firms recognize that ESG practices not only reduce risks but also align with the growing demand for socially responsible investing (SRI).</w:t>
      </w:r>
    </w:p>
    <w:p w14:paraId="37E28A14" w14:textId="48D1AD0A" w:rsidR="00D267B3" w:rsidRPr="00C560CB" w:rsidRDefault="00D267B3" w:rsidP="0048443F">
      <w:pPr>
        <w:pStyle w:val="ListParagraph"/>
        <w:numPr>
          <w:ilvl w:val="0"/>
          <w:numId w:val="17"/>
        </w:numPr>
        <w:spacing w:line="276" w:lineRule="auto"/>
        <w:jc w:val="both"/>
        <w:rPr>
          <w:rFonts w:ascii="Times New Roman" w:hAnsi="Times New Roman" w:cs="Times New Roman"/>
        </w:rPr>
      </w:pPr>
      <w:r w:rsidRPr="00C560CB">
        <w:rPr>
          <w:rFonts w:ascii="Times New Roman" w:hAnsi="Times New Roman" w:cs="Times New Roman"/>
        </w:rPr>
        <w:t xml:space="preserve">Sustainable Investing: BlackRock, the world’s largest asset manager, has emphasized the importance of sustainability in investment decisions. The firm has committed to making ESG metrics a central part of their investment process, ensuring that companies in </w:t>
      </w:r>
      <w:r w:rsidR="00533C5D" w:rsidRPr="00C560CB">
        <w:rPr>
          <w:rFonts w:ascii="Times New Roman" w:hAnsi="Times New Roman" w:cs="Times New Roman"/>
        </w:rPr>
        <w:t>its</w:t>
      </w:r>
      <w:r w:rsidRPr="00C560CB">
        <w:rPr>
          <w:rFonts w:ascii="Times New Roman" w:hAnsi="Times New Roman" w:cs="Times New Roman"/>
        </w:rPr>
        <w:t xml:space="preserve"> portfolio adhere to stringent ESG standards. This strategy has attracted a growing number of investors seeking long-term, stable returns (BlackRock ESG Annual Report, 2021).</w:t>
      </w:r>
    </w:p>
    <w:p w14:paraId="08D7E06F" w14:textId="77777777" w:rsidR="00D267B3" w:rsidRPr="00C560CB" w:rsidRDefault="00D267B3" w:rsidP="0048443F">
      <w:pPr>
        <w:pStyle w:val="ListParagraph"/>
        <w:numPr>
          <w:ilvl w:val="0"/>
          <w:numId w:val="17"/>
        </w:numPr>
        <w:spacing w:line="276" w:lineRule="auto"/>
        <w:jc w:val="both"/>
        <w:rPr>
          <w:rFonts w:ascii="Times New Roman" w:hAnsi="Times New Roman" w:cs="Times New Roman"/>
        </w:rPr>
      </w:pPr>
      <w:r w:rsidRPr="00C560CB">
        <w:rPr>
          <w:rFonts w:ascii="Times New Roman" w:hAnsi="Times New Roman" w:cs="Times New Roman"/>
        </w:rPr>
        <w:t>Governance: JPMorgan Chase has adopted robust governance frameworks that prioritize transparency and accountability, particularly in relation to risk management and regulatory compliance. These measures have reduced the firm's exposure to financial penalties and reputational damage (JPMorgan Chase Annual Report, 2020).</w:t>
      </w:r>
    </w:p>
    <w:p w14:paraId="5CC9BA85"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By focusing on ESG factors, financial firms have not only enhanced their own operational efficiency but have also contributed to the broader movement towards sustainable finance.</w:t>
      </w:r>
    </w:p>
    <w:p w14:paraId="6EE7D6FA" w14:textId="77777777" w:rsidR="00F928A5" w:rsidRPr="00C560CB" w:rsidRDefault="00F928A5" w:rsidP="0048443F">
      <w:pPr>
        <w:spacing w:line="276" w:lineRule="auto"/>
        <w:jc w:val="both"/>
        <w:rPr>
          <w:rFonts w:ascii="Times New Roman" w:hAnsi="Times New Roman" w:cs="Times New Roman"/>
        </w:rPr>
      </w:pPr>
    </w:p>
    <w:p w14:paraId="60C45C57" w14:textId="2DF5D378" w:rsidR="00F928A5" w:rsidRPr="00C560CB" w:rsidRDefault="00F928A5" w:rsidP="00F928A5">
      <w:pPr>
        <w:pStyle w:val="Heading4"/>
        <w:rPr>
          <w:rFonts w:ascii="Times New Roman" w:hAnsi="Times New Roman" w:cs="Times New Roman"/>
        </w:rPr>
      </w:pPr>
      <w:bookmarkStart w:id="39" w:name="_Toc179724801"/>
      <w:r w:rsidRPr="00C560CB">
        <w:rPr>
          <w:rFonts w:ascii="Times New Roman" w:hAnsi="Times New Roman" w:cs="Times New Roman"/>
        </w:rPr>
        <w:t>1.4.5 Conclusion</w:t>
      </w:r>
      <w:bookmarkEnd w:id="39"/>
    </w:p>
    <w:p w14:paraId="238A2A0A" w14:textId="40B430D6" w:rsidR="00283A52" w:rsidRPr="00C560CB" w:rsidRDefault="00D80003" w:rsidP="00D80003">
      <w:pPr>
        <w:spacing w:line="276" w:lineRule="auto"/>
        <w:jc w:val="both"/>
        <w:rPr>
          <w:rFonts w:ascii="Times New Roman" w:hAnsi="Times New Roman" w:cs="Times New Roman"/>
        </w:rPr>
      </w:pPr>
      <w:r w:rsidRPr="00C560CB">
        <w:rPr>
          <w:rFonts w:ascii="Times New Roman" w:hAnsi="Times New Roman" w:cs="Times New Roman"/>
        </w:rPr>
        <w:t xml:space="preserve">Therefore, we have gaps in the knowledge of how ESG factors affect financial performance, and how their operation may differ from industry to industry, as presented in the existing literature. This research </w:t>
      </w:r>
      <w:r w:rsidRPr="00C560CB">
        <w:rPr>
          <w:rFonts w:ascii="Times New Roman" w:hAnsi="Times New Roman" w:cs="Times New Roman"/>
        </w:rPr>
        <w:lastRenderedPageBreak/>
        <w:t>will seek to fill these gaps by comparing the following areas: The impact that ESG has on the financial performance and market stability of technology companies; the impact that ESG has on the financial performance and market stability of Consumer goods companies; The impact that ESG has on the financial performance and market stability of Energy companies; The impact that ESG has on the financial performance and market stability of financial companies.</w:t>
      </w:r>
    </w:p>
    <w:p w14:paraId="27671706" w14:textId="36988BFE" w:rsidR="00283A52" w:rsidRPr="00C560CB" w:rsidRDefault="008E2CB0" w:rsidP="0048443F">
      <w:pPr>
        <w:pStyle w:val="Heading1"/>
        <w:spacing w:line="276" w:lineRule="auto"/>
        <w:rPr>
          <w:rFonts w:ascii="Times New Roman" w:hAnsi="Times New Roman" w:cs="Times New Roman"/>
        </w:rPr>
      </w:pPr>
      <w:bookmarkStart w:id="40" w:name="_Toc179724802"/>
      <w:r w:rsidRPr="00C560CB">
        <w:rPr>
          <w:rFonts w:ascii="Times New Roman" w:hAnsi="Times New Roman" w:cs="Times New Roman"/>
        </w:rPr>
        <w:t>Chapter 3</w:t>
      </w:r>
      <w:bookmarkEnd w:id="40"/>
    </w:p>
    <w:p w14:paraId="229D9DC8" w14:textId="247F4300" w:rsidR="001E4883" w:rsidRPr="00C560CB" w:rsidRDefault="001E4883" w:rsidP="0048443F">
      <w:pPr>
        <w:pStyle w:val="Heading2"/>
        <w:spacing w:line="276" w:lineRule="auto"/>
        <w:rPr>
          <w:rFonts w:ascii="Times New Roman" w:hAnsi="Times New Roman" w:cs="Times New Roman"/>
        </w:rPr>
      </w:pPr>
      <w:bookmarkStart w:id="41" w:name="_Toc179724803"/>
      <w:r w:rsidRPr="00C560CB">
        <w:rPr>
          <w:rFonts w:ascii="Times New Roman" w:hAnsi="Times New Roman" w:cs="Times New Roman"/>
        </w:rPr>
        <w:t>1 Methodology</w:t>
      </w:r>
      <w:bookmarkEnd w:id="41"/>
    </w:p>
    <w:p w14:paraId="2185E125"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This research aims to investigate the relationship between Environmental, Social, and Governance (ESG) factors and financial performance across various industries and regions. The methodology includes the selection of variables, measurement approaches, industry focus, sample size, statistical analysis techniques, data collection methods, and ethical considerations.</w:t>
      </w:r>
    </w:p>
    <w:p w14:paraId="2F5EE8D9" w14:textId="77777777" w:rsidR="00AF2D4A" w:rsidRPr="00C560CB" w:rsidRDefault="00AF2D4A" w:rsidP="0048443F">
      <w:pPr>
        <w:spacing w:line="276" w:lineRule="auto"/>
        <w:jc w:val="both"/>
        <w:rPr>
          <w:rFonts w:ascii="Times New Roman" w:hAnsi="Times New Roman" w:cs="Times New Roman"/>
        </w:rPr>
      </w:pPr>
    </w:p>
    <w:p w14:paraId="12388F0A" w14:textId="77777777" w:rsidR="00534B20" w:rsidRPr="00C560CB" w:rsidRDefault="00534B20" w:rsidP="00534B20">
      <w:pPr>
        <w:pStyle w:val="Heading3"/>
        <w:rPr>
          <w:rFonts w:ascii="Times New Roman" w:hAnsi="Times New Roman" w:cs="Times New Roman"/>
        </w:rPr>
      </w:pPr>
      <w:bookmarkStart w:id="42" w:name="_Toc179724804"/>
      <w:r w:rsidRPr="00C560CB">
        <w:rPr>
          <w:rFonts w:ascii="Times New Roman" w:hAnsi="Times New Roman" w:cs="Times New Roman"/>
        </w:rPr>
        <w:t xml:space="preserve">1.1 </w:t>
      </w:r>
      <w:r w:rsidRPr="00C560CB">
        <w:rPr>
          <w:rFonts w:ascii="Times New Roman" w:hAnsi="Times New Roman" w:cs="Times New Roman"/>
        </w:rPr>
        <w:t>Philosophical Stance</w:t>
      </w:r>
      <w:bookmarkEnd w:id="42"/>
    </w:p>
    <w:p w14:paraId="416D305E" w14:textId="3D5AD102" w:rsidR="0044038A" w:rsidRPr="00C560CB" w:rsidRDefault="00534B20" w:rsidP="00534B20">
      <w:pPr>
        <w:jc w:val="both"/>
        <w:rPr>
          <w:rFonts w:ascii="Times New Roman" w:hAnsi="Times New Roman" w:cs="Times New Roman"/>
        </w:rPr>
      </w:pPr>
      <w:r w:rsidRPr="00C560CB">
        <w:rPr>
          <w:rFonts w:ascii="Times New Roman" w:hAnsi="Times New Roman" w:cs="Times New Roman"/>
        </w:rPr>
        <w:t xml:space="preserve">This research adopts a </w:t>
      </w:r>
      <w:r w:rsidRPr="00C560CB">
        <w:rPr>
          <w:rFonts w:ascii="Times New Roman" w:hAnsi="Times New Roman" w:cs="Times New Roman"/>
          <w:b/>
          <w:bCs/>
        </w:rPr>
        <w:t>positivist</w:t>
      </w:r>
      <w:r w:rsidRPr="00C560CB">
        <w:rPr>
          <w:rFonts w:ascii="Times New Roman" w:hAnsi="Times New Roman" w:cs="Times New Roman"/>
        </w:rPr>
        <w:t xml:space="preserve"> philosophical stance. Positivism emphasizes the use of observable and measurable facts to understand the world, relying on quantitative data to test hypotheses and establish causal relationships. By utilizing statistical methods to </w:t>
      </w:r>
      <w:r w:rsidRPr="00C560CB">
        <w:rPr>
          <w:rFonts w:ascii="Times New Roman" w:hAnsi="Times New Roman" w:cs="Times New Roman"/>
        </w:rPr>
        <w:t>analyse</w:t>
      </w:r>
      <w:r w:rsidRPr="00C560CB">
        <w:rPr>
          <w:rFonts w:ascii="Times New Roman" w:hAnsi="Times New Roman" w:cs="Times New Roman"/>
        </w:rPr>
        <w:t xml:space="preserve"> the effects of ESG factors on financial performance, this study aims to produce objective and generalizable findings.</w:t>
      </w:r>
    </w:p>
    <w:p w14:paraId="6942AEB9" w14:textId="77777777" w:rsidR="00552026" w:rsidRPr="00C560CB" w:rsidRDefault="00552026" w:rsidP="00534B20">
      <w:pPr>
        <w:jc w:val="both"/>
        <w:rPr>
          <w:rFonts w:ascii="Times New Roman" w:hAnsi="Times New Roman" w:cs="Times New Roman"/>
        </w:rPr>
      </w:pPr>
    </w:p>
    <w:p w14:paraId="349BF2EC" w14:textId="2B01A98D" w:rsidR="00552026" w:rsidRPr="00C560CB" w:rsidRDefault="00552026" w:rsidP="00F824CE">
      <w:pPr>
        <w:pStyle w:val="Heading3"/>
        <w:rPr>
          <w:rFonts w:ascii="Times New Roman" w:hAnsi="Times New Roman" w:cs="Times New Roman"/>
        </w:rPr>
      </w:pPr>
      <w:bookmarkStart w:id="43" w:name="_Toc179724805"/>
      <w:r w:rsidRPr="00C560CB">
        <w:rPr>
          <w:rFonts w:ascii="Times New Roman" w:hAnsi="Times New Roman" w:cs="Times New Roman"/>
        </w:rPr>
        <w:t xml:space="preserve">1.2 </w:t>
      </w:r>
      <w:r w:rsidR="00F824CE" w:rsidRPr="00C560CB">
        <w:rPr>
          <w:rFonts w:ascii="Times New Roman" w:hAnsi="Times New Roman" w:cs="Times New Roman"/>
        </w:rPr>
        <w:t>Research Approach</w:t>
      </w:r>
      <w:bookmarkEnd w:id="43"/>
    </w:p>
    <w:p w14:paraId="00CE2D8B" w14:textId="21CCDF29" w:rsidR="00F824CE" w:rsidRPr="00C560CB" w:rsidRDefault="00C97826" w:rsidP="00AF494F">
      <w:pPr>
        <w:jc w:val="both"/>
        <w:rPr>
          <w:rFonts w:ascii="Times New Roman" w:hAnsi="Times New Roman" w:cs="Times New Roman"/>
        </w:rPr>
      </w:pPr>
      <w:r w:rsidRPr="00C560CB">
        <w:rPr>
          <w:rFonts w:ascii="Times New Roman" w:hAnsi="Times New Roman" w:cs="Times New Roman"/>
        </w:rPr>
        <w:t xml:space="preserve">The research employs a </w:t>
      </w:r>
      <w:r w:rsidRPr="00C560CB">
        <w:rPr>
          <w:rFonts w:ascii="Times New Roman" w:hAnsi="Times New Roman" w:cs="Times New Roman"/>
          <w:b/>
          <w:bCs/>
        </w:rPr>
        <w:t>deductive</w:t>
      </w:r>
      <w:r w:rsidRPr="00C560CB">
        <w:rPr>
          <w:rFonts w:ascii="Times New Roman" w:hAnsi="Times New Roman" w:cs="Times New Roman"/>
        </w:rPr>
        <w:t xml:space="preserve"> approach. This means that the study begins with established theories and hypotheses regarding the impact of ESG factors on financial performance. The hypotheses formulated in Chapter 1 will be tested against empirical data to validate or refute the existing theories. Specifically, this approach allows for the examination of the relationships posited in the literature and the formulation of conclusions based on the results of the data analysis.</w:t>
      </w:r>
    </w:p>
    <w:p w14:paraId="00BEC060" w14:textId="77777777" w:rsidR="00534B20" w:rsidRPr="00C560CB" w:rsidRDefault="00534B20" w:rsidP="00534B20">
      <w:pPr>
        <w:rPr>
          <w:rFonts w:ascii="Times New Roman" w:hAnsi="Times New Roman" w:cs="Times New Roman"/>
        </w:rPr>
      </w:pPr>
    </w:p>
    <w:p w14:paraId="22E03A4F" w14:textId="08A7738D" w:rsidR="001E4883" w:rsidRPr="00C560CB" w:rsidRDefault="00191B01" w:rsidP="0048443F">
      <w:pPr>
        <w:pStyle w:val="Heading3"/>
        <w:spacing w:line="276" w:lineRule="auto"/>
        <w:jc w:val="both"/>
        <w:rPr>
          <w:rFonts w:ascii="Times New Roman" w:hAnsi="Times New Roman" w:cs="Times New Roman"/>
        </w:rPr>
      </w:pPr>
      <w:bookmarkStart w:id="44" w:name="_Toc179724806"/>
      <w:r w:rsidRPr="00C560CB">
        <w:rPr>
          <w:rFonts w:ascii="Times New Roman" w:hAnsi="Times New Roman" w:cs="Times New Roman"/>
        </w:rPr>
        <w:t>1.</w:t>
      </w:r>
      <w:r w:rsidR="00E85E4C" w:rsidRPr="00C560CB">
        <w:rPr>
          <w:rFonts w:ascii="Times New Roman" w:hAnsi="Times New Roman" w:cs="Times New Roman"/>
        </w:rPr>
        <w:t>3</w:t>
      </w:r>
      <w:r w:rsidR="009F12BD" w:rsidRPr="00C560CB">
        <w:rPr>
          <w:rFonts w:ascii="Times New Roman" w:hAnsi="Times New Roman" w:cs="Times New Roman"/>
        </w:rPr>
        <w:t>Research Variables</w:t>
      </w:r>
      <w:bookmarkEnd w:id="44"/>
    </w:p>
    <w:p w14:paraId="2F0B4EDD"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variables for this study are divided into independent, dependent, and control categories.</w:t>
      </w:r>
    </w:p>
    <w:p w14:paraId="5FDD359F" w14:textId="1752BE28"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 xml:space="preserve">The independent variables are the ESG factors, which include Environmental (e.g., carbon emissions, energy efficiency), Social (e.g., </w:t>
      </w:r>
      <w:r w:rsidR="001E4883" w:rsidRPr="00C560CB">
        <w:rPr>
          <w:rFonts w:ascii="Times New Roman" w:hAnsi="Times New Roman" w:cs="Times New Roman"/>
        </w:rPr>
        <w:t>labour</w:t>
      </w:r>
      <w:r w:rsidRPr="00C560CB">
        <w:rPr>
          <w:rFonts w:ascii="Times New Roman" w:hAnsi="Times New Roman" w:cs="Times New Roman"/>
        </w:rPr>
        <w:t xml:space="preserve"> practices, community engagement, diversity), and Governance (e.g., corporate governance, board composition, anti-corruption policies). These factors are expected to influence corporate performance.</w:t>
      </w:r>
    </w:p>
    <w:p w14:paraId="445EFD96"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dependent variables include financial performance indicators such as Return on Equity (ROE), Return on Assets (ROA), stock price growth, profit margins, and revenue growth. Additionally, risk factors such as stock price volatility and operational risk will also be included.</w:t>
      </w:r>
    </w:p>
    <w:p w14:paraId="0B3341C1" w14:textId="4E094FAA"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control variables account for factors that may impact the relationship between ESG and financial performance. These include region (North America, Europe, Asia), industry sector (e.g., Technology, Consumer Goods, Financial Services, Oil &amp; Gas), and company size (measured by market capitali</w:t>
      </w:r>
      <w:r w:rsidR="00641629" w:rsidRPr="00C560CB">
        <w:rPr>
          <w:rFonts w:ascii="Times New Roman" w:hAnsi="Times New Roman" w:cs="Times New Roman"/>
        </w:rPr>
        <w:t>s</w:t>
      </w:r>
      <w:r w:rsidRPr="00C560CB">
        <w:rPr>
          <w:rFonts w:ascii="Times New Roman" w:hAnsi="Times New Roman" w:cs="Times New Roman"/>
        </w:rPr>
        <w:t>ation or total assets).</w:t>
      </w:r>
    </w:p>
    <w:p w14:paraId="3AE08074" w14:textId="77777777" w:rsidR="004F2D07" w:rsidRPr="00C560CB" w:rsidRDefault="004F2D07" w:rsidP="0048443F">
      <w:pPr>
        <w:spacing w:line="276" w:lineRule="auto"/>
        <w:jc w:val="both"/>
        <w:rPr>
          <w:rFonts w:ascii="Times New Roman" w:hAnsi="Times New Roman" w:cs="Times New Roman"/>
        </w:rPr>
      </w:pPr>
    </w:p>
    <w:p w14:paraId="486E4FEC" w14:textId="3477F1A2" w:rsidR="009F12BD" w:rsidRPr="00C560CB" w:rsidRDefault="0057718A" w:rsidP="0048443F">
      <w:pPr>
        <w:pStyle w:val="Heading3"/>
        <w:spacing w:line="276" w:lineRule="auto"/>
        <w:jc w:val="both"/>
        <w:rPr>
          <w:rFonts w:ascii="Times New Roman" w:hAnsi="Times New Roman" w:cs="Times New Roman"/>
        </w:rPr>
      </w:pPr>
      <w:bookmarkStart w:id="45" w:name="_Toc179724807"/>
      <w:r w:rsidRPr="00C560CB">
        <w:rPr>
          <w:rFonts w:ascii="Times New Roman" w:hAnsi="Times New Roman" w:cs="Times New Roman"/>
        </w:rPr>
        <w:t>1.</w:t>
      </w:r>
      <w:r w:rsidR="00E85E4C" w:rsidRPr="00C560CB">
        <w:rPr>
          <w:rFonts w:ascii="Times New Roman" w:hAnsi="Times New Roman" w:cs="Times New Roman"/>
        </w:rPr>
        <w:t>4</w:t>
      </w:r>
      <w:r w:rsidRPr="00C560CB">
        <w:rPr>
          <w:rFonts w:ascii="Times New Roman" w:hAnsi="Times New Roman" w:cs="Times New Roman"/>
        </w:rPr>
        <w:t xml:space="preserve"> </w:t>
      </w:r>
      <w:r w:rsidR="009F12BD" w:rsidRPr="00C560CB">
        <w:rPr>
          <w:rFonts w:ascii="Times New Roman" w:hAnsi="Times New Roman" w:cs="Times New Roman"/>
        </w:rPr>
        <w:t>Measurement of Variables</w:t>
      </w:r>
      <w:bookmarkEnd w:id="45"/>
    </w:p>
    <w:p w14:paraId="4AFCDD29" w14:textId="03CEA9ED"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To quantify these variables, the study will use reliable, publicly available data sources.</w:t>
      </w:r>
    </w:p>
    <w:p w14:paraId="61BD5239" w14:textId="2D6BEE8E"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 xml:space="preserve">Environmental, Social, and Governance (ESG) factors will be measured through ESG ratings provided by established third-party databases such as MSCI, Sustainalytics, </w:t>
      </w:r>
      <w:r w:rsidR="00B769DD" w:rsidRPr="00C560CB">
        <w:rPr>
          <w:rFonts w:ascii="Times New Roman" w:hAnsi="Times New Roman" w:cs="Times New Roman"/>
        </w:rPr>
        <w:t xml:space="preserve">Yahoo </w:t>
      </w:r>
      <w:r w:rsidR="00BF6E7D" w:rsidRPr="00C560CB">
        <w:rPr>
          <w:rFonts w:ascii="Times New Roman" w:hAnsi="Times New Roman" w:cs="Times New Roman"/>
        </w:rPr>
        <w:t>Finance</w:t>
      </w:r>
      <w:r w:rsidR="0099503F" w:rsidRPr="00C560CB">
        <w:rPr>
          <w:rFonts w:ascii="Times New Roman" w:hAnsi="Times New Roman" w:cs="Times New Roman"/>
        </w:rPr>
        <w:t>,</w:t>
      </w:r>
      <w:r w:rsidR="00691408" w:rsidRPr="00C560CB">
        <w:rPr>
          <w:rFonts w:ascii="Times New Roman" w:hAnsi="Times New Roman" w:cs="Times New Roman"/>
        </w:rPr>
        <w:t xml:space="preserve"> </w:t>
      </w:r>
      <w:r w:rsidR="0099503F" w:rsidRPr="00C560CB">
        <w:rPr>
          <w:rFonts w:ascii="Times New Roman" w:hAnsi="Times New Roman" w:cs="Times New Roman"/>
        </w:rPr>
        <w:t>Nasdaq</w:t>
      </w:r>
      <w:r w:rsidR="00F8790A" w:rsidRPr="00C560CB">
        <w:rPr>
          <w:rFonts w:ascii="Times New Roman" w:hAnsi="Times New Roman" w:cs="Times New Roman"/>
        </w:rPr>
        <w:t xml:space="preserve"> </w:t>
      </w:r>
      <w:r w:rsidR="00BF6E7D" w:rsidRPr="00C560CB">
        <w:rPr>
          <w:rFonts w:ascii="Times New Roman" w:hAnsi="Times New Roman" w:cs="Times New Roman"/>
        </w:rPr>
        <w:t>and Statista</w:t>
      </w:r>
      <w:r w:rsidRPr="00C560CB">
        <w:rPr>
          <w:rFonts w:ascii="Times New Roman" w:hAnsi="Times New Roman" w:cs="Times New Roman"/>
        </w:rPr>
        <w:t>. These ratings quantify various ESG components, such as carbon emissions (measured in tons), energy efficiency (percentage reduction), and diversity (employee ratios).</w:t>
      </w:r>
    </w:p>
    <w:p w14:paraId="370836DD"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Financial performance will be measured through key financial metrics, including:</w:t>
      </w:r>
    </w:p>
    <w:p w14:paraId="512D942D" w14:textId="77777777" w:rsidR="009F12BD" w:rsidRPr="00C560CB" w:rsidRDefault="009F12BD" w:rsidP="0048443F">
      <w:pPr>
        <w:numPr>
          <w:ilvl w:val="0"/>
          <w:numId w:val="8"/>
        </w:numPr>
        <w:spacing w:line="276" w:lineRule="auto"/>
        <w:jc w:val="both"/>
        <w:rPr>
          <w:rFonts w:ascii="Times New Roman" w:hAnsi="Times New Roman" w:cs="Times New Roman"/>
        </w:rPr>
      </w:pPr>
      <w:r w:rsidRPr="00C560CB">
        <w:rPr>
          <w:rFonts w:ascii="Times New Roman" w:hAnsi="Times New Roman" w:cs="Times New Roman"/>
        </w:rPr>
        <w:t>Return on Equity (ROE): Calculated as net income divided by shareholders' equity.</w:t>
      </w:r>
    </w:p>
    <w:p w14:paraId="5C9A5EA8" w14:textId="77777777" w:rsidR="009F12BD" w:rsidRPr="00C560CB" w:rsidRDefault="009F12BD" w:rsidP="0048443F">
      <w:pPr>
        <w:numPr>
          <w:ilvl w:val="0"/>
          <w:numId w:val="8"/>
        </w:numPr>
        <w:spacing w:line="276" w:lineRule="auto"/>
        <w:jc w:val="both"/>
        <w:rPr>
          <w:rFonts w:ascii="Times New Roman" w:hAnsi="Times New Roman" w:cs="Times New Roman"/>
        </w:rPr>
      </w:pPr>
      <w:r w:rsidRPr="00C560CB">
        <w:rPr>
          <w:rFonts w:ascii="Times New Roman" w:hAnsi="Times New Roman" w:cs="Times New Roman"/>
        </w:rPr>
        <w:t>Return on Assets (ROA): Net income divided by total assets.</w:t>
      </w:r>
    </w:p>
    <w:p w14:paraId="1B93E120" w14:textId="77777777" w:rsidR="008644F3" w:rsidRPr="00C560CB" w:rsidRDefault="009F12BD" w:rsidP="0048443F">
      <w:pPr>
        <w:numPr>
          <w:ilvl w:val="0"/>
          <w:numId w:val="8"/>
        </w:numPr>
        <w:spacing w:line="276" w:lineRule="auto"/>
        <w:jc w:val="both"/>
        <w:rPr>
          <w:rFonts w:ascii="Times New Roman" w:hAnsi="Times New Roman" w:cs="Times New Roman"/>
        </w:rPr>
      </w:pPr>
      <w:r w:rsidRPr="00C560CB">
        <w:rPr>
          <w:rFonts w:ascii="Times New Roman" w:hAnsi="Times New Roman" w:cs="Times New Roman"/>
        </w:rPr>
        <w:t>Stock Price Growth: Measured by the year-on-year percentage change in stock prices.</w:t>
      </w:r>
    </w:p>
    <w:p w14:paraId="659CDF3A" w14:textId="19BDA5F1" w:rsidR="009F12BD" w:rsidRPr="00C560CB" w:rsidRDefault="009F12BD" w:rsidP="005D5386">
      <w:pPr>
        <w:spacing w:line="276" w:lineRule="auto"/>
        <w:jc w:val="both"/>
        <w:rPr>
          <w:rFonts w:ascii="Times New Roman" w:hAnsi="Times New Roman" w:cs="Times New Roman"/>
        </w:rPr>
      </w:pPr>
      <w:r w:rsidRPr="00C560CB">
        <w:rPr>
          <w:rFonts w:ascii="Times New Roman" w:hAnsi="Times New Roman" w:cs="Times New Roman"/>
        </w:rPr>
        <w:t>Risk factors, such as stock price volatility, will be measured using the standard deviation of stock returns, and operational risk will be assessed through corporate risk disclosures in annual reports. Control variables such as region, sector, and company size will be categorized using the Global Industry Classification Standard (GICS) and obtained from platforms like Reuters and Statista.</w:t>
      </w:r>
    </w:p>
    <w:p w14:paraId="68083CA2" w14:textId="77777777" w:rsidR="004F2D07" w:rsidRPr="00C560CB" w:rsidRDefault="004F2D07" w:rsidP="0048443F">
      <w:pPr>
        <w:spacing w:line="276" w:lineRule="auto"/>
        <w:jc w:val="both"/>
        <w:rPr>
          <w:rFonts w:ascii="Times New Roman" w:hAnsi="Times New Roman" w:cs="Times New Roman"/>
        </w:rPr>
      </w:pPr>
    </w:p>
    <w:p w14:paraId="4E2CA523" w14:textId="044A2158" w:rsidR="009F12BD" w:rsidRPr="00C560CB" w:rsidRDefault="00BD10EC" w:rsidP="0048443F">
      <w:pPr>
        <w:pStyle w:val="Heading3"/>
        <w:spacing w:line="276" w:lineRule="auto"/>
        <w:jc w:val="both"/>
        <w:rPr>
          <w:rFonts w:ascii="Times New Roman" w:hAnsi="Times New Roman" w:cs="Times New Roman"/>
        </w:rPr>
      </w:pPr>
      <w:bookmarkStart w:id="46" w:name="_Toc179724808"/>
      <w:r w:rsidRPr="00C560CB">
        <w:rPr>
          <w:rFonts w:ascii="Times New Roman" w:hAnsi="Times New Roman" w:cs="Times New Roman"/>
        </w:rPr>
        <w:t>1.</w:t>
      </w:r>
      <w:r w:rsidR="00E85E4C" w:rsidRPr="00C560CB">
        <w:rPr>
          <w:rFonts w:ascii="Times New Roman" w:hAnsi="Times New Roman" w:cs="Times New Roman"/>
        </w:rPr>
        <w:t>5</w:t>
      </w:r>
      <w:r w:rsidRPr="00C560CB">
        <w:rPr>
          <w:rFonts w:ascii="Times New Roman" w:hAnsi="Times New Roman" w:cs="Times New Roman"/>
        </w:rPr>
        <w:t xml:space="preserve"> </w:t>
      </w:r>
      <w:r w:rsidR="009F12BD" w:rsidRPr="00C560CB">
        <w:rPr>
          <w:rFonts w:ascii="Times New Roman" w:hAnsi="Times New Roman" w:cs="Times New Roman"/>
        </w:rPr>
        <w:t>Industries Selected</w:t>
      </w:r>
      <w:bookmarkEnd w:id="46"/>
    </w:p>
    <w:p w14:paraId="21C80D3A" w14:textId="77777777" w:rsidR="009F12BD" w:rsidRPr="00C560CB" w:rsidRDefault="009F12BD" w:rsidP="00455CBC">
      <w:pPr>
        <w:spacing w:after="0" w:line="276" w:lineRule="auto"/>
        <w:jc w:val="both"/>
        <w:rPr>
          <w:rFonts w:ascii="Times New Roman" w:hAnsi="Times New Roman" w:cs="Times New Roman"/>
        </w:rPr>
      </w:pPr>
      <w:r w:rsidRPr="00C560CB">
        <w:rPr>
          <w:rFonts w:ascii="Times New Roman" w:hAnsi="Times New Roman" w:cs="Times New Roman"/>
        </w:rPr>
        <w:t>The study focuses on four industries that represent different challenges and opportunities for ESG integration:</w:t>
      </w:r>
    </w:p>
    <w:p w14:paraId="12B037ED" w14:textId="77777777"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Technology (e.g., Microsoft, Apple), which faces governance and social challenges.</w:t>
      </w:r>
    </w:p>
    <w:p w14:paraId="0D5E2803" w14:textId="3848C655"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 xml:space="preserve">Consumer Goods (e.g., Unilever, Procter &amp; Gamble), where sustainability and </w:t>
      </w:r>
      <w:r w:rsidR="0057718A" w:rsidRPr="00C560CB">
        <w:rPr>
          <w:rFonts w:ascii="Times New Roman" w:hAnsi="Times New Roman" w:cs="Times New Roman"/>
        </w:rPr>
        <w:t>labour</w:t>
      </w:r>
      <w:r w:rsidRPr="00C560CB">
        <w:rPr>
          <w:rFonts w:ascii="Times New Roman" w:hAnsi="Times New Roman" w:cs="Times New Roman"/>
        </w:rPr>
        <w:t xml:space="preserve"> practices are critical.</w:t>
      </w:r>
    </w:p>
    <w:p w14:paraId="7031B54E" w14:textId="77777777"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Oil &amp; Gas (e.g., BP, Shell), with a strong emphasis on environmental risks such as emissions.</w:t>
      </w:r>
    </w:p>
    <w:p w14:paraId="3E0576B5" w14:textId="77777777"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Financial Services (e.g., JPMorgan, Goldman Sachs), where governance and social responsibility are key.</w:t>
      </w:r>
    </w:p>
    <w:p w14:paraId="72A7E3E1" w14:textId="77777777" w:rsidR="009F12BD" w:rsidRPr="00C560CB" w:rsidRDefault="009F12BD" w:rsidP="00455CBC">
      <w:pPr>
        <w:spacing w:after="0" w:line="276" w:lineRule="auto"/>
        <w:jc w:val="both"/>
        <w:rPr>
          <w:rFonts w:ascii="Times New Roman" w:hAnsi="Times New Roman" w:cs="Times New Roman"/>
        </w:rPr>
      </w:pPr>
      <w:r w:rsidRPr="00C560CB">
        <w:rPr>
          <w:rFonts w:ascii="Times New Roman" w:hAnsi="Times New Roman" w:cs="Times New Roman"/>
        </w:rPr>
        <w:t>These industries offer diverse perspectives on how ESG factors affect financial performance and risk management across different sectors.</w:t>
      </w:r>
    </w:p>
    <w:p w14:paraId="3E89AEFF" w14:textId="77777777" w:rsidR="004F2D07" w:rsidRPr="00C560CB" w:rsidRDefault="004F2D07" w:rsidP="0048443F">
      <w:pPr>
        <w:spacing w:line="276" w:lineRule="auto"/>
        <w:jc w:val="both"/>
        <w:rPr>
          <w:rFonts w:ascii="Times New Roman" w:hAnsi="Times New Roman" w:cs="Times New Roman"/>
        </w:rPr>
      </w:pPr>
    </w:p>
    <w:p w14:paraId="2DDE1EAF" w14:textId="03B9BC3A" w:rsidR="009F12BD" w:rsidRPr="00C560CB" w:rsidRDefault="00BD10EC" w:rsidP="0048443F">
      <w:pPr>
        <w:pStyle w:val="Heading3"/>
        <w:spacing w:line="276" w:lineRule="auto"/>
        <w:jc w:val="both"/>
        <w:rPr>
          <w:rFonts w:ascii="Times New Roman" w:hAnsi="Times New Roman" w:cs="Times New Roman"/>
        </w:rPr>
      </w:pPr>
      <w:bookmarkStart w:id="47" w:name="_Toc179724809"/>
      <w:r w:rsidRPr="00C560CB">
        <w:rPr>
          <w:rFonts w:ascii="Times New Roman" w:hAnsi="Times New Roman" w:cs="Times New Roman"/>
        </w:rPr>
        <w:t>1.</w:t>
      </w:r>
      <w:r w:rsidR="00E85E4C" w:rsidRPr="00C560CB">
        <w:rPr>
          <w:rFonts w:ascii="Times New Roman" w:hAnsi="Times New Roman" w:cs="Times New Roman"/>
        </w:rPr>
        <w:t>6</w:t>
      </w:r>
      <w:r w:rsidRPr="00C560CB">
        <w:rPr>
          <w:rFonts w:ascii="Times New Roman" w:hAnsi="Times New Roman" w:cs="Times New Roman"/>
        </w:rPr>
        <w:t xml:space="preserve"> </w:t>
      </w:r>
      <w:r w:rsidR="009F12BD" w:rsidRPr="00C560CB">
        <w:rPr>
          <w:rFonts w:ascii="Times New Roman" w:hAnsi="Times New Roman" w:cs="Times New Roman"/>
        </w:rPr>
        <w:t>Sample Size</w:t>
      </w:r>
      <w:bookmarkEnd w:id="47"/>
    </w:p>
    <w:p w14:paraId="3D4BE170" w14:textId="0A197DB2"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A sample size of</w:t>
      </w:r>
      <w:r w:rsidR="00AC0790" w:rsidRPr="00C560CB">
        <w:rPr>
          <w:rFonts w:ascii="Times New Roman" w:hAnsi="Times New Roman" w:cs="Times New Roman"/>
        </w:rPr>
        <w:t xml:space="preserve"> </w:t>
      </w:r>
      <w:r w:rsidR="00A62A66" w:rsidRPr="00C560CB">
        <w:rPr>
          <w:rFonts w:ascii="Times New Roman" w:hAnsi="Times New Roman" w:cs="Times New Roman"/>
        </w:rPr>
        <w:t>30</w:t>
      </w:r>
      <w:r w:rsidR="00D714E3" w:rsidRPr="00C560CB">
        <w:rPr>
          <w:rFonts w:ascii="Times New Roman" w:hAnsi="Times New Roman" w:cs="Times New Roman"/>
        </w:rPr>
        <w:t xml:space="preserve"> </w:t>
      </w:r>
      <w:r w:rsidRPr="00C560CB">
        <w:rPr>
          <w:rFonts w:ascii="Times New Roman" w:hAnsi="Times New Roman" w:cs="Times New Roman"/>
        </w:rPr>
        <w:t xml:space="preserve">publicly traded companies will be selected from the </w:t>
      </w:r>
      <w:r w:rsidR="005E46E1" w:rsidRPr="00C560CB">
        <w:rPr>
          <w:rFonts w:ascii="Times New Roman" w:hAnsi="Times New Roman" w:cs="Times New Roman"/>
        </w:rPr>
        <w:t>industries</w:t>
      </w:r>
      <w:r w:rsidRPr="00C560CB">
        <w:rPr>
          <w:rFonts w:ascii="Times New Roman" w:hAnsi="Times New Roman" w:cs="Times New Roman"/>
        </w:rPr>
        <w:t>. Companies will be chosen based on their market capitalization and the availability of ESG data. Additionally, the companies will be distributed across geographic regions, namely North America, Europe, and Asia. This sample size is expected to provide sufficient statistical power for the regression analysis and ensure that findings can be generalized across industries and regions.</w:t>
      </w:r>
    </w:p>
    <w:p w14:paraId="342ED61F" w14:textId="77777777" w:rsidR="004F2D07" w:rsidRPr="00C560CB" w:rsidRDefault="004F2D07" w:rsidP="0048443F">
      <w:pPr>
        <w:spacing w:line="276" w:lineRule="auto"/>
        <w:jc w:val="both"/>
        <w:rPr>
          <w:rFonts w:ascii="Times New Roman" w:hAnsi="Times New Roman" w:cs="Times New Roman"/>
        </w:rPr>
      </w:pPr>
    </w:p>
    <w:p w14:paraId="23145291" w14:textId="6D6C3472" w:rsidR="009F12BD" w:rsidRPr="00C560CB" w:rsidRDefault="000B62F0" w:rsidP="0048443F">
      <w:pPr>
        <w:pStyle w:val="Heading3"/>
        <w:spacing w:line="276" w:lineRule="auto"/>
        <w:jc w:val="both"/>
        <w:rPr>
          <w:rFonts w:ascii="Times New Roman" w:hAnsi="Times New Roman" w:cs="Times New Roman"/>
        </w:rPr>
      </w:pPr>
      <w:bookmarkStart w:id="48" w:name="_Toc179724810"/>
      <w:r w:rsidRPr="00C560CB">
        <w:rPr>
          <w:rFonts w:ascii="Times New Roman" w:hAnsi="Times New Roman" w:cs="Times New Roman"/>
        </w:rPr>
        <w:t>1.</w:t>
      </w:r>
      <w:r w:rsidR="00E85E4C" w:rsidRPr="00C560CB">
        <w:rPr>
          <w:rFonts w:ascii="Times New Roman" w:hAnsi="Times New Roman" w:cs="Times New Roman"/>
        </w:rPr>
        <w:t>7</w:t>
      </w:r>
      <w:r w:rsidRPr="00C560CB">
        <w:rPr>
          <w:rFonts w:ascii="Times New Roman" w:hAnsi="Times New Roman" w:cs="Times New Roman"/>
        </w:rPr>
        <w:t xml:space="preserve"> </w:t>
      </w:r>
      <w:r w:rsidR="00B51A30" w:rsidRPr="00C560CB">
        <w:rPr>
          <w:rFonts w:ascii="Times New Roman" w:hAnsi="Times New Roman" w:cs="Times New Roman"/>
        </w:rPr>
        <w:t>Data Analysis</w:t>
      </w:r>
      <w:bookmarkEnd w:id="48"/>
      <w:r w:rsidR="00B51A30" w:rsidRPr="00C560CB">
        <w:rPr>
          <w:rFonts w:ascii="Times New Roman" w:hAnsi="Times New Roman" w:cs="Times New Roman"/>
        </w:rPr>
        <w:t xml:space="preserve"> </w:t>
      </w:r>
    </w:p>
    <w:p w14:paraId="2DBC3E01" w14:textId="77777777" w:rsidR="00B51A30" w:rsidRPr="00B51A30" w:rsidRDefault="00B51A30" w:rsidP="00B51A30">
      <w:pPr>
        <w:rPr>
          <w:rFonts w:ascii="Times New Roman" w:hAnsi="Times New Roman" w:cs="Times New Roman"/>
        </w:rPr>
      </w:pPr>
      <w:r w:rsidRPr="00B51A30">
        <w:rPr>
          <w:rFonts w:ascii="Times New Roman" w:hAnsi="Times New Roman" w:cs="Times New Roman"/>
        </w:rPr>
        <w:t>The data analysis will involve several key steps:</w:t>
      </w:r>
    </w:p>
    <w:p w14:paraId="29A364F0" w14:textId="77777777" w:rsidR="00B51A30" w:rsidRPr="00B51A30" w:rsidRDefault="00B51A30" w:rsidP="00B51A30">
      <w:pPr>
        <w:numPr>
          <w:ilvl w:val="0"/>
          <w:numId w:val="29"/>
        </w:numPr>
        <w:rPr>
          <w:rFonts w:ascii="Times New Roman" w:hAnsi="Times New Roman" w:cs="Times New Roman"/>
        </w:rPr>
      </w:pPr>
      <w:r w:rsidRPr="00B51A30">
        <w:rPr>
          <w:rFonts w:ascii="Times New Roman" w:hAnsi="Times New Roman" w:cs="Times New Roman"/>
          <w:b/>
          <w:bCs/>
        </w:rPr>
        <w:lastRenderedPageBreak/>
        <w:t>Descriptive Statistics</w:t>
      </w:r>
      <w:r w:rsidRPr="00B51A30">
        <w:rPr>
          <w:rFonts w:ascii="Times New Roman" w:hAnsi="Times New Roman" w:cs="Times New Roman"/>
        </w:rPr>
        <w:t>: Summarizing the key variables to understand their distribution and characteristics.</w:t>
      </w:r>
    </w:p>
    <w:p w14:paraId="7C6403FB" w14:textId="77777777" w:rsidR="00B51A30" w:rsidRPr="00B51A30" w:rsidRDefault="00B51A30" w:rsidP="00B51A30">
      <w:pPr>
        <w:numPr>
          <w:ilvl w:val="0"/>
          <w:numId w:val="29"/>
        </w:numPr>
        <w:rPr>
          <w:rFonts w:ascii="Times New Roman" w:hAnsi="Times New Roman" w:cs="Times New Roman"/>
        </w:rPr>
      </w:pPr>
      <w:r w:rsidRPr="00B51A30">
        <w:rPr>
          <w:rFonts w:ascii="Times New Roman" w:hAnsi="Times New Roman" w:cs="Times New Roman"/>
          <w:b/>
          <w:bCs/>
        </w:rPr>
        <w:t>Correlation Analysis</w:t>
      </w:r>
      <w:r w:rsidRPr="00B51A30">
        <w:rPr>
          <w:rFonts w:ascii="Times New Roman" w:hAnsi="Times New Roman" w:cs="Times New Roman"/>
        </w:rPr>
        <w:t>: Assessing the strength and direction of the relationships between ESG factors and financial performance.</w:t>
      </w:r>
    </w:p>
    <w:p w14:paraId="148C0962" w14:textId="77777777" w:rsidR="006340E3" w:rsidRPr="00C560CB" w:rsidRDefault="00B51A30" w:rsidP="006340E3">
      <w:pPr>
        <w:numPr>
          <w:ilvl w:val="0"/>
          <w:numId w:val="29"/>
        </w:numPr>
        <w:rPr>
          <w:rFonts w:ascii="Times New Roman" w:hAnsi="Times New Roman" w:cs="Times New Roman"/>
        </w:rPr>
      </w:pPr>
      <w:r w:rsidRPr="00B51A30">
        <w:rPr>
          <w:rFonts w:ascii="Times New Roman" w:hAnsi="Times New Roman" w:cs="Times New Roman"/>
          <w:b/>
          <w:bCs/>
        </w:rPr>
        <w:t>Multiple Regression Analysis</w:t>
      </w:r>
      <w:r w:rsidRPr="00B51A30">
        <w:rPr>
          <w:rFonts w:ascii="Times New Roman" w:hAnsi="Times New Roman" w:cs="Times New Roman"/>
        </w:rPr>
        <w:t>: Testing the hypotheses and examining the impact of ESG factors on financial performance while controlling for industry and other relevant variables.</w:t>
      </w:r>
    </w:p>
    <w:p w14:paraId="5DB04616" w14:textId="48C6FAB0" w:rsidR="009F12BD" w:rsidRPr="00C560CB" w:rsidRDefault="009F12BD" w:rsidP="006340E3">
      <w:pPr>
        <w:rPr>
          <w:rFonts w:ascii="Times New Roman" w:hAnsi="Times New Roman" w:cs="Times New Roman"/>
        </w:rPr>
      </w:pPr>
      <w:r w:rsidRPr="00C560CB">
        <w:rPr>
          <w:rFonts w:ascii="Times New Roman" w:hAnsi="Times New Roman" w:cs="Times New Roman"/>
        </w:rPr>
        <w:t xml:space="preserve"> This approach will help determine how changes in Environmental, Social, and Governance factors (independent variables) influence the financial performance</w:t>
      </w:r>
      <w:r w:rsidR="005A484A" w:rsidRPr="00C560CB">
        <w:rPr>
          <w:rFonts w:ascii="Times New Roman" w:hAnsi="Times New Roman" w:cs="Times New Roman"/>
        </w:rPr>
        <w:t xml:space="preserve">, ROE and </w:t>
      </w:r>
      <w:r w:rsidR="006F2039" w:rsidRPr="00C560CB">
        <w:rPr>
          <w:rFonts w:ascii="Times New Roman" w:hAnsi="Times New Roman" w:cs="Times New Roman"/>
        </w:rPr>
        <w:t>ROA (</w:t>
      </w:r>
      <w:r w:rsidRPr="00C560CB">
        <w:rPr>
          <w:rFonts w:ascii="Times New Roman" w:hAnsi="Times New Roman" w:cs="Times New Roman"/>
        </w:rPr>
        <w:t>dependent variables) of the selected companies while accounting for industry and regional differences.</w:t>
      </w:r>
    </w:p>
    <w:p w14:paraId="4E7DA9C9"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regression model is as follows:</w:t>
      </w:r>
    </w:p>
    <w:p w14:paraId="31946C59" w14:textId="77777777" w:rsidR="00B07239" w:rsidRPr="00C560CB" w:rsidRDefault="00B07239" w:rsidP="0048443F">
      <w:pPr>
        <w:pStyle w:val="Subtitle"/>
        <w:spacing w:line="276" w:lineRule="auto"/>
        <w:jc w:val="both"/>
        <w:rPr>
          <w:rFonts w:ascii="Times New Roman" w:hAnsi="Times New Roman" w:cs="Times New Roman"/>
        </w:rPr>
      </w:pPr>
    </w:p>
    <w:p w14:paraId="2C2130FF" w14:textId="295B6091" w:rsidR="000649C1" w:rsidRPr="00C560CB" w:rsidRDefault="000649C1" w:rsidP="0048443F">
      <w:pPr>
        <w:pStyle w:val="Subtitle"/>
        <w:spacing w:line="276" w:lineRule="auto"/>
        <w:jc w:val="both"/>
        <w:rPr>
          <w:rFonts w:ascii="Times New Roman" w:hAnsi="Times New Roman" w:cs="Times New Roman"/>
        </w:rPr>
      </w:pPr>
      <w:r w:rsidRPr="00C560CB">
        <w:rPr>
          <w:rFonts w:ascii="Times New Roman" w:hAnsi="Times New Roman" w:cs="Times New Roman"/>
        </w:rPr>
        <w:t>Y=β0​+β1​(E)+β2​(S)+β3​(G)+β4​(R)+β5​(Sector)+ϵ</w:t>
      </w:r>
    </w:p>
    <w:p w14:paraId="06AD43F4" w14:textId="77777777" w:rsidR="000649C1" w:rsidRPr="00C560CB" w:rsidRDefault="000649C1" w:rsidP="0048443F">
      <w:pPr>
        <w:spacing w:line="276" w:lineRule="auto"/>
        <w:jc w:val="both"/>
        <w:rPr>
          <w:rFonts w:ascii="Times New Roman" w:hAnsi="Times New Roman" w:cs="Times New Roman"/>
        </w:rPr>
      </w:pPr>
    </w:p>
    <w:p w14:paraId="58141213" w14:textId="10617AB6"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Where:</w:t>
      </w:r>
    </w:p>
    <w:p w14:paraId="1506522C"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Y represents financial performance (e.g., ROE, ROA, stock price growth).</w:t>
      </w:r>
    </w:p>
    <w:p w14:paraId="2E8B31B6" w14:textId="64E2DB3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 xml:space="preserve">E, S, </w:t>
      </w:r>
      <w:r w:rsidR="004F5B78" w:rsidRPr="00C560CB">
        <w:rPr>
          <w:rFonts w:ascii="Times New Roman" w:hAnsi="Times New Roman" w:cs="Times New Roman"/>
        </w:rPr>
        <w:t xml:space="preserve">and </w:t>
      </w:r>
      <w:r w:rsidRPr="00C560CB">
        <w:rPr>
          <w:rFonts w:ascii="Times New Roman" w:hAnsi="Times New Roman" w:cs="Times New Roman"/>
        </w:rPr>
        <w:t>G represent Environmental, Social, and Governance factors.</w:t>
      </w:r>
    </w:p>
    <w:p w14:paraId="2CFED0C9"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R represents the geographic region.</w:t>
      </w:r>
    </w:p>
    <w:p w14:paraId="469C754D"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Sector is a dummy variable representing industry sectors.</w:t>
      </w:r>
    </w:p>
    <w:p w14:paraId="7B4CF358"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ε is the error term.</w:t>
      </w:r>
    </w:p>
    <w:p w14:paraId="52207825" w14:textId="43CE03C5"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 xml:space="preserve">The data will be </w:t>
      </w:r>
      <w:r w:rsidR="00AE5545" w:rsidRPr="00C560CB">
        <w:rPr>
          <w:rFonts w:ascii="Times New Roman" w:hAnsi="Times New Roman" w:cs="Times New Roman"/>
        </w:rPr>
        <w:t>analysed</w:t>
      </w:r>
      <w:r w:rsidRPr="00C560CB">
        <w:rPr>
          <w:rFonts w:ascii="Times New Roman" w:hAnsi="Times New Roman" w:cs="Times New Roman"/>
        </w:rPr>
        <w:t xml:space="preserve"> using statistical software such as SPSS or STATA to assess the significance of ESG factors on corporate performance. Static panel data models such as fixed effects and random effects models, as well as the Generalized Method of Moments (GMM), will be used to control for endogeneity and account for dynamic relationships between variables.</w:t>
      </w:r>
    </w:p>
    <w:p w14:paraId="5B41993B" w14:textId="77777777" w:rsidR="004F2D07" w:rsidRPr="00C560CB" w:rsidRDefault="004F2D07" w:rsidP="0048443F">
      <w:pPr>
        <w:spacing w:line="276" w:lineRule="auto"/>
        <w:jc w:val="both"/>
        <w:rPr>
          <w:rFonts w:ascii="Times New Roman" w:hAnsi="Times New Roman" w:cs="Times New Roman"/>
        </w:rPr>
      </w:pPr>
    </w:p>
    <w:p w14:paraId="42AE02FA" w14:textId="0D726AC3" w:rsidR="009F12BD" w:rsidRPr="00C560CB" w:rsidRDefault="00075AD4" w:rsidP="0048443F">
      <w:pPr>
        <w:pStyle w:val="Heading3"/>
        <w:spacing w:line="276" w:lineRule="auto"/>
        <w:jc w:val="both"/>
        <w:rPr>
          <w:rFonts w:ascii="Times New Roman" w:hAnsi="Times New Roman" w:cs="Times New Roman"/>
        </w:rPr>
      </w:pPr>
      <w:bookmarkStart w:id="49" w:name="_Toc179724811"/>
      <w:r w:rsidRPr="00C560CB">
        <w:rPr>
          <w:rFonts w:ascii="Times New Roman" w:hAnsi="Times New Roman" w:cs="Times New Roman"/>
        </w:rPr>
        <w:t>1.</w:t>
      </w:r>
      <w:r w:rsidR="00E85E4C" w:rsidRPr="00C560CB">
        <w:rPr>
          <w:rFonts w:ascii="Times New Roman" w:hAnsi="Times New Roman" w:cs="Times New Roman"/>
        </w:rPr>
        <w:t>8</w:t>
      </w:r>
      <w:r w:rsidR="009F12BD" w:rsidRPr="00C560CB">
        <w:rPr>
          <w:rFonts w:ascii="Times New Roman" w:hAnsi="Times New Roman" w:cs="Times New Roman"/>
        </w:rPr>
        <w:t>Data Collection</w:t>
      </w:r>
      <w:bookmarkEnd w:id="49"/>
    </w:p>
    <w:p w14:paraId="66DFD21A" w14:textId="2D36BC4F" w:rsidR="0016791B" w:rsidRPr="00C560CB" w:rsidRDefault="002F789C" w:rsidP="00B63B11">
      <w:pPr>
        <w:spacing w:line="276" w:lineRule="auto"/>
        <w:jc w:val="both"/>
        <w:rPr>
          <w:rFonts w:ascii="Times New Roman" w:hAnsi="Times New Roman" w:cs="Times New Roman"/>
        </w:rPr>
      </w:pPr>
      <w:r w:rsidRPr="00C560CB">
        <w:rPr>
          <w:rFonts w:ascii="Times New Roman" w:hAnsi="Times New Roman" w:cs="Times New Roman"/>
        </w:rPr>
        <w:t xml:space="preserve">Data was collected between </w:t>
      </w:r>
      <w:r w:rsidR="0002226D" w:rsidRPr="00C560CB">
        <w:rPr>
          <w:rFonts w:ascii="Times New Roman" w:hAnsi="Times New Roman" w:cs="Times New Roman"/>
          <w:b/>
          <w:bCs/>
        </w:rPr>
        <w:t>August 2024 to September 2024</w:t>
      </w:r>
      <w:r w:rsidRPr="00C560CB">
        <w:rPr>
          <w:rFonts w:ascii="Times New Roman" w:hAnsi="Times New Roman" w:cs="Times New Roman"/>
        </w:rPr>
        <w:t xml:space="preserve">, covering the most recent available information for ESG ratings and financial performance metrics </w:t>
      </w:r>
      <w:r w:rsidR="0002226D" w:rsidRPr="00C560CB">
        <w:rPr>
          <w:rFonts w:ascii="Times New Roman" w:hAnsi="Times New Roman" w:cs="Times New Roman"/>
        </w:rPr>
        <w:t>for 2023</w:t>
      </w:r>
      <w:r w:rsidRPr="00C560CB">
        <w:rPr>
          <w:rFonts w:ascii="Times New Roman" w:hAnsi="Times New Roman" w:cs="Times New Roman"/>
        </w:rPr>
        <w:t>. This time frame was chosen to align with ongoing trends in ESG investing and to ensure that the data reflects the current state of corporate ESG practices.</w:t>
      </w:r>
      <w:r w:rsidRPr="00C560CB">
        <w:rPr>
          <w:rFonts w:ascii="Times New Roman" w:hAnsi="Times New Roman" w:cs="Times New Roman"/>
        </w:rPr>
        <w:t> </w:t>
      </w:r>
      <w:r w:rsidR="0016791B" w:rsidRPr="00C560CB">
        <w:rPr>
          <w:rFonts w:ascii="Times New Roman" w:hAnsi="Times New Roman" w:cs="Times New Roman"/>
        </w:rPr>
        <w:t xml:space="preserve">Data for this study will be sourced from several reputable databases to ensure accuracy and reliability. ESG scores will be obtained from established third-party providers, including MSCI and </w:t>
      </w:r>
      <w:r w:rsidR="00922709" w:rsidRPr="00C560CB">
        <w:rPr>
          <w:rFonts w:ascii="Times New Roman" w:hAnsi="Times New Roman" w:cs="Times New Roman"/>
        </w:rPr>
        <w:t>Yahoo Finance</w:t>
      </w:r>
      <w:r w:rsidR="0016791B" w:rsidRPr="00C560CB">
        <w:rPr>
          <w:rFonts w:ascii="Times New Roman" w:hAnsi="Times New Roman" w:cs="Times New Roman"/>
        </w:rPr>
        <w:t xml:space="preserve">. Financial performance data will be collected from company annual reports, investor relations websites, and financial platforms such as </w:t>
      </w:r>
      <w:r w:rsidR="00B76B1C" w:rsidRPr="00C560CB">
        <w:rPr>
          <w:rFonts w:ascii="Times New Roman" w:hAnsi="Times New Roman" w:cs="Times New Roman"/>
        </w:rPr>
        <w:t xml:space="preserve">Macrotrends, Nasdaq </w:t>
      </w:r>
      <w:r w:rsidR="0016791B" w:rsidRPr="00C560CB">
        <w:rPr>
          <w:rFonts w:ascii="Times New Roman" w:hAnsi="Times New Roman" w:cs="Times New Roman"/>
        </w:rPr>
        <w:t xml:space="preserve">and Yahoo Finance. </w:t>
      </w:r>
      <w:r w:rsidR="0016791B" w:rsidRPr="00C560CB">
        <w:rPr>
          <w:rFonts w:ascii="Times New Roman" w:hAnsi="Times New Roman" w:cs="Times New Roman"/>
          <w:vanish/>
        </w:rPr>
        <w:t>Bottom of Form</w:t>
      </w:r>
    </w:p>
    <w:p w14:paraId="13D1EEBC" w14:textId="77777777" w:rsidR="00F036A5" w:rsidRPr="00C560CB" w:rsidRDefault="00482A29" w:rsidP="00B63B11">
      <w:pPr>
        <w:spacing w:line="276" w:lineRule="auto"/>
        <w:jc w:val="both"/>
        <w:rPr>
          <w:rFonts w:ascii="Times New Roman" w:hAnsi="Times New Roman" w:cs="Times New Roman"/>
        </w:rPr>
      </w:pPr>
      <w:r w:rsidRPr="00482A29">
        <w:rPr>
          <w:rFonts w:ascii="Times New Roman" w:hAnsi="Times New Roman" w:cs="Times New Roman"/>
        </w:rPr>
        <w:t>The study includes two main types of data:</w:t>
      </w:r>
    </w:p>
    <w:p w14:paraId="786D16DD" w14:textId="2CDF7681" w:rsidR="00482A29" w:rsidRPr="00482A29" w:rsidRDefault="00482A29" w:rsidP="00B63B11">
      <w:pPr>
        <w:spacing w:line="276" w:lineRule="auto"/>
        <w:jc w:val="both"/>
        <w:rPr>
          <w:rFonts w:ascii="Times New Roman" w:hAnsi="Times New Roman" w:cs="Times New Roman"/>
        </w:rPr>
      </w:pPr>
      <w:r w:rsidRPr="00482A29">
        <w:rPr>
          <w:rFonts w:ascii="Times New Roman" w:hAnsi="Times New Roman" w:cs="Times New Roman"/>
        </w:rPr>
        <w:t>ESG Data: This includes ESG ratings from MSCI and Sustainalytics, which assess companies on various criteria within environmental, social, and governance categories. Specific metrics include:</w:t>
      </w:r>
    </w:p>
    <w:p w14:paraId="0C131140"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Environmental Score</w:t>
      </w:r>
    </w:p>
    <w:p w14:paraId="52898C8E"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Social Score</w:t>
      </w:r>
    </w:p>
    <w:p w14:paraId="01E2084B"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lastRenderedPageBreak/>
        <w:t>Governance Score</w:t>
      </w:r>
    </w:p>
    <w:p w14:paraId="5764DD84" w14:textId="77777777" w:rsidR="00482A29" w:rsidRPr="00482A29" w:rsidRDefault="00482A29" w:rsidP="00B63B11">
      <w:pPr>
        <w:spacing w:line="276" w:lineRule="auto"/>
        <w:jc w:val="both"/>
        <w:rPr>
          <w:rFonts w:ascii="Times New Roman" w:hAnsi="Times New Roman" w:cs="Times New Roman"/>
        </w:rPr>
      </w:pPr>
      <w:r w:rsidRPr="00482A29">
        <w:rPr>
          <w:rFonts w:ascii="Times New Roman" w:hAnsi="Times New Roman" w:cs="Times New Roman"/>
        </w:rPr>
        <w:t>Financial Performance Data: Key financial metrics obtained from Yahoo Finance and company reports, including:</w:t>
      </w:r>
    </w:p>
    <w:p w14:paraId="5392FA9A"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Return on Equity (ROE)</w:t>
      </w:r>
    </w:p>
    <w:p w14:paraId="48A4DB22"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Return on Assets (ROA)</w:t>
      </w:r>
    </w:p>
    <w:p w14:paraId="7777847C"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Stock Price Growth</w:t>
      </w:r>
    </w:p>
    <w:p w14:paraId="3F2280C8" w14:textId="5C0D3EDE" w:rsidR="00482A29" w:rsidRPr="00482A29" w:rsidRDefault="00F036A5" w:rsidP="00B63B11">
      <w:pPr>
        <w:spacing w:after="0" w:line="276" w:lineRule="auto"/>
        <w:jc w:val="both"/>
        <w:rPr>
          <w:rFonts w:ascii="Times New Roman" w:hAnsi="Times New Roman" w:cs="Times New Roman"/>
        </w:rPr>
      </w:pPr>
      <w:r w:rsidRPr="00C560CB">
        <w:rPr>
          <w:rFonts w:ascii="Times New Roman" w:hAnsi="Times New Roman" w:cs="Times New Roman"/>
        </w:rPr>
        <w:t>Profit Margin</w:t>
      </w:r>
    </w:p>
    <w:p w14:paraId="4C193A23" w14:textId="77777777" w:rsidR="00482A29" w:rsidRPr="00C560CB" w:rsidRDefault="00482A29" w:rsidP="00B63B11">
      <w:pPr>
        <w:spacing w:line="276" w:lineRule="auto"/>
        <w:jc w:val="both"/>
        <w:rPr>
          <w:rFonts w:ascii="Times New Roman" w:hAnsi="Times New Roman" w:cs="Times New Roman"/>
          <w:vanish/>
        </w:rPr>
      </w:pPr>
    </w:p>
    <w:p w14:paraId="50E719A9" w14:textId="77777777" w:rsidR="00075AD4" w:rsidRPr="00C560CB" w:rsidRDefault="00075AD4" w:rsidP="00B63B11">
      <w:pPr>
        <w:spacing w:line="276" w:lineRule="auto"/>
        <w:jc w:val="both"/>
        <w:rPr>
          <w:rFonts w:ascii="Times New Roman" w:hAnsi="Times New Roman" w:cs="Times New Roman"/>
        </w:rPr>
      </w:pPr>
    </w:p>
    <w:p w14:paraId="4BBC2D8D" w14:textId="693E5C67" w:rsidR="009F12BD" w:rsidRPr="00C560CB" w:rsidRDefault="00075AD4" w:rsidP="0048443F">
      <w:pPr>
        <w:pStyle w:val="Heading3"/>
        <w:spacing w:line="276" w:lineRule="auto"/>
        <w:rPr>
          <w:rFonts w:ascii="Times New Roman" w:hAnsi="Times New Roman" w:cs="Times New Roman"/>
        </w:rPr>
      </w:pPr>
      <w:bookmarkStart w:id="50" w:name="_Toc179724812"/>
      <w:r w:rsidRPr="00C560CB">
        <w:rPr>
          <w:rFonts w:ascii="Times New Roman" w:hAnsi="Times New Roman" w:cs="Times New Roman"/>
        </w:rPr>
        <w:t>1.</w:t>
      </w:r>
      <w:r w:rsidR="00820888" w:rsidRPr="00C560CB">
        <w:rPr>
          <w:rFonts w:ascii="Times New Roman" w:hAnsi="Times New Roman" w:cs="Times New Roman"/>
        </w:rPr>
        <w:t>9</w:t>
      </w:r>
      <w:r w:rsidR="00075315" w:rsidRPr="00C560CB">
        <w:rPr>
          <w:rFonts w:ascii="Times New Roman" w:hAnsi="Times New Roman" w:cs="Times New Roman"/>
        </w:rPr>
        <w:t xml:space="preserve"> </w:t>
      </w:r>
      <w:r w:rsidR="009F12BD" w:rsidRPr="00C560CB">
        <w:rPr>
          <w:rFonts w:ascii="Times New Roman" w:hAnsi="Times New Roman" w:cs="Times New Roman"/>
        </w:rPr>
        <w:t>Ethical Considerations</w:t>
      </w:r>
      <w:bookmarkEnd w:id="50"/>
    </w:p>
    <w:p w14:paraId="0D2C5005"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This study will use only publicly available secondary data from reliable sources. No confidential or proprietary data will be used. All companies included in the analysis are publicly traded, and data will be obtained from legitimate and transparent sources. The research will adhere to strict ethical guidelines, ensuring that the sources of all data are properly cited and that no ethical standards are violated during the analysis.</w:t>
      </w:r>
    </w:p>
    <w:p w14:paraId="7CA390C8" w14:textId="77777777" w:rsidR="0054491C" w:rsidRPr="00C560CB" w:rsidRDefault="0054491C" w:rsidP="0048443F">
      <w:pPr>
        <w:spacing w:line="276" w:lineRule="auto"/>
        <w:jc w:val="both"/>
        <w:rPr>
          <w:rFonts w:ascii="Times New Roman" w:hAnsi="Times New Roman" w:cs="Times New Roman"/>
        </w:rPr>
      </w:pPr>
    </w:p>
    <w:p w14:paraId="12940D09" w14:textId="156EA9C8" w:rsidR="00314677" w:rsidRPr="00C560CB" w:rsidRDefault="00314677" w:rsidP="0048443F">
      <w:pPr>
        <w:pStyle w:val="Heading1"/>
        <w:spacing w:line="276" w:lineRule="auto"/>
        <w:rPr>
          <w:rFonts w:ascii="Times New Roman" w:hAnsi="Times New Roman" w:cs="Times New Roman"/>
        </w:rPr>
      </w:pPr>
      <w:bookmarkStart w:id="51" w:name="_Toc179724813"/>
      <w:r w:rsidRPr="00C560CB">
        <w:rPr>
          <w:rFonts w:ascii="Times New Roman" w:hAnsi="Times New Roman" w:cs="Times New Roman"/>
        </w:rPr>
        <w:t>Chapter 4</w:t>
      </w:r>
      <w:bookmarkEnd w:id="51"/>
    </w:p>
    <w:p w14:paraId="682D89CF" w14:textId="77777777" w:rsidR="00014769" w:rsidRPr="00C560CB" w:rsidRDefault="00014769" w:rsidP="0048443F">
      <w:pPr>
        <w:spacing w:line="276" w:lineRule="auto"/>
        <w:rPr>
          <w:rFonts w:ascii="Times New Roman" w:hAnsi="Times New Roman" w:cs="Times New Roman"/>
        </w:rPr>
      </w:pPr>
    </w:p>
    <w:p w14:paraId="22C0AE79" w14:textId="2861DFD9" w:rsidR="00014769" w:rsidRPr="00C560CB" w:rsidRDefault="00E869EE" w:rsidP="0048443F">
      <w:pPr>
        <w:pStyle w:val="Heading2"/>
        <w:spacing w:line="276" w:lineRule="auto"/>
        <w:rPr>
          <w:rFonts w:ascii="Times New Roman" w:hAnsi="Times New Roman" w:cs="Times New Roman"/>
        </w:rPr>
      </w:pPr>
      <w:bookmarkStart w:id="52" w:name="_Toc179724814"/>
      <w:r w:rsidRPr="00C560CB">
        <w:rPr>
          <w:rFonts w:ascii="Times New Roman" w:hAnsi="Times New Roman" w:cs="Times New Roman"/>
        </w:rPr>
        <w:t>1</w:t>
      </w:r>
      <w:r w:rsidR="00014769" w:rsidRPr="00C560CB">
        <w:rPr>
          <w:rFonts w:ascii="Times New Roman" w:hAnsi="Times New Roman" w:cs="Times New Roman"/>
        </w:rPr>
        <w:t>Introduction</w:t>
      </w:r>
      <w:bookmarkEnd w:id="52"/>
    </w:p>
    <w:p w14:paraId="09652E3E" w14:textId="3E85C8E2" w:rsidR="00D226F5" w:rsidRPr="00C560CB" w:rsidRDefault="00D226F5" w:rsidP="0048443F">
      <w:pPr>
        <w:spacing w:line="276" w:lineRule="auto"/>
        <w:jc w:val="both"/>
        <w:rPr>
          <w:rFonts w:ascii="Times New Roman" w:hAnsi="Times New Roman" w:cs="Times New Roman"/>
        </w:rPr>
      </w:pPr>
      <w:r w:rsidRPr="00C560CB">
        <w:rPr>
          <w:rFonts w:ascii="Times New Roman" w:hAnsi="Times New Roman" w:cs="Times New Roman"/>
        </w:rPr>
        <w:t>This chapter provides a detailed analysis of the relationship between Environmental, Social, and Governance (ESG) factors and corporate financial performance, market volatility, and investor behaviour across various industries. The analysis seeks to answer the following research questions:</w:t>
      </w:r>
    </w:p>
    <w:p w14:paraId="09ABA59E" w14:textId="77777777"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What is the impact of environmental practices on the financial performance and market valuation of firms in various industries?</w:t>
      </w:r>
    </w:p>
    <w:p w14:paraId="18FD4E81" w14:textId="77777777"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How do ESG scores affect stock market volatility, and how do these effects vary across different sectors?</w:t>
      </w:r>
    </w:p>
    <w:p w14:paraId="48B975DE" w14:textId="5D08BD51"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How do social elements, such as labour practices and community involvement, influence investor perceptions and stock performance?</w:t>
      </w:r>
    </w:p>
    <w:p w14:paraId="0DEB98AC" w14:textId="77777777"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What is the impact of governance factors, such as transparency and board diversity, on attracting investor interest and improving corporate financial performance?</w:t>
      </w:r>
    </w:p>
    <w:p w14:paraId="3F365873" w14:textId="0AC46CF2" w:rsidR="00D145A6"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What is the effect of regulatory frameworks and policies promoting ESG factors on the stability and resilience of financial markets?</w:t>
      </w:r>
    </w:p>
    <w:p w14:paraId="74CF6AF7" w14:textId="1809306E" w:rsidR="00D226F5" w:rsidRPr="00C560CB" w:rsidRDefault="00D226F5" w:rsidP="0048443F">
      <w:pPr>
        <w:spacing w:line="276" w:lineRule="auto"/>
        <w:jc w:val="both"/>
        <w:rPr>
          <w:rFonts w:ascii="Times New Roman" w:hAnsi="Times New Roman" w:cs="Times New Roman"/>
        </w:rPr>
      </w:pPr>
      <w:r w:rsidRPr="00C560CB">
        <w:rPr>
          <w:rFonts w:ascii="Times New Roman" w:hAnsi="Times New Roman" w:cs="Times New Roman"/>
        </w:rPr>
        <w:t>The dataset includes financial and ESG data from firms operating in multiple sectors, and it covers a range of financial metrics, including return on equity, return on assets, stock price volatility, and market valuation. Using descriptive statistics, correlation analysis, and multiple regression models, the analysis explores how ESG scores and their subcomponents (environmental, social, and governance) impact financial performance. Special attention is paid to sectoral differences and the influence of regulatory frameworks that promote ESG integration.</w:t>
      </w:r>
    </w:p>
    <w:p w14:paraId="54477E97" w14:textId="03891CE5" w:rsidR="00D226F5" w:rsidRPr="00C560CB" w:rsidRDefault="00D226F5" w:rsidP="0048443F">
      <w:pPr>
        <w:spacing w:line="276" w:lineRule="auto"/>
        <w:jc w:val="both"/>
        <w:rPr>
          <w:rFonts w:ascii="Times New Roman" w:hAnsi="Times New Roman" w:cs="Times New Roman"/>
        </w:rPr>
      </w:pPr>
      <w:r w:rsidRPr="00C560CB">
        <w:rPr>
          <w:rFonts w:ascii="Times New Roman" w:hAnsi="Times New Roman" w:cs="Times New Roman"/>
        </w:rPr>
        <w:t xml:space="preserve">This chapter begins by summarising the key variables in the dataset and providing descriptive statistics. Following this, the results of the correlation and regression analyses are presented, with a focus on how ESG factors contribute to financial performance, market stability, and investor interest. The chapter </w:t>
      </w:r>
      <w:r w:rsidRPr="00C560CB">
        <w:rPr>
          <w:rFonts w:ascii="Times New Roman" w:hAnsi="Times New Roman" w:cs="Times New Roman"/>
        </w:rPr>
        <w:lastRenderedPageBreak/>
        <w:t>concludes by interpreting the findings in the context of the research questions, providing key insights into the role of ESG factors in corporate and market behaviour.</w:t>
      </w:r>
    </w:p>
    <w:p w14:paraId="50BF8563" w14:textId="77777777" w:rsidR="00C840E8" w:rsidRPr="00C560CB" w:rsidRDefault="00C840E8" w:rsidP="0048443F">
      <w:pPr>
        <w:pStyle w:val="ListParagraph"/>
        <w:spacing w:line="276" w:lineRule="auto"/>
        <w:ind w:left="480"/>
        <w:jc w:val="both"/>
        <w:rPr>
          <w:rFonts w:ascii="Times New Roman" w:hAnsi="Times New Roman" w:cs="Times New Roman"/>
        </w:rPr>
      </w:pPr>
    </w:p>
    <w:p w14:paraId="1E5C8877" w14:textId="13B2E966" w:rsidR="00DA5402" w:rsidRPr="00C560CB" w:rsidRDefault="00941867" w:rsidP="0048443F">
      <w:pPr>
        <w:pStyle w:val="Heading3"/>
        <w:spacing w:line="276" w:lineRule="auto"/>
        <w:rPr>
          <w:rFonts w:ascii="Times New Roman" w:hAnsi="Times New Roman" w:cs="Times New Roman"/>
        </w:rPr>
      </w:pPr>
      <w:bookmarkStart w:id="53" w:name="_Toc179724815"/>
      <w:r w:rsidRPr="00C560CB">
        <w:rPr>
          <w:rFonts w:ascii="Times New Roman" w:hAnsi="Times New Roman" w:cs="Times New Roman"/>
        </w:rPr>
        <w:t>1.1</w:t>
      </w:r>
      <w:r w:rsidR="00207342" w:rsidRPr="00C560CB">
        <w:rPr>
          <w:rFonts w:ascii="Times New Roman" w:hAnsi="Times New Roman" w:cs="Times New Roman"/>
        </w:rPr>
        <w:t xml:space="preserve"> </w:t>
      </w:r>
      <w:r w:rsidRPr="00C560CB">
        <w:rPr>
          <w:rFonts w:ascii="Times New Roman" w:hAnsi="Times New Roman" w:cs="Times New Roman"/>
        </w:rPr>
        <w:t xml:space="preserve">Exploring the Link Between Environmental Practices and </w:t>
      </w:r>
      <w:r w:rsidR="00D145A6" w:rsidRPr="00C560CB">
        <w:rPr>
          <w:rFonts w:ascii="Times New Roman" w:hAnsi="Times New Roman" w:cs="Times New Roman"/>
        </w:rPr>
        <w:t>Market Valuation</w:t>
      </w:r>
      <w:bookmarkEnd w:id="53"/>
    </w:p>
    <w:p w14:paraId="28F60293" w14:textId="77777777" w:rsidR="0004359B" w:rsidRPr="00C560CB" w:rsidRDefault="0004359B" w:rsidP="00C71835">
      <w:pPr>
        <w:spacing w:line="276" w:lineRule="auto"/>
        <w:jc w:val="both"/>
        <w:rPr>
          <w:rFonts w:ascii="Times New Roman" w:hAnsi="Times New Roman" w:cs="Times New Roman"/>
          <w:b/>
          <w:bCs/>
        </w:rPr>
      </w:pPr>
    </w:p>
    <w:p w14:paraId="6969B15B" w14:textId="4B9EDFA1" w:rsidR="00C71835" w:rsidRPr="00C560CB" w:rsidRDefault="00C71835" w:rsidP="00C71835">
      <w:pPr>
        <w:spacing w:line="276" w:lineRule="auto"/>
        <w:jc w:val="both"/>
        <w:rPr>
          <w:rFonts w:ascii="Times New Roman" w:hAnsi="Times New Roman" w:cs="Times New Roman"/>
          <w:b/>
          <w:bCs/>
        </w:rPr>
      </w:pPr>
      <w:r w:rsidRPr="00C560CB">
        <w:rPr>
          <w:rFonts w:ascii="Times New Roman" w:hAnsi="Times New Roman" w:cs="Times New Roman"/>
          <w:b/>
          <w:bCs/>
        </w:rPr>
        <w:t>H1: ESG factors, particularly environmental practices, positively influence the financial performance of firms in industries with high environmental and social impacts</w:t>
      </w:r>
    </w:p>
    <w:p w14:paraId="1FFEF914" w14:textId="3F3C15E4" w:rsidR="00DA5402" w:rsidRPr="00C560CB" w:rsidRDefault="00D3709D" w:rsidP="0048443F">
      <w:pPr>
        <w:spacing w:line="276" w:lineRule="auto"/>
        <w:jc w:val="both"/>
        <w:rPr>
          <w:rFonts w:ascii="Times New Roman" w:hAnsi="Times New Roman" w:cs="Times New Roman"/>
        </w:rPr>
      </w:pPr>
      <w:r w:rsidRPr="00C560CB">
        <w:rPr>
          <w:rFonts w:ascii="Times New Roman" w:hAnsi="Times New Roman" w:cs="Times New Roman"/>
        </w:rPr>
        <w:t>This section examines the impact of environmental practices on the financial performance and market valuation of firms across various industries. The key financial performance indicators analysed include Return on Equity (ROE), Return on Assets (ROA), and Stock Price Growth, while the environmental practices are quantified by environmental scores.</w:t>
      </w:r>
    </w:p>
    <w:p w14:paraId="770EFD79" w14:textId="508B9691" w:rsidR="00D25481" w:rsidRPr="00C560CB" w:rsidRDefault="00D25481" w:rsidP="0048443F">
      <w:pPr>
        <w:spacing w:line="276" w:lineRule="auto"/>
        <w:jc w:val="both"/>
        <w:rPr>
          <w:rFonts w:ascii="Times New Roman" w:hAnsi="Times New Roman" w:cs="Times New Roman"/>
        </w:rPr>
      </w:pPr>
      <w:r w:rsidRPr="00C560CB">
        <w:rPr>
          <w:rFonts w:ascii="Times New Roman" w:hAnsi="Times New Roman" w:cs="Times New Roman"/>
        </w:rPr>
        <w:t>To evaluate the relationship between environmental scores and financial performance, a multiple regression analysis was conducted. The analysis included ROE, ROA, and Stock Price Growth as dependent variables, with the environmental score serving as the independent variable.</w:t>
      </w:r>
    </w:p>
    <w:p w14:paraId="711BAE65" w14:textId="77777777" w:rsidR="00E0504A" w:rsidRPr="00C560CB" w:rsidRDefault="00E0504A" w:rsidP="0048443F">
      <w:pPr>
        <w:spacing w:line="276" w:lineRule="auto"/>
        <w:jc w:val="both"/>
        <w:rPr>
          <w:rFonts w:ascii="Times New Roman" w:hAnsi="Times New Roman" w:cs="Times New Roman"/>
        </w:rPr>
      </w:pPr>
    </w:p>
    <w:tbl>
      <w:tblPr>
        <w:tblStyle w:val="PlainTable1"/>
        <w:tblpPr w:leftFromText="180" w:rightFromText="180" w:vertAnchor="text" w:horzAnchor="margin" w:tblpY="804"/>
        <w:tblW w:w="9200" w:type="dxa"/>
        <w:tblLook w:val="04A0" w:firstRow="1" w:lastRow="0" w:firstColumn="1" w:lastColumn="0" w:noHBand="0" w:noVBand="1"/>
      </w:tblPr>
      <w:tblGrid>
        <w:gridCol w:w="2300"/>
        <w:gridCol w:w="2300"/>
        <w:gridCol w:w="2300"/>
        <w:gridCol w:w="2300"/>
      </w:tblGrid>
      <w:tr w:rsidR="006D26B8" w:rsidRPr="00C560CB" w14:paraId="779F0F1B" w14:textId="77777777" w:rsidTr="00BF21C5">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300" w:type="dxa"/>
          </w:tcPr>
          <w:p w14:paraId="2D36843A" w14:textId="2C1D916D" w:rsidR="006D26B8" w:rsidRPr="00C560CB" w:rsidRDefault="001A3460" w:rsidP="0048443F">
            <w:pPr>
              <w:spacing w:line="276" w:lineRule="auto"/>
              <w:jc w:val="center"/>
              <w:rPr>
                <w:rFonts w:ascii="Times New Roman" w:hAnsi="Times New Roman" w:cs="Times New Roman"/>
              </w:rPr>
            </w:pPr>
            <w:r w:rsidRPr="00C560CB">
              <w:rPr>
                <w:rFonts w:ascii="Times New Roman" w:hAnsi="Times New Roman" w:cs="Times New Roman"/>
              </w:rPr>
              <w:t>Financial Metric</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4"/>
            </w:tblGrid>
            <w:tr w:rsidR="001A3460" w:rsidRPr="00C560CB" w14:paraId="7A63D8BF" w14:textId="77777777" w:rsidTr="001A3460">
              <w:trPr>
                <w:tblCellSpacing w:w="15" w:type="dxa"/>
              </w:trPr>
              <w:tc>
                <w:tcPr>
                  <w:tcW w:w="0" w:type="auto"/>
                  <w:vAlign w:val="center"/>
                  <w:hideMark/>
                </w:tcPr>
                <w:p w14:paraId="5C0657D1" w14:textId="77777777" w:rsidR="001A3460" w:rsidRPr="00C560CB" w:rsidRDefault="001A3460" w:rsidP="008C3301">
                  <w:pPr>
                    <w:framePr w:hSpace="180" w:wrap="around" w:vAnchor="text" w:hAnchor="margin" w:y="804"/>
                    <w:spacing w:after="0" w:line="276" w:lineRule="auto"/>
                    <w:jc w:val="both"/>
                    <w:rPr>
                      <w:rFonts w:ascii="Times New Roman" w:hAnsi="Times New Roman" w:cs="Times New Roman"/>
                      <w:b/>
                      <w:bCs/>
                    </w:rPr>
                  </w:pPr>
                  <w:r w:rsidRPr="00C560CB">
                    <w:rPr>
                      <w:rFonts w:ascii="Times New Roman" w:hAnsi="Times New Roman" w:cs="Times New Roman"/>
                      <w:b/>
                      <w:bCs/>
                    </w:rPr>
                    <w:t>Coefficient (β)</w:t>
                  </w:r>
                </w:p>
              </w:tc>
            </w:tr>
          </w:tbl>
          <w:p w14:paraId="637EFFD6" w14:textId="77777777" w:rsidR="001A3460" w:rsidRPr="00C560CB" w:rsidRDefault="001A3460"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A3460" w:rsidRPr="00C560CB" w14:paraId="48862DD5" w14:textId="77777777" w:rsidTr="001A3460">
              <w:trPr>
                <w:tblCellSpacing w:w="15" w:type="dxa"/>
              </w:trPr>
              <w:tc>
                <w:tcPr>
                  <w:tcW w:w="0" w:type="auto"/>
                  <w:vAlign w:val="center"/>
                  <w:hideMark/>
                </w:tcPr>
                <w:p w14:paraId="1A2996AD" w14:textId="77777777" w:rsidR="001A3460" w:rsidRPr="00C560CB" w:rsidRDefault="001A3460" w:rsidP="008C3301">
                  <w:pPr>
                    <w:framePr w:hSpace="180" w:wrap="around" w:vAnchor="text" w:hAnchor="margin" w:y="804"/>
                    <w:spacing w:after="0" w:line="276" w:lineRule="auto"/>
                    <w:jc w:val="both"/>
                    <w:rPr>
                      <w:rFonts w:ascii="Times New Roman" w:hAnsi="Times New Roman" w:cs="Times New Roman"/>
                    </w:rPr>
                  </w:pPr>
                </w:p>
              </w:tc>
            </w:tr>
          </w:tbl>
          <w:p w14:paraId="1F7B6D87" w14:textId="77777777" w:rsidR="006D26B8" w:rsidRPr="00C560CB" w:rsidRDefault="006D26B8"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1"/>
            </w:tblGrid>
            <w:tr w:rsidR="001A3460" w:rsidRPr="00C560CB" w14:paraId="59A57951" w14:textId="77777777" w:rsidTr="001A3460">
              <w:trPr>
                <w:tblCellSpacing w:w="15" w:type="dxa"/>
              </w:trPr>
              <w:tc>
                <w:tcPr>
                  <w:tcW w:w="0" w:type="auto"/>
                  <w:vAlign w:val="center"/>
                  <w:hideMark/>
                </w:tcPr>
                <w:p w14:paraId="4421A436" w14:textId="77777777" w:rsidR="001A3460" w:rsidRPr="00C560CB" w:rsidRDefault="001A3460" w:rsidP="008C3301">
                  <w:pPr>
                    <w:framePr w:hSpace="180" w:wrap="around" w:vAnchor="text" w:hAnchor="margin" w:y="804"/>
                    <w:spacing w:after="0" w:line="276" w:lineRule="auto"/>
                    <w:jc w:val="both"/>
                    <w:rPr>
                      <w:rFonts w:ascii="Times New Roman" w:hAnsi="Times New Roman" w:cs="Times New Roman"/>
                      <w:b/>
                      <w:bCs/>
                    </w:rPr>
                  </w:pPr>
                  <w:r w:rsidRPr="00C560CB">
                    <w:rPr>
                      <w:rFonts w:ascii="Times New Roman" w:hAnsi="Times New Roman" w:cs="Times New Roman"/>
                      <w:b/>
                      <w:bCs/>
                    </w:rPr>
                    <w:t>R-squared</w:t>
                  </w:r>
                </w:p>
              </w:tc>
            </w:tr>
          </w:tbl>
          <w:p w14:paraId="3C2C0021" w14:textId="77777777" w:rsidR="001A3460" w:rsidRPr="00C560CB" w:rsidRDefault="001A3460"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A3460" w:rsidRPr="00C560CB" w14:paraId="4BD07E09" w14:textId="77777777" w:rsidTr="001A3460">
              <w:trPr>
                <w:tblCellSpacing w:w="15" w:type="dxa"/>
              </w:trPr>
              <w:tc>
                <w:tcPr>
                  <w:tcW w:w="0" w:type="auto"/>
                  <w:vAlign w:val="center"/>
                  <w:hideMark/>
                </w:tcPr>
                <w:p w14:paraId="7F0DB472" w14:textId="77777777" w:rsidR="001A3460" w:rsidRPr="00C560CB" w:rsidRDefault="001A3460" w:rsidP="008C3301">
                  <w:pPr>
                    <w:framePr w:hSpace="180" w:wrap="around" w:vAnchor="text" w:hAnchor="margin" w:y="804"/>
                    <w:spacing w:after="0" w:line="276" w:lineRule="auto"/>
                    <w:jc w:val="both"/>
                    <w:rPr>
                      <w:rFonts w:ascii="Times New Roman" w:hAnsi="Times New Roman" w:cs="Times New Roman"/>
                    </w:rPr>
                  </w:pPr>
                </w:p>
              </w:tc>
            </w:tr>
          </w:tbl>
          <w:p w14:paraId="5D25A052" w14:textId="77777777" w:rsidR="006D26B8" w:rsidRPr="00C560CB" w:rsidRDefault="006D26B8"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7"/>
            </w:tblGrid>
            <w:tr w:rsidR="001A3460" w:rsidRPr="00C560CB" w14:paraId="6CB17287" w14:textId="77777777" w:rsidTr="001A3460">
              <w:trPr>
                <w:tblHeader/>
                <w:tblCellSpacing w:w="15" w:type="dxa"/>
              </w:trPr>
              <w:tc>
                <w:tcPr>
                  <w:tcW w:w="0" w:type="auto"/>
                  <w:vAlign w:val="center"/>
                  <w:hideMark/>
                </w:tcPr>
                <w:p w14:paraId="1B642A24" w14:textId="77777777" w:rsidR="001A3460" w:rsidRPr="00C560CB" w:rsidRDefault="001A3460" w:rsidP="008C3301">
                  <w:pPr>
                    <w:framePr w:hSpace="180" w:wrap="around" w:vAnchor="text" w:hAnchor="margin" w:y="804"/>
                    <w:spacing w:after="0" w:line="276" w:lineRule="auto"/>
                    <w:jc w:val="both"/>
                    <w:rPr>
                      <w:rFonts w:ascii="Times New Roman" w:hAnsi="Times New Roman" w:cs="Times New Roman"/>
                      <w:b/>
                      <w:bCs/>
                    </w:rPr>
                  </w:pPr>
                  <w:r w:rsidRPr="00C560CB">
                    <w:rPr>
                      <w:rFonts w:ascii="Times New Roman" w:hAnsi="Times New Roman" w:cs="Times New Roman"/>
                      <w:b/>
                      <w:bCs/>
                    </w:rPr>
                    <w:t>p-value</w:t>
                  </w:r>
                </w:p>
              </w:tc>
            </w:tr>
          </w:tbl>
          <w:p w14:paraId="6E83A1DF" w14:textId="77777777" w:rsidR="001A3460" w:rsidRPr="00C560CB" w:rsidRDefault="001A3460"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A3460" w:rsidRPr="00C560CB" w14:paraId="6ED6F113" w14:textId="77777777" w:rsidTr="001A3460">
              <w:trPr>
                <w:tblCellSpacing w:w="15" w:type="dxa"/>
              </w:trPr>
              <w:tc>
                <w:tcPr>
                  <w:tcW w:w="0" w:type="auto"/>
                  <w:vAlign w:val="center"/>
                  <w:hideMark/>
                </w:tcPr>
                <w:p w14:paraId="4AE5D987" w14:textId="77777777" w:rsidR="001A3460" w:rsidRPr="00C560CB" w:rsidRDefault="001A3460" w:rsidP="008C3301">
                  <w:pPr>
                    <w:framePr w:hSpace="180" w:wrap="around" w:vAnchor="text" w:hAnchor="margin" w:y="804"/>
                    <w:spacing w:after="0" w:line="276" w:lineRule="auto"/>
                    <w:jc w:val="both"/>
                    <w:rPr>
                      <w:rFonts w:ascii="Times New Roman" w:hAnsi="Times New Roman" w:cs="Times New Roman"/>
                    </w:rPr>
                  </w:pPr>
                </w:p>
              </w:tc>
            </w:tr>
          </w:tbl>
          <w:p w14:paraId="0784402F" w14:textId="77777777" w:rsidR="006D26B8" w:rsidRPr="00C560CB" w:rsidRDefault="006D26B8"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6D26B8" w:rsidRPr="00C560CB" w14:paraId="32E75312" w14:textId="77777777" w:rsidTr="00BF21C5">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2300" w:type="dxa"/>
          </w:tcPr>
          <w:p w14:paraId="2C137C51" w14:textId="7521C458" w:rsidR="006D26B8" w:rsidRPr="00C560CB" w:rsidRDefault="00D07D7A" w:rsidP="0048443F">
            <w:pPr>
              <w:spacing w:line="276" w:lineRule="auto"/>
              <w:jc w:val="both"/>
              <w:rPr>
                <w:rFonts w:ascii="Times New Roman" w:hAnsi="Times New Roman" w:cs="Times New Roman"/>
              </w:rPr>
            </w:pPr>
            <w:r w:rsidRPr="00C560CB">
              <w:rPr>
                <w:rFonts w:ascii="Times New Roman" w:hAnsi="Times New Roman" w:cs="Times New Roman"/>
              </w:rPr>
              <w:t>ROE</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9"/>
            </w:tblGrid>
            <w:tr w:rsidR="007A1D37" w:rsidRPr="00C560CB" w14:paraId="2FDBE483" w14:textId="77777777" w:rsidTr="007A1D37">
              <w:trPr>
                <w:tblCellSpacing w:w="15" w:type="dxa"/>
              </w:trPr>
              <w:tc>
                <w:tcPr>
                  <w:tcW w:w="0" w:type="auto"/>
                  <w:vAlign w:val="center"/>
                  <w:hideMark/>
                </w:tcPr>
                <w:p w14:paraId="282F0B94"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-0.0065</w:t>
                  </w:r>
                </w:p>
              </w:tc>
            </w:tr>
          </w:tbl>
          <w:p w14:paraId="21DA54D3" w14:textId="77777777" w:rsidR="007A1D37" w:rsidRPr="00C560CB" w:rsidRDefault="007A1D37"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03C0E85F" w14:textId="77777777" w:rsidTr="007A1D37">
              <w:trPr>
                <w:tblCellSpacing w:w="15" w:type="dxa"/>
              </w:trPr>
              <w:tc>
                <w:tcPr>
                  <w:tcW w:w="0" w:type="auto"/>
                  <w:vAlign w:val="center"/>
                  <w:hideMark/>
                </w:tcPr>
                <w:p w14:paraId="4FF4F752"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p>
              </w:tc>
            </w:tr>
          </w:tbl>
          <w:p w14:paraId="0294EC7F"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7A1D37" w:rsidRPr="00C560CB" w14:paraId="15864AFA" w14:textId="77777777" w:rsidTr="007A1D37">
              <w:trPr>
                <w:tblCellSpacing w:w="15" w:type="dxa"/>
              </w:trPr>
              <w:tc>
                <w:tcPr>
                  <w:tcW w:w="0" w:type="auto"/>
                  <w:vAlign w:val="center"/>
                  <w:hideMark/>
                </w:tcPr>
                <w:p w14:paraId="77EB3612"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0.016</w:t>
                  </w:r>
                </w:p>
              </w:tc>
            </w:tr>
          </w:tbl>
          <w:p w14:paraId="5BF704CD" w14:textId="77777777" w:rsidR="007A1D37" w:rsidRPr="00C560CB" w:rsidRDefault="007A1D37"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0413F37C" w14:textId="77777777" w:rsidTr="007A1D37">
              <w:trPr>
                <w:tblCellSpacing w:w="15" w:type="dxa"/>
              </w:trPr>
              <w:tc>
                <w:tcPr>
                  <w:tcW w:w="0" w:type="auto"/>
                  <w:vAlign w:val="center"/>
                  <w:hideMark/>
                </w:tcPr>
                <w:p w14:paraId="2E801E37"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p>
              </w:tc>
            </w:tr>
          </w:tbl>
          <w:p w14:paraId="2641790A"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C84C51" w:rsidRPr="00C560CB" w14:paraId="025818E1" w14:textId="77777777" w:rsidTr="00C84C51">
              <w:trPr>
                <w:tblCellSpacing w:w="15" w:type="dxa"/>
              </w:trPr>
              <w:tc>
                <w:tcPr>
                  <w:tcW w:w="0" w:type="auto"/>
                  <w:vAlign w:val="center"/>
                  <w:hideMark/>
                </w:tcPr>
                <w:p w14:paraId="5C1A91CC" w14:textId="77777777" w:rsidR="00C84C51" w:rsidRPr="00C560CB" w:rsidRDefault="00C84C51"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0.514</w:t>
                  </w:r>
                </w:p>
              </w:tc>
            </w:tr>
          </w:tbl>
          <w:p w14:paraId="08BF1415" w14:textId="77777777" w:rsidR="00C84C51" w:rsidRPr="00C560CB" w:rsidRDefault="00C84C51"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84C51" w:rsidRPr="00C560CB" w14:paraId="26605724" w14:textId="77777777" w:rsidTr="00C84C51">
              <w:trPr>
                <w:tblCellSpacing w:w="15" w:type="dxa"/>
              </w:trPr>
              <w:tc>
                <w:tcPr>
                  <w:tcW w:w="0" w:type="auto"/>
                  <w:vAlign w:val="center"/>
                  <w:hideMark/>
                </w:tcPr>
                <w:p w14:paraId="257220C8" w14:textId="77777777" w:rsidR="00C84C51" w:rsidRPr="00C560CB" w:rsidRDefault="00C84C51" w:rsidP="008C3301">
                  <w:pPr>
                    <w:framePr w:hSpace="180" w:wrap="around" w:vAnchor="text" w:hAnchor="margin" w:y="804"/>
                    <w:spacing w:after="0" w:line="276" w:lineRule="auto"/>
                    <w:jc w:val="both"/>
                    <w:rPr>
                      <w:rFonts w:ascii="Times New Roman" w:hAnsi="Times New Roman" w:cs="Times New Roman"/>
                    </w:rPr>
                  </w:pPr>
                </w:p>
              </w:tc>
            </w:tr>
          </w:tbl>
          <w:p w14:paraId="38CD3141"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6D26B8" w:rsidRPr="00C560CB" w14:paraId="77CAEBFD" w14:textId="77777777" w:rsidTr="00BF21C5">
        <w:trPr>
          <w:trHeight w:val="469"/>
        </w:trPr>
        <w:tc>
          <w:tcPr>
            <w:cnfStyle w:val="001000000000" w:firstRow="0" w:lastRow="0" w:firstColumn="1" w:lastColumn="0" w:oddVBand="0" w:evenVBand="0" w:oddHBand="0" w:evenHBand="0" w:firstRowFirstColumn="0" w:firstRowLastColumn="0" w:lastRowFirstColumn="0" w:lastRowLastColumn="0"/>
            <w:tcW w:w="2300" w:type="dxa"/>
          </w:tcPr>
          <w:p w14:paraId="6F6AA5D0" w14:textId="55DE9813" w:rsidR="006D26B8" w:rsidRPr="00C560CB" w:rsidRDefault="00D07D7A" w:rsidP="0048443F">
            <w:pPr>
              <w:spacing w:line="276" w:lineRule="auto"/>
              <w:jc w:val="both"/>
              <w:rPr>
                <w:rFonts w:ascii="Times New Roman" w:hAnsi="Times New Roman" w:cs="Times New Roman"/>
              </w:rPr>
            </w:pPr>
            <w:r w:rsidRPr="00C560CB">
              <w:rPr>
                <w:rFonts w:ascii="Times New Roman" w:hAnsi="Times New Roman" w:cs="Times New Roman"/>
              </w:rPr>
              <w:t>ROA</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9"/>
            </w:tblGrid>
            <w:tr w:rsidR="007A1D37" w:rsidRPr="00C560CB" w14:paraId="181F7D32" w14:textId="77777777" w:rsidTr="007A1D37">
              <w:trPr>
                <w:tblCellSpacing w:w="15" w:type="dxa"/>
              </w:trPr>
              <w:tc>
                <w:tcPr>
                  <w:tcW w:w="0" w:type="auto"/>
                  <w:vAlign w:val="center"/>
                  <w:hideMark/>
                </w:tcPr>
                <w:p w14:paraId="6DA96F4B"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-0.0042</w:t>
                  </w:r>
                </w:p>
              </w:tc>
            </w:tr>
          </w:tbl>
          <w:p w14:paraId="0B129ED7" w14:textId="77777777" w:rsidR="007A1D37" w:rsidRPr="00C560CB" w:rsidRDefault="007A1D37"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775E3583" w14:textId="77777777" w:rsidTr="007A1D37">
              <w:trPr>
                <w:tblCellSpacing w:w="15" w:type="dxa"/>
              </w:trPr>
              <w:tc>
                <w:tcPr>
                  <w:tcW w:w="0" w:type="auto"/>
                  <w:vAlign w:val="center"/>
                  <w:hideMark/>
                </w:tcPr>
                <w:p w14:paraId="64645001"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p>
              </w:tc>
            </w:tr>
          </w:tbl>
          <w:p w14:paraId="69681951" w14:textId="77777777" w:rsidR="006D26B8" w:rsidRPr="00C560CB" w:rsidRDefault="006D26B8"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7A1D37" w:rsidRPr="00C560CB" w14:paraId="5D746BA5" w14:textId="77777777" w:rsidTr="007A1D37">
              <w:trPr>
                <w:tblCellSpacing w:w="15" w:type="dxa"/>
              </w:trPr>
              <w:tc>
                <w:tcPr>
                  <w:tcW w:w="0" w:type="auto"/>
                  <w:vAlign w:val="center"/>
                  <w:hideMark/>
                </w:tcPr>
                <w:p w14:paraId="602A9A75"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0.020</w:t>
                  </w:r>
                </w:p>
              </w:tc>
            </w:tr>
          </w:tbl>
          <w:p w14:paraId="56527D6B" w14:textId="77777777" w:rsidR="007A1D37" w:rsidRPr="00C560CB" w:rsidRDefault="007A1D37"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31951061" w14:textId="77777777" w:rsidTr="007A1D37">
              <w:trPr>
                <w:tblCellSpacing w:w="15" w:type="dxa"/>
              </w:trPr>
              <w:tc>
                <w:tcPr>
                  <w:tcW w:w="0" w:type="auto"/>
                  <w:vAlign w:val="center"/>
                  <w:hideMark/>
                </w:tcPr>
                <w:p w14:paraId="35A261F7"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p>
              </w:tc>
            </w:tr>
          </w:tbl>
          <w:p w14:paraId="59A022E6" w14:textId="77777777" w:rsidR="006D26B8" w:rsidRPr="00C560CB" w:rsidRDefault="006D26B8"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p w14:paraId="6F67AFA9" w14:textId="6370F790" w:rsidR="006D26B8" w:rsidRPr="00C560CB" w:rsidRDefault="00C84C51"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0.481</w:t>
            </w:r>
          </w:p>
        </w:tc>
      </w:tr>
      <w:tr w:rsidR="006D26B8" w:rsidRPr="00C560CB" w14:paraId="4139C57C" w14:textId="77777777" w:rsidTr="00BF21C5">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2300" w:type="dxa"/>
          </w:tcPr>
          <w:p w14:paraId="3ECC4405" w14:textId="5FE3F65C" w:rsidR="006D26B8" w:rsidRPr="00C560CB" w:rsidRDefault="00D07D7A" w:rsidP="0048443F">
            <w:pPr>
              <w:spacing w:line="276" w:lineRule="auto"/>
              <w:jc w:val="both"/>
              <w:rPr>
                <w:rFonts w:ascii="Times New Roman" w:hAnsi="Times New Roman" w:cs="Times New Roman"/>
              </w:rPr>
            </w:pPr>
            <w:r w:rsidRPr="00C560CB">
              <w:rPr>
                <w:rFonts w:ascii="Times New Roman" w:hAnsi="Times New Roman" w:cs="Times New Roman"/>
              </w:rPr>
              <w:t>Stock Price Growth</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9"/>
            </w:tblGrid>
            <w:tr w:rsidR="007A1D37" w:rsidRPr="00C560CB" w14:paraId="79B94684" w14:textId="77777777" w:rsidTr="007A1D37">
              <w:trPr>
                <w:tblCellSpacing w:w="15" w:type="dxa"/>
              </w:trPr>
              <w:tc>
                <w:tcPr>
                  <w:tcW w:w="0" w:type="auto"/>
                  <w:vAlign w:val="center"/>
                  <w:hideMark/>
                </w:tcPr>
                <w:p w14:paraId="1EE2B152"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-0.0168</w:t>
                  </w:r>
                </w:p>
              </w:tc>
            </w:tr>
          </w:tbl>
          <w:p w14:paraId="53D32AD7" w14:textId="77777777" w:rsidR="007A1D37" w:rsidRPr="00C560CB" w:rsidRDefault="007A1D37"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39F524CA" w14:textId="77777777" w:rsidTr="007A1D37">
              <w:trPr>
                <w:tblCellSpacing w:w="15" w:type="dxa"/>
              </w:trPr>
              <w:tc>
                <w:tcPr>
                  <w:tcW w:w="0" w:type="auto"/>
                  <w:vAlign w:val="center"/>
                  <w:hideMark/>
                </w:tcPr>
                <w:p w14:paraId="671F61BB" w14:textId="77777777" w:rsidR="007A1D37" w:rsidRPr="00C560CB" w:rsidRDefault="007A1D37" w:rsidP="008C3301">
                  <w:pPr>
                    <w:framePr w:hSpace="180" w:wrap="around" w:vAnchor="text" w:hAnchor="margin" w:y="804"/>
                    <w:spacing w:after="0" w:line="276" w:lineRule="auto"/>
                    <w:jc w:val="both"/>
                    <w:rPr>
                      <w:rFonts w:ascii="Times New Roman" w:hAnsi="Times New Roman" w:cs="Times New Roman"/>
                    </w:rPr>
                  </w:pPr>
                </w:p>
              </w:tc>
            </w:tr>
          </w:tbl>
          <w:p w14:paraId="3D5A3814"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C84C51" w:rsidRPr="00C560CB" w14:paraId="4A0A102B" w14:textId="77777777" w:rsidTr="00C84C51">
              <w:trPr>
                <w:tblCellSpacing w:w="15" w:type="dxa"/>
              </w:trPr>
              <w:tc>
                <w:tcPr>
                  <w:tcW w:w="0" w:type="auto"/>
                  <w:vAlign w:val="center"/>
                  <w:hideMark/>
                </w:tcPr>
                <w:p w14:paraId="187134FA" w14:textId="77777777" w:rsidR="00C84C51" w:rsidRPr="00C560CB" w:rsidRDefault="00C84C51"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0.095</w:t>
                  </w:r>
                </w:p>
              </w:tc>
            </w:tr>
          </w:tbl>
          <w:p w14:paraId="7F1B280B" w14:textId="77777777" w:rsidR="00C84C51" w:rsidRPr="00C560CB" w:rsidRDefault="00C84C51"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84C51" w:rsidRPr="00C560CB" w14:paraId="4EA2B84E" w14:textId="77777777" w:rsidTr="00C84C51">
              <w:trPr>
                <w:tblCellSpacing w:w="15" w:type="dxa"/>
              </w:trPr>
              <w:tc>
                <w:tcPr>
                  <w:tcW w:w="0" w:type="auto"/>
                  <w:vAlign w:val="center"/>
                  <w:hideMark/>
                </w:tcPr>
                <w:p w14:paraId="4FDC39D0" w14:textId="77777777" w:rsidR="00C84C51" w:rsidRPr="00C560CB" w:rsidRDefault="00C84C51" w:rsidP="008C3301">
                  <w:pPr>
                    <w:framePr w:hSpace="180" w:wrap="around" w:vAnchor="text" w:hAnchor="margin" w:y="804"/>
                    <w:spacing w:after="0" w:line="276" w:lineRule="auto"/>
                    <w:jc w:val="both"/>
                    <w:rPr>
                      <w:rFonts w:ascii="Times New Roman" w:hAnsi="Times New Roman" w:cs="Times New Roman"/>
                    </w:rPr>
                  </w:pPr>
                </w:p>
              </w:tc>
            </w:tr>
          </w:tbl>
          <w:p w14:paraId="49261CF3"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0"/>
            </w:tblGrid>
            <w:tr w:rsidR="00C84C51" w:rsidRPr="00C560CB" w14:paraId="6ACB80D3" w14:textId="77777777">
              <w:trPr>
                <w:tblCellSpacing w:w="15" w:type="dxa"/>
              </w:trPr>
              <w:tc>
                <w:tcPr>
                  <w:tcW w:w="0" w:type="auto"/>
                  <w:vAlign w:val="center"/>
                  <w:hideMark/>
                </w:tcPr>
                <w:p w14:paraId="0EA4FEB1" w14:textId="41A7347E" w:rsidR="00C84C51" w:rsidRPr="00C560CB" w:rsidRDefault="00C84C51" w:rsidP="008C3301">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 xml:space="preserve"> 0.103</w:t>
                  </w:r>
                </w:p>
              </w:tc>
            </w:tr>
          </w:tbl>
          <w:p w14:paraId="56316D45" w14:textId="7F2C6672"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31999B75" w14:textId="79FEE5F0" w:rsidR="00E0504A" w:rsidRPr="00C560CB" w:rsidRDefault="00C84C51" w:rsidP="0048443F">
      <w:pPr>
        <w:pStyle w:val="Caption"/>
        <w:spacing w:line="276" w:lineRule="auto"/>
        <w:rPr>
          <w:rFonts w:ascii="Times New Roman" w:hAnsi="Times New Roman" w:cs="Times New Roman"/>
        </w:rPr>
      </w:pPr>
      <w:bookmarkStart w:id="54" w:name="_Toc179368021"/>
      <w:r w:rsidRPr="00C560CB">
        <w:rPr>
          <w:rFonts w:ascii="Times New Roman" w:hAnsi="Times New Roman" w:cs="Times New Roman"/>
        </w:rPr>
        <w:t xml:space="preserve">Table </w:t>
      </w:r>
      <w:r w:rsidR="00445075" w:rsidRPr="00C560CB">
        <w:rPr>
          <w:rFonts w:ascii="Times New Roman" w:hAnsi="Times New Roman" w:cs="Times New Roman"/>
        </w:rPr>
        <w:fldChar w:fldCharType="begin"/>
      </w:r>
      <w:r w:rsidR="00445075" w:rsidRPr="00C560CB">
        <w:rPr>
          <w:rFonts w:ascii="Times New Roman" w:hAnsi="Times New Roman" w:cs="Times New Roman"/>
        </w:rPr>
        <w:instrText xml:space="preserve"> SEQ Table \* ARABIC </w:instrText>
      </w:r>
      <w:r w:rsidR="00445075" w:rsidRPr="00C560CB">
        <w:rPr>
          <w:rFonts w:ascii="Times New Roman" w:hAnsi="Times New Roman" w:cs="Times New Roman"/>
        </w:rPr>
        <w:fldChar w:fldCharType="separate"/>
      </w:r>
      <w:r w:rsidR="00445075" w:rsidRPr="00C560CB">
        <w:rPr>
          <w:rFonts w:ascii="Times New Roman" w:hAnsi="Times New Roman" w:cs="Times New Roman"/>
        </w:rPr>
        <w:t>2</w:t>
      </w:r>
      <w:r w:rsidR="00445075" w:rsidRPr="00C560CB">
        <w:rPr>
          <w:rFonts w:ascii="Times New Roman" w:hAnsi="Times New Roman" w:cs="Times New Roman"/>
        </w:rPr>
        <w:fldChar w:fldCharType="end"/>
      </w:r>
      <w:r w:rsidR="00BF21C5" w:rsidRPr="00C560CB">
        <w:rPr>
          <w:rFonts w:ascii="Times New Roman" w:hAnsi="Times New Roman" w:cs="Times New Roman"/>
        </w:rPr>
        <w:t xml:space="preserve"> Summary of the multiple regression results, indicating the weak explanatory power of environmental scores on financial performance metrics.</w:t>
      </w:r>
      <w:bookmarkEnd w:id="54"/>
    </w:p>
    <w:p w14:paraId="736C0926" w14:textId="6426A5DC" w:rsidR="00E0504A" w:rsidRPr="00C560CB" w:rsidRDefault="00BF21C5"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50CD18B2" w14:textId="77777777" w:rsidR="00E0504A" w:rsidRPr="00C560CB" w:rsidRDefault="00E0504A" w:rsidP="0048443F">
      <w:pPr>
        <w:spacing w:line="276" w:lineRule="auto"/>
        <w:jc w:val="both"/>
        <w:rPr>
          <w:rFonts w:ascii="Times New Roman" w:hAnsi="Times New Roman" w:cs="Times New Roman"/>
        </w:rPr>
      </w:pPr>
    </w:p>
    <w:p w14:paraId="15A6A6F9" w14:textId="7C4B0235" w:rsidR="002F6F91" w:rsidRPr="00C560CB" w:rsidRDefault="007738E0" w:rsidP="0048443F">
      <w:pPr>
        <w:spacing w:line="276" w:lineRule="auto"/>
        <w:jc w:val="both"/>
        <w:rPr>
          <w:rFonts w:ascii="Times New Roman" w:hAnsi="Times New Roman" w:cs="Times New Roman"/>
        </w:rPr>
      </w:pPr>
      <w:r w:rsidRPr="00C560CB">
        <w:rPr>
          <w:rFonts w:ascii="Times New Roman" w:hAnsi="Times New Roman" w:cs="Times New Roman"/>
        </w:rPr>
        <w:t>The results reveal that environmental scores have a minimal impact on financial performance. The R-squared value for the regression model predicting ROE is 0.016, indicating that only 1.6% of the variation in ROE is explained by environmental scores. Additionally, the p-value of 0.514 suggests that this relationship is not statistically significant, with a weak negative coefficient of -0.0065</w:t>
      </w:r>
      <w:r w:rsidR="00E12FDA" w:rsidRPr="00C560CB">
        <w:rPr>
          <w:rFonts w:ascii="Times New Roman" w:hAnsi="Times New Roman" w:cs="Times New Roman"/>
        </w:rPr>
        <w:t xml:space="preserve">. </w:t>
      </w:r>
      <w:r w:rsidR="002F6F91" w:rsidRPr="00C560CB">
        <w:rPr>
          <w:rFonts w:ascii="Times New Roman" w:hAnsi="Times New Roman" w:cs="Times New Roman"/>
        </w:rPr>
        <w:t>Similarly, the analysis of ROA shows a non-significant relationship, with an R-squared value of 0.020 and a p-value of 0.481. Stock Price Growth demonstrated slightly higher explanatory power, with an R-squared value of 0.095, but the p-value of 0.103 indicates that this relationship is also not statistically significant.</w:t>
      </w:r>
    </w:p>
    <w:p w14:paraId="138FE617" w14:textId="77777777" w:rsidR="002C0807" w:rsidRPr="00C560CB" w:rsidRDefault="002C0807" w:rsidP="0048443F">
      <w:pPr>
        <w:spacing w:line="276" w:lineRule="auto"/>
        <w:rPr>
          <w:rFonts w:ascii="Times New Roman" w:hAnsi="Times New Roman" w:cs="Times New Roman"/>
        </w:rPr>
      </w:pPr>
    </w:p>
    <w:p w14:paraId="6B071665" w14:textId="77E2574D" w:rsidR="00DA5402" w:rsidRPr="00C560CB" w:rsidRDefault="002C0807" w:rsidP="0048443F">
      <w:pPr>
        <w:spacing w:line="276" w:lineRule="auto"/>
        <w:rPr>
          <w:rFonts w:ascii="Times New Roman" w:hAnsi="Times New Roman" w:cs="Times New Roman"/>
        </w:rPr>
      </w:pPr>
      <w:r w:rsidRPr="00C560CB">
        <w:rPr>
          <w:rFonts w:ascii="Times New Roman" w:hAnsi="Times New Roman" w:cs="Times New Roman"/>
          <w:noProof/>
          <w14:ligatures w14:val="standardContextual"/>
        </w:rPr>
        <w:lastRenderedPageBreak/>
        <w:drawing>
          <wp:anchor distT="0" distB="0" distL="114300" distR="114300" simplePos="0" relativeHeight="251666434" behindDoc="1" locked="0" layoutInCell="1" allowOverlap="1" wp14:anchorId="2B7844AE" wp14:editId="413C0FA2">
            <wp:simplePos x="0" y="0"/>
            <wp:positionH relativeFrom="margin">
              <wp:align>center</wp:align>
            </wp:positionH>
            <wp:positionV relativeFrom="paragraph">
              <wp:posOffset>723611</wp:posOffset>
            </wp:positionV>
            <wp:extent cx="6125845" cy="2019300"/>
            <wp:effectExtent l="0" t="0" r="8255" b="0"/>
            <wp:wrapTight wrapText="bothSides">
              <wp:wrapPolygon edited="0">
                <wp:start x="0" y="0"/>
                <wp:lineTo x="0" y="21396"/>
                <wp:lineTo x="21562" y="21396"/>
                <wp:lineTo x="21562" y="0"/>
                <wp:lineTo x="0" y="0"/>
              </wp:wrapPolygon>
            </wp:wrapTight>
            <wp:docPr id="489920278" name="Picture 2" descr="A graph with green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20278" name="Picture 2" descr="A graph with green dot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5845" cy="2019300"/>
                    </a:xfrm>
                    <a:prstGeom prst="rect">
                      <a:avLst/>
                    </a:prstGeom>
                  </pic:spPr>
                </pic:pic>
              </a:graphicData>
            </a:graphic>
            <wp14:sizeRelH relativeFrom="margin">
              <wp14:pctWidth>0</wp14:pctWidth>
            </wp14:sizeRelH>
            <wp14:sizeRelV relativeFrom="margin">
              <wp14:pctHeight>0</wp14:pctHeight>
            </wp14:sizeRelV>
          </wp:anchor>
        </w:drawing>
      </w:r>
      <w:r w:rsidR="00C70807" w:rsidRPr="00C560CB">
        <w:rPr>
          <w:rFonts w:ascii="Times New Roman" w:hAnsi="Times New Roman" w:cs="Times New Roman"/>
          <w:noProof/>
        </w:rPr>
        <mc:AlternateContent>
          <mc:Choice Requires="wps">
            <w:drawing>
              <wp:anchor distT="0" distB="0" distL="114300" distR="114300" simplePos="0" relativeHeight="251668482" behindDoc="1" locked="0" layoutInCell="1" allowOverlap="1" wp14:anchorId="7AA6C1C8" wp14:editId="562BE3C1">
                <wp:simplePos x="0" y="0"/>
                <wp:positionH relativeFrom="margin">
                  <wp:align>center</wp:align>
                </wp:positionH>
                <wp:positionV relativeFrom="paragraph">
                  <wp:posOffset>242166</wp:posOffset>
                </wp:positionV>
                <wp:extent cx="6125845" cy="635"/>
                <wp:effectExtent l="0" t="0" r="8255" b="0"/>
                <wp:wrapTight wrapText="bothSides">
                  <wp:wrapPolygon edited="0">
                    <wp:start x="0" y="0"/>
                    <wp:lineTo x="0" y="20057"/>
                    <wp:lineTo x="21562" y="20057"/>
                    <wp:lineTo x="21562" y="0"/>
                    <wp:lineTo x="0" y="0"/>
                  </wp:wrapPolygon>
                </wp:wrapTight>
                <wp:docPr id="557545155" name="Text Box 1"/>
                <wp:cNvGraphicFramePr/>
                <a:graphic xmlns:a="http://schemas.openxmlformats.org/drawingml/2006/main">
                  <a:graphicData uri="http://schemas.microsoft.com/office/word/2010/wordprocessingShape">
                    <wps:wsp>
                      <wps:cNvSpPr txBox="1"/>
                      <wps:spPr>
                        <a:xfrm>
                          <a:off x="0" y="0"/>
                          <a:ext cx="6125845" cy="635"/>
                        </a:xfrm>
                        <a:prstGeom prst="rect">
                          <a:avLst/>
                        </a:prstGeom>
                        <a:solidFill>
                          <a:prstClr val="white"/>
                        </a:solidFill>
                        <a:ln>
                          <a:noFill/>
                        </a:ln>
                      </wps:spPr>
                      <wps:txbx>
                        <w:txbxContent>
                          <w:p w14:paraId="621ACF66" w14:textId="21BF4B37" w:rsidR="00C70807" w:rsidRPr="004B0A4E" w:rsidRDefault="00C70807" w:rsidP="00C70807">
                            <w:pPr>
                              <w:pStyle w:val="Caption"/>
                              <w:rPr>
                                <w:sz w:val="22"/>
                                <w:szCs w:val="22"/>
                              </w:rPr>
                            </w:pPr>
                            <w:bookmarkStart w:id="55" w:name="_Toc178693131"/>
                            <w:r w:rsidRPr="004B0A4E">
                              <w:t xml:space="preserve">Figure </w:t>
                            </w:r>
                            <w:r w:rsidR="00EE5C57">
                              <w:fldChar w:fldCharType="begin"/>
                            </w:r>
                            <w:r w:rsidR="00EE5C57">
                              <w:instrText xml:space="preserve"> SEQ Figure \* ARABIC </w:instrText>
                            </w:r>
                            <w:r w:rsidR="00EE5C57">
                              <w:fldChar w:fldCharType="separate"/>
                            </w:r>
                            <w:r w:rsidR="00EE5C57" w:rsidRPr="004B0A4E">
                              <w:t>6</w:t>
                            </w:r>
                            <w:r w:rsidR="00EE5C57">
                              <w:fldChar w:fldCharType="end"/>
                            </w:r>
                            <w:r w:rsidRPr="004B0A4E">
                              <w:t xml:space="preserve">  </w:t>
                            </w:r>
                            <w:r w:rsidR="00366815" w:rsidRPr="004B0A4E">
                              <w:t>Scatter Plot Analysis: Environmental Score vs Financial Performance Metrics (ROE, ROA, Stock Price Growth)</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A6C1C8" id="_x0000_t202" coordsize="21600,21600" o:spt="202" path="m,l,21600r21600,l21600,xe">
                <v:stroke joinstyle="miter"/>
                <v:path gradientshapeok="t" o:connecttype="rect"/>
              </v:shapetype>
              <v:shape id="Text Box 1" o:spid="_x0000_s1026" type="#_x0000_t202" style="position:absolute;margin-left:0;margin-top:19.05pt;width:482.35pt;height:.05pt;z-index:-25164799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" stroked="f">
                <v:textbox style="mso-fit-shape-to-text:t" inset="0,0,0,0">
                  <w:txbxContent>
                    <w:p w14:paraId="621ACF66" w14:textId="21BF4B37" w:rsidR="00C70807" w:rsidRPr="004B0A4E" w:rsidRDefault="00C70807" w:rsidP="00C70807">
                      <w:pPr>
                        <w:pStyle w:val="Caption"/>
                        <w:rPr>
                          <w:sz w:val="22"/>
                          <w:szCs w:val="22"/>
                        </w:rPr>
                      </w:pPr>
                      <w:bookmarkStart w:id="56" w:name="_Toc178693131"/>
                      <w:r w:rsidRPr="004B0A4E">
                        <w:t xml:space="preserve">Figure </w:t>
                      </w:r>
                      <w:r w:rsidR="00EE5C57">
                        <w:fldChar w:fldCharType="begin"/>
                      </w:r>
                      <w:r w:rsidR="00EE5C57">
                        <w:instrText xml:space="preserve"> SEQ Figure \* ARABIC </w:instrText>
                      </w:r>
                      <w:r w:rsidR="00EE5C57">
                        <w:fldChar w:fldCharType="separate"/>
                      </w:r>
                      <w:r w:rsidR="00EE5C57" w:rsidRPr="004B0A4E">
                        <w:t>6</w:t>
                      </w:r>
                      <w:r w:rsidR="00EE5C57">
                        <w:fldChar w:fldCharType="end"/>
                      </w:r>
                      <w:r w:rsidRPr="004B0A4E">
                        <w:t xml:space="preserve">  </w:t>
                      </w:r>
                      <w:r w:rsidR="00366815" w:rsidRPr="004B0A4E">
                        <w:t>Scatter Plot Analysis: Environmental Score vs Financial Performance Metrics (ROE, ROA, Stock Price Growth)</w:t>
                      </w:r>
                      <w:bookmarkEnd w:id="56"/>
                    </w:p>
                  </w:txbxContent>
                </v:textbox>
                <w10:wrap type="tight" anchorx="margin"/>
              </v:shape>
            </w:pict>
          </mc:Fallback>
        </mc:AlternateContent>
      </w:r>
    </w:p>
    <w:p w14:paraId="4F364374" w14:textId="0E71FEFA" w:rsidR="00DA5402" w:rsidRPr="00C560CB" w:rsidRDefault="00366815" w:rsidP="0048443F">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2E6B48" w:rsidRPr="00C560CB">
        <w:rPr>
          <w:rFonts w:ascii="Times New Roman" w:hAnsi="Times New Roman" w:cs="Times New Roman"/>
        </w:rPr>
        <w:t>C</w:t>
      </w:r>
      <w:r w:rsidRPr="00C560CB">
        <w:rPr>
          <w:rFonts w:ascii="Times New Roman" w:hAnsi="Times New Roman" w:cs="Times New Roman"/>
        </w:rPr>
        <w:t>reated by Learner</w:t>
      </w:r>
    </w:p>
    <w:p w14:paraId="42F0C84C" w14:textId="77777777" w:rsidR="00FB3175" w:rsidRPr="00C560CB" w:rsidRDefault="00FB3175" w:rsidP="0048443F">
      <w:pPr>
        <w:spacing w:line="276" w:lineRule="auto"/>
        <w:rPr>
          <w:rFonts w:ascii="Times New Roman" w:hAnsi="Times New Roman" w:cs="Times New Roman"/>
        </w:rPr>
      </w:pPr>
    </w:p>
    <w:p w14:paraId="6F97D2D7" w14:textId="6092BA32" w:rsidR="00F414AD" w:rsidRPr="00C560CB" w:rsidRDefault="00FB3175" w:rsidP="0048443F">
      <w:pPr>
        <w:spacing w:line="276" w:lineRule="auto"/>
        <w:jc w:val="both"/>
        <w:rPr>
          <w:rFonts w:ascii="Times New Roman" w:hAnsi="Times New Roman" w:cs="Times New Roman"/>
        </w:rPr>
      </w:pPr>
      <w:r w:rsidRPr="00C560CB">
        <w:rPr>
          <w:rFonts w:ascii="Times New Roman" w:hAnsi="Times New Roman" w:cs="Times New Roman"/>
        </w:rPr>
        <w:t xml:space="preserve"> The first scatter plot demonstrates no strong relationship between environmental scores and ROE, with a weak negative trend. The second plot for Environmental Score vs ROA reflects a similarly weak relationship</w:t>
      </w:r>
      <w:r w:rsidR="005F3B93" w:rsidRPr="00C560CB">
        <w:rPr>
          <w:rFonts w:ascii="Times New Roman" w:hAnsi="Times New Roman" w:cs="Times New Roman"/>
        </w:rPr>
        <w:t xml:space="preserve">. </w:t>
      </w:r>
      <w:r w:rsidRPr="00C560CB">
        <w:rPr>
          <w:rFonts w:ascii="Times New Roman" w:hAnsi="Times New Roman" w:cs="Times New Roman"/>
        </w:rPr>
        <w:t>Lastly, the scatter plot for Environmental Score vs Stock Price Growth shows some clustering of data points, but again, there is no evident strong correlation between these variables</w:t>
      </w:r>
      <w:r w:rsidR="00523A01" w:rsidRPr="00C560CB">
        <w:rPr>
          <w:rFonts w:ascii="Times New Roman" w:hAnsi="Times New Roman" w:cs="Times New Roman"/>
        </w:rPr>
        <w:t>.</w:t>
      </w:r>
    </w:p>
    <w:p w14:paraId="5E9345C3" w14:textId="66C442F8" w:rsidR="00523A01" w:rsidRPr="00C560CB" w:rsidRDefault="006930B3" w:rsidP="0048443F">
      <w:pPr>
        <w:spacing w:line="276" w:lineRule="auto"/>
        <w:jc w:val="both"/>
        <w:rPr>
          <w:rFonts w:ascii="Times New Roman" w:hAnsi="Times New Roman" w:cs="Times New Roman"/>
        </w:rPr>
      </w:pPr>
      <w:r w:rsidRPr="00C560CB">
        <w:rPr>
          <w:rFonts w:ascii="Times New Roman" w:hAnsi="Times New Roman" w:cs="Times New Roman"/>
        </w:rPr>
        <w:t>It’s important to consider that the impact of environmental practices may vary by industry. Although the overall results show weak relationships between environmental scores and financial performance, this could be influenced by industry-specific factors. For instance,</w:t>
      </w:r>
      <w:r w:rsidR="00781EB6" w:rsidRPr="00C560CB">
        <w:rPr>
          <w:rFonts w:ascii="Times New Roman" w:hAnsi="Times New Roman" w:cs="Times New Roman"/>
          <w:b/>
          <w:bCs/>
        </w:rPr>
        <w:t xml:space="preserve"> </w:t>
      </w:r>
      <w:r w:rsidR="00781EB6" w:rsidRPr="00C560CB">
        <w:rPr>
          <w:rFonts w:ascii="Times New Roman" w:hAnsi="Times New Roman" w:cs="Times New Roman"/>
        </w:rPr>
        <w:t>Chang (2015) found that the positive effects of environmental performance on financial outcomes were more pronounced in heavy-pollution industries, such as manufacturing, where regulatory pressures and stakeholder expectations play a critical role in shaping firms’ environmental strategies​.</w:t>
      </w:r>
      <w:r w:rsidR="00D54DFE" w:rsidRPr="00C560CB">
        <w:rPr>
          <w:rFonts w:ascii="Times New Roman" w:hAnsi="Times New Roman" w:cs="Times New Roman"/>
        </w:rPr>
        <w:t xml:space="preserve"> Additionally, Friede et al. (2015) conducted a meta-analysis of ESG and financial performance and concluded that industries like energy and utilities, which face stringent environmental regulations, tend to show stronger correlations between ESG practices and financial performance.</w:t>
      </w:r>
    </w:p>
    <w:p w14:paraId="0263D440" w14:textId="77777777" w:rsidR="00696CE1" w:rsidRPr="00C560CB" w:rsidRDefault="00696CE1" w:rsidP="0048443F">
      <w:pPr>
        <w:spacing w:line="276" w:lineRule="auto"/>
        <w:jc w:val="both"/>
        <w:rPr>
          <w:rFonts w:ascii="Times New Roman" w:hAnsi="Times New Roman" w:cs="Times New Roman"/>
        </w:rPr>
      </w:pPr>
    </w:p>
    <w:p w14:paraId="708D265C" w14:textId="064938B4" w:rsidR="009020FF" w:rsidRPr="00C560CB" w:rsidRDefault="00E8587D" w:rsidP="0048443F">
      <w:pPr>
        <w:pStyle w:val="Heading3"/>
        <w:spacing w:line="276" w:lineRule="auto"/>
        <w:rPr>
          <w:rFonts w:ascii="Times New Roman" w:hAnsi="Times New Roman" w:cs="Times New Roman"/>
        </w:rPr>
      </w:pPr>
      <w:bookmarkStart w:id="57" w:name="_Toc179724816"/>
      <w:r w:rsidRPr="00C560CB">
        <w:rPr>
          <w:rFonts w:ascii="Times New Roman" w:hAnsi="Times New Roman" w:cs="Times New Roman"/>
        </w:rPr>
        <w:t>1.</w:t>
      </w:r>
      <w:r w:rsidR="001D5C9B" w:rsidRPr="00C560CB">
        <w:rPr>
          <w:rFonts w:ascii="Times New Roman" w:hAnsi="Times New Roman" w:cs="Times New Roman"/>
        </w:rPr>
        <w:t>1.1</w:t>
      </w:r>
      <w:r w:rsidRPr="00C560CB">
        <w:rPr>
          <w:rFonts w:ascii="Times New Roman" w:hAnsi="Times New Roman" w:cs="Times New Roman"/>
        </w:rPr>
        <w:t xml:space="preserve"> </w:t>
      </w:r>
      <w:r w:rsidR="0059488C" w:rsidRPr="00C560CB">
        <w:rPr>
          <w:rFonts w:ascii="Times New Roman" w:hAnsi="Times New Roman" w:cs="Times New Roman"/>
        </w:rPr>
        <w:t>Limitations and Potential Explanations</w:t>
      </w:r>
      <w:bookmarkEnd w:id="57"/>
    </w:p>
    <w:p w14:paraId="0AF4DDD3" w14:textId="5D21B1F5" w:rsidR="0059488C" w:rsidRPr="00C560CB" w:rsidRDefault="0059488C" w:rsidP="0048443F">
      <w:pPr>
        <w:spacing w:line="276" w:lineRule="auto"/>
        <w:jc w:val="both"/>
        <w:rPr>
          <w:rFonts w:ascii="Times New Roman" w:hAnsi="Times New Roman" w:cs="Times New Roman"/>
        </w:rPr>
      </w:pPr>
      <w:r w:rsidRPr="00C560CB">
        <w:rPr>
          <w:rFonts w:ascii="Times New Roman" w:hAnsi="Times New Roman" w:cs="Times New Roman"/>
        </w:rPr>
        <w:t xml:space="preserve">There are several potential explanations for the weak relationships observed in this analysis. One possibility is that environmental practices are not yet fully integrated into the financial decision-making processes of firms, particularly in industries where environmental considerations are not directly tied to profitability. Additionally, the relatively short </w:t>
      </w:r>
      <w:r w:rsidR="00930DAA" w:rsidRPr="00C560CB">
        <w:rPr>
          <w:rFonts w:ascii="Times New Roman" w:hAnsi="Times New Roman" w:cs="Times New Roman"/>
        </w:rPr>
        <w:t>period</w:t>
      </w:r>
      <w:r w:rsidRPr="00C560CB">
        <w:rPr>
          <w:rFonts w:ascii="Times New Roman" w:hAnsi="Times New Roman" w:cs="Times New Roman"/>
        </w:rPr>
        <w:t xml:space="preserve"> covered by the dataset may not capture the long-term effects of environmental practices on financial performance. Furthermore, other factors, such as market conditions, regulatory environments, or firm-specific characteristics, may have a more significant influence on financial outcomes than environmental practices alone.</w:t>
      </w:r>
    </w:p>
    <w:p w14:paraId="735E73C0" w14:textId="77777777" w:rsidR="007238F3" w:rsidRPr="00C560CB" w:rsidRDefault="007238F3" w:rsidP="0048443F">
      <w:pPr>
        <w:spacing w:line="276" w:lineRule="auto"/>
        <w:rPr>
          <w:rFonts w:ascii="Times New Roman" w:hAnsi="Times New Roman" w:cs="Times New Roman"/>
        </w:rPr>
      </w:pPr>
    </w:p>
    <w:p w14:paraId="75D89CF9" w14:textId="5E2523DF" w:rsidR="00122378" w:rsidRPr="00C560CB" w:rsidRDefault="000C23D4" w:rsidP="0048443F">
      <w:pPr>
        <w:pStyle w:val="Heading3"/>
        <w:spacing w:line="276" w:lineRule="auto"/>
        <w:rPr>
          <w:rFonts w:ascii="Times New Roman" w:hAnsi="Times New Roman" w:cs="Times New Roman"/>
        </w:rPr>
      </w:pPr>
      <w:bookmarkStart w:id="58" w:name="_Toc179724817"/>
      <w:r w:rsidRPr="00C560CB">
        <w:rPr>
          <w:rFonts w:ascii="Times New Roman" w:hAnsi="Times New Roman" w:cs="Times New Roman"/>
        </w:rPr>
        <w:lastRenderedPageBreak/>
        <w:t>1.</w:t>
      </w:r>
      <w:r w:rsidR="00E428D9" w:rsidRPr="00C560CB">
        <w:rPr>
          <w:rFonts w:ascii="Times New Roman" w:hAnsi="Times New Roman" w:cs="Times New Roman"/>
        </w:rPr>
        <w:t xml:space="preserve">1.2 </w:t>
      </w:r>
      <w:r w:rsidR="00122378" w:rsidRPr="00C560CB">
        <w:rPr>
          <w:rFonts w:ascii="Times New Roman" w:hAnsi="Times New Roman" w:cs="Times New Roman"/>
        </w:rPr>
        <w:t>Mixed Results on ESG and Financial Performance</w:t>
      </w:r>
      <w:bookmarkEnd w:id="58"/>
    </w:p>
    <w:p w14:paraId="51D790C6" w14:textId="76EF3555" w:rsidR="00122378" w:rsidRPr="00C560CB" w:rsidRDefault="00EE2AF8" w:rsidP="0048443F">
      <w:pPr>
        <w:spacing w:line="276" w:lineRule="auto"/>
        <w:jc w:val="both"/>
        <w:rPr>
          <w:rFonts w:ascii="Times New Roman" w:hAnsi="Times New Roman" w:cs="Times New Roman"/>
        </w:rPr>
      </w:pPr>
      <w:r w:rsidRPr="00C560CB">
        <w:rPr>
          <w:rFonts w:ascii="Times New Roman" w:hAnsi="Times New Roman" w:cs="Times New Roman"/>
        </w:rPr>
        <w:t xml:space="preserve">Several studies have found divergent results regarding the impact of environmental practices on financial performance. For instance, some studies suggest that strong environmental practices can improve financial performance by reducing risks and </w:t>
      </w:r>
      <w:r w:rsidR="00394EB2" w:rsidRPr="00C560CB">
        <w:rPr>
          <w:rFonts w:ascii="Times New Roman" w:hAnsi="Times New Roman" w:cs="Times New Roman"/>
        </w:rPr>
        <w:t>enhancing</w:t>
      </w:r>
      <w:r w:rsidRPr="00C560CB">
        <w:rPr>
          <w:rFonts w:ascii="Times New Roman" w:hAnsi="Times New Roman" w:cs="Times New Roman"/>
        </w:rPr>
        <w:t xml:space="preserve"> stakeholder relationships. On the other hand, some research shows that </w:t>
      </w:r>
      <w:r w:rsidR="00394EB2" w:rsidRPr="00C560CB">
        <w:rPr>
          <w:rFonts w:ascii="Times New Roman" w:hAnsi="Times New Roman" w:cs="Times New Roman"/>
        </w:rPr>
        <w:t>ecological</w:t>
      </w:r>
      <w:r w:rsidRPr="00C560CB">
        <w:rPr>
          <w:rFonts w:ascii="Times New Roman" w:hAnsi="Times New Roman" w:cs="Times New Roman"/>
        </w:rPr>
        <w:t xml:space="preserve"> practices may increase costs, </w:t>
      </w:r>
      <w:r w:rsidR="009823A8" w:rsidRPr="00C560CB">
        <w:rPr>
          <w:rFonts w:ascii="Times New Roman" w:hAnsi="Times New Roman" w:cs="Times New Roman"/>
        </w:rPr>
        <w:t>reducing financial performance, especially with high compliance costs</w:t>
      </w:r>
      <w:r w:rsidRPr="00C560CB">
        <w:rPr>
          <w:rFonts w:ascii="Times New Roman" w:hAnsi="Times New Roman" w:cs="Times New Roman"/>
        </w:rPr>
        <w:t xml:space="preserve">. For example, </w:t>
      </w:r>
      <w:r w:rsidR="00E50844" w:rsidRPr="00C560CB">
        <w:rPr>
          <w:rFonts w:ascii="Times New Roman" w:hAnsi="Times New Roman" w:cs="Times New Roman"/>
        </w:rPr>
        <w:t xml:space="preserve">(Horváthová, 2010) </w:t>
      </w:r>
      <w:r w:rsidRPr="00C560CB">
        <w:rPr>
          <w:rFonts w:ascii="Times New Roman" w:hAnsi="Times New Roman" w:cs="Times New Roman"/>
        </w:rPr>
        <w:t xml:space="preserve">found that while environmental practices may improve long-term sustainability, the immediate financial benefits are less clear, and they often vary by region and regulatory </w:t>
      </w:r>
      <w:r w:rsidR="00E446F7" w:rsidRPr="00C560CB">
        <w:rPr>
          <w:rFonts w:ascii="Times New Roman" w:hAnsi="Times New Roman" w:cs="Times New Roman"/>
        </w:rPr>
        <w:t>environment​.</w:t>
      </w:r>
    </w:p>
    <w:p w14:paraId="04319F6D" w14:textId="77777777" w:rsidR="000C23D4" w:rsidRPr="00C560CB" w:rsidRDefault="000C23D4" w:rsidP="0048443F">
      <w:pPr>
        <w:spacing w:line="276" w:lineRule="auto"/>
        <w:jc w:val="both"/>
        <w:rPr>
          <w:rFonts w:ascii="Times New Roman" w:hAnsi="Times New Roman" w:cs="Times New Roman"/>
        </w:rPr>
      </w:pPr>
    </w:p>
    <w:p w14:paraId="652CAF13" w14:textId="130075C6" w:rsidR="000C23D4" w:rsidRPr="00C560CB" w:rsidRDefault="00E428D9" w:rsidP="0048443F">
      <w:pPr>
        <w:pStyle w:val="Heading2"/>
        <w:spacing w:line="276" w:lineRule="auto"/>
        <w:rPr>
          <w:rFonts w:ascii="Times New Roman" w:hAnsi="Times New Roman" w:cs="Times New Roman"/>
        </w:rPr>
      </w:pPr>
      <w:bookmarkStart w:id="59" w:name="_Toc179724818"/>
      <w:r w:rsidRPr="00C560CB">
        <w:rPr>
          <w:rFonts w:ascii="Times New Roman" w:hAnsi="Times New Roman" w:cs="Times New Roman"/>
        </w:rPr>
        <w:t xml:space="preserve">1.2 </w:t>
      </w:r>
      <w:r w:rsidR="00C10EEC" w:rsidRPr="00C560CB">
        <w:rPr>
          <w:rFonts w:ascii="Times New Roman" w:hAnsi="Times New Roman" w:cs="Times New Roman"/>
        </w:rPr>
        <w:t>Impact of ESG Scores on Stock Volatility Across Sectors</w:t>
      </w:r>
      <w:bookmarkEnd w:id="59"/>
    </w:p>
    <w:p w14:paraId="371FE358" w14:textId="77777777" w:rsidR="005E6238" w:rsidRPr="00C560CB" w:rsidRDefault="005E6238" w:rsidP="005E6238">
      <w:pPr>
        <w:rPr>
          <w:rFonts w:ascii="Times New Roman" w:hAnsi="Times New Roman" w:cs="Times New Roman"/>
        </w:rPr>
      </w:pPr>
    </w:p>
    <w:p w14:paraId="2EA7F5F8" w14:textId="77777777" w:rsidR="005E6238" w:rsidRPr="00C560CB" w:rsidRDefault="005E6238" w:rsidP="005E6238">
      <w:pPr>
        <w:jc w:val="both"/>
        <w:rPr>
          <w:rFonts w:ascii="Times New Roman" w:hAnsi="Times New Roman" w:cs="Times New Roman"/>
          <w:b/>
          <w:bCs/>
          <w:lang w:eastAsia="en-GB"/>
        </w:rPr>
      </w:pPr>
      <w:r w:rsidRPr="00C560CB">
        <w:rPr>
          <w:rFonts w:ascii="Times New Roman" w:hAnsi="Times New Roman" w:cs="Times New Roman"/>
          <w:b/>
          <w:bCs/>
          <w:lang w:eastAsia="en-GB"/>
        </w:rPr>
        <w:t>H2: Firms with higher ESG scores will experience lower stock market volatility compared to those with lower scores, though this effect will vary across different sectors.</w:t>
      </w:r>
    </w:p>
    <w:p w14:paraId="71B548F3" w14:textId="5A140895" w:rsidR="00DA5402" w:rsidRPr="00C560CB" w:rsidRDefault="00CF12AF" w:rsidP="0048443F">
      <w:pPr>
        <w:spacing w:line="276" w:lineRule="auto"/>
        <w:jc w:val="both"/>
        <w:rPr>
          <w:rFonts w:ascii="Times New Roman" w:hAnsi="Times New Roman" w:cs="Times New Roman"/>
        </w:rPr>
      </w:pPr>
      <w:r w:rsidRPr="00C560CB">
        <w:rPr>
          <w:rFonts w:ascii="Times New Roman" w:hAnsi="Times New Roman" w:cs="Times New Roman"/>
        </w:rPr>
        <w:t>In this section, we examine how Environmental, Social, and Governance (ESG) scores affect stock market volatility and how this relationship varies across different sectors. ESG scores have gained increasing attention as a measure of corporate responsibility and sustainability, and understanding their influence on market performance is crucial for investors.</w:t>
      </w:r>
      <w:r w:rsidR="000878DC" w:rsidRPr="00C560CB">
        <w:rPr>
          <w:rFonts w:ascii="Times New Roman" w:hAnsi="Times New Roman" w:cs="Times New Roman"/>
        </w:rPr>
        <w:t xml:space="preserve"> The analysis was conducted using a dataset of 28 companies from various sectors, with ESG scores representing the independent variable and stock volatility as the dependent variable. A multiple regression analysis was performed to quantify the relationship between ESG scores and stock volatility.</w:t>
      </w:r>
    </w:p>
    <w:p w14:paraId="6B95901D" w14:textId="77777777" w:rsidR="005426A2" w:rsidRPr="00C560CB" w:rsidRDefault="005426A2" w:rsidP="0048443F">
      <w:pPr>
        <w:spacing w:line="276" w:lineRule="auto"/>
        <w:rPr>
          <w:rFonts w:ascii="Times New Roman" w:hAnsi="Times New Roman" w:cs="Times New Roman"/>
        </w:rPr>
      </w:pPr>
    </w:p>
    <w:p w14:paraId="55F0FBAB" w14:textId="0AAA03E7" w:rsidR="005426A2" w:rsidRPr="00C560CB" w:rsidRDefault="005E0D79" w:rsidP="0048443F">
      <w:pPr>
        <w:pStyle w:val="Caption"/>
        <w:spacing w:line="276" w:lineRule="auto"/>
        <w:rPr>
          <w:rFonts w:ascii="Times New Roman" w:hAnsi="Times New Roman" w:cs="Times New Roman"/>
        </w:rPr>
      </w:pPr>
      <w:bookmarkStart w:id="60" w:name="_Toc179368022"/>
      <w:r w:rsidRPr="00C560CB">
        <w:rPr>
          <w:rFonts w:ascii="Times New Roman" w:hAnsi="Times New Roman" w:cs="Times New Roman"/>
        </w:rPr>
        <w:t xml:space="preserve">Table </w:t>
      </w:r>
      <w:r w:rsidR="00445075" w:rsidRPr="00C560CB">
        <w:rPr>
          <w:rFonts w:ascii="Times New Roman" w:hAnsi="Times New Roman" w:cs="Times New Roman"/>
        </w:rPr>
        <w:fldChar w:fldCharType="begin"/>
      </w:r>
      <w:r w:rsidR="00445075" w:rsidRPr="00C560CB">
        <w:rPr>
          <w:rFonts w:ascii="Times New Roman" w:hAnsi="Times New Roman" w:cs="Times New Roman"/>
        </w:rPr>
        <w:instrText xml:space="preserve"> SEQ Table \* ARABIC </w:instrText>
      </w:r>
      <w:r w:rsidR="00445075" w:rsidRPr="00C560CB">
        <w:rPr>
          <w:rFonts w:ascii="Times New Roman" w:hAnsi="Times New Roman" w:cs="Times New Roman"/>
        </w:rPr>
        <w:fldChar w:fldCharType="separate"/>
      </w:r>
      <w:r w:rsidR="00445075" w:rsidRPr="00C560CB">
        <w:rPr>
          <w:rFonts w:ascii="Times New Roman" w:hAnsi="Times New Roman" w:cs="Times New Roman"/>
        </w:rPr>
        <w:t>3</w:t>
      </w:r>
      <w:r w:rsidR="00445075" w:rsidRPr="00C560CB">
        <w:rPr>
          <w:rFonts w:ascii="Times New Roman" w:hAnsi="Times New Roman" w:cs="Times New Roman"/>
        </w:rPr>
        <w:fldChar w:fldCharType="end"/>
      </w:r>
      <w:r w:rsidR="003F1D02" w:rsidRPr="00C560CB">
        <w:rPr>
          <w:rFonts w:ascii="Times New Roman" w:hAnsi="Times New Roman" w:cs="Times New Roman"/>
        </w:rPr>
        <w:t xml:space="preserve"> Key Metrics from ESG and Stock Volatility Regression Analysis</w:t>
      </w:r>
      <w:bookmarkEnd w:id="60"/>
    </w:p>
    <w:tbl>
      <w:tblPr>
        <w:tblStyle w:val="PlainTable1"/>
        <w:tblpPr w:leftFromText="180" w:rightFromText="180" w:vertAnchor="text" w:horzAnchor="margin" w:tblpY="174"/>
        <w:tblW w:w="0" w:type="auto"/>
        <w:tblLook w:val="04A0" w:firstRow="1" w:lastRow="0" w:firstColumn="1" w:lastColumn="0" w:noHBand="0" w:noVBand="1"/>
      </w:tblPr>
      <w:tblGrid>
        <w:gridCol w:w="7083"/>
        <w:gridCol w:w="1933"/>
      </w:tblGrid>
      <w:tr w:rsidR="003F1D02" w:rsidRPr="00C560CB" w14:paraId="797549AE" w14:textId="77777777" w:rsidTr="00A53C3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7083" w:type="dxa"/>
          </w:tcPr>
          <w:p w14:paraId="73AA89E7" w14:textId="77777777" w:rsidR="003F1D02" w:rsidRPr="00C560CB" w:rsidRDefault="003F1D02" w:rsidP="0048443F">
            <w:pPr>
              <w:spacing w:line="276" w:lineRule="auto"/>
              <w:rPr>
                <w:rFonts w:ascii="Times New Roman" w:hAnsi="Times New Roman" w:cs="Times New Roman"/>
              </w:rPr>
            </w:pPr>
            <w:r w:rsidRPr="00C560CB">
              <w:rPr>
                <w:rFonts w:ascii="Times New Roman" w:hAnsi="Times New Roman" w:cs="Times New Roman"/>
              </w:rPr>
              <w:t>Metric</w:t>
            </w:r>
          </w:p>
        </w:tc>
        <w:tc>
          <w:tcPr>
            <w:tcW w:w="1933" w:type="dxa"/>
          </w:tcPr>
          <w:p w14:paraId="70795315" w14:textId="77777777" w:rsidR="003F1D02" w:rsidRPr="00C560CB" w:rsidRDefault="003F1D02" w:rsidP="0048443F">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Value</w:t>
            </w:r>
          </w:p>
        </w:tc>
      </w:tr>
      <w:tr w:rsidR="003F1D02" w:rsidRPr="00C560CB" w14:paraId="119787F4" w14:textId="77777777" w:rsidTr="003F1D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1"/>
            </w:tblGrid>
            <w:tr w:rsidR="003F1D02" w:rsidRPr="00C560CB" w14:paraId="3107A1A7" w14:textId="77777777" w:rsidTr="00780911">
              <w:trPr>
                <w:tblCellSpacing w:w="15" w:type="dxa"/>
              </w:trPr>
              <w:tc>
                <w:tcPr>
                  <w:tcW w:w="0" w:type="auto"/>
                  <w:vAlign w:val="center"/>
                  <w:hideMark/>
                </w:tcPr>
                <w:p w14:paraId="23989E8F" w14:textId="77777777" w:rsidR="003F1D02" w:rsidRPr="00C560CB" w:rsidRDefault="003F1D02" w:rsidP="0048443F">
                  <w:pPr>
                    <w:framePr w:hSpace="180" w:wrap="around" w:vAnchor="text" w:hAnchor="margin" w:y="174"/>
                    <w:spacing w:after="0" w:line="276" w:lineRule="auto"/>
                    <w:rPr>
                      <w:rFonts w:ascii="Times New Roman" w:hAnsi="Times New Roman" w:cs="Times New Roman"/>
                      <w:b/>
                      <w:bCs/>
                    </w:rPr>
                  </w:pPr>
                  <w:r w:rsidRPr="00C560CB">
                    <w:rPr>
                      <w:rFonts w:ascii="Times New Roman" w:hAnsi="Times New Roman" w:cs="Times New Roman"/>
                      <w:b/>
                      <w:bCs/>
                    </w:rPr>
                    <w:t>R-squared</w:t>
                  </w:r>
                </w:p>
              </w:tc>
            </w:tr>
          </w:tbl>
          <w:p w14:paraId="0CD14502" w14:textId="77777777" w:rsidR="003F1D02" w:rsidRPr="00C560CB" w:rsidRDefault="003F1D02" w:rsidP="0048443F">
            <w:pPr>
              <w:spacing w:line="276" w:lineRule="auto"/>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F1D02" w:rsidRPr="00C560CB" w14:paraId="6A4CAFB2" w14:textId="77777777" w:rsidTr="00780911">
              <w:trPr>
                <w:tblCellSpacing w:w="15" w:type="dxa"/>
              </w:trPr>
              <w:tc>
                <w:tcPr>
                  <w:tcW w:w="0" w:type="auto"/>
                  <w:vAlign w:val="center"/>
                  <w:hideMark/>
                </w:tcPr>
                <w:p w14:paraId="53512030" w14:textId="77777777" w:rsidR="003F1D02" w:rsidRPr="00C560CB" w:rsidRDefault="003F1D02" w:rsidP="0048443F">
                  <w:pPr>
                    <w:framePr w:hSpace="180" w:wrap="around" w:vAnchor="text" w:hAnchor="margin" w:y="174"/>
                    <w:spacing w:after="0" w:line="276" w:lineRule="auto"/>
                    <w:rPr>
                      <w:rFonts w:ascii="Times New Roman" w:hAnsi="Times New Roman" w:cs="Times New Roman"/>
                      <w:b/>
                      <w:bCs/>
                    </w:rPr>
                  </w:pPr>
                </w:p>
              </w:tc>
            </w:tr>
          </w:tbl>
          <w:p w14:paraId="1AFD2CD6" w14:textId="77777777" w:rsidR="003F1D02" w:rsidRPr="00C560CB" w:rsidRDefault="003F1D02" w:rsidP="0048443F">
            <w:pPr>
              <w:spacing w:line="276" w:lineRule="auto"/>
              <w:rPr>
                <w:rFonts w:ascii="Times New Roman" w:hAnsi="Times New Roman" w:cs="Times New Roman"/>
              </w:rPr>
            </w:pPr>
          </w:p>
        </w:tc>
        <w:tc>
          <w:tcPr>
            <w:tcW w:w="1933" w:type="dxa"/>
          </w:tcPr>
          <w:p w14:paraId="7DADDA2A" w14:textId="77777777" w:rsidR="003F1D02" w:rsidRPr="00C560CB" w:rsidRDefault="003F1D02"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0.136</w:t>
            </w:r>
          </w:p>
        </w:tc>
      </w:tr>
      <w:tr w:rsidR="00E06A6D" w:rsidRPr="00C560CB" w14:paraId="269F4311" w14:textId="77777777" w:rsidTr="005A40E1">
        <w:trPr>
          <w:trHeight w:val="502"/>
        </w:trPr>
        <w:tc>
          <w:tcPr>
            <w:cnfStyle w:val="001000000000" w:firstRow="0" w:lastRow="0" w:firstColumn="1" w:lastColumn="0" w:oddVBand="0" w:evenVBand="0" w:oddHBand="0" w:evenHBand="0" w:firstRowFirstColumn="0" w:firstRowLastColumn="0" w:lastRowFirstColumn="0" w:lastRowLastColumn="0"/>
            <w:tcW w:w="708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1"/>
            </w:tblGrid>
            <w:tr w:rsidR="00E06A6D" w:rsidRPr="00C560CB" w14:paraId="11A9929C" w14:textId="77777777" w:rsidTr="00780911">
              <w:trPr>
                <w:tblCellSpacing w:w="15" w:type="dxa"/>
              </w:trPr>
              <w:tc>
                <w:tcPr>
                  <w:tcW w:w="0" w:type="auto"/>
                  <w:vAlign w:val="center"/>
                  <w:hideMark/>
                </w:tcPr>
                <w:p w14:paraId="12BDAD2F" w14:textId="6DDE6788" w:rsidR="00E06A6D" w:rsidRPr="00C560CB" w:rsidRDefault="00E06A6D" w:rsidP="0048443F">
                  <w:pPr>
                    <w:framePr w:hSpace="180" w:wrap="around" w:vAnchor="text" w:hAnchor="margin" w:y="174"/>
                    <w:spacing w:after="0" w:line="276" w:lineRule="auto"/>
                    <w:rPr>
                      <w:rFonts w:ascii="Times New Roman" w:hAnsi="Times New Roman" w:cs="Times New Roman"/>
                      <w:b/>
                      <w:bCs/>
                    </w:rPr>
                  </w:pPr>
                  <w:r w:rsidRPr="00C560CB">
                    <w:rPr>
                      <w:rFonts w:ascii="Times New Roman" w:hAnsi="Times New Roman" w:cs="Times New Roman"/>
                      <w:b/>
                      <w:bCs/>
                    </w:rPr>
                    <w:t>Adjusted R-squared</w:t>
                  </w:r>
                </w:p>
              </w:tc>
            </w:tr>
          </w:tbl>
          <w:p w14:paraId="316A166E" w14:textId="77777777" w:rsidR="00E06A6D" w:rsidRPr="00C560CB" w:rsidRDefault="00E06A6D" w:rsidP="0048443F">
            <w:pPr>
              <w:spacing w:line="276" w:lineRule="auto"/>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586DABF8" w14:textId="77777777" w:rsidTr="00780911">
              <w:trPr>
                <w:tblCellSpacing w:w="15" w:type="dxa"/>
              </w:trPr>
              <w:tc>
                <w:tcPr>
                  <w:tcW w:w="0" w:type="auto"/>
                  <w:vAlign w:val="center"/>
                  <w:hideMark/>
                </w:tcPr>
                <w:p w14:paraId="4DEB56CC" w14:textId="77777777" w:rsidR="00E06A6D" w:rsidRPr="00C560CB" w:rsidRDefault="00E06A6D" w:rsidP="0048443F">
                  <w:pPr>
                    <w:framePr w:hSpace="180" w:wrap="around" w:vAnchor="text" w:hAnchor="margin" w:y="174"/>
                    <w:spacing w:after="0" w:line="276" w:lineRule="auto"/>
                    <w:rPr>
                      <w:rFonts w:ascii="Times New Roman" w:hAnsi="Times New Roman" w:cs="Times New Roman"/>
                      <w:b/>
                      <w:bCs/>
                    </w:rPr>
                  </w:pPr>
                </w:p>
              </w:tc>
            </w:tr>
          </w:tbl>
          <w:p w14:paraId="31FCF46D" w14:textId="77777777" w:rsidR="00E06A6D" w:rsidRPr="00C560CB" w:rsidRDefault="00E06A6D" w:rsidP="0048443F">
            <w:pPr>
              <w:spacing w:line="276" w:lineRule="auto"/>
              <w:rPr>
                <w:rFonts w:ascii="Times New Roman" w:hAnsi="Times New Roman" w:cs="Times New Roman"/>
              </w:rPr>
            </w:pPr>
          </w:p>
        </w:tc>
        <w:tc>
          <w:tcPr>
            <w:tcW w:w="19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E06A6D" w:rsidRPr="00C560CB" w14:paraId="53E77313" w14:textId="77777777" w:rsidTr="00780911">
              <w:trPr>
                <w:tblCellSpacing w:w="15" w:type="dxa"/>
              </w:trPr>
              <w:tc>
                <w:tcPr>
                  <w:tcW w:w="0" w:type="auto"/>
                  <w:vAlign w:val="center"/>
                  <w:hideMark/>
                </w:tcPr>
                <w:p w14:paraId="5039C92C" w14:textId="77777777" w:rsidR="00E06A6D" w:rsidRPr="00C560CB" w:rsidRDefault="00E06A6D" w:rsidP="0048443F">
                  <w:pPr>
                    <w:framePr w:hSpace="180" w:wrap="around" w:vAnchor="text" w:hAnchor="margin" w:y="174"/>
                    <w:spacing w:after="0" w:line="276" w:lineRule="auto"/>
                    <w:rPr>
                      <w:rFonts w:ascii="Times New Roman" w:hAnsi="Times New Roman" w:cs="Times New Roman"/>
                    </w:rPr>
                  </w:pPr>
                  <w:r w:rsidRPr="00C560CB">
                    <w:rPr>
                      <w:rFonts w:ascii="Times New Roman" w:hAnsi="Times New Roman" w:cs="Times New Roman"/>
                    </w:rPr>
                    <w:t>0.102</w:t>
                  </w:r>
                </w:p>
              </w:tc>
            </w:tr>
          </w:tbl>
          <w:p w14:paraId="713694CA"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7D88BBA8" w14:textId="77777777" w:rsidTr="00780911">
              <w:trPr>
                <w:tblCellSpacing w:w="15" w:type="dxa"/>
              </w:trPr>
              <w:tc>
                <w:tcPr>
                  <w:tcW w:w="0" w:type="auto"/>
                  <w:vAlign w:val="center"/>
                  <w:hideMark/>
                </w:tcPr>
                <w:p w14:paraId="55F6F102" w14:textId="77777777" w:rsidR="00E06A6D" w:rsidRPr="00C560CB" w:rsidRDefault="00E06A6D" w:rsidP="0048443F">
                  <w:pPr>
                    <w:framePr w:hSpace="180" w:wrap="around" w:vAnchor="text" w:hAnchor="margin" w:y="174"/>
                    <w:spacing w:after="0" w:line="276" w:lineRule="auto"/>
                    <w:rPr>
                      <w:rFonts w:ascii="Times New Roman" w:hAnsi="Times New Roman" w:cs="Times New Roman"/>
                    </w:rPr>
                  </w:pPr>
                </w:p>
              </w:tc>
            </w:tr>
          </w:tbl>
          <w:p w14:paraId="01940562"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E06A6D" w:rsidRPr="00C560CB" w14:paraId="06C89F4C" w14:textId="77777777" w:rsidTr="003F1D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3" w:type="dxa"/>
          </w:tcPr>
          <w:p w14:paraId="0D6CDAD4" w14:textId="57CD39BB" w:rsidR="00E06A6D" w:rsidRPr="00C560CB" w:rsidRDefault="00902820" w:rsidP="0048443F">
            <w:pPr>
              <w:spacing w:line="276" w:lineRule="auto"/>
              <w:rPr>
                <w:rFonts w:ascii="Times New Roman" w:hAnsi="Times New Roman" w:cs="Times New Roman"/>
                <w:vanish/>
              </w:rPr>
            </w:pPr>
            <w:r w:rsidRPr="00C560CB">
              <w:rPr>
                <w:rFonts w:ascii="Times New Roman" w:hAnsi="Times New Roman" w:cs="Times New Roman"/>
              </w:rPr>
              <w:t>F-statistics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201645BE" w14:textId="77777777" w:rsidTr="00780911">
              <w:trPr>
                <w:tblCellSpacing w:w="15" w:type="dxa"/>
              </w:trPr>
              <w:tc>
                <w:tcPr>
                  <w:tcW w:w="0" w:type="auto"/>
                  <w:vAlign w:val="center"/>
                  <w:hideMark/>
                </w:tcPr>
                <w:p w14:paraId="2413A10D" w14:textId="77777777" w:rsidR="00E06A6D" w:rsidRPr="00C560CB" w:rsidRDefault="00E06A6D" w:rsidP="008C3301">
                  <w:pPr>
                    <w:framePr w:hSpace="180" w:wrap="around" w:vAnchor="text" w:hAnchor="margin" w:y="174"/>
                    <w:spacing w:after="0" w:line="276" w:lineRule="auto"/>
                    <w:rPr>
                      <w:rFonts w:ascii="Times New Roman" w:hAnsi="Times New Roman" w:cs="Times New Roman"/>
                      <w:b/>
                      <w:bCs/>
                    </w:rPr>
                  </w:pPr>
                </w:p>
              </w:tc>
            </w:tr>
          </w:tbl>
          <w:p w14:paraId="2D60C87C" w14:textId="77777777" w:rsidR="00E06A6D" w:rsidRPr="00C560CB" w:rsidRDefault="00E06A6D" w:rsidP="0048443F">
            <w:pPr>
              <w:spacing w:line="276" w:lineRule="auto"/>
              <w:rPr>
                <w:rFonts w:ascii="Times New Roman" w:hAnsi="Times New Roman" w:cs="Times New Roman"/>
              </w:rPr>
            </w:pPr>
          </w:p>
        </w:tc>
        <w:tc>
          <w:tcPr>
            <w:tcW w:w="19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E06A6D" w:rsidRPr="00C560CB" w14:paraId="69541982" w14:textId="77777777" w:rsidTr="00780911">
              <w:trPr>
                <w:tblCellSpacing w:w="15" w:type="dxa"/>
              </w:trPr>
              <w:tc>
                <w:tcPr>
                  <w:tcW w:w="0" w:type="auto"/>
                  <w:vAlign w:val="center"/>
                  <w:hideMark/>
                </w:tcPr>
                <w:p w14:paraId="74F8013B" w14:textId="77777777" w:rsidR="00E06A6D" w:rsidRPr="00C560CB" w:rsidRDefault="00E06A6D" w:rsidP="008C3301">
                  <w:pPr>
                    <w:framePr w:hSpace="180" w:wrap="around" w:vAnchor="text" w:hAnchor="margin" w:y="174"/>
                    <w:spacing w:after="0" w:line="276" w:lineRule="auto"/>
                    <w:rPr>
                      <w:rFonts w:ascii="Times New Roman" w:hAnsi="Times New Roman" w:cs="Times New Roman"/>
                    </w:rPr>
                  </w:pPr>
                  <w:r w:rsidRPr="00C560CB">
                    <w:rPr>
                      <w:rFonts w:ascii="Times New Roman" w:hAnsi="Times New Roman" w:cs="Times New Roman"/>
                    </w:rPr>
                    <w:t>4.076</w:t>
                  </w:r>
                </w:p>
              </w:tc>
            </w:tr>
          </w:tbl>
          <w:p w14:paraId="5A6391C7"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78A79B45" w14:textId="77777777" w:rsidTr="00780911">
              <w:trPr>
                <w:tblCellSpacing w:w="15" w:type="dxa"/>
              </w:trPr>
              <w:tc>
                <w:tcPr>
                  <w:tcW w:w="0" w:type="auto"/>
                  <w:vAlign w:val="center"/>
                  <w:hideMark/>
                </w:tcPr>
                <w:p w14:paraId="38DC5B4E" w14:textId="77777777" w:rsidR="00E06A6D" w:rsidRPr="00C560CB" w:rsidRDefault="00E06A6D" w:rsidP="008C3301">
                  <w:pPr>
                    <w:framePr w:hSpace="180" w:wrap="around" w:vAnchor="text" w:hAnchor="margin" w:y="174"/>
                    <w:spacing w:after="0" w:line="276" w:lineRule="auto"/>
                    <w:rPr>
                      <w:rFonts w:ascii="Times New Roman" w:hAnsi="Times New Roman" w:cs="Times New Roman"/>
                    </w:rPr>
                  </w:pPr>
                </w:p>
              </w:tc>
            </w:tr>
          </w:tbl>
          <w:p w14:paraId="50FCA166"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E06A6D" w:rsidRPr="00C560CB" w14:paraId="33D20534" w14:textId="77777777" w:rsidTr="003F1D02">
        <w:tc>
          <w:tcPr>
            <w:cnfStyle w:val="001000000000" w:firstRow="0" w:lastRow="0" w:firstColumn="1" w:lastColumn="0" w:oddVBand="0" w:evenVBand="0" w:oddHBand="0" w:evenHBand="0" w:firstRowFirstColumn="0" w:firstRowLastColumn="0" w:lastRowFirstColumn="0" w:lastRowLastColumn="0"/>
            <w:tcW w:w="7083" w:type="dxa"/>
          </w:tcPr>
          <w:p w14:paraId="19913113" w14:textId="06C9D10D" w:rsidR="00E06A6D" w:rsidRPr="00C560CB" w:rsidRDefault="00902820" w:rsidP="0048443F">
            <w:pPr>
              <w:spacing w:line="276" w:lineRule="auto"/>
              <w:rPr>
                <w:rFonts w:ascii="Times New Roman" w:hAnsi="Times New Roman" w:cs="Times New Roman"/>
                <w:vanish/>
              </w:rPr>
            </w:pPr>
            <w:r w:rsidRPr="00C560CB">
              <w:rPr>
                <w:rFonts w:ascii="Times New Roman" w:hAnsi="Times New Roman" w:cs="Times New Roman"/>
              </w:rPr>
              <w:t>P-value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13847B17" w14:textId="77777777" w:rsidTr="00780911">
              <w:trPr>
                <w:tblCellSpacing w:w="15" w:type="dxa"/>
              </w:trPr>
              <w:tc>
                <w:tcPr>
                  <w:tcW w:w="0" w:type="auto"/>
                  <w:vAlign w:val="center"/>
                  <w:hideMark/>
                </w:tcPr>
                <w:p w14:paraId="72146570" w14:textId="77777777" w:rsidR="00E06A6D" w:rsidRPr="00C560CB" w:rsidRDefault="00E06A6D" w:rsidP="008C3301">
                  <w:pPr>
                    <w:framePr w:hSpace="180" w:wrap="around" w:vAnchor="text" w:hAnchor="margin" w:y="174"/>
                    <w:spacing w:after="0" w:line="276" w:lineRule="auto"/>
                    <w:rPr>
                      <w:rFonts w:ascii="Times New Roman" w:hAnsi="Times New Roman" w:cs="Times New Roman"/>
                      <w:b/>
                      <w:bCs/>
                    </w:rPr>
                  </w:pPr>
                </w:p>
              </w:tc>
            </w:tr>
          </w:tbl>
          <w:p w14:paraId="0CA7B460" w14:textId="77777777" w:rsidR="00E06A6D" w:rsidRPr="00C560CB" w:rsidRDefault="00E06A6D" w:rsidP="0048443F">
            <w:pPr>
              <w:spacing w:line="276" w:lineRule="auto"/>
              <w:rPr>
                <w:rFonts w:ascii="Times New Roman" w:hAnsi="Times New Roman" w:cs="Times New Roman"/>
              </w:rPr>
            </w:pPr>
          </w:p>
        </w:tc>
        <w:tc>
          <w:tcPr>
            <w:tcW w:w="19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5"/>
            </w:tblGrid>
            <w:tr w:rsidR="00E06A6D" w:rsidRPr="00C560CB" w14:paraId="07D65D11" w14:textId="77777777" w:rsidTr="00780911">
              <w:trPr>
                <w:tblCellSpacing w:w="15" w:type="dxa"/>
              </w:trPr>
              <w:tc>
                <w:tcPr>
                  <w:tcW w:w="0" w:type="auto"/>
                  <w:vAlign w:val="center"/>
                  <w:hideMark/>
                </w:tcPr>
                <w:p w14:paraId="18BF8ECF" w14:textId="77777777" w:rsidR="00E06A6D" w:rsidRPr="00C560CB" w:rsidRDefault="00E06A6D" w:rsidP="008C3301">
                  <w:pPr>
                    <w:framePr w:hSpace="180" w:wrap="around" w:vAnchor="text" w:hAnchor="margin" w:y="174"/>
                    <w:spacing w:after="0" w:line="276" w:lineRule="auto"/>
                    <w:rPr>
                      <w:rFonts w:ascii="Times New Roman" w:hAnsi="Times New Roman" w:cs="Times New Roman"/>
                    </w:rPr>
                  </w:pPr>
                  <w:r w:rsidRPr="00C560CB">
                    <w:rPr>
                      <w:rFonts w:ascii="Times New Roman" w:hAnsi="Times New Roman" w:cs="Times New Roman"/>
                    </w:rPr>
                    <w:t>0.0539</w:t>
                  </w:r>
                </w:p>
              </w:tc>
            </w:tr>
          </w:tbl>
          <w:p w14:paraId="45BCFBB0"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58A713E9" w14:textId="77777777" w:rsidTr="00780911">
              <w:trPr>
                <w:tblCellSpacing w:w="15" w:type="dxa"/>
              </w:trPr>
              <w:tc>
                <w:tcPr>
                  <w:tcW w:w="0" w:type="auto"/>
                  <w:vAlign w:val="center"/>
                  <w:hideMark/>
                </w:tcPr>
                <w:p w14:paraId="7E1076B6" w14:textId="77777777" w:rsidR="00E06A6D" w:rsidRPr="00C560CB" w:rsidRDefault="00E06A6D" w:rsidP="008C3301">
                  <w:pPr>
                    <w:framePr w:hSpace="180" w:wrap="around" w:vAnchor="text" w:hAnchor="margin" w:y="174"/>
                    <w:spacing w:after="0" w:line="276" w:lineRule="auto"/>
                    <w:rPr>
                      <w:rFonts w:ascii="Times New Roman" w:hAnsi="Times New Roman" w:cs="Times New Roman"/>
                    </w:rPr>
                  </w:pPr>
                </w:p>
              </w:tc>
            </w:tr>
          </w:tbl>
          <w:p w14:paraId="1CB3ABC9"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E06A6D" w:rsidRPr="00C560CB" w14:paraId="08EEFBA1" w14:textId="77777777" w:rsidTr="003F1D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8"/>
            </w:tblGrid>
            <w:tr w:rsidR="00902820" w:rsidRPr="00C560CB" w14:paraId="6006FFA9" w14:textId="77777777" w:rsidTr="00277EB5">
              <w:trPr>
                <w:tblCellSpacing w:w="15" w:type="dxa"/>
              </w:trPr>
              <w:tc>
                <w:tcPr>
                  <w:tcW w:w="0" w:type="auto"/>
                  <w:vAlign w:val="center"/>
                  <w:hideMark/>
                </w:tcPr>
                <w:p w14:paraId="16B95BE4" w14:textId="77777777" w:rsidR="00902820" w:rsidRPr="00C560CB" w:rsidRDefault="00902820" w:rsidP="0048443F">
                  <w:pPr>
                    <w:framePr w:hSpace="180" w:wrap="around" w:vAnchor="text" w:hAnchor="margin" w:y="174"/>
                    <w:spacing w:after="0" w:line="276" w:lineRule="auto"/>
                    <w:rPr>
                      <w:rFonts w:ascii="Times New Roman" w:hAnsi="Times New Roman" w:cs="Times New Roman"/>
                      <w:b/>
                      <w:bCs/>
                    </w:rPr>
                  </w:pPr>
                  <w:r w:rsidRPr="00C560CB">
                    <w:rPr>
                      <w:rFonts w:ascii="Times New Roman" w:hAnsi="Times New Roman" w:cs="Times New Roman"/>
                      <w:b/>
                      <w:bCs/>
                    </w:rPr>
                    <w:t>Coefficient (ESG scores)</w:t>
                  </w:r>
                </w:p>
              </w:tc>
            </w:tr>
          </w:tbl>
          <w:p w14:paraId="5B1DA029" w14:textId="77777777" w:rsidR="00E06A6D" w:rsidRPr="00C560CB" w:rsidRDefault="00E06A6D" w:rsidP="0048443F">
            <w:pPr>
              <w:spacing w:line="276" w:lineRule="auto"/>
              <w:rPr>
                <w:rFonts w:ascii="Times New Roman" w:hAnsi="Times New Roman" w:cs="Times New Roman"/>
              </w:rPr>
            </w:pPr>
          </w:p>
        </w:tc>
        <w:tc>
          <w:tcPr>
            <w:tcW w:w="1933" w:type="dxa"/>
          </w:tcPr>
          <w:p w14:paraId="1A9624CE"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C560CB">
              <w:rPr>
                <w:rFonts w:ascii="Times New Roman" w:hAnsi="Times New Roman" w:cs="Times New Roman"/>
              </w:rPr>
              <w:t>-0.7128</w:t>
            </w:r>
          </w:p>
          <w:p w14:paraId="0D0EB97F"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145A113D" w14:textId="77777777" w:rsidR="002C510F" w:rsidRPr="00C560CB" w:rsidRDefault="002C510F"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55C2A141" w14:textId="77777777" w:rsidR="005426A2" w:rsidRPr="00C560CB" w:rsidRDefault="005426A2" w:rsidP="0048443F">
      <w:pPr>
        <w:spacing w:line="276" w:lineRule="auto"/>
        <w:rPr>
          <w:rFonts w:ascii="Times New Roman" w:hAnsi="Times New Roman" w:cs="Times New Roman"/>
        </w:rPr>
      </w:pPr>
    </w:p>
    <w:p w14:paraId="46817604" w14:textId="52B54603" w:rsidR="00DA5402" w:rsidRPr="00C560CB" w:rsidRDefault="00D22E17" w:rsidP="0048443F">
      <w:pPr>
        <w:spacing w:line="276" w:lineRule="auto"/>
        <w:jc w:val="both"/>
        <w:rPr>
          <w:rFonts w:ascii="Times New Roman" w:hAnsi="Times New Roman" w:cs="Times New Roman"/>
        </w:rPr>
      </w:pPr>
      <w:r w:rsidRPr="00C560CB">
        <w:rPr>
          <w:rFonts w:ascii="Times New Roman" w:hAnsi="Times New Roman" w:cs="Times New Roman"/>
        </w:rPr>
        <w:t xml:space="preserve">The regression model yielded an R-squared value of 0.136, indicating that 13.6% of the variation in stock volatility can be explained by ESG scores. The adjusted R-squared value of 0.102 further refines </w:t>
      </w:r>
      <w:r w:rsidRPr="00C560CB">
        <w:rPr>
          <w:rFonts w:ascii="Times New Roman" w:hAnsi="Times New Roman" w:cs="Times New Roman"/>
        </w:rPr>
        <w:lastRenderedPageBreak/>
        <w:t>this, accounting for the model complexity. The F-statistic was 4.076 with a p-value of 0.0539, suggesting that the relationship between ESG scores and stock volatility is weak, though it is close to the significance threshold of 0.05.</w:t>
      </w:r>
      <w:r w:rsidR="009D689B" w:rsidRPr="00C560CB">
        <w:rPr>
          <w:rFonts w:ascii="Times New Roman" w:hAnsi="Times New Roman" w:cs="Times New Roman"/>
        </w:rPr>
        <w:t xml:space="preserve"> The coefficient for ESG scores was -0.7128, implying that higher ESG scores are associated with a slight decrease in stock volatility. This means that as companies improve their ESG practices, their stock becomes slightly less volatile. However, the p-value for ESG scores was 0.054, indicating that this relationship is marginally significant.</w:t>
      </w:r>
    </w:p>
    <w:p w14:paraId="7F5DE53C" w14:textId="77777777" w:rsidR="00E74A36" w:rsidRPr="00C560CB" w:rsidRDefault="00E74A36" w:rsidP="0048443F">
      <w:pPr>
        <w:spacing w:line="276" w:lineRule="auto"/>
        <w:rPr>
          <w:rFonts w:ascii="Times New Roman" w:hAnsi="Times New Roman" w:cs="Times New Roman"/>
        </w:rPr>
      </w:pPr>
    </w:p>
    <w:p w14:paraId="0D0C5926" w14:textId="0A134F60" w:rsidR="00E74A36" w:rsidRPr="00C560CB" w:rsidRDefault="00E50C0B" w:rsidP="0048443F">
      <w:pPr>
        <w:pStyle w:val="Heading3"/>
        <w:spacing w:line="276" w:lineRule="auto"/>
        <w:rPr>
          <w:rFonts w:ascii="Times New Roman" w:hAnsi="Times New Roman" w:cs="Times New Roman"/>
        </w:rPr>
      </w:pPr>
      <w:bookmarkStart w:id="61" w:name="_Toc179724819"/>
      <w:r w:rsidRPr="00C560CB">
        <w:rPr>
          <w:rFonts w:ascii="Times New Roman" w:hAnsi="Times New Roman" w:cs="Times New Roman"/>
        </w:rPr>
        <w:t>1.2.1</w:t>
      </w:r>
      <w:r w:rsidR="00677652" w:rsidRPr="00C560CB">
        <w:rPr>
          <w:rFonts w:ascii="Times New Roman" w:hAnsi="Times New Roman" w:cs="Times New Roman"/>
        </w:rPr>
        <w:t>Sectoral Analysis</w:t>
      </w:r>
      <w:bookmarkEnd w:id="61"/>
    </w:p>
    <w:p w14:paraId="40DF63DA" w14:textId="60C236AA" w:rsidR="00677652" w:rsidRPr="00C560CB" w:rsidRDefault="00ED2EA3" w:rsidP="0048443F">
      <w:pPr>
        <w:spacing w:line="276" w:lineRule="auto"/>
        <w:jc w:val="both"/>
        <w:rPr>
          <w:rFonts w:ascii="Times New Roman" w:hAnsi="Times New Roman" w:cs="Times New Roman"/>
        </w:rPr>
      </w:pPr>
      <w:r w:rsidRPr="00C560CB">
        <w:rPr>
          <w:rFonts w:ascii="Times New Roman" w:hAnsi="Times New Roman" w:cs="Times New Roman"/>
        </w:rPr>
        <w:t>The scatter plot analysis revealed that the relationship between ESG scores and stock volatility varies by sector. For example, companies in the energy sector showed higher ESG scores but maintained relatively high stock volatility, possibly due to industry-specific risks. In contrast, technology companies with lower ESG scores exhibited more stable stock prices. This suggests that the impact of ESG scores on volatility is not uniform across industries.</w:t>
      </w:r>
    </w:p>
    <w:p w14:paraId="72CC0B92" w14:textId="77777777" w:rsidR="00ED2EA3" w:rsidRPr="00C560CB" w:rsidRDefault="00ED2EA3" w:rsidP="0048443F">
      <w:pPr>
        <w:pStyle w:val="Caption"/>
        <w:spacing w:line="276" w:lineRule="auto"/>
        <w:rPr>
          <w:rFonts w:ascii="Times New Roman" w:hAnsi="Times New Roman" w:cs="Times New Roman"/>
        </w:rPr>
      </w:pPr>
    </w:p>
    <w:p w14:paraId="7607A8F9" w14:textId="6A269121" w:rsidR="00677652" w:rsidRPr="00C560CB" w:rsidRDefault="00ED2EA3" w:rsidP="0048443F">
      <w:pPr>
        <w:pStyle w:val="Caption"/>
        <w:spacing w:line="276" w:lineRule="auto"/>
        <w:rPr>
          <w:rFonts w:ascii="Times New Roman" w:hAnsi="Times New Roman" w:cs="Times New Roman"/>
        </w:rPr>
      </w:pPr>
      <w:bookmarkStart w:id="62" w:name="_Toc178693132"/>
      <w:r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7</w:t>
      </w:r>
      <w:r w:rsidR="005F0A68" w:rsidRPr="00C560CB">
        <w:rPr>
          <w:rFonts w:ascii="Times New Roman" w:hAnsi="Times New Roman" w:cs="Times New Roman"/>
        </w:rPr>
        <w:fldChar w:fldCharType="end"/>
      </w:r>
      <w:r w:rsidRPr="00C560CB">
        <w:rPr>
          <w:rFonts w:ascii="Times New Roman" w:hAnsi="Times New Roman" w:cs="Times New Roman"/>
        </w:rPr>
        <w:t xml:space="preserve"> </w:t>
      </w:r>
      <w:r w:rsidR="00672DCC" w:rsidRPr="00C560CB">
        <w:rPr>
          <w:rFonts w:ascii="Times New Roman" w:hAnsi="Times New Roman" w:cs="Times New Roman"/>
        </w:rPr>
        <w:t xml:space="preserve"> ESG Scores and Stock Volatility: A Sectoral Comparison</w:t>
      </w:r>
      <w:bookmarkEnd w:id="62"/>
    </w:p>
    <w:p w14:paraId="216A3BAE" w14:textId="0C13B3BD" w:rsidR="00677652" w:rsidRPr="00C560CB" w:rsidRDefault="00ED2EA3" w:rsidP="0048443F">
      <w:pPr>
        <w:spacing w:line="276" w:lineRule="auto"/>
        <w:rPr>
          <w:rFonts w:ascii="Times New Roman" w:hAnsi="Times New Roman" w:cs="Times New Roman"/>
        </w:rPr>
      </w:pPr>
      <w:r w:rsidRPr="00C560CB">
        <w:rPr>
          <w:rFonts w:ascii="Times New Roman" w:hAnsi="Times New Roman" w:cs="Times New Roman"/>
          <w:noProof/>
          <w14:ligatures w14:val="standardContextual"/>
        </w:rPr>
        <w:drawing>
          <wp:anchor distT="0" distB="0" distL="114300" distR="114300" simplePos="0" relativeHeight="251669506" behindDoc="0" locked="0" layoutInCell="1" allowOverlap="1" wp14:anchorId="5004ECC4" wp14:editId="4D98A34E">
            <wp:simplePos x="0" y="0"/>
            <wp:positionH relativeFrom="margin">
              <wp:align>center</wp:align>
            </wp:positionH>
            <wp:positionV relativeFrom="paragraph">
              <wp:posOffset>182245</wp:posOffset>
            </wp:positionV>
            <wp:extent cx="3619500" cy="2554605"/>
            <wp:effectExtent l="0" t="0" r="0" b="0"/>
            <wp:wrapSquare wrapText="bothSides"/>
            <wp:docPr id="232214418" name="Picture 3" descr="A graph with colo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14418" name="Picture 3" descr="A graph with colored dot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19500" cy="2554605"/>
                    </a:xfrm>
                    <a:prstGeom prst="rect">
                      <a:avLst/>
                    </a:prstGeom>
                  </pic:spPr>
                </pic:pic>
              </a:graphicData>
            </a:graphic>
            <wp14:sizeRelH relativeFrom="margin">
              <wp14:pctWidth>0</wp14:pctWidth>
            </wp14:sizeRelH>
            <wp14:sizeRelV relativeFrom="margin">
              <wp14:pctHeight>0</wp14:pctHeight>
            </wp14:sizeRelV>
          </wp:anchor>
        </w:drawing>
      </w:r>
    </w:p>
    <w:p w14:paraId="783E6529" w14:textId="60B14793" w:rsidR="00DA5402" w:rsidRPr="00C560CB" w:rsidRDefault="00DA5402" w:rsidP="0048443F">
      <w:pPr>
        <w:spacing w:line="276" w:lineRule="auto"/>
        <w:rPr>
          <w:rFonts w:ascii="Times New Roman" w:hAnsi="Times New Roman" w:cs="Times New Roman"/>
        </w:rPr>
      </w:pPr>
    </w:p>
    <w:p w14:paraId="1945BA8B" w14:textId="77777777" w:rsidR="00DA5402" w:rsidRPr="00C560CB" w:rsidRDefault="00DA5402" w:rsidP="0048443F">
      <w:pPr>
        <w:spacing w:line="276" w:lineRule="auto"/>
        <w:rPr>
          <w:rFonts w:ascii="Times New Roman" w:hAnsi="Times New Roman" w:cs="Times New Roman"/>
        </w:rPr>
      </w:pPr>
    </w:p>
    <w:p w14:paraId="0B3B7773" w14:textId="77777777" w:rsidR="00DA5402" w:rsidRPr="00C560CB" w:rsidRDefault="00DA5402" w:rsidP="0048443F">
      <w:pPr>
        <w:spacing w:line="276" w:lineRule="auto"/>
        <w:rPr>
          <w:rFonts w:ascii="Times New Roman" w:hAnsi="Times New Roman" w:cs="Times New Roman"/>
        </w:rPr>
      </w:pPr>
    </w:p>
    <w:p w14:paraId="66160724" w14:textId="77777777" w:rsidR="00DA5402" w:rsidRPr="00C560CB" w:rsidRDefault="00DA5402" w:rsidP="0048443F">
      <w:pPr>
        <w:spacing w:line="276" w:lineRule="auto"/>
        <w:rPr>
          <w:rFonts w:ascii="Times New Roman" w:hAnsi="Times New Roman" w:cs="Times New Roman"/>
        </w:rPr>
      </w:pPr>
    </w:p>
    <w:p w14:paraId="4A4CE49A" w14:textId="77777777" w:rsidR="00DA5402" w:rsidRPr="00C560CB" w:rsidRDefault="00DA5402" w:rsidP="0048443F">
      <w:pPr>
        <w:spacing w:line="276" w:lineRule="auto"/>
        <w:rPr>
          <w:rFonts w:ascii="Times New Roman" w:hAnsi="Times New Roman" w:cs="Times New Roman"/>
        </w:rPr>
      </w:pPr>
    </w:p>
    <w:p w14:paraId="03F383DE" w14:textId="77777777" w:rsidR="00DA5402" w:rsidRPr="00C560CB" w:rsidRDefault="00DA5402" w:rsidP="0048443F">
      <w:pPr>
        <w:spacing w:line="276" w:lineRule="auto"/>
        <w:rPr>
          <w:rFonts w:ascii="Times New Roman" w:hAnsi="Times New Roman" w:cs="Times New Roman"/>
        </w:rPr>
      </w:pPr>
    </w:p>
    <w:p w14:paraId="6B7AF2ED" w14:textId="77777777" w:rsidR="00DA5402" w:rsidRPr="00C560CB" w:rsidRDefault="00DA5402" w:rsidP="0048443F">
      <w:pPr>
        <w:spacing w:line="276" w:lineRule="auto"/>
        <w:rPr>
          <w:rFonts w:ascii="Times New Roman" w:hAnsi="Times New Roman" w:cs="Times New Roman"/>
        </w:rPr>
      </w:pPr>
    </w:p>
    <w:p w14:paraId="65A36045" w14:textId="77777777" w:rsidR="00DA5402" w:rsidRPr="00C560CB" w:rsidRDefault="00DA5402" w:rsidP="0048443F">
      <w:pPr>
        <w:spacing w:line="276" w:lineRule="auto"/>
        <w:rPr>
          <w:rFonts w:ascii="Times New Roman" w:hAnsi="Times New Roman" w:cs="Times New Roman"/>
        </w:rPr>
      </w:pPr>
    </w:p>
    <w:p w14:paraId="6F07C445" w14:textId="77777777" w:rsidR="00DA5402" w:rsidRPr="00C560CB" w:rsidRDefault="00DA5402" w:rsidP="0048443F">
      <w:pPr>
        <w:spacing w:line="276" w:lineRule="auto"/>
        <w:rPr>
          <w:rFonts w:ascii="Times New Roman" w:hAnsi="Times New Roman" w:cs="Times New Roman"/>
        </w:rPr>
      </w:pPr>
    </w:p>
    <w:p w14:paraId="2FAEC6C8" w14:textId="49D9399A" w:rsidR="00ED2EA3" w:rsidRPr="00C560CB" w:rsidRDefault="00ED2EA3"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22030EB6" w14:textId="77777777" w:rsidR="00951306" w:rsidRPr="00C560CB" w:rsidRDefault="00951306" w:rsidP="0048443F">
      <w:pPr>
        <w:spacing w:line="276" w:lineRule="auto"/>
        <w:rPr>
          <w:rFonts w:ascii="Times New Roman" w:hAnsi="Times New Roman" w:cs="Times New Roman"/>
        </w:rPr>
      </w:pPr>
    </w:p>
    <w:p w14:paraId="306D0B68" w14:textId="6191CB6A" w:rsidR="00677652" w:rsidRPr="00C560CB" w:rsidRDefault="005A40E1" w:rsidP="0048443F">
      <w:pPr>
        <w:spacing w:line="276" w:lineRule="auto"/>
        <w:jc w:val="both"/>
        <w:rPr>
          <w:rFonts w:ascii="Times New Roman" w:hAnsi="Times New Roman" w:cs="Times New Roman"/>
        </w:rPr>
      </w:pPr>
      <w:r w:rsidRPr="00C560CB">
        <w:rPr>
          <w:rFonts w:ascii="Times New Roman" w:hAnsi="Times New Roman" w:cs="Times New Roman"/>
        </w:rPr>
        <w:t>As illustrated in Figure 7, there is a negative correlation between ESG scores and stock volatility for most sectors, though the strength of this relationship varies. The energy and consumer goods sectors display a relatively weak correlation, while the technology sector demonstrates a stronger inverse relationship between ESG scores and volatility.</w:t>
      </w:r>
    </w:p>
    <w:p w14:paraId="21557574" w14:textId="1A290F74" w:rsidR="00677652" w:rsidRPr="00C560CB" w:rsidRDefault="00B64A7D" w:rsidP="0048443F">
      <w:pPr>
        <w:spacing w:line="276" w:lineRule="auto"/>
        <w:jc w:val="both"/>
        <w:rPr>
          <w:rFonts w:ascii="Times New Roman" w:hAnsi="Times New Roman" w:cs="Times New Roman"/>
        </w:rPr>
      </w:pPr>
      <w:r w:rsidRPr="00C560CB">
        <w:rPr>
          <w:rFonts w:ascii="Times New Roman" w:hAnsi="Times New Roman" w:cs="Times New Roman"/>
        </w:rPr>
        <w:t xml:space="preserve">Overall, the analysis suggests that while there is a marginally significant negative relationship between ESG scores and stock volatility, the strength of this relationship varies by sector. Higher ESG scores tend to reduce volatility slightly, but this effect is more pronounced in some sectors than others. This finding aligns with previous research, such as </w:t>
      </w:r>
      <w:r w:rsidR="00841622" w:rsidRPr="00C560CB">
        <w:rPr>
          <w:rFonts w:ascii="Times New Roman" w:hAnsi="Times New Roman" w:cs="Times New Roman"/>
        </w:rPr>
        <w:t xml:space="preserve">(Le Sourd, </w:t>
      </w:r>
      <w:r w:rsidR="00FB1359" w:rsidRPr="00C560CB">
        <w:rPr>
          <w:rFonts w:ascii="Times New Roman" w:hAnsi="Times New Roman" w:cs="Times New Roman"/>
        </w:rPr>
        <w:t>2022) De</w:t>
      </w:r>
      <w:r w:rsidRPr="00C560CB">
        <w:rPr>
          <w:rFonts w:ascii="Times New Roman" w:hAnsi="Times New Roman" w:cs="Times New Roman"/>
        </w:rPr>
        <w:t xml:space="preserve"> and Clayman 2015)</w:t>
      </w:r>
      <w:r w:rsidR="00FB1359" w:rsidRPr="00C560CB">
        <w:rPr>
          <w:rFonts w:ascii="Times New Roman" w:hAnsi="Times New Roman" w:cs="Times New Roman"/>
        </w:rPr>
        <w:t>)</w:t>
      </w:r>
      <w:r w:rsidRPr="00C560CB">
        <w:rPr>
          <w:rFonts w:ascii="Times New Roman" w:hAnsi="Times New Roman" w:cs="Times New Roman"/>
        </w:rPr>
        <w:t>, who demonstrated that companies with higher ESG ratings tend to exhibit lower volatility, particularly during periods of heightened market uncertainty​</w:t>
      </w:r>
      <w:r w:rsidR="00EC2485" w:rsidRPr="00C560CB">
        <w:rPr>
          <w:rFonts w:ascii="Times New Roman" w:hAnsi="Times New Roman" w:cs="Times New Roman"/>
        </w:rPr>
        <w:t xml:space="preserve">. Similarly, </w:t>
      </w:r>
      <w:r w:rsidR="001803BF" w:rsidRPr="00C560CB">
        <w:rPr>
          <w:rFonts w:ascii="Times New Roman" w:hAnsi="Times New Roman" w:cs="Times New Roman"/>
        </w:rPr>
        <w:t>(Chen and Ying, 2023)</w:t>
      </w:r>
      <w:r w:rsidR="00EC2485" w:rsidRPr="00C560CB">
        <w:rPr>
          <w:rFonts w:ascii="Times New Roman" w:hAnsi="Times New Roman" w:cs="Times New Roman"/>
        </w:rPr>
        <w:t xml:space="preserve"> found that firms </w:t>
      </w:r>
      <w:r w:rsidR="00EC2485" w:rsidRPr="00C560CB">
        <w:rPr>
          <w:rFonts w:ascii="Times New Roman" w:hAnsi="Times New Roman" w:cs="Times New Roman"/>
        </w:rPr>
        <w:lastRenderedPageBreak/>
        <w:t>with strong ESG performance are less prone to stock price fluctuations, especially in sectors with higher exposure to environmental risks</w:t>
      </w:r>
      <w:r w:rsidR="004F62CE" w:rsidRPr="00C560CB">
        <w:rPr>
          <w:rFonts w:ascii="Times New Roman" w:hAnsi="Times New Roman" w:cs="Times New Roman"/>
        </w:rPr>
        <w:t>. These findings contribute to the ongoing debate about the financial benefits of ESG practices, indicating that sector-specific factors may influence how ESG scores affect market performance.</w:t>
      </w:r>
    </w:p>
    <w:p w14:paraId="7BACB16D" w14:textId="37F56CC4" w:rsidR="00677652" w:rsidRPr="00C560CB" w:rsidRDefault="00946615" w:rsidP="0048443F">
      <w:pPr>
        <w:spacing w:line="276" w:lineRule="auto"/>
        <w:jc w:val="both"/>
        <w:rPr>
          <w:rFonts w:ascii="Times New Roman" w:hAnsi="Times New Roman" w:cs="Times New Roman"/>
        </w:rPr>
      </w:pPr>
      <w:r w:rsidRPr="00C560CB">
        <w:rPr>
          <w:rFonts w:ascii="Times New Roman" w:hAnsi="Times New Roman" w:cs="Times New Roman"/>
        </w:rPr>
        <w:t xml:space="preserve">One limitation of this analysis is the relatively small sample size of 28 companies, which may reduce the robustness of the findings. Additionally, the model explains only 13.6% of the variance in stock volatility, indicating that other factors beyond ESG scores likely play a significant role in determining market </w:t>
      </w:r>
      <w:r w:rsidR="003725AA" w:rsidRPr="00C560CB">
        <w:rPr>
          <w:rFonts w:ascii="Times New Roman" w:hAnsi="Times New Roman" w:cs="Times New Roman"/>
        </w:rPr>
        <w:t>behaviour</w:t>
      </w:r>
      <w:r w:rsidRPr="00C560CB">
        <w:rPr>
          <w:rFonts w:ascii="Times New Roman" w:hAnsi="Times New Roman" w:cs="Times New Roman"/>
        </w:rPr>
        <w:t xml:space="preserve">. This observation is supported by </w:t>
      </w:r>
      <w:r w:rsidR="003725AA" w:rsidRPr="00C560CB">
        <w:rPr>
          <w:rFonts w:ascii="Times New Roman" w:hAnsi="Times New Roman" w:cs="Times New Roman"/>
        </w:rPr>
        <w:t>(Le Sourd, 2022),</w:t>
      </w:r>
      <w:r w:rsidRPr="00C560CB">
        <w:rPr>
          <w:rFonts w:ascii="Times New Roman" w:hAnsi="Times New Roman" w:cs="Times New Roman"/>
        </w:rPr>
        <w:t xml:space="preserve"> which found that while ESG ratings can reduce specific risks, they are just one element in a complex web of factors affecting financial performance</w:t>
      </w:r>
      <w:r w:rsidR="000A6064" w:rsidRPr="00C560CB">
        <w:rPr>
          <w:rFonts w:ascii="Times New Roman" w:hAnsi="Times New Roman" w:cs="Times New Roman"/>
        </w:rPr>
        <w:t>. In conclusion, ESG scores appear to have a marginally significant negative impact on stock volatility, with higher ESG scores leading to slightly more stable stock prices. However, the relationship is weak and varies by sector, suggesting that industry-specific factors play a crucial role in determining how ESG practices influence market behaviour.</w:t>
      </w:r>
    </w:p>
    <w:p w14:paraId="26FCB497" w14:textId="77777777" w:rsidR="00B0531E" w:rsidRPr="00C560CB" w:rsidRDefault="00B0531E" w:rsidP="0048443F">
      <w:pPr>
        <w:spacing w:line="276" w:lineRule="auto"/>
        <w:jc w:val="both"/>
        <w:rPr>
          <w:rFonts w:ascii="Times New Roman" w:hAnsi="Times New Roman" w:cs="Times New Roman"/>
        </w:rPr>
      </w:pPr>
    </w:p>
    <w:p w14:paraId="48D69DB0" w14:textId="7B9179F9" w:rsidR="00FD1D1C" w:rsidRPr="00C560CB" w:rsidRDefault="00B0531E" w:rsidP="0048443F">
      <w:pPr>
        <w:pStyle w:val="Heading2"/>
        <w:spacing w:line="276" w:lineRule="auto"/>
        <w:rPr>
          <w:rFonts w:ascii="Times New Roman" w:hAnsi="Times New Roman" w:cs="Times New Roman"/>
        </w:rPr>
      </w:pPr>
      <w:bookmarkStart w:id="63" w:name="_Toc179724820"/>
      <w:r w:rsidRPr="00C560CB">
        <w:rPr>
          <w:rFonts w:ascii="Times New Roman" w:hAnsi="Times New Roman" w:cs="Times New Roman"/>
        </w:rPr>
        <w:t>1.3</w:t>
      </w:r>
      <w:r w:rsidR="00B77CC4" w:rsidRPr="00C560CB">
        <w:rPr>
          <w:rFonts w:ascii="Times New Roman" w:hAnsi="Times New Roman" w:cs="Times New Roman"/>
        </w:rPr>
        <w:t xml:space="preserve"> </w:t>
      </w:r>
      <w:r w:rsidR="00FD1D1C" w:rsidRPr="00C560CB">
        <w:rPr>
          <w:rFonts w:ascii="Times New Roman" w:hAnsi="Times New Roman" w:cs="Times New Roman"/>
        </w:rPr>
        <w:t>The Role of Social Factors in Shaping Investor Perceptions and Stock Performance</w:t>
      </w:r>
      <w:bookmarkEnd w:id="63"/>
    </w:p>
    <w:p w14:paraId="0BC28F31" w14:textId="77777777" w:rsidR="00907B4D" w:rsidRPr="00C560CB" w:rsidRDefault="00907B4D" w:rsidP="00907B4D">
      <w:pPr>
        <w:rPr>
          <w:rFonts w:ascii="Times New Roman" w:hAnsi="Times New Roman" w:cs="Times New Roman"/>
        </w:rPr>
      </w:pPr>
    </w:p>
    <w:p w14:paraId="0E6211FF" w14:textId="77777777" w:rsidR="00907B4D" w:rsidRPr="00C560CB" w:rsidRDefault="00907B4D" w:rsidP="00907B4D">
      <w:pPr>
        <w:spacing w:line="276" w:lineRule="auto"/>
        <w:jc w:val="both"/>
        <w:rPr>
          <w:rFonts w:ascii="Times New Roman" w:hAnsi="Times New Roman" w:cs="Times New Roman"/>
        </w:rPr>
      </w:pPr>
      <w:r w:rsidRPr="00C560CB">
        <w:rPr>
          <w:rFonts w:ascii="Times New Roman" w:hAnsi="Times New Roman" w:cs="Times New Roman"/>
        </w:rPr>
        <w:t>The role of social factors, such as labour practices and community engagement, in shaping financial performance remains understudied in industry-specific contexts. This leads to the research question: In what ways do social factors, including labour practices and community involvement, shape investor perceptions and influence stock performance across industries?</w:t>
      </w:r>
    </w:p>
    <w:p w14:paraId="7AE3C0A2" w14:textId="0F7AE749" w:rsidR="00907B4D" w:rsidRPr="00C560CB" w:rsidRDefault="00907B4D" w:rsidP="00907B4D">
      <w:pPr>
        <w:spacing w:line="276" w:lineRule="auto"/>
        <w:jc w:val="both"/>
        <w:rPr>
          <w:rFonts w:ascii="Times New Roman" w:hAnsi="Times New Roman" w:cs="Times New Roman"/>
          <w:b/>
          <w:bCs/>
        </w:rPr>
      </w:pPr>
      <w:r w:rsidRPr="00C560CB">
        <w:rPr>
          <w:rFonts w:ascii="Times New Roman" w:hAnsi="Times New Roman" w:cs="Times New Roman"/>
          <w:b/>
          <w:bCs/>
        </w:rPr>
        <w:t>H3: Social factors such as labour practices and community engagement positively impact stock performance and investor perceptions</w:t>
      </w:r>
    </w:p>
    <w:p w14:paraId="3B1C5CE6" w14:textId="06DA3C27" w:rsidR="00677652" w:rsidRPr="00C560CB" w:rsidRDefault="00F1369F" w:rsidP="0048443F">
      <w:pPr>
        <w:spacing w:line="276" w:lineRule="auto"/>
        <w:jc w:val="both"/>
        <w:rPr>
          <w:rFonts w:ascii="Times New Roman" w:hAnsi="Times New Roman" w:cs="Times New Roman"/>
        </w:rPr>
      </w:pPr>
      <w:r w:rsidRPr="00C560CB">
        <w:rPr>
          <w:rFonts w:ascii="Times New Roman" w:hAnsi="Times New Roman" w:cs="Times New Roman"/>
        </w:rPr>
        <w:t>Social</w:t>
      </w:r>
      <w:r w:rsidR="002C4259" w:rsidRPr="00C560CB">
        <w:rPr>
          <w:rFonts w:ascii="Times New Roman" w:hAnsi="Times New Roman" w:cs="Times New Roman"/>
        </w:rPr>
        <w:t xml:space="preserve"> factors in the ESG framework encompass labour practices and community involvement, which have been critical toward investors' perception and, consequently, stock performance. Investors, over time, seem to realize that such aspects are indeed indicative of long-term signals concerning a company's approach toward sustainability and risk management. According to studies, a firm with very good labour practices for example, paying good wages, proper safety in working conditions, and maintaining employee satisfaction actually enjoys greater confidence from investors and usually does better in the stock market.</w:t>
      </w:r>
    </w:p>
    <w:p w14:paraId="261A85E8" w14:textId="2713DF9E" w:rsidR="002E28FA" w:rsidRPr="00C560CB" w:rsidRDefault="00B525CB" w:rsidP="0048443F">
      <w:pPr>
        <w:spacing w:line="276" w:lineRule="auto"/>
        <w:jc w:val="both"/>
        <w:rPr>
          <w:rFonts w:ascii="Times New Roman" w:hAnsi="Times New Roman" w:cs="Times New Roman"/>
        </w:rPr>
      </w:pPr>
      <w:r w:rsidRPr="00C560CB">
        <w:rPr>
          <w:rFonts w:ascii="Times New Roman" w:hAnsi="Times New Roman" w:cs="Times New Roman"/>
        </w:rPr>
        <w:t xml:space="preserve">Author </w:t>
      </w:r>
      <w:r w:rsidR="00720975" w:rsidRPr="00C560CB">
        <w:rPr>
          <w:rFonts w:ascii="Times New Roman" w:hAnsi="Times New Roman" w:cs="Times New Roman"/>
        </w:rPr>
        <w:t>(Chen et al., 2023)</w:t>
      </w:r>
      <w:r w:rsidR="002E28FA" w:rsidRPr="00C560CB">
        <w:rPr>
          <w:rFonts w:ascii="Times New Roman" w:eastAsia="Times New Roman" w:hAnsi="Times New Roman" w:cs="Times New Roman"/>
          <w:sz w:val="24"/>
          <w:szCs w:val="24"/>
          <w:lang w:eastAsia="en-GB"/>
        </w:rPr>
        <w:t xml:space="preserve"> </w:t>
      </w:r>
      <w:r w:rsidR="00E76D9E" w:rsidRPr="00C560CB">
        <w:rPr>
          <w:rFonts w:ascii="Times New Roman" w:hAnsi="Times New Roman" w:cs="Times New Roman"/>
        </w:rPr>
        <w:t>demonstrate</w:t>
      </w:r>
      <w:r w:rsidR="00653AD0" w:rsidRPr="00C560CB">
        <w:rPr>
          <w:rFonts w:ascii="Times New Roman" w:hAnsi="Times New Roman" w:cs="Times New Roman"/>
        </w:rPr>
        <w:t>s</w:t>
      </w:r>
      <w:r w:rsidR="002E28FA" w:rsidRPr="00C560CB">
        <w:rPr>
          <w:rFonts w:ascii="Times New Roman" w:hAnsi="Times New Roman" w:cs="Times New Roman"/>
        </w:rPr>
        <w:t xml:space="preserve"> how labour protection regulations can influence managerial decisions such as withholding negative information, often leading to increased stock price crash risk. The study's empirical findings show that countries with weaker labour protection regulations tend to have lower levels of future stock price crash risk. This suggests that when employees face less job security, they are more likely to actively search for and disclose internal company information, thus pre-empting managerial bad news hoarding and reducing stock price crash risk.</w:t>
      </w:r>
    </w:p>
    <w:p w14:paraId="428E1B35" w14:textId="7C12CE7B" w:rsidR="002E28FA" w:rsidRPr="00C560CB" w:rsidRDefault="00611B2B" w:rsidP="0048443F">
      <w:pPr>
        <w:spacing w:line="276" w:lineRule="auto"/>
        <w:jc w:val="both"/>
        <w:rPr>
          <w:rFonts w:ascii="Times New Roman" w:hAnsi="Times New Roman" w:cs="Times New Roman"/>
        </w:rPr>
      </w:pPr>
      <w:r w:rsidRPr="00C560CB">
        <w:rPr>
          <w:rFonts w:ascii="Times New Roman" w:hAnsi="Times New Roman" w:cs="Times New Roman"/>
        </w:rPr>
        <w:t xml:space="preserve">Moreover, corporate financial decisions are significantly shaped by labour market risks, especially in labour-intensive industries. According to </w:t>
      </w:r>
      <w:r w:rsidR="00B72259" w:rsidRPr="00C560CB">
        <w:rPr>
          <w:rFonts w:ascii="Times New Roman" w:hAnsi="Times New Roman" w:cs="Times New Roman"/>
        </w:rPr>
        <w:t>(Agrawal and Matsa, 2013)</w:t>
      </w:r>
      <w:r w:rsidRPr="00C560CB">
        <w:rPr>
          <w:rFonts w:ascii="Times New Roman" w:hAnsi="Times New Roman" w:cs="Times New Roman"/>
        </w:rPr>
        <w:t xml:space="preserve">, firms tend to adopt conservative financial policies to mitigate workers' exposure to unemployment risk. Higher unemployment benefits reduce this risk, allowing firms to increase their leverage without exacerbating workers' vulnerability. This relationship is particularly pronounced in financially constrained firms and sectors with high layoff separation rates, where improved </w:t>
      </w:r>
      <w:r w:rsidR="00E76D9E" w:rsidRPr="00C560CB">
        <w:rPr>
          <w:rFonts w:ascii="Times New Roman" w:hAnsi="Times New Roman" w:cs="Times New Roman"/>
        </w:rPr>
        <w:t>labour</w:t>
      </w:r>
      <w:r w:rsidRPr="00C560CB">
        <w:rPr>
          <w:rFonts w:ascii="Times New Roman" w:hAnsi="Times New Roman" w:cs="Times New Roman"/>
        </w:rPr>
        <w:t xml:space="preserve"> protection not only enhances corporate resilience but also </w:t>
      </w:r>
      <w:r w:rsidRPr="00C560CB">
        <w:rPr>
          <w:rFonts w:ascii="Times New Roman" w:hAnsi="Times New Roman" w:cs="Times New Roman"/>
        </w:rPr>
        <w:lastRenderedPageBreak/>
        <w:t xml:space="preserve">attracts positive investor sentiment by </w:t>
      </w:r>
      <w:r w:rsidR="00E76D9E" w:rsidRPr="00C560CB">
        <w:rPr>
          <w:rFonts w:ascii="Times New Roman" w:hAnsi="Times New Roman" w:cs="Times New Roman"/>
        </w:rPr>
        <w:t>signalling</w:t>
      </w:r>
      <w:r w:rsidRPr="00C560CB">
        <w:rPr>
          <w:rFonts w:ascii="Times New Roman" w:hAnsi="Times New Roman" w:cs="Times New Roman"/>
        </w:rPr>
        <w:t xml:space="preserve"> effective risk </w:t>
      </w:r>
      <w:r w:rsidR="00E76D9E" w:rsidRPr="00C560CB">
        <w:rPr>
          <w:rFonts w:ascii="Times New Roman" w:hAnsi="Times New Roman" w:cs="Times New Roman"/>
        </w:rPr>
        <w:t xml:space="preserve">management​. </w:t>
      </w:r>
      <w:r w:rsidR="002E28FA" w:rsidRPr="00C560CB">
        <w:rPr>
          <w:rFonts w:ascii="Times New Roman" w:hAnsi="Times New Roman" w:cs="Times New Roman"/>
        </w:rPr>
        <w:t xml:space="preserve">This finding illustrates that </w:t>
      </w:r>
      <w:r w:rsidR="00E76D9E" w:rsidRPr="00C560CB">
        <w:rPr>
          <w:rFonts w:ascii="Times New Roman" w:hAnsi="Times New Roman" w:cs="Times New Roman"/>
        </w:rPr>
        <w:t>labour</w:t>
      </w:r>
      <w:r w:rsidR="002E28FA" w:rsidRPr="00C560CB">
        <w:rPr>
          <w:rFonts w:ascii="Times New Roman" w:hAnsi="Times New Roman" w:cs="Times New Roman"/>
        </w:rPr>
        <w:t xml:space="preserve"> practices can significantly influence stock market outcomes, which is central to understanding how social elements, such as </w:t>
      </w:r>
      <w:r w:rsidR="00E76D9E" w:rsidRPr="00C560CB">
        <w:rPr>
          <w:rFonts w:ascii="Times New Roman" w:hAnsi="Times New Roman" w:cs="Times New Roman"/>
        </w:rPr>
        <w:t>labour</w:t>
      </w:r>
      <w:r w:rsidR="002E28FA" w:rsidRPr="00C560CB">
        <w:rPr>
          <w:rFonts w:ascii="Times New Roman" w:hAnsi="Times New Roman" w:cs="Times New Roman"/>
        </w:rPr>
        <w:t xml:space="preserve"> policies, impact investor perceptions and stock performance.</w:t>
      </w:r>
    </w:p>
    <w:p w14:paraId="7C30208F" w14:textId="33A2EFE2" w:rsidR="000651F9" w:rsidRPr="00C560CB" w:rsidRDefault="000651F9" w:rsidP="0048443F">
      <w:pPr>
        <w:spacing w:line="276" w:lineRule="auto"/>
        <w:jc w:val="both"/>
        <w:rPr>
          <w:rFonts w:ascii="Times New Roman" w:hAnsi="Times New Roman" w:cs="Times New Roman"/>
        </w:rPr>
      </w:pPr>
      <w:r w:rsidRPr="00C560CB">
        <w:rPr>
          <w:rFonts w:ascii="Times New Roman" w:hAnsi="Times New Roman" w:cs="Times New Roman"/>
        </w:rPr>
        <w:t xml:space="preserve">The research focuses on the relationship between employee satisfaction and long-term stock returns; a value-weighted portfolio of the "100 Best Companies to Work </w:t>
      </w:r>
      <w:r w:rsidR="006F4955" w:rsidRPr="00C560CB">
        <w:rPr>
          <w:rFonts w:ascii="Times New Roman" w:hAnsi="Times New Roman" w:cs="Times New Roman"/>
        </w:rPr>
        <w:t>for</w:t>
      </w:r>
      <w:r w:rsidRPr="00C560CB">
        <w:rPr>
          <w:rFonts w:ascii="Times New Roman" w:hAnsi="Times New Roman" w:cs="Times New Roman"/>
        </w:rPr>
        <w:t xml:space="preserve"> in America" outperformed the industry benchmark by 2.1%, earning an annual four-factor alpha of 3.5% from 1984 to 2009. Moreover, these companies also showed much stronger positive earnings surprises and announcement returns, whereby the stock market reactions to announce earnings were 1.2 to 1.7% more positive relative to their industry peers. These results imply that employee satisfaction can lead to superior stock performance and that the stock market may undervalue this intangible factor</w:t>
      </w:r>
      <w:r w:rsidR="00132B9A" w:rsidRPr="00C560CB">
        <w:rPr>
          <w:rFonts w:ascii="Times New Roman" w:hAnsi="Times New Roman" w:cs="Times New Roman"/>
        </w:rPr>
        <w:t xml:space="preserve"> (Edmans, 2011)</w:t>
      </w:r>
      <w:r w:rsidRPr="00C560CB">
        <w:rPr>
          <w:rFonts w:ascii="Times New Roman" w:hAnsi="Times New Roman" w:cs="Times New Roman"/>
        </w:rPr>
        <w:t>.</w:t>
      </w:r>
      <w:r w:rsidRPr="00C560CB">
        <w:rPr>
          <w:rFonts w:ascii="Times New Roman" w:hAnsi="Times New Roman" w:cs="Times New Roman"/>
          <w:vanish/>
        </w:rPr>
        <w:t>Top of FormBottom of Form</w:t>
      </w:r>
    </w:p>
    <w:p w14:paraId="4D9C2EA0" w14:textId="189EDD72" w:rsidR="00720975" w:rsidRPr="00C560CB" w:rsidRDefault="00575CAE" w:rsidP="0048443F">
      <w:pPr>
        <w:spacing w:line="276" w:lineRule="auto"/>
        <w:jc w:val="both"/>
        <w:rPr>
          <w:rFonts w:ascii="Times New Roman" w:hAnsi="Times New Roman" w:cs="Times New Roman"/>
        </w:rPr>
      </w:pPr>
      <w:r w:rsidRPr="00C560CB">
        <w:rPr>
          <w:rFonts w:ascii="Times New Roman" w:hAnsi="Times New Roman" w:cs="Times New Roman"/>
        </w:rPr>
        <w:t>These dynamics indicate that strong labour practices and policies that support workforce stability are crucial not only for operational success but also for fostering positive investor impressions and ensuring favourable stock performance. This highlights the broader impact of social factors within the ESG framework, where labour practices directly influence corporate risk profiles and stock market volatility.</w:t>
      </w:r>
    </w:p>
    <w:p w14:paraId="00A70182" w14:textId="77777777" w:rsidR="00677652" w:rsidRPr="00C560CB" w:rsidRDefault="00677652" w:rsidP="0048443F">
      <w:pPr>
        <w:spacing w:line="276" w:lineRule="auto"/>
        <w:rPr>
          <w:rFonts w:ascii="Times New Roman" w:hAnsi="Times New Roman" w:cs="Times New Roman"/>
        </w:rPr>
      </w:pPr>
    </w:p>
    <w:p w14:paraId="4A1EEED9" w14:textId="3E288DF5" w:rsidR="00677652" w:rsidRPr="00C560CB" w:rsidRDefault="002928A8" w:rsidP="0048443F">
      <w:pPr>
        <w:pStyle w:val="Heading2"/>
        <w:spacing w:line="276" w:lineRule="auto"/>
        <w:rPr>
          <w:rFonts w:ascii="Times New Roman" w:hAnsi="Times New Roman" w:cs="Times New Roman"/>
        </w:rPr>
      </w:pPr>
      <w:bookmarkStart w:id="64" w:name="_Toc179724821"/>
      <w:r w:rsidRPr="00C560CB">
        <w:rPr>
          <w:rFonts w:ascii="Times New Roman" w:hAnsi="Times New Roman" w:cs="Times New Roman"/>
        </w:rPr>
        <w:t xml:space="preserve">1.4 </w:t>
      </w:r>
      <w:r w:rsidR="00361F14" w:rsidRPr="00C560CB">
        <w:rPr>
          <w:rFonts w:ascii="Times New Roman" w:hAnsi="Times New Roman" w:cs="Times New Roman"/>
        </w:rPr>
        <w:t>Essential Governance Factors and Their Role in Corporate Performance</w:t>
      </w:r>
      <w:bookmarkEnd w:id="64"/>
    </w:p>
    <w:p w14:paraId="6A3CD3CD" w14:textId="10BE4F3E" w:rsidR="00E94C63" w:rsidRPr="00C560CB" w:rsidRDefault="00212D26" w:rsidP="00E94C63">
      <w:pPr>
        <w:rPr>
          <w:rFonts w:ascii="Times New Roman" w:hAnsi="Times New Roman" w:cs="Times New Roman"/>
          <w:b/>
          <w:bCs/>
        </w:rPr>
      </w:pPr>
      <w:r w:rsidRPr="00C560CB">
        <w:rPr>
          <w:rFonts w:ascii="Times New Roman" w:hAnsi="Times New Roman" w:cs="Times New Roman"/>
          <w:b/>
          <w:bCs/>
        </w:rPr>
        <w:t>H</w:t>
      </w:r>
      <w:r w:rsidR="00682B0E" w:rsidRPr="00C560CB">
        <w:rPr>
          <w:rFonts w:ascii="Times New Roman" w:hAnsi="Times New Roman" w:cs="Times New Roman"/>
          <w:b/>
          <w:bCs/>
        </w:rPr>
        <w:t>4</w:t>
      </w:r>
      <w:r w:rsidRPr="00C560CB">
        <w:rPr>
          <w:rFonts w:ascii="Times New Roman" w:hAnsi="Times New Roman" w:cs="Times New Roman"/>
          <w:b/>
          <w:bCs/>
        </w:rPr>
        <w:t>: Strong governance practices, such as board diversity and transparency, enhance investor confidence and lead to better financial outcomes.</w:t>
      </w:r>
    </w:p>
    <w:p w14:paraId="08AF57F3" w14:textId="77777777" w:rsidR="004868A6" w:rsidRPr="00C560CB" w:rsidRDefault="004868A6" w:rsidP="004868A6">
      <w:pPr>
        <w:spacing w:line="276" w:lineRule="auto"/>
        <w:jc w:val="both"/>
        <w:rPr>
          <w:rFonts w:ascii="Times New Roman" w:hAnsi="Times New Roman" w:cs="Times New Roman"/>
        </w:rPr>
      </w:pPr>
      <w:r w:rsidRPr="00C560CB">
        <w:rPr>
          <w:rFonts w:ascii="Times New Roman" w:hAnsi="Times New Roman" w:cs="Times New Roman"/>
        </w:rPr>
        <w:t>Although strong governance practices are widely recognized as beneficial for firm stability, the extent to which specific governance structures, such as board diversity, impact financial outcomes across industries remains unclear. This leads to the question: What role do governance factors, such as board diversity and transparency, play in attracting investor interest and improving corporate performance?</w:t>
      </w:r>
    </w:p>
    <w:p w14:paraId="55A11481" w14:textId="2C38B456" w:rsidR="00381EB5" w:rsidRPr="00C560CB" w:rsidRDefault="00381EB5" w:rsidP="0048443F">
      <w:pPr>
        <w:spacing w:line="276" w:lineRule="auto"/>
        <w:jc w:val="both"/>
        <w:rPr>
          <w:rFonts w:ascii="Times New Roman" w:hAnsi="Times New Roman" w:cs="Times New Roman"/>
        </w:rPr>
      </w:pPr>
      <w:r w:rsidRPr="00C560CB">
        <w:rPr>
          <w:rFonts w:ascii="Times New Roman" w:hAnsi="Times New Roman" w:cs="Times New Roman"/>
        </w:rPr>
        <w:t xml:space="preserve">Governance factors play a crucial role in shaping corporate strategy, decision-making, and financial performance. Key governance factors, such as accountability, ensure that executives and board members are held responsible for their actions, fostering a culture of transparency and trust with investors </w:t>
      </w:r>
      <w:r w:rsidR="00B95BAF" w:rsidRPr="00C560CB">
        <w:rPr>
          <w:rFonts w:ascii="Times New Roman" w:hAnsi="Times New Roman" w:cs="Times New Roman"/>
        </w:rPr>
        <w:t>(Eccles, Ioannou and Serafeim, 2014).</w:t>
      </w:r>
      <w:r w:rsidRPr="00C560CB">
        <w:rPr>
          <w:rFonts w:ascii="Times New Roman" w:hAnsi="Times New Roman" w:cs="Times New Roman"/>
        </w:rPr>
        <w:t xml:space="preserve"> Anti-takeover measures and ownership structure help protect a company from hostile takeovers, giving shareholders confidence in the stability of the firm’s leadership and long-term strategy (Bebchuk, Cohen, &amp; Ferrell, 2009). Board structure and size, including CEO duality, where the CEO also serves as the chair of the board, significantly affect decision-making and overall governance quality. According to </w:t>
      </w:r>
      <w:r w:rsidR="007E75B4" w:rsidRPr="00C560CB">
        <w:rPr>
          <w:rFonts w:ascii="Times New Roman" w:hAnsi="Times New Roman" w:cs="Times New Roman"/>
        </w:rPr>
        <w:t>(ACCA Global, n.d.)</w:t>
      </w:r>
      <w:r w:rsidRPr="00C560CB">
        <w:rPr>
          <w:rFonts w:ascii="Times New Roman" w:hAnsi="Times New Roman" w:cs="Times New Roman"/>
        </w:rPr>
        <w:t xml:space="preserve"> a diverse and independent board structure ensures a healthy balance of power and mitigates the risk of corruption or biased decision-making.</w:t>
      </w:r>
    </w:p>
    <w:p w14:paraId="1F9C82E4" w14:textId="213179F4" w:rsidR="00381EB5" w:rsidRPr="00C560CB" w:rsidRDefault="00381EB5" w:rsidP="0048443F">
      <w:pPr>
        <w:spacing w:line="276" w:lineRule="auto"/>
        <w:jc w:val="both"/>
        <w:rPr>
          <w:rFonts w:ascii="Times New Roman" w:hAnsi="Times New Roman" w:cs="Times New Roman"/>
        </w:rPr>
      </w:pPr>
      <w:r w:rsidRPr="00C560CB">
        <w:rPr>
          <w:rFonts w:ascii="Times New Roman" w:hAnsi="Times New Roman" w:cs="Times New Roman"/>
        </w:rPr>
        <w:t xml:space="preserve">Bribery and corruption measures are essential for maintaining ethical business practices, which directly impact a company's reputation and investor confidence </w:t>
      </w:r>
      <w:r w:rsidR="007A2C2B" w:rsidRPr="00C560CB">
        <w:rPr>
          <w:rFonts w:ascii="Times New Roman" w:hAnsi="Times New Roman" w:cs="Times New Roman"/>
        </w:rPr>
        <w:t>(Principles for Responsible Investment, n.d.).</w:t>
      </w:r>
      <w:r w:rsidR="007A5B22" w:rsidRPr="00C560CB">
        <w:rPr>
          <w:rFonts w:ascii="Times New Roman" w:hAnsi="Times New Roman" w:cs="Times New Roman"/>
        </w:rPr>
        <w:t xml:space="preserve"> </w:t>
      </w:r>
      <w:r w:rsidRPr="00C560CB">
        <w:rPr>
          <w:rFonts w:ascii="Times New Roman" w:hAnsi="Times New Roman" w:cs="Times New Roman"/>
        </w:rPr>
        <w:t xml:space="preserve">Another vital governance factor is shareholder rights, which empower investors to participate in crucial decisions through voting mechanisms, thereby ensuring that their interests are represented in major corporate decisions </w:t>
      </w:r>
      <w:r w:rsidR="007A39C1" w:rsidRPr="00C560CB">
        <w:rPr>
          <w:rFonts w:ascii="Times New Roman" w:hAnsi="Times New Roman" w:cs="Times New Roman"/>
        </w:rPr>
        <w:t>(Guy, 2024).</w:t>
      </w:r>
    </w:p>
    <w:p w14:paraId="52561921" w14:textId="10D89E41" w:rsidR="00381EB5" w:rsidRPr="00C560CB" w:rsidRDefault="00381EB5" w:rsidP="0048443F">
      <w:pPr>
        <w:spacing w:line="276" w:lineRule="auto"/>
        <w:jc w:val="both"/>
        <w:rPr>
          <w:rFonts w:ascii="Times New Roman" w:hAnsi="Times New Roman" w:cs="Times New Roman"/>
        </w:rPr>
      </w:pPr>
      <w:r w:rsidRPr="00C560CB">
        <w:rPr>
          <w:rFonts w:ascii="Times New Roman" w:hAnsi="Times New Roman" w:cs="Times New Roman"/>
        </w:rPr>
        <w:t>In addition to these, transparency remains a cornerstone of good governance. Companies that prioriti</w:t>
      </w:r>
      <w:r w:rsidR="008A0574" w:rsidRPr="00C560CB">
        <w:rPr>
          <w:rFonts w:ascii="Times New Roman" w:hAnsi="Times New Roman" w:cs="Times New Roman"/>
        </w:rPr>
        <w:t>s</w:t>
      </w:r>
      <w:r w:rsidRPr="00C560CB">
        <w:rPr>
          <w:rFonts w:ascii="Times New Roman" w:hAnsi="Times New Roman" w:cs="Times New Roman"/>
        </w:rPr>
        <w:t xml:space="preserve">e transparent reporting practices enjoy greater investor trust and tend to outperform less transparent peers </w:t>
      </w:r>
      <w:r w:rsidR="00C60249" w:rsidRPr="00C560CB">
        <w:rPr>
          <w:rFonts w:ascii="Times New Roman" w:hAnsi="Times New Roman" w:cs="Times New Roman"/>
        </w:rPr>
        <w:t>(Eccles, Ioannou and Serafeim, 2014</w:t>
      </w:r>
      <w:r w:rsidRPr="00C560CB">
        <w:rPr>
          <w:rFonts w:ascii="Times New Roman" w:hAnsi="Times New Roman" w:cs="Times New Roman"/>
        </w:rPr>
        <w:t xml:space="preserve">). These governance factors collectively ensure a robust framework </w:t>
      </w:r>
      <w:r w:rsidRPr="00C560CB">
        <w:rPr>
          <w:rFonts w:ascii="Times New Roman" w:hAnsi="Times New Roman" w:cs="Times New Roman"/>
        </w:rPr>
        <w:lastRenderedPageBreak/>
        <w:t>for corporate governance, ultimately leading to improved investor confidence and better financial performance.</w:t>
      </w:r>
    </w:p>
    <w:p w14:paraId="5015E37C" w14:textId="545A6F3F" w:rsidR="00951306" w:rsidRPr="00C560CB" w:rsidRDefault="00314617" w:rsidP="0048443F">
      <w:pPr>
        <w:spacing w:line="276" w:lineRule="auto"/>
        <w:jc w:val="both"/>
        <w:rPr>
          <w:rFonts w:ascii="Times New Roman" w:hAnsi="Times New Roman" w:cs="Times New Roman"/>
        </w:rPr>
      </w:pPr>
      <w:r w:rsidRPr="00C560CB">
        <w:rPr>
          <w:rFonts w:ascii="Times New Roman" w:hAnsi="Times New Roman" w:cs="Times New Roman"/>
        </w:rPr>
        <w:t xml:space="preserve">In respect to empirical research, materiality is most affected by good governance. For example, an effective anti-corruption framework set by a global apparel company would be associated with less child labour within its supply chain. Research shows that governance has the clearest link to financial performance, with factors like anti-bribery and anti-corruption programs, executive pay, and board diversity showing the strongest correlation. This </w:t>
      </w:r>
      <w:r w:rsidR="009746C3" w:rsidRPr="00C560CB">
        <w:rPr>
          <w:rFonts w:ascii="Times New Roman" w:hAnsi="Times New Roman" w:cs="Times New Roman"/>
        </w:rPr>
        <w:t xml:space="preserve">also </w:t>
      </w:r>
      <w:r w:rsidRPr="00C560CB">
        <w:rPr>
          <w:rFonts w:ascii="Times New Roman" w:hAnsi="Times New Roman" w:cs="Times New Roman"/>
        </w:rPr>
        <w:t xml:space="preserve">holds </w:t>
      </w:r>
      <w:r w:rsidR="009746C3" w:rsidRPr="00C560CB">
        <w:rPr>
          <w:rFonts w:ascii="Times New Roman" w:hAnsi="Times New Roman" w:cs="Times New Roman"/>
        </w:rPr>
        <w:t xml:space="preserve">true </w:t>
      </w:r>
      <w:r w:rsidRPr="00C560CB">
        <w:rPr>
          <w:rFonts w:ascii="Times New Roman" w:hAnsi="Times New Roman" w:cs="Times New Roman"/>
        </w:rPr>
        <w:t>for fixed-income investors, where business ethics, transparency in executive pay, and board diversity play more significant role</w:t>
      </w:r>
      <w:r w:rsidR="009746C3" w:rsidRPr="00C560CB">
        <w:rPr>
          <w:rFonts w:ascii="Times New Roman" w:hAnsi="Times New Roman" w:cs="Times New Roman"/>
        </w:rPr>
        <w:t>s</w:t>
      </w:r>
      <w:r w:rsidRPr="00C560CB">
        <w:rPr>
          <w:rFonts w:ascii="Times New Roman" w:hAnsi="Times New Roman" w:cs="Times New Roman"/>
        </w:rPr>
        <w:t xml:space="preserve"> in preventing corporate bankruptcy than environmental and social factors</w:t>
      </w:r>
      <w:r w:rsidR="008A0574" w:rsidRPr="00C560CB">
        <w:rPr>
          <w:rFonts w:ascii="Times New Roman" w:hAnsi="Times New Roman" w:cs="Times New Roman"/>
        </w:rPr>
        <w:t xml:space="preserve"> (Steinhaeuser, 2022)</w:t>
      </w:r>
      <w:r w:rsidRPr="00C560CB">
        <w:rPr>
          <w:rFonts w:ascii="Times New Roman" w:hAnsi="Times New Roman" w:cs="Times New Roman"/>
        </w:rPr>
        <w:t>.</w:t>
      </w:r>
    </w:p>
    <w:p w14:paraId="748A0E21" w14:textId="77777777" w:rsidR="001A4C96" w:rsidRPr="00C560CB" w:rsidRDefault="001A4C96" w:rsidP="0048443F">
      <w:pPr>
        <w:pStyle w:val="Caption"/>
        <w:spacing w:line="276" w:lineRule="auto"/>
        <w:rPr>
          <w:rFonts w:ascii="Times New Roman" w:hAnsi="Times New Roman" w:cs="Times New Roman"/>
        </w:rPr>
      </w:pPr>
    </w:p>
    <w:p w14:paraId="48B06479" w14:textId="77777777" w:rsidR="001A3050" w:rsidRPr="00C560CB" w:rsidRDefault="001A3050" w:rsidP="0048443F">
      <w:pPr>
        <w:pStyle w:val="Caption"/>
        <w:spacing w:line="276" w:lineRule="auto"/>
        <w:rPr>
          <w:rFonts w:ascii="Times New Roman" w:hAnsi="Times New Roman" w:cs="Times New Roman"/>
        </w:rPr>
      </w:pPr>
    </w:p>
    <w:p w14:paraId="748B931A" w14:textId="77777777" w:rsidR="001A3050" w:rsidRPr="00C560CB" w:rsidRDefault="001A3050" w:rsidP="0048443F">
      <w:pPr>
        <w:pStyle w:val="Caption"/>
        <w:spacing w:line="276" w:lineRule="auto"/>
        <w:rPr>
          <w:rFonts w:ascii="Times New Roman" w:hAnsi="Times New Roman" w:cs="Times New Roman"/>
        </w:rPr>
      </w:pPr>
    </w:p>
    <w:p w14:paraId="29988E55" w14:textId="77777777" w:rsidR="001A3050" w:rsidRPr="00C560CB" w:rsidRDefault="001A3050" w:rsidP="0048443F">
      <w:pPr>
        <w:pStyle w:val="Caption"/>
        <w:spacing w:line="276" w:lineRule="auto"/>
        <w:rPr>
          <w:rFonts w:ascii="Times New Roman" w:hAnsi="Times New Roman" w:cs="Times New Roman"/>
        </w:rPr>
      </w:pPr>
    </w:p>
    <w:p w14:paraId="428F4F93" w14:textId="299739FE" w:rsidR="00805D0C" w:rsidRPr="00C560CB" w:rsidRDefault="00280D9C" w:rsidP="0048443F">
      <w:pPr>
        <w:pStyle w:val="Caption"/>
        <w:spacing w:line="276" w:lineRule="auto"/>
        <w:rPr>
          <w:rFonts w:ascii="Times New Roman" w:hAnsi="Times New Roman" w:cs="Times New Roman"/>
        </w:rPr>
      </w:pPr>
      <w:r w:rsidRPr="00C560CB">
        <w:rPr>
          <w:rFonts w:ascii="Times New Roman" w:hAnsi="Times New Roman" w:cs="Times New Roman"/>
          <w:noProof/>
        </w:rPr>
        <w:drawing>
          <wp:anchor distT="0" distB="0" distL="114300" distR="114300" simplePos="0" relativeHeight="251687938" behindDoc="0" locked="0" layoutInCell="1" allowOverlap="1" wp14:anchorId="5930C82C" wp14:editId="155E2157">
            <wp:simplePos x="0" y="0"/>
            <wp:positionH relativeFrom="margin">
              <wp:align>center</wp:align>
            </wp:positionH>
            <wp:positionV relativeFrom="paragraph">
              <wp:posOffset>274955</wp:posOffset>
            </wp:positionV>
            <wp:extent cx="6325235" cy="1696720"/>
            <wp:effectExtent l="0" t="0" r="0" b="0"/>
            <wp:wrapSquare wrapText="bothSides"/>
            <wp:docPr id="333689881" name="Picture 1" descr="A diagram of different lev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89881" name="Picture 1" descr="A diagram of different level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325235" cy="1696720"/>
                    </a:xfrm>
                    <a:prstGeom prst="rect">
                      <a:avLst/>
                    </a:prstGeom>
                  </pic:spPr>
                </pic:pic>
              </a:graphicData>
            </a:graphic>
            <wp14:sizeRelH relativeFrom="margin">
              <wp14:pctWidth>0</wp14:pctWidth>
            </wp14:sizeRelH>
            <wp14:sizeRelV relativeFrom="margin">
              <wp14:pctHeight>0</wp14:pctHeight>
            </wp14:sizeRelV>
          </wp:anchor>
        </w:drawing>
      </w:r>
      <w:r w:rsidR="003C3F03"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8</w:t>
      </w:r>
      <w:r w:rsidR="005F0A68" w:rsidRPr="00C560CB">
        <w:rPr>
          <w:rFonts w:ascii="Times New Roman" w:hAnsi="Times New Roman" w:cs="Times New Roman"/>
        </w:rPr>
        <w:fldChar w:fldCharType="end"/>
      </w:r>
      <w:r w:rsidR="00367B4B" w:rsidRPr="00C560CB">
        <w:rPr>
          <w:rFonts w:ascii="Times New Roman" w:hAnsi="Times New Roman" w:cs="Times New Roman"/>
        </w:rPr>
        <w:t xml:space="preserve"> Sustainability: The Interplay of Governance, Finance, and Innovation</w:t>
      </w:r>
    </w:p>
    <w:p w14:paraId="665ED618" w14:textId="5718424C" w:rsidR="001F4165" w:rsidRPr="00C560CB" w:rsidRDefault="001F4165" w:rsidP="0048443F">
      <w:pPr>
        <w:spacing w:line="276" w:lineRule="auto"/>
        <w:rPr>
          <w:rFonts w:ascii="Times New Roman" w:hAnsi="Times New Roman" w:cs="Times New Roman"/>
        </w:rPr>
      </w:pPr>
    </w:p>
    <w:p w14:paraId="3C3DC6FD" w14:textId="133790B6" w:rsidR="003E34CD" w:rsidRPr="00C560CB" w:rsidRDefault="00367B4B" w:rsidP="00A57743">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3E34CD" w:rsidRPr="00C560CB">
        <w:rPr>
          <w:rFonts w:ascii="Times New Roman" w:hAnsi="Times New Roman" w:cs="Times New Roman"/>
        </w:rPr>
        <w:t>(Benetyte, Gonenc and Krusinskas, 2021)</w:t>
      </w:r>
    </w:p>
    <w:p w14:paraId="5E1D200A" w14:textId="29079A39" w:rsidR="003C3F03" w:rsidRPr="00C560CB" w:rsidRDefault="003C3F03" w:rsidP="0048443F">
      <w:pPr>
        <w:spacing w:line="276" w:lineRule="auto"/>
        <w:rPr>
          <w:rFonts w:ascii="Times New Roman" w:hAnsi="Times New Roman" w:cs="Times New Roman"/>
        </w:rPr>
      </w:pPr>
    </w:p>
    <w:p w14:paraId="171351A1" w14:textId="40CC6BA9" w:rsidR="00887640" w:rsidRPr="00C560CB" w:rsidRDefault="00887640" w:rsidP="0048443F">
      <w:pPr>
        <w:spacing w:line="276" w:lineRule="auto"/>
        <w:jc w:val="both"/>
        <w:rPr>
          <w:rFonts w:ascii="Times New Roman" w:hAnsi="Times New Roman" w:cs="Times New Roman"/>
        </w:rPr>
      </w:pPr>
      <w:r w:rsidRPr="00C560CB">
        <w:rPr>
          <w:rFonts w:ascii="Times New Roman" w:hAnsi="Times New Roman" w:cs="Times New Roman"/>
        </w:rPr>
        <w:t xml:space="preserve">Creating and promoting innovation is crucial for businesses to remain competitive in today’s fast-changing environment. Innovation activities, especially in the early stages of research and development (R&amp;D), require substantial financial resources, which may be sourced internally or externally. These resources are allocated to essential processes such as developing </w:t>
      </w:r>
      <w:r w:rsidR="0036152D" w:rsidRPr="00C560CB">
        <w:rPr>
          <w:rFonts w:ascii="Times New Roman" w:hAnsi="Times New Roman" w:cs="Times New Roman"/>
        </w:rPr>
        <w:t>innovative ideas</w:t>
      </w:r>
      <w:r w:rsidRPr="00C560CB">
        <w:rPr>
          <w:rFonts w:ascii="Times New Roman" w:hAnsi="Times New Roman" w:cs="Times New Roman"/>
        </w:rPr>
        <w:t>, retaining intellectual property, acquiring materials for experimentation and prototyping, and conducting market research. The intensity of innovation investments, as highlighted in the figure, is directly influenced by corporate governance and financial performance</w:t>
      </w:r>
      <w:r w:rsidR="0091619E" w:rsidRPr="00C560CB">
        <w:rPr>
          <w:rFonts w:ascii="Times New Roman" w:hAnsi="Times New Roman" w:cs="Times New Roman"/>
        </w:rPr>
        <w:t xml:space="preserve"> (Benetyte, Gonenc and Krusinskas, 2021)</w:t>
      </w:r>
      <w:r w:rsidRPr="00C560CB">
        <w:rPr>
          <w:rFonts w:ascii="Times New Roman" w:hAnsi="Times New Roman" w:cs="Times New Roman"/>
        </w:rPr>
        <w:t xml:space="preserve">. A strong governance framework provides a foundation for these investments, promoting transparency and reducing risks, while robust financial performance supplies the capital necessary to sustain innovation efforts. When external borrowing becomes necessary, companies may access funds from banks, credit unions, parent companies, or capital markets, but this can heighten the risks associated with innovative ventures. Innovation investments are also interconnected with broader sustainability goals, including environmental, social, and economic sustainability, which are shaped by governance and financial health. Pre-analysis and financial ratio forecasting thus become critical in predicting a company’s ability to manage innovation risks and optimize capital allocation. Together, these factors corporate </w:t>
      </w:r>
      <w:r w:rsidRPr="00C560CB">
        <w:rPr>
          <w:rFonts w:ascii="Times New Roman" w:hAnsi="Times New Roman" w:cs="Times New Roman"/>
        </w:rPr>
        <w:lastRenderedPageBreak/>
        <w:t>governance, financial strength, and innovation intensity not only enhance profitability but also ensure a company’s long-term viability within the global sustainability landscape.</w:t>
      </w:r>
    </w:p>
    <w:p w14:paraId="535BA6E5" w14:textId="56AD8ACF" w:rsidR="004868A6" w:rsidRPr="00C560CB" w:rsidRDefault="004868A6" w:rsidP="0048443F">
      <w:pPr>
        <w:spacing w:line="276" w:lineRule="auto"/>
        <w:jc w:val="both"/>
        <w:rPr>
          <w:rFonts w:ascii="Times New Roman" w:hAnsi="Times New Roman" w:cs="Times New Roman"/>
        </w:rPr>
      </w:pPr>
      <w:r w:rsidRPr="00C560CB">
        <w:rPr>
          <w:rFonts w:ascii="Times New Roman" w:hAnsi="Times New Roman" w:cs="Times New Roman"/>
        </w:rPr>
        <w:t>While governance structures such as board diversity are recognized as essential for firm stability, there is limited research on how these governance practices affect firms in different sectors. This study seeks to address this gap</w:t>
      </w:r>
    </w:p>
    <w:p w14:paraId="581A50D5" w14:textId="77777777" w:rsidR="003C3F03" w:rsidRPr="00C560CB" w:rsidRDefault="003C3F03" w:rsidP="0048443F">
      <w:pPr>
        <w:spacing w:line="276" w:lineRule="auto"/>
        <w:rPr>
          <w:rFonts w:ascii="Times New Roman" w:hAnsi="Times New Roman" w:cs="Times New Roman"/>
        </w:rPr>
      </w:pPr>
    </w:p>
    <w:p w14:paraId="0C93FA6A" w14:textId="0AD8F45B" w:rsidR="00BE73D9" w:rsidRPr="00C560CB" w:rsidRDefault="00C208BE" w:rsidP="0048443F">
      <w:pPr>
        <w:pStyle w:val="Heading2"/>
        <w:spacing w:line="276" w:lineRule="auto"/>
        <w:rPr>
          <w:rFonts w:ascii="Times New Roman" w:hAnsi="Times New Roman" w:cs="Times New Roman"/>
        </w:rPr>
      </w:pPr>
      <w:bookmarkStart w:id="65" w:name="_Toc179724822"/>
      <w:r w:rsidRPr="00C560CB">
        <w:rPr>
          <w:rFonts w:ascii="Times New Roman" w:hAnsi="Times New Roman" w:cs="Times New Roman"/>
        </w:rPr>
        <w:t>1.</w:t>
      </w:r>
      <w:r w:rsidR="008B6A9C" w:rsidRPr="00C560CB">
        <w:rPr>
          <w:rFonts w:ascii="Times New Roman" w:hAnsi="Times New Roman" w:cs="Times New Roman"/>
        </w:rPr>
        <w:t>5</w:t>
      </w:r>
      <w:r w:rsidR="00F43600" w:rsidRPr="00C560CB">
        <w:rPr>
          <w:rFonts w:ascii="Times New Roman" w:hAnsi="Times New Roman" w:cs="Times New Roman"/>
        </w:rPr>
        <w:t>How ESG Regulatory Frameworks Enhance Financial Market Stability and Resilience</w:t>
      </w:r>
      <w:bookmarkEnd w:id="65"/>
    </w:p>
    <w:p w14:paraId="2A87486E" w14:textId="77777777" w:rsidR="00F17492" w:rsidRPr="00C560CB" w:rsidRDefault="00F17492" w:rsidP="00F17492">
      <w:pPr>
        <w:rPr>
          <w:rFonts w:ascii="Times New Roman" w:hAnsi="Times New Roman" w:cs="Times New Roman"/>
        </w:rPr>
      </w:pPr>
    </w:p>
    <w:p w14:paraId="49DFA985" w14:textId="5034A3E6" w:rsidR="00F17492" w:rsidRPr="00C560CB" w:rsidRDefault="00F17492" w:rsidP="00F17492">
      <w:pPr>
        <w:jc w:val="both"/>
        <w:rPr>
          <w:rFonts w:ascii="Times New Roman" w:hAnsi="Times New Roman" w:cs="Times New Roman"/>
          <w:lang w:eastAsia="en-GB"/>
        </w:rPr>
      </w:pPr>
      <w:r w:rsidRPr="00C560CB">
        <w:rPr>
          <w:rFonts w:ascii="Times New Roman" w:hAnsi="Times New Roman" w:cs="Times New Roman"/>
          <w:b/>
          <w:bCs/>
          <w:lang w:eastAsia="en-GB"/>
        </w:rPr>
        <w:t>H5: ESG regulatory frameworks contribute to greater financial stability and resilience, particularly in regions with stringent ESG policies</w:t>
      </w:r>
      <w:r w:rsidRPr="00C560CB">
        <w:rPr>
          <w:rFonts w:ascii="Times New Roman" w:hAnsi="Times New Roman" w:cs="Times New Roman"/>
          <w:lang w:eastAsia="en-GB"/>
        </w:rPr>
        <w:t>.</w:t>
      </w:r>
    </w:p>
    <w:p w14:paraId="0C37B7AB" w14:textId="6AFD3D7C"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Considerations of regulatory frameworks and policies fostering ESG factors are among the prime focuses of recent finance research and policy discussions concerning stability and resilience in financial markets. As various studies show, ESG-focused frameworks do more than encourage responsible corporate behavio</w:t>
      </w:r>
      <w:r w:rsidR="00135987" w:rsidRPr="00C560CB">
        <w:rPr>
          <w:rFonts w:ascii="Times New Roman" w:hAnsi="Times New Roman" w:cs="Times New Roman"/>
        </w:rPr>
        <w:t>u</w:t>
      </w:r>
      <w:r w:rsidRPr="00C560CB">
        <w:rPr>
          <w:rFonts w:ascii="Times New Roman" w:hAnsi="Times New Roman" w:cs="Times New Roman"/>
        </w:rPr>
        <w:t>r; they also contribute to increased financial stability and resilience within sectors, guided by the infusion of sustainable principles into corporate governance and regulatory guidelines. Embedding ESG factors into financial practices through regulatory initiatives has been linked with improved institutional stability and greater market resilience in unfavo</w:t>
      </w:r>
      <w:r w:rsidR="00135987" w:rsidRPr="00C560CB">
        <w:rPr>
          <w:rFonts w:ascii="Times New Roman" w:hAnsi="Times New Roman" w:cs="Times New Roman"/>
        </w:rPr>
        <w:t>u</w:t>
      </w:r>
      <w:r w:rsidRPr="00C560CB">
        <w:rPr>
          <w:rFonts w:ascii="Times New Roman" w:hAnsi="Times New Roman" w:cs="Times New Roman"/>
        </w:rPr>
        <w:t>rable economic conditions.</w:t>
      </w:r>
    </w:p>
    <w:p w14:paraId="57194247" w14:textId="4BA0FF00" w:rsidR="00014BD4" w:rsidRPr="00C560CB" w:rsidRDefault="00C503CE" w:rsidP="0048443F">
      <w:pPr>
        <w:spacing w:line="276" w:lineRule="auto"/>
        <w:jc w:val="both"/>
        <w:rPr>
          <w:rFonts w:ascii="Times New Roman" w:hAnsi="Times New Roman" w:cs="Times New Roman"/>
        </w:rPr>
      </w:pPr>
      <w:r w:rsidRPr="00C560CB">
        <w:rPr>
          <w:rFonts w:ascii="Times New Roman" w:hAnsi="Times New Roman" w:cs="Times New Roman"/>
          <w:noProof/>
        </w:rPr>
        <mc:AlternateContent>
          <mc:Choice Requires="wps">
            <w:drawing>
              <wp:anchor distT="0" distB="0" distL="114300" distR="114300" simplePos="0" relativeHeight="251673602" behindDoc="0" locked="0" layoutInCell="1" allowOverlap="1" wp14:anchorId="05764D8D" wp14:editId="57A49FA9">
                <wp:simplePos x="0" y="0"/>
                <wp:positionH relativeFrom="column">
                  <wp:posOffset>731520</wp:posOffset>
                </wp:positionH>
                <wp:positionV relativeFrom="paragraph">
                  <wp:posOffset>8255</wp:posOffset>
                </wp:positionV>
                <wp:extent cx="4556760" cy="635"/>
                <wp:effectExtent l="0" t="0" r="0" b="0"/>
                <wp:wrapSquare wrapText="bothSides"/>
                <wp:docPr id="1944934188" name="Text Box 1"/>
                <wp:cNvGraphicFramePr/>
                <a:graphic xmlns:a="http://schemas.openxmlformats.org/drawingml/2006/main">
                  <a:graphicData uri="http://schemas.microsoft.com/office/word/2010/wordprocessingShape">
                    <wps:wsp>
                      <wps:cNvSpPr txBox="1"/>
                      <wps:spPr>
                        <a:xfrm>
                          <a:off x="0" y="0"/>
                          <a:ext cx="4556760" cy="635"/>
                        </a:xfrm>
                        <a:prstGeom prst="rect">
                          <a:avLst/>
                        </a:prstGeom>
                        <a:solidFill>
                          <a:prstClr val="white"/>
                        </a:solidFill>
                        <a:ln>
                          <a:noFill/>
                        </a:ln>
                      </wps:spPr>
                      <wps:txbx>
                        <w:txbxContent>
                          <w:p w14:paraId="32D6DEFE" w14:textId="500FA408" w:rsidR="00C503CE" w:rsidRPr="004B0A4E" w:rsidRDefault="00C503CE" w:rsidP="00C503CE">
                            <w:pPr>
                              <w:pStyle w:val="Caption"/>
                              <w:rPr>
                                <w:sz w:val="22"/>
                                <w:szCs w:val="22"/>
                              </w:rPr>
                            </w:pPr>
                            <w:r w:rsidRPr="004B0A4E">
                              <w:t xml:space="preserve">Figure </w:t>
                            </w:r>
                            <w:r w:rsidR="00EE5C57">
                              <w:fldChar w:fldCharType="begin"/>
                            </w:r>
                            <w:r w:rsidR="00EE5C57">
                              <w:instrText xml:space="preserve"> SEQ Figure \* ARABIC </w:instrText>
                            </w:r>
                            <w:r w:rsidR="00EE5C57">
                              <w:fldChar w:fldCharType="separate"/>
                            </w:r>
                            <w:r w:rsidR="00EE5C57" w:rsidRPr="004B0A4E">
                              <w:t>9</w:t>
                            </w:r>
                            <w:r w:rsidR="00EE5C57">
                              <w:fldChar w:fldCharType="end"/>
                            </w:r>
                            <w:r w:rsidRPr="004B0A4E">
                              <w:t xml:space="preserve"> </w:t>
                            </w:r>
                            <w:r w:rsidR="009A62A7" w:rsidRPr="004B0A4E">
                              <w:t>Impact of ESG Regulatory Frameworks on Financial Market Stability and Resilience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764D8D" id="_x0000_s1027" type="#_x0000_t202" style="position:absolute;left:0;text-align:left;margin-left:57.6pt;margin-top:.65pt;width:358.8pt;height:.05pt;z-index:25167360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" stroked="f">
                <v:textbox style="mso-fit-shape-to-text:t" inset="0,0,0,0">
                  <w:txbxContent>
                    <w:p w14:paraId="32D6DEFE" w14:textId="500FA408" w:rsidR="00C503CE" w:rsidRPr="004B0A4E" w:rsidRDefault="00C503CE" w:rsidP="00C503CE">
                      <w:pPr>
                        <w:pStyle w:val="Caption"/>
                        <w:rPr>
                          <w:sz w:val="22"/>
                          <w:szCs w:val="22"/>
                        </w:rPr>
                      </w:pPr>
                      <w:r w:rsidRPr="004B0A4E">
                        <w:t xml:space="preserve">Figure </w:t>
                      </w:r>
                      <w:r w:rsidR="00EE5C57">
                        <w:fldChar w:fldCharType="begin"/>
                      </w:r>
                      <w:r w:rsidR="00EE5C57">
                        <w:instrText xml:space="preserve"> SEQ Figure \* ARABIC </w:instrText>
                      </w:r>
                      <w:r w:rsidR="00EE5C57">
                        <w:fldChar w:fldCharType="separate"/>
                      </w:r>
                      <w:r w:rsidR="00EE5C57" w:rsidRPr="004B0A4E">
                        <w:t>9</w:t>
                      </w:r>
                      <w:r w:rsidR="00EE5C57">
                        <w:fldChar w:fldCharType="end"/>
                      </w:r>
                      <w:r w:rsidRPr="004B0A4E">
                        <w:t xml:space="preserve"> </w:t>
                      </w:r>
                      <w:r w:rsidR="009A62A7" w:rsidRPr="004B0A4E">
                        <w:t>Impact of ESG Regulatory Frameworks on Financial Market Stability and Resilience</w:t>
                      </w:r>
                    </w:p>
                  </w:txbxContent>
                </v:textbox>
                <w10:wrap type="square"/>
              </v:shape>
            </w:pict>
          </mc:Fallback>
        </mc:AlternateContent>
      </w:r>
    </w:p>
    <w:p w14:paraId="3548F958" w14:textId="18AB1AF9" w:rsidR="00014BD4" w:rsidRPr="00C560CB" w:rsidRDefault="00B268AC" w:rsidP="0048443F">
      <w:pPr>
        <w:spacing w:line="276" w:lineRule="auto"/>
        <w:jc w:val="both"/>
        <w:rPr>
          <w:rFonts w:ascii="Times New Roman" w:hAnsi="Times New Roman" w:cs="Times New Roman"/>
        </w:rPr>
      </w:pPr>
      <w:r w:rsidRPr="00C560CB">
        <w:rPr>
          <w:rFonts w:ascii="Times New Roman" w:hAnsi="Times New Roman" w:cs="Times New Roman"/>
          <w:noProof/>
          <w14:ligatures w14:val="standardContextual"/>
        </w:rPr>
        <mc:AlternateContent>
          <mc:Choice Requires="wps">
            <w:drawing>
              <wp:anchor distT="0" distB="0" distL="114300" distR="114300" simplePos="0" relativeHeight="251676674" behindDoc="0" locked="0" layoutInCell="1" allowOverlap="1" wp14:anchorId="26588008" wp14:editId="6D0D1FBE">
                <wp:simplePos x="0" y="0"/>
                <wp:positionH relativeFrom="column">
                  <wp:posOffset>3990109</wp:posOffset>
                </wp:positionH>
                <wp:positionV relativeFrom="paragraph">
                  <wp:posOffset>194021</wp:posOffset>
                </wp:positionV>
                <wp:extent cx="1842251" cy="1260475"/>
                <wp:effectExtent l="0" t="0" r="24765" b="15875"/>
                <wp:wrapNone/>
                <wp:docPr id="2060322024" name="Text Box 6"/>
                <wp:cNvGraphicFramePr/>
                <a:graphic xmlns:a="http://schemas.openxmlformats.org/drawingml/2006/main">
                  <a:graphicData uri="http://schemas.microsoft.com/office/word/2010/wordprocessingShape">
                    <wps:wsp>
                      <wps:cNvSpPr txBox="1"/>
                      <wps:spPr>
                        <a:xfrm>
                          <a:off x="0" y="0"/>
                          <a:ext cx="1842251" cy="1260475"/>
                        </a:xfrm>
                        <a:prstGeom prst="rect">
                          <a:avLst/>
                        </a:prstGeom>
                        <a:solidFill>
                          <a:schemeClr val="lt1"/>
                        </a:solidFill>
                        <a:ln w="6350">
                          <a:solidFill>
                            <a:prstClr val="black"/>
                          </a:solidFill>
                        </a:ln>
                      </wps:spPr>
                      <wps:txbx>
                        <w:txbxContent>
                          <w:p w14:paraId="1EBE34CD" w14:textId="3A767203" w:rsidR="00DB6880" w:rsidRPr="004B0A4E" w:rsidRDefault="00360ECB">
                            <w:pPr>
                              <w:rPr>
                                <w:b/>
                                <w:bCs/>
                              </w:rPr>
                            </w:pPr>
                            <w:r w:rsidRPr="004B0A4E">
                              <w:rPr>
                                <w:b/>
                                <w:bCs/>
                              </w:rPr>
                              <w:t>Outcomes</w:t>
                            </w:r>
                          </w:p>
                          <w:p w14:paraId="1FA3E881" w14:textId="161EE2EC" w:rsidR="0087431B" w:rsidRPr="004B0A4E" w:rsidRDefault="00E86B05" w:rsidP="00E86B05">
                            <w:pPr>
                              <w:pStyle w:val="ListParagraph"/>
                              <w:numPr>
                                <w:ilvl w:val="0"/>
                                <w:numId w:val="19"/>
                              </w:numPr>
                            </w:pPr>
                            <w:r w:rsidRPr="004B0A4E">
                              <w:t>Reduce</w:t>
                            </w:r>
                            <w:r w:rsidR="005F1C12" w:rsidRPr="004B0A4E">
                              <w:t>d Risk</w:t>
                            </w:r>
                          </w:p>
                          <w:p w14:paraId="1C9F3243" w14:textId="3C7C1531" w:rsidR="005F1C12" w:rsidRPr="004B0A4E" w:rsidRDefault="00BB5B6D" w:rsidP="00E86B05">
                            <w:pPr>
                              <w:pStyle w:val="ListParagraph"/>
                              <w:numPr>
                                <w:ilvl w:val="0"/>
                                <w:numId w:val="19"/>
                              </w:numPr>
                            </w:pPr>
                            <w:r w:rsidRPr="004B0A4E">
                              <w:t>Long-Term Growth</w:t>
                            </w:r>
                          </w:p>
                          <w:p w14:paraId="3186F397" w14:textId="33A249B2" w:rsidR="00BB5B6D" w:rsidRPr="004B0A4E" w:rsidRDefault="002544B4" w:rsidP="00E86B05">
                            <w:pPr>
                              <w:pStyle w:val="ListParagraph"/>
                              <w:numPr>
                                <w:ilvl w:val="0"/>
                                <w:numId w:val="19"/>
                              </w:numPr>
                            </w:pPr>
                            <w:r w:rsidRPr="004B0A4E">
                              <w:t>Enh</w:t>
                            </w:r>
                            <w:r w:rsidR="00FD75C8" w:rsidRPr="004B0A4E">
                              <w:t xml:space="preserve">anced </w:t>
                            </w:r>
                            <w:r w:rsidR="00C53639" w:rsidRPr="004B0A4E">
                              <w:t>Adaptability</w:t>
                            </w:r>
                          </w:p>
                          <w:p w14:paraId="50D82A3A" w14:textId="77777777" w:rsidR="00360ECB" w:rsidRPr="004B0A4E" w:rsidRDefault="00360E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88008" id="Text Box 6" o:spid="_x0000_s1028" type="#_x0000_t202" style="position:absolute;left:0;text-align:left;margin-left:314.2pt;margin-top:15.3pt;width:145.05pt;height:99.25pt;z-index:2516766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" fillcolor="white [3201]" strokeweight=".5pt">
                <v:textbox>
                  <w:txbxContent>
                    <w:p w14:paraId="1EBE34CD" w14:textId="3A767203" w:rsidR="00DB6880" w:rsidRPr="004B0A4E" w:rsidRDefault="00360ECB">
                      <w:pPr>
                        <w:rPr>
                          <w:b/>
                          <w:bCs/>
                        </w:rPr>
                      </w:pPr>
                      <w:r w:rsidRPr="004B0A4E">
                        <w:rPr>
                          <w:b/>
                          <w:bCs/>
                        </w:rPr>
                        <w:t>Outcomes</w:t>
                      </w:r>
                    </w:p>
                    <w:p w14:paraId="1FA3E881" w14:textId="161EE2EC" w:rsidR="0087431B" w:rsidRPr="004B0A4E" w:rsidRDefault="00E86B05" w:rsidP="00E86B05">
                      <w:pPr>
                        <w:pStyle w:val="ListParagraph"/>
                        <w:numPr>
                          <w:ilvl w:val="0"/>
                          <w:numId w:val="19"/>
                        </w:numPr>
                      </w:pPr>
                      <w:r w:rsidRPr="004B0A4E">
                        <w:t>Reduce</w:t>
                      </w:r>
                      <w:r w:rsidR="005F1C12" w:rsidRPr="004B0A4E">
                        <w:t>d Risk</w:t>
                      </w:r>
                    </w:p>
                    <w:p w14:paraId="1C9F3243" w14:textId="3C7C1531" w:rsidR="005F1C12" w:rsidRPr="004B0A4E" w:rsidRDefault="00BB5B6D" w:rsidP="00E86B05">
                      <w:pPr>
                        <w:pStyle w:val="ListParagraph"/>
                        <w:numPr>
                          <w:ilvl w:val="0"/>
                          <w:numId w:val="19"/>
                        </w:numPr>
                      </w:pPr>
                      <w:r w:rsidRPr="004B0A4E">
                        <w:t>Long-Term Growth</w:t>
                      </w:r>
                    </w:p>
                    <w:p w14:paraId="3186F397" w14:textId="33A249B2" w:rsidR="00BB5B6D" w:rsidRPr="004B0A4E" w:rsidRDefault="002544B4" w:rsidP="00E86B05">
                      <w:pPr>
                        <w:pStyle w:val="ListParagraph"/>
                        <w:numPr>
                          <w:ilvl w:val="0"/>
                          <w:numId w:val="19"/>
                        </w:numPr>
                      </w:pPr>
                      <w:r w:rsidRPr="004B0A4E">
                        <w:t>Enh</w:t>
                      </w:r>
                      <w:r w:rsidR="00FD75C8" w:rsidRPr="004B0A4E">
                        <w:t xml:space="preserve">anced </w:t>
                      </w:r>
                      <w:r w:rsidR="00C53639" w:rsidRPr="004B0A4E">
                        <w:t>Adaptability</w:t>
                      </w:r>
                    </w:p>
                    <w:p w14:paraId="50D82A3A" w14:textId="77777777" w:rsidR="00360ECB" w:rsidRPr="004B0A4E" w:rsidRDefault="00360ECB"/>
                  </w:txbxContent>
                </v:textbox>
              </v:shape>
            </w:pict>
          </mc:Fallback>
        </mc:AlternateContent>
      </w:r>
      <w:r w:rsidRPr="00C560CB">
        <w:rPr>
          <w:rFonts w:ascii="Times New Roman" w:hAnsi="Times New Roman" w:cs="Times New Roman"/>
          <w:noProof/>
          <w14:ligatures w14:val="standardContextual"/>
        </w:rPr>
        <mc:AlternateContent>
          <mc:Choice Requires="wps">
            <w:drawing>
              <wp:anchor distT="0" distB="0" distL="114300" distR="114300" simplePos="0" relativeHeight="251677698" behindDoc="0" locked="0" layoutInCell="1" allowOverlap="1" wp14:anchorId="6281A8BE" wp14:editId="24F37EE8">
                <wp:simplePos x="0" y="0"/>
                <wp:positionH relativeFrom="margin">
                  <wp:align>center</wp:align>
                </wp:positionH>
                <wp:positionV relativeFrom="paragraph">
                  <wp:posOffset>6985</wp:posOffset>
                </wp:positionV>
                <wp:extent cx="1357745" cy="554182"/>
                <wp:effectExtent l="0" t="0" r="13970" b="17780"/>
                <wp:wrapNone/>
                <wp:docPr id="427953557" name="Text Box 7"/>
                <wp:cNvGraphicFramePr/>
                <a:graphic xmlns:a="http://schemas.openxmlformats.org/drawingml/2006/main">
                  <a:graphicData uri="http://schemas.microsoft.com/office/word/2010/wordprocessingShape">
                    <wps:wsp>
                      <wps:cNvSpPr txBox="1"/>
                      <wps:spPr>
                        <a:xfrm>
                          <a:off x="0" y="0"/>
                          <a:ext cx="1357745" cy="554182"/>
                        </a:xfrm>
                        <a:prstGeom prst="rect">
                          <a:avLst/>
                        </a:prstGeom>
                        <a:solidFill>
                          <a:schemeClr val="lt1"/>
                        </a:solidFill>
                        <a:ln w="6350">
                          <a:solidFill>
                            <a:prstClr val="black"/>
                          </a:solidFill>
                        </a:ln>
                      </wps:spPr>
                      <wps:txbx>
                        <w:txbxContent>
                          <w:p w14:paraId="29B15571" w14:textId="146E9EC4" w:rsidR="00DB6880" w:rsidRPr="004B0A4E" w:rsidRDefault="00313E61" w:rsidP="00B268AC">
                            <w:pPr>
                              <w:jc w:val="center"/>
                              <w:rPr>
                                <w:b/>
                                <w:bCs/>
                              </w:rPr>
                            </w:pPr>
                            <w:r w:rsidRPr="004B0A4E">
                              <w:rPr>
                                <w:b/>
                                <w:bCs/>
                              </w:rPr>
                              <w:t>Financial</w:t>
                            </w:r>
                            <w:r w:rsidR="004E7660" w:rsidRPr="004B0A4E">
                              <w:rPr>
                                <w:b/>
                                <w:bCs/>
                              </w:rPr>
                              <w:t xml:space="preserve"> Stability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81A8BE" id="Text Box 7" o:spid="_x0000_s1029" type="#_x0000_t202" style="position:absolute;left:0;text-align:left;margin-left:0;margin-top:.55pt;width:106.9pt;height:43.65pt;z-index:25167769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" fillcolor="white [3201]" strokeweight=".5pt">
                <v:textbox>
                  <w:txbxContent>
                    <w:p w14:paraId="29B15571" w14:textId="146E9EC4" w:rsidR="00DB6880" w:rsidRPr="004B0A4E" w:rsidRDefault="00313E61" w:rsidP="00B268AC">
                      <w:pPr>
                        <w:jc w:val="center"/>
                        <w:rPr>
                          <w:b/>
                          <w:bCs/>
                        </w:rPr>
                      </w:pPr>
                      <w:r w:rsidRPr="004B0A4E">
                        <w:rPr>
                          <w:b/>
                          <w:bCs/>
                        </w:rPr>
                        <w:t>Financial</w:t>
                      </w:r>
                      <w:r w:rsidR="004E7660" w:rsidRPr="004B0A4E">
                        <w:rPr>
                          <w:b/>
                          <w:bCs/>
                        </w:rPr>
                        <w:t xml:space="preserve"> Stability</w:t>
                      </w:r>
                    </w:p>
                  </w:txbxContent>
                </v:textbox>
                <w10:wrap anchorx="margin"/>
              </v:shape>
            </w:pict>
          </mc:Fallback>
        </mc:AlternateContent>
      </w:r>
    </w:p>
    <w:p w14:paraId="4D14E883" w14:textId="39B7A605" w:rsidR="00014BD4" w:rsidRPr="00C560CB" w:rsidRDefault="00CC5F07" w:rsidP="0048443F">
      <w:pPr>
        <w:spacing w:line="276" w:lineRule="auto"/>
        <w:jc w:val="both"/>
        <w:rPr>
          <w:rFonts w:ascii="Times New Roman" w:hAnsi="Times New Roman" w:cs="Times New Roman"/>
        </w:rPr>
      </w:pPr>
      <w:r w:rsidRPr="00C560CB">
        <w:rPr>
          <w:rFonts w:ascii="Times New Roman" w:hAnsi="Times New Roman" w:cs="Times New Roman"/>
          <w:noProof/>
          <w14:ligatures w14:val="standardContextual"/>
        </w:rPr>
        <mc:AlternateContent>
          <mc:Choice Requires="wps">
            <w:drawing>
              <wp:anchor distT="0" distB="0" distL="114300" distR="114300" simplePos="0" relativeHeight="251680770" behindDoc="0" locked="0" layoutInCell="1" allowOverlap="1" wp14:anchorId="4E750A21" wp14:editId="3820DD70">
                <wp:simplePos x="0" y="0"/>
                <wp:positionH relativeFrom="column">
                  <wp:posOffset>1615440</wp:posOffset>
                </wp:positionH>
                <wp:positionV relativeFrom="paragraph">
                  <wp:posOffset>125095</wp:posOffset>
                </wp:positionV>
                <wp:extent cx="548640" cy="247650"/>
                <wp:effectExtent l="38100" t="0" r="22860" b="57150"/>
                <wp:wrapNone/>
                <wp:docPr id="1923437929" name="Straight Arrow Connector 10"/>
                <wp:cNvGraphicFramePr/>
                <a:graphic xmlns:a="http://schemas.openxmlformats.org/drawingml/2006/main">
                  <a:graphicData uri="http://schemas.microsoft.com/office/word/2010/wordprocessingShape">
                    <wps:wsp>
                      <wps:cNvCnPr/>
                      <wps:spPr>
                        <a:xfrm flipH="1">
                          <a:off x="0" y="0"/>
                          <a:ext cx="54864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C448201" id="_x0000_t32" coordsize="21600,21600" o:spt="32" o:oned="t" path="m,l21600,21600e" filled="f">
                <v:path arrowok="t" fillok="f" o:connecttype="none"/>
                <o:lock v:ext="edit" shapetype="t"/>
              </v:shapetype>
              <v:shape id="Straight Arrow Connector 10" o:spid="_x0000_s1026" type="#_x0000_t32" style="position:absolute;margin-left:127.2pt;margin-top:9.85pt;width:43.2pt;height:19.5pt;flip:x;z-index:2516807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" strokecolor="#156082 [3204]" strokeweight=".5pt">
                <v:stroke endarrow="block" joinstyle="miter"/>
              </v:shape>
            </w:pict>
          </mc:Fallback>
        </mc:AlternateContent>
      </w:r>
      <w:r w:rsidR="00B268AC" w:rsidRPr="00C560CB">
        <w:rPr>
          <w:rFonts w:ascii="Times New Roman" w:hAnsi="Times New Roman" w:cs="Times New Roman"/>
          <w:noProof/>
          <w14:ligatures w14:val="standardContextual"/>
        </w:rPr>
        <mc:AlternateContent>
          <mc:Choice Requires="wps">
            <w:drawing>
              <wp:anchor distT="0" distB="0" distL="114300" distR="114300" simplePos="0" relativeHeight="251681794" behindDoc="0" locked="0" layoutInCell="1" allowOverlap="1" wp14:anchorId="7FD4CD9F" wp14:editId="3AFBEA9B">
                <wp:simplePos x="0" y="0"/>
                <wp:positionH relativeFrom="column">
                  <wp:posOffset>3535680</wp:posOffset>
                </wp:positionH>
                <wp:positionV relativeFrom="paragraph">
                  <wp:posOffset>41275</wp:posOffset>
                </wp:positionV>
                <wp:extent cx="464820" cy="236220"/>
                <wp:effectExtent l="38100" t="38100" r="30480" b="30480"/>
                <wp:wrapNone/>
                <wp:docPr id="765327679" name="Straight Arrow Connector 11"/>
                <wp:cNvGraphicFramePr/>
                <a:graphic xmlns:a="http://schemas.openxmlformats.org/drawingml/2006/main">
                  <a:graphicData uri="http://schemas.microsoft.com/office/word/2010/wordprocessingShape">
                    <wps:wsp>
                      <wps:cNvCnPr/>
                      <wps:spPr>
                        <a:xfrm flipH="1" flipV="1">
                          <a:off x="0" y="0"/>
                          <a:ext cx="464820"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981325" id="Straight Arrow Connector 11" o:spid="_x0000_s1026" type="#_x0000_t32" style="position:absolute;margin-left:278.4pt;margin-top:3.25pt;width:36.6pt;height:18.6pt;flip:x y;z-index:2516817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" strokecolor="#156082 [3204]" strokeweight=".5pt">
                <v:stroke endarrow="block" joinstyle="miter"/>
              </v:shape>
            </w:pict>
          </mc:Fallback>
        </mc:AlternateContent>
      </w:r>
      <w:r w:rsidR="00B268AC" w:rsidRPr="00C560CB">
        <w:rPr>
          <w:rFonts w:ascii="Times New Roman" w:hAnsi="Times New Roman" w:cs="Times New Roman"/>
          <w:noProof/>
          <w14:ligatures w14:val="standardContextual"/>
        </w:rPr>
        <mc:AlternateContent>
          <mc:Choice Requires="wps">
            <w:drawing>
              <wp:anchor distT="0" distB="0" distL="114300" distR="114300" simplePos="0" relativeHeight="251678722" behindDoc="0" locked="0" layoutInCell="1" allowOverlap="1" wp14:anchorId="73494227" wp14:editId="08A6D26C">
                <wp:simplePos x="0" y="0"/>
                <wp:positionH relativeFrom="column">
                  <wp:posOffset>574502</wp:posOffset>
                </wp:positionH>
                <wp:positionV relativeFrom="paragraph">
                  <wp:posOffset>274955</wp:posOffset>
                </wp:positionV>
                <wp:extent cx="1032163" cy="928255"/>
                <wp:effectExtent l="0" t="0" r="15875" b="24765"/>
                <wp:wrapNone/>
                <wp:docPr id="220530124" name="Text Box 8"/>
                <wp:cNvGraphicFramePr/>
                <a:graphic xmlns:a="http://schemas.openxmlformats.org/drawingml/2006/main">
                  <a:graphicData uri="http://schemas.microsoft.com/office/word/2010/wordprocessingShape">
                    <wps:wsp>
                      <wps:cNvSpPr txBox="1"/>
                      <wps:spPr>
                        <a:xfrm>
                          <a:off x="0" y="0"/>
                          <a:ext cx="1032163" cy="928255"/>
                        </a:xfrm>
                        <a:prstGeom prst="rect">
                          <a:avLst/>
                        </a:prstGeom>
                        <a:solidFill>
                          <a:schemeClr val="lt1"/>
                        </a:solidFill>
                        <a:ln w="6350">
                          <a:solidFill>
                            <a:prstClr val="black"/>
                          </a:solidFill>
                        </a:ln>
                      </wps:spPr>
                      <wps:txbx>
                        <w:txbxContent>
                          <w:p w14:paraId="5CB5F299" w14:textId="41C85226" w:rsidR="00DB6880" w:rsidRPr="004B0A4E" w:rsidRDefault="00C2005A" w:rsidP="00B268AC">
                            <w:pPr>
                              <w:jc w:val="center"/>
                              <w:rPr>
                                <w:b/>
                                <w:bCs/>
                              </w:rPr>
                            </w:pPr>
                            <w:r w:rsidRPr="004B0A4E">
                              <w:rPr>
                                <w:b/>
                                <w:bCs/>
                              </w:rPr>
                              <w:t xml:space="preserve">ESG </w:t>
                            </w:r>
                            <w:r w:rsidR="00BC5C6B" w:rsidRPr="004B0A4E">
                              <w:rPr>
                                <w:b/>
                                <w:bCs/>
                              </w:rPr>
                              <w:t>Regulatory</w:t>
                            </w:r>
                            <w:r w:rsidR="00FE22B9" w:rsidRPr="004B0A4E">
                              <w:rPr>
                                <w:b/>
                                <w:bCs/>
                              </w:rPr>
                              <w:t xml:space="preserve"> Framework</w:t>
                            </w:r>
                            <w:r w:rsidR="00BC5C6B" w:rsidRPr="004B0A4E">
                              <w:rPr>
                                <w:b/>
                                <w:bCs/>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494227" id="Text Box 8" o:spid="_x0000_s1030" type="#_x0000_t202" style="position:absolute;left:0;text-align:left;margin-left:45.25pt;margin-top:21.65pt;width:81.25pt;height:73.1pt;z-index:2516787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" fillcolor="white [3201]" strokeweight=".5pt">
                <v:textbox>
                  <w:txbxContent>
                    <w:p w14:paraId="5CB5F299" w14:textId="41C85226" w:rsidR="00DB6880" w:rsidRPr="004B0A4E" w:rsidRDefault="00C2005A" w:rsidP="00B268AC">
                      <w:pPr>
                        <w:jc w:val="center"/>
                        <w:rPr>
                          <w:b/>
                          <w:bCs/>
                        </w:rPr>
                      </w:pPr>
                      <w:r w:rsidRPr="004B0A4E">
                        <w:rPr>
                          <w:b/>
                          <w:bCs/>
                        </w:rPr>
                        <w:t xml:space="preserve">ESG </w:t>
                      </w:r>
                      <w:r w:rsidR="00BC5C6B" w:rsidRPr="004B0A4E">
                        <w:rPr>
                          <w:b/>
                          <w:bCs/>
                        </w:rPr>
                        <w:t>Regulatory</w:t>
                      </w:r>
                      <w:r w:rsidR="00FE22B9" w:rsidRPr="004B0A4E">
                        <w:rPr>
                          <w:b/>
                          <w:bCs/>
                        </w:rPr>
                        <w:t xml:space="preserve"> Framework</w:t>
                      </w:r>
                      <w:r w:rsidR="00BC5C6B" w:rsidRPr="004B0A4E">
                        <w:rPr>
                          <w:b/>
                          <w:bCs/>
                        </w:rPr>
                        <w:t>s</w:t>
                      </w:r>
                    </w:p>
                  </w:txbxContent>
                </v:textbox>
              </v:shape>
            </w:pict>
          </mc:Fallback>
        </mc:AlternateContent>
      </w:r>
    </w:p>
    <w:p w14:paraId="52E43B65" w14:textId="6D1135EB" w:rsidR="00014BD4" w:rsidRPr="00C560CB" w:rsidRDefault="00014BD4" w:rsidP="0048443F">
      <w:pPr>
        <w:spacing w:line="276" w:lineRule="auto"/>
        <w:jc w:val="both"/>
        <w:rPr>
          <w:rFonts w:ascii="Times New Roman" w:hAnsi="Times New Roman" w:cs="Times New Roman"/>
        </w:rPr>
      </w:pPr>
    </w:p>
    <w:p w14:paraId="34D9D910" w14:textId="4931E3BA" w:rsidR="00014BD4" w:rsidRPr="00C560CB" w:rsidRDefault="00014BD4" w:rsidP="0048443F">
      <w:pPr>
        <w:spacing w:line="276" w:lineRule="auto"/>
        <w:jc w:val="both"/>
        <w:rPr>
          <w:rFonts w:ascii="Times New Roman" w:hAnsi="Times New Roman" w:cs="Times New Roman"/>
        </w:rPr>
      </w:pPr>
    </w:p>
    <w:p w14:paraId="6D13AA4E" w14:textId="38417ED0" w:rsidR="00014BD4" w:rsidRPr="00C560CB" w:rsidRDefault="00D11F6B" w:rsidP="0048443F">
      <w:pPr>
        <w:spacing w:line="276" w:lineRule="auto"/>
        <w:jc w:val="both"/>
        <w:rPr>
          <w:rFonts w:ascii="Times New Roman" w:hAnsi="Times New Roman" w:cs="Times New Roman"/>
        </w:rPr>
      </w:pPr>
      <w:r w:rsidRPr="00C560CB">
        <w:rPr>
          <w:rFonts w:ascii="Times New Roman" w:hAnsi="Times New Roman" w:cs="Times New Roman"/>
          <w:noProof/>
          <w14:ligatures w14:val="standardContextual"/>
        </w:rPr>
        <mc:AlternateContent>
          <mc:Choice Requires="wps">
            <w:drawing>
              <wp:anchor distT="0" distB="0" distL="114300" distR="114300" simplePos="0" relativeHeight="251682818" behindDoc="0" locked="0" layoutInCell="1" allowOverlap="1" wp14:anchorId="4488B1B0" wp14:editId="4CC7E565">
                <wp:simplePos x="0" y="0"/>
                <wp:positionH relativeFrom="column">
                  <wp:posOffset>3436620</wp:posOffset>
                </wp:positionH>
                <wp:positionV relativeFrom="paragraph">
                  <wp:posOffset>242570</wp:posOffset>
                </wp:positionV>
                <wp:extent cx="579120" cy="394335"/>
                <wp:effectExtent l="38100" t="0" r="30480" b="62865"/>
                <wp:wrapNone/>
                <wp:docPr id="853669622" name="Straight Arrow Connector 12"/>
                <wp:cNvGraphicFramePr/>
                <a:graphic xmlns:a="http://schemas.openxmlformats.org/drawingml/2006/main">
                  <a:graphicData uri="http://schemas.microsoft.com/office/word/2010/wordprocessingShape">
                    <wps:wsp>
                      <wps:cNvCnPr/>
                      <wps:spPr>
                        <a:xfrm flipH="1">
                          <a:off x="0" y="0"/>
                          <a:ext cx="579120" cy="3943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67905C" id="Straight Arrow Connector 12" o:spid="_x0000_s1026" type="#_x0000_t32" style="position:absolute;margin-left:270.6pt;margin-top:19.1pt;width:45.6pt;height:31.05pt;flip:x;z-index:2516828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" strokecolor="#156082 [3204]" strokeweight=".5pt">
                <v:stroke endarrow="block" joinstyle="miter"/>
              </v:shape>
            </w:pict>
          </mc:Fallback>
        </mc:AlternateContent>
      </w:r>
      <w:r w:rsidR="00B268AC" w:rsidRPr="00C560CB">
        <w:rPr>
          <w:rFonts w:ascii="Times New Roman" w:hAnsi="Times New Roman" w:cs="Times New Roman"/>
          <w:noProof/>
          <w14:ligatures w14:val="standardContextual"/>
        </w:rPr>
        <mc:AlternateContent>
          <mc:Choice Requires="wps">
            <w:drawing>
              <wp:anchor distT="0" distB="0" distL="114300" distR="114300" simplePos="0" relativeHeight="251679746" behindDoc="0" locked="0" layoutInCell="1" allowOverlap="1" wp14:anchorId="190B09C9" wp14:editId="2B6AAAC3">
                <wp:simplePos x="0" y="0"/>
                <wp:positionH relativeFrom="column">
                  <wp:posOffset>2043315</wp:posOffset>
                </wp:positionH>
                <wp:positionV relativeFrom="paragraph">
                  <wp:posOffset>207645</wp:posOffset>
                </wp:positionV>
                <wp:extent cx="1413164" cy="630382"/>
                <wp:effectExtent l="0" t="0" r="15875" b="17780"/>
                <wp:wrapNone/>
                <wp:docPr id="403742528" name="Text Box 9"/>
                <wp:cNvGraphicFramePr/>
                <a:graphic xmlns:a="http://schemas.openxmlformats.org/drawingml/2006/main">
                  <a:graphicData uri="http://schemas.microsoft.com/office/word/2010/wordprocessingShape">
                    <wps:wsp>
                      <wps:cNvSpPr txBox="1"/>
                      <wps:spPr>
                        <a:xfrm>
                          <a:off x="0" y="0"/>
                          <a:ext cx="1413164" cy="630382"/>
                        </a:xfrm>
                        <a:prstGeom prst="rect">
                          <a:avLst/>
                        </a:prstGeom>
                        <a:solidFill>
                          <a:schemeClr val="lt1"/>
                        </a:solidFill>
                        <a:ln w="6350">
                          <a:solidFill>
                            <a:prstClr val="black"/>
                          </a:solidFill>
                        </a:ln>
                      </wps:spPr>
                      <wps:txbx>
                        <w:txbxContent>
                          <w:p w14:paraId="642BFF09" w14:textId="49EE0693" w:rsidR="00603E6E" w:rsidRPr="004B0A4E" w:rsidRDefault="00695426" w:rsidP="00B268AC">
                            <w:pPr>
                              <w:jc w:val="center"/>
                              <w:rPr>
                                <w:b/>
                                <w:bCs/>
                              </w:rPr>
                            </w:pPr>
                            <w:r w:rsidRPr="004B0A4E">
                              <w:rPr>
                                <w:b/>
                                <w:bCs/>
                              </w:rPr>
                              <w:t xml:space="preserve">Market </w:t>
                            </w:r>
                            <w:r w:rsidR="00577657" w:rsidRPr="004B0A4E">
                              <w:rPr>
                                <w:b/>
                                <w:bCs/>
                              </w:rPr>
                              <w:t>Res</w:t>
                            </w:r>
                            <w:r w:rsidR="009740FE" w:rsidRPr="004B0A4E">
                              <w:rPr>
                                <w:b/>
                                <w:bCs/>
                              </w:rPr>
                              <w:t>ili</w:t>
                            </w:r>
                            <w:r w:rsidR="00B268AC" w:rsidRPr="004B0A4E">
                              <w:rPr>
                                <w:b/>
                                <w:bCs/>
                              </w:rPr>
                              <w:t>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0B09C9" id="Text Box 9" o:spid="_x0000_s1031" type="#_x0000_t202" style="position:absolute;left:0;text-align:left;margin-left:160.9pt;margin-top:16.35pt;width:111.25pt;height:49.65pt;z-index:2516797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" fillcolor="white [3201]" strokeweight=".5pt">
                <v:textbox>
                  <w:txbxContent>
                    <w:p w14:paraId="642BFF09" w14:textId="49EE0693" w:rsidR="00603E6E" w:rsidRPr="004B0A4E" w:rsidRDefault="00695426" w:rsidP="00B268AC">
                      <w:pPr>
                        <w:jc w:val="center"/>
                        <w:rPr>
                          <w:b/>
                          <w:bCs/>
                        </w:rPr>
                      </w:pPr>
                      <w:r w:rsidRPr="004B0A4E">
                        <w:rPr>
                          <w:b/>
                          <w:bCs/>
                        </w:rPr>
                        <w:t xml:space="preserve">Market </w:t>
                      </w:r>
                      <w:r w:rsidR="00577657" w:rsidRPr="004B0A4E">
                        <w:rPr>
                          <w:b/>
                          <w:bCs/>
                        </w:rPr>
                        <w:t>Res</w:t>
                      </w:r>
                      <w:r w:rsidR="009740FE" w:rsidRPr="004B0A4E">
                        <w:rPr>
                          <w:b/>
                          <w:bCs/>
                        </w:rPr>
                        <w:t>ili</w:t>
                      </w:r>
                      <w:r w:rsidR="00B268AC" w:rsidRPr="004B0A4E">
                        <w:rPr>
                          <w:b/>
                          <w:bCs/>
                        </w:rPr>
                        <w:t>ence</w:t>
                      </w:r>
                    </w:p>
                  </w:txbxContent>
                </v:textbox>
              </v:shape>
            </w:pict>
          </mc:Fallback>
        </mc:AlternateContent>
      </w:r>
      <w:r w:rsidR="00142455" w:rsidRPr="00C560CB">
        <w:rPr>
          <w:rFonts w:ascii="Times New Roman" w:hAnsi="Times New Roman" w:cs="Times New Roman"/>
          <w:noProof/>
          <w14:ligatures w14:val="standardContextual"/>
        </w:rPr>
        <mc:AlternateContent>
          <mc:Choice Requires="wps">
            <w:drawing>
              <wp:anchor distT="0" distB="0" distL="114300" distR="114300" simplePos="0" relativeHeight="251683842" behindDoc="0" locked="0" layoutInCell="1" allowOverlap="1" wp14:anchorId="3B9A308F" wp14:editId="3B618299">
                <wp:simplePos x="0" y="0"/>
                <wp:positionH relativeFrom="column">
                  <wp:posOffset>1606435</wp:posOffset>
                </wp:positionH>
                <wp:positionV relativeFrom="paragraph">
                  <wp:posOffset>270164</wp:posOffset>
                </wp:positionV>
                <wp:extent cx="426027" cy="339436"/>
                <wp:effectExtent l="38100" t="38100" r="31750" b="22860"/>
                <wp:wrapNone/>
                <wp:docPr id="706927901" name="Straight Arrow Connector 13"/>
                <wp:cNvGraphicFramePr/>
                <a:graphic xmlns:a="http://schemas.openxmlformats.org/drawingml/2006/main">
                  <a:graphicData uri="http://schemas.microsoft.com/office/word/2010/wordprocessingShape">
                    <wps:wsp>
                      <wps:cNvCnPr/>
                      <wps:spPr>
                        <a:xfrm flipH="1" flipV="1">
                          <a:off x="0" y="0"/>
                          <a:ext cx="426027" cy="3394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2FBA8A" id="Straight Arrow Connector 13" o:spid="_x0000_s1026" type="#_x0000_t32" style="position:absolute;margin-left:126.5pt;margin-top:21.25pt;width:33.55pt;height:26.75pt;flip:x y;z-index:2516838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" strokecolor="#156082 [3204]" strokeweight=".5pt">
                <v:stroke endarrow="block" joinstyle="miter"/>
              </v:shape>
            </w:pict>
          </mc:Fallback>
        </mc:AlternateContent>
      </w:r>
    </w:p>
    <w:p w14:paraId="19D0450A" w14:textId="26843066" w:rsidR="00014BD4" w:rsidRPr="00C560CB" w:rsidRDefault="00014BD4" w:rsidP="0048443F">
      <w:pPr>
        <w:spacing w:line="276" w:lineRule="auto"/>
        <w:jc w:val="both"/>
        <w:rPr>
          <w:rFonts w:ascii="Times New Roman" w:hAnsi="Times New Roman" w:cs="Times New Roman"/>
        </w:rPr>
      </w:pPr>
    </w:p>
    <w:p w14:paraId="1172E79C" w14:textId="432C4A67" w:rsidR="00014BD4" w:rsidRPr="00C560CB" w:rsidRDefault="00014BD4" w:rsidP="0048443F">
      <w:pPr>
        <w:spacing w:line="276" w:lineRule="auto"/>
        <w:jc w:val="both"/>
        <w:rPr>
          <w:rFonts w:ascii="Times New Roman" w:hAnsi="Times New Roman" w:cs="Times New Roman"/>
        </w:rPr>
      </w:pPr>
    </w:p>
    <w:p w14:paraId="27FA5374" w14:textId="77777777" w:rsidR="009A62A7" w:rsidRPr="00C560CB" w:rsidRDefault="009A62A7" w:rsidP="0048443F">
      <w:pPr>
        <w:spacing w:line="276" w:lineRule="auto"/>
        <w:jc w:val="both"/>
        <w:rPr>
          <w:rFonts w:ascii="Times New Roman" w:hAnsi="Times New Roman" w:cs="Times New Roman"/>
        </w:rPr>
      </w:pPr>
    </w:p>
    <w:p w14:paraId="32724BC8" w14:textId="49605F02" w:rsidR="00014BD4" w:rsidRPr="00C560CB" w:rsidRDefault="009A62A7"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77222C63" w14:textId="77777777" w:rsidR="00C503CE" w:rsidRPr="00C560CB" w:rsidRDefault="00C503CE" w:rsidP="0048443F">
      <w:pPr>
        <w:spacing w:line="276" w:lineRule="auto"/>
        <w:jc w:val="both"/>
        <w:rPr>
          <w:rFonts w:ascii="Times New Roman" w:hAnsi="Times New Roman" w:cs="Times New Roman"/>
        </w:rPr>
      </w:pPr>
    </w:p>
    <w:p w14:paraId="508DDBEF" w14:textId="750DC234"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Studies such as those by </w:t>
      </w:r>
      <w:r w:rsidR="00135987" w:rsidRPr="00C560CB">
        <w:rPr>
          <w:rFonts w:ascii="Times New Roman" w:hAnsi="Times New Roman" w:cs="Times New Roman"/>
        </w:rPr>
        <w:t>(Tóth et al., 2021)</w:t>
      </w:r>
      <w:r w:rsidRPr="00C560CB">
        <w:rPr>
          <w:rFonts w:ascii="Times New Roman" w:hAnsi="Times New Roman" w:cs="Times New Roman"/>
        </w:rPr>
        <w:t xml:space="preserve"> highlight the positive contribution of ESG to financial stability, especially in banking. For example, their findings indicated that within the European banking sector, banks with higher ESG scores tend to have lower non-performing loan ratios. This effect is further magnified by capital standards that curtail risk exposure, underscoring the contribution of ESG integration to financial stability. Regulatory regimes that promote ESG principles provide a conducive environment for responsible investment behavio</w:t>
      </w:r>
      <w:r w:rsidR="00135987" w:rsidRPr="00C560CB">
        <w:rPr>
          <w:rFonts w:ascii="Times New Roman" w:hAnsi="Times New Roman" w:cs="Times New Roman"/>
        </w:rPr>
        <w:t>u</w:t>
      </w:r>
      <w:r w:rsidRPr="00C560CB">
        <w:rPr>
          <w:rFonts w:ascii="Times New Roman" w:hAnsi="Times New Roman" w:cs="Times New Roman"/>
        </w:rPr>
        <w:t xml:space="preserve">r and ensure that banks and financial institutions remain resilient during adverse economic conditions. In this sense, ESG factors in financial regulations </w:t>
      </w:r>
      <w:r w:rsidRPr="00C560CB">
        <w:rPr>
          <w:rFonts w:ascii="Times New Roman" w:hAnsi="Times New Roman" w:cs="Times New Roman"/>
        </w:rPr>
        <w:lastRenderedPageBreak/>
        <w:t>have proven to be an indispensable tool for risk mitigation, bringing stability into an otherwise risk-exposed banking sector.</w:t>
      </w:r>
    </w:p>
    <w:p w14:paraId="6D3B3E3B" w14:textId="0633EB43"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Another important effect of ESG policies is how they contribute to reinforcing market resilience, especially during financial crises. </w:t>
      </w:r>
      <w:r w:rsidR="00D45878" w:rsidRPr="00C560CB">
        <w:rPr>
          <w:rFonts w:ascii="Times New Roman" w:hAnsi="Times New Roman" w:cs="Times New Roman"/>
        </w:rPr>
        <w:t xml:space="preserve">(Chiaramonte et al., 2021) </w:t>
      </w:r>
      <w:r w:rsidRPr="00C560CB">
        <w:rPr>
          <w:rFonts w:ascii="Times New Roman" w:hAnsi="Times New Roman" w:cs="Times New Roman"/>
        </w:rPr>
        <w:t>conclude that ESG regulations have helped European banks navigate periods of financial turmoil, acting as a shock absorber against market instability. In this study, banks with sound ESG practices maintained operational stability and access to capital during strained economic conditions. The ability to withstand financial turmoil positions ESG as a protective layer that enables financial systems to manage systemic risks. Integrating ESG into regulatory frameworks creates resilient financial systems with robust governance structures that are well-equipped to handle market fluctuations.</w:t>
      </w:r>
    </w:p>
    <w:p w14:paraId="14CF588B" w14:textId="0BC308A7"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The long-term resilience benefits of ESG principles have been witnessed across industries. A recent study by </w:t>
      </w:r>
      <w:r w:rsidR="00543C7D" w:rsidRPr="00C560CB">
        <w:rPr>
          <w:rFonts w:ascii="Times New Roman" w:hAnsi="Times New Roman" w:cs="Times New Roman"/>
        </w:rPr>
        <w:t xml:space="preserve">(Owen, 2024) </w:t>
      </w:r>
      <w:r w:rsidRPr="00C560CB">
        <w:rPr>
          <w:rFonts w:ascii="Times New Roman" w:hAnsi="Times New Roman" w:cs="Times New Roman"/>
        </w:rPr>
        <w:t>on the UK financial industry demonstrates how the integration of ESG principles increases resilience to climate change impacts and promotes a sustainable economic environment. Owen’s findings underline how regulatory promotion of ESG practices fosters greater environmental and social responsibility within firms, producing positive externalities across the financial ecosystem. By embedding ESG factors into regulatory frameworks, policymakers ensure that firms prioritize sustainability, aligning economic development with environmental resilience</w:t>
      </w:r>
      <w:r w:rsidR="00543C7D" w:rsidRPr="00C560CB">
        <w:rPr>
          <w:rFonts w:ascii="Times New Roman" w:hAnsi="Times New Roman" w:cs="Times New Roman"/>
        </w:rPr>
        <w:t xml:space="preserve"> </w:t>
      </w:r>
      <w:r w:rsidRPr="00C560CB">
        <w:rPr>
          <w:rFonts w:ascii="Times New Roman" w:hAnsi="Times New Roman" w:cs="Times New Roman"/>
        </w:rPr>
        <w:t>an increasingly important alignment as financial markets face mounting pressure to combat climate change.</w:t>
      </w:r>
    </w:p>
    <w:p w14:paraId="718490C1" w14:textId="50B9389D"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ESG integration into regulations also underscores key points about risk management, a vital component highlighted in recent research. </w:t>
      </w:r>
      <w:r w:rsidR="00663F05" w:rsidRPr="00C560CB">
        <w:rPr>
          <w:rFonts w:ascii="Times New Roman" w:hAnsi="Times New Roman" w:cs="Times New Roman"/>
        </w:rPr>
        <w:t>(Akhil Pasupuleti, Lakshmana Rao Ayyagari and Shankara Rao Akuthota, 2024)</w:t>
      </w:r>
      <w:r w:rsidRPr="00C560CB">
        <w:rPr>
          <w:rFonts w:ascii="Times New Roman" w:hAnsi="Times New Roman" w:cs="Times New Roman"/>
        </w:rPr>
        <w:t xml:space="preserve"> explored the post-COVID-19 landscape to identify how firms with high ESG scores fared during financially strained times. Their findings indicate that firms emphasizing ESG factors are more resilient to economic shocks, validating the role of ESG in risk mitigation. Supporting firms that invest in ESG, regulatory frameworks encourage companies to adopt long-term, sustainable strategies instead of focusing solely on short-term profits. This shift in corporate focus from immediate gains to sustainable growth tempers economic cycles by reducing volatility and promoting steady growth across sectors.</w:t>
      </w:r>
    </w:p>
    <w:p w14:paraId="05B2282A" w14:textId="6BF701A5"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Another positive influence of the regulatory push for ESG is the enhancement of market-wide stability. A study by </w:t>
      </w:r>
      <w:r w:rsidR="002A198A" w:rsidRPr="00C560CB">
        <w:rPr>
          <w:rFonts w:ascii="Times New Roman" w:hAnsi="Times New Roman" w:cs="Times New Roman"/>
        </w:rPr>
        <w:t xml:space="preserve">(Lupu, Hurduzeu and Lupu, 2022) </w:t>
      </w:r>
      <w:r w:rsidRPr="00C560CB">
        <w:rPr>
          <w:rFonts w:ascii="Times New Roman" w:hAnsi="Times New Roman" w:cs="Times New Roman"/>
        </w:rPr>
        <w:t xml:space="preserve">shows that high ESG ratings correlate positively with institutional resilience, particularly within </w:t>
      </w:r>
      <w:r w:rsidR="00E2098F" w:rsidRPr="00C560CB">
        <w:rPr>
          <w:rFonts w:ascii="Times New Roman" w:hAnsi="Times New Roman" w:cs="Times New Roman"/>
        </w:rPr>
        <w:t>Europ</w:t>
      </w:r>
      <w:r w:rsidRPr="00C560CB">
        <w:rPr>
          <w:rFonts w:ascii="Times New Roman" w:hAnsi="Times New Roman" w:cs="Times New Roman"/>
        </w:rPr>
        <w:t>e</w:t>
      </w:r>
      <w:r w:rsidR="00E2098F" w:rsidRPr="00C560CB">
        <w:rPr>
          <w:rFonts w:ascii="Times New Roman" w:hAnsi="Times New Roman" w:cs="Times New Roman"/>
        </w:rPr>
        <w:t>an</w:t>
      </w:r>
      <w:r w:rsidRPr="00C560CB">
        <w:rPr>
          <w:rFonts w:ascii="Times New Roman" w:hAnsi="Times New Roman" w:cs="Times New Roman"/>
        </w:rPr>
        <w:t xml:space="preserve"> banking sectors. This stability benefits not only individual firms but also the broader market, as ESG-sensitive institutions are less likely to engage in high-risk behaviours. The research highlights how regulatory bodies seek to encourage ESG integration to build financial stability, particularly in volatile banking sectors that can have widespread impacts during economic downturns. On a global scale, </w:t>
      </w:r>
      <w:r w:rsidR="00EA4690" w:rsidRPr="00C560CB">
        <w:rPr>
          <w:rFonts w:ascii="Times New Roman" w:hAnsi="Times New Roman" w:cs="Times New Roman"/>
        </w:rPr>
        <w:t xml:space="preserve">(Maharajabdinul, 2024) </w:t>
      </w:r>
      <w:r w:rsidRPr="00C560CB">
        <w:rPr>
          <w:rFonts w:ascii="Times New Roman" w:hAnsi="Times New Roman" w:cs="Times New Roman"/>
        </w:rPr>
        <w:t>emphasises ESG’s role as a regulatory tool driving sustainable economic growth, advocating for ESG-centered policies that create conditions conducive to sustainable growth and encourage beneficial economic and social practices.</w:t>
      </w:r>
    </w:p>
    <w:p w14:paraId="1EBB840A" w14:textId="77777777"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The collective insights from these studies suggest that ESG is essential in building resilient financial markets and fostering long-term stability. Regulatory frameworks that promote ESG reduce financial risk and support sustainable practices aligned with environmental goals and social equity. This strategic alignment of regulatory policies with ESG principles establishes a foundation for a resilient financial system, one that can better handle economic shocks and evolving societal expectations. Integrating ESG into regulatory frameworks not only influences corporate responsibility but also shapes a resilient global economy, benefiting from reduced volatility and improved risk management. Policymakers, by reinforcing ESG principles in financial regulations, contribute to the broader sustainability agenda, setting an example for other markets and industries. This shift towards ESG-centered regulation </w:t>
      </w:r>
      <w:r w:rsidRPr="00C560CB">
        <w:rPr>
          <w:rFonts w:ascii="Times New Roman" w:hAnsi="Times New Roman" w:cs="Times New Roman"/>
        </w:rPr>
        <w:lastRenderedPageBreak/>
        <w:t>underscores the growing understanding that sustainable business practices are closely tied to financial resilience and stability, ensuring that markets adapt to face unprecedented global challenges. As these frameworks continue to evolve, evidence suggests that ESG integration will remain a cornerstone of financial policy, guiding markets towards a stable, equitable, and resilient future.</w:t>
      </w:r>
    </w:p>
    <w:p w14:paraId="59E3E260" w14:textId="77777777" w:rsidR="006925C6" w:rsidRPr="00C560CB" w:rsidRDefault="006925C6" w:rsidP="0048443F">
      <w:pPr>
        <w:spacing w:line="276" w:lineRule="auto"/>
        <w:jc w:val="both"/>
        <w:rPr>
          <w:rFonts w:ascii="Times New Roman" w:hAnsi="Times New Roman" w:cs="Times New Roman"/>
        </w:rPr>
      </w:pPr>
    </w:p>
    <w:p w14:paraId="2E2B29D4" w14:textId="33B0B7FC" w:rsidR="006925C6" w:rsidRPr="00C560CB" w:rsidRDefault="006925C6" w:rsidP="0048443F">
      <w:pPr>
        <w:pStyle w:val="Heading3"/>
        <w:spacing w:line="276" w:lineRule="auto"/>
        <w:rPr>
          <w:rFonts w:ascii="Times New Roman" w:hAnsi="Times New Roman" w:cs="Times New Roman"/>
        </w:rPr>
      </w:pPr>
      <w:bookmarkStart w:id="66" w:name="_Toc179724823"/>
      <w:r w:rsidRPr="00C560CB">
        <w:rPr>
          <w:rFonts w:ascii="Times New Roman" w:hAnsi="Times New Roman" w:cs="Times New Roman"/>
        </w:rPr>
        <w:t>1.5.1ESG Regulatory Frameworks: A Comparative Global Analysis</w:t>
      </w:r>
      <w:bookmarkEnd w:id="66"/>
    </w:p>
    <w:p w14:paraId="1E87009D" w14:textId="77777777" w:rsidR="006925C6" w:rsidRPr="00C560CB" w:rsidRDefault="006925C6" w:rsidP="0048443F">
      <w:pPr>
        <w:spacing w:line="276" w:lineRule="auto"/>
        <w:jc w:val="both"/>
        <w:rPr>
          <w:rFonts w:ascii="Times New Roman" w:hAnsi="Times New Roman" w:cs="Times New Roman"/>
        </w:rPr>
      </w:pPr>
    </w:p>
    <w:p w14:paraId="7F1A74C3" w14:textId="3DEBDC1D" w:rsidR="006925C6" w:rsidRPr="00C560CB" w:rsidRDefault="006A1527" w:rsidP="0048443F">
      <w:pPr>
        <w:spacing w:line="276" w:lineRule="auto"/>
        <w:jc w:val="both"/>
        <w:rPr>
          <w:rFonts w:ascii="Times New Roman" w:hAnsi="Times New Roman" w:cs="Times New Roman"/>
        </w:rPr>
      </w:pPr>
      <w:r w:rsidRPr="00C560CB">
        <w:rPr>
          <w:rFonts w:ascii="Times New Roman" w:hAnsi="Times New Roman" w:cs="Times New Roman"/>
        </w:rPr>
        <w:t>The integration of Environmental, Social, and Governance (ESG) principles into corporate and financial strategies has gained traction globally, driven by regulatory developments across major regions. However, the approach to ESG regulation varies widely by region, influencing how multinational companies shape their ESG policies and compliance strategies. These regional disparities can significantly affect both operational costs and market performance, particularly for companies that operate across borders.</w:t>
      </w:r>
    </w:p>
    <w:p w14:paraId="337215C8" w14:textId="77777777" w:rsidR="00223F0A" w:rsidRPr="00C560CB" w:rsidRDefault="00223F0A" w:rsidP="0048443F">
      <w:pPr>
        <w:spacing w:line="276" w:lineRule="auto"/>
        <w:jc w:val="both"/>
        <w:rPr>
          <w:rFonts w:ascii="Times New Roman" w:hAnsi="Times New Roman" w:cs="Times New Roman"/>
        </w:rPr>
      </w:pPr>
    </w:p>
    <w:tbl>
      <w:tblPr>
        <w:tblStyle w:val="TableGrid"/>
        <w:tblpPr w:leftFromText="180" w:rightFromText="180" w:vertAnchor="page" w:horzAnchor="margin" w:tblpY="2725"/>
        <w:tblW w:w="8979" w:type="dxa"/>
        <w:tblLook w:val="04A0" w:firstRow="1" w:lastRow="0" w:firstColumn="1" w:lastColumn="0" w:noHBand="0" w:noVBand="1"/>
      </w:tblPr>
      <w:tblGrid>
        <w:gridCol w:w="1825"/>
        <w:gridCol w:w="2885"/>
        <w:gridCol w:w="1766"/>
        <w:gridCol w:w="2503"/>
      </w:tblGrid>
      <w:tr w:rsidR="00EC0A47" w:rsidRPr="00C560CB" w14:paraId="310B82FD" w14:textId="77777777" w:rsidTr="005A320C">
        <w:trPr>
          <w:trHeight w:val="1124"/>
        </w:trPr>
        <w:tc>
          <w:tcPr>
            <w:tcW w:w="1825" w:type="dxa"/>
          </w:tcPr>
          <w:p w14:paraId="559194D6" w14:textId="05E5B865" w:rsidR="00DC5205" w:rsidRPr="00C560CB" w:rsidRDefault="00D624DE" w:rsidP="0048443F">
            <w:pPr>
              <w:spacing w:line="276" w:lineRule="auto"/>
              <w:jc w:val="center"/>
              <w:rPr>
                <w:rFonts w:ascii="Times New Roman" w:hAnsi="Times New Roman" w:cs="Times New Roman"/>
                <w:b/>
                <w:bCs/>
              </w:rPr>
            </w:pPr>
            <w:r w:rsidRPr="00C560CB">
              <w:rPr>
                <w:rFonts w:ascii="Times New Roman" w:hAnsi="Times New Roman" w:cs="Times New Roman"/>
                <w:b/>
                <w:bCs/>
              </w:rPr>
              <w:lastRenderedPageBreak/>
              <w:t>Region</w:t>
            </w:r>
          </w:p>
        </w:tc>
        <w:tc>
          <w:tcPr>
            <w:tcW w:w="2885" w:type="dxa"/>
          </w:tcPr>
          <w:tbl>
            <w:tblPr>
              <w:tblW w:w="2669" w:type="dxa"/>
              <w:tblCellSpacing w:w="15" w:type="dxa"/>
              <w:tblCellMar>
                <w:top w:w="15" w:type="dxa"/>
                <w:left w:w="15" w:type="dxa"/>
                <w:bottom w:w="15" w:type="dxa"/>
                <w:right w:w="15" w:type="dxa"/>
              </w:tblCellMar>
              <w:tblLook w:val="04A0" w:firstRow="1" w:lastRow="0" w:firstColumn="1" w:lastColumn="0" w:noHBand="0" w:noVBand="1"/>
            </w:tblPr>
            <w:tblGrid>
              <w:gridCol w:w="2669"/>
            </w:tblGrid>
            <w:tr w:rsidR="00D624DE" w:rsidRPr="00C560CB" w14:paraId="0090FD68" w14:textId="77777777" w:rsidTr="00171DB5">
              <w:trPr>
                <w:trHeight w:val="459"/>
                <w:tblCellSpacing w:w="15" w:type="dxa"/>
              </w:trPr>
              <w:tc>
                <w:tcPr>
                  <w:tcW w:w="0" w:type="auto"/>
                  <w:vAlign w:val="center"/>
                  <w:hideMark/>
                </w:tcPr>
                <w:p w14:paraId="17ED2AD5" w14:textId="11402791" w:rsidR="00D624DE" w:rsidRPr="00C560CB" w:rsidRDefault="00D624DE" w:rsidP="008C3301">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Key ESG Regulations</w:t>
                  </w:r>
                </w:p>
              </w:tc>
            </w:tr>
          </w:tbl>
          <w:p w14:paraId="555631F5" w14:textId="77777777" w:rsidR="00D624DE" w:rsidRPr="00C560CB" w:rsidRDefault="00D624DE"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624DE" w:rsidRPr="00C560CB" w14:paraId="09C12099" w14:textId="77777777" w:rsidTr="00EC0A47">
              <w:trPr>
                <w:tblCellSpacing w:w="15" w:type="dxa"/>
              </w:trPr>
              <w:tc>
                <w:tcPr>
                  <w:tcW w:w="0" w:type="auto"/>
                  <w:vAlign w:val="center"/>
                  <w:hideMark/>
                </w:tcPr>
                <w:p w14:paraId="66C7602A" w14:textId="77777777" w:rsidR="00D624DE" w:rsidRPr="00C560CB" w:rsidRDefault="00D624DE" w:rsidP="008C3301">
                  <w:pPr>
                    <w:framePr w:hSpace="180" w:wrap="around" w:vAnchor="page" w:hAnchor="margin" w:y="2725"/>
                    <w:spacing w:after="0" w:line="276" w:lineRule="auto"/>
                    <w:jc w:val="both"/>
                    <w:rPr>
                      <w:rFonts w:ascii="Times New Roman" w:hAnsi="Times New Roman" w:cs="Times New Roman"/>
                    </w:rPr>
                  </w:pPr>
                </w:p>
              </w:tc>
            </w:tr>
          </w:tbl>
          <w:p w14:paraId="4D07C1DD" w14:textId="77777777" w:rsidR="00DC5205" w:rsidRPr="00C560CB" w:rsidRDefault="00DC5205" w:rsidP="0048443F">
            <w:pPr>
              <w:spacing w:line="276" w:lineRule="auto"/>
              <w:jc w:val="both"/>
              <w:rPr>
                <w:rFonts w:ascii="Times New Roman" w:hAnsi="Times New Roman" w:cs="Times New Roman"/>
              </w:rPr>
            </w:pPr>
          </w:p>
        </w:tc>
        <w:tc>
          <w:tcPr>
            <w:tcW w:w="1766" w:type="dxa"/>
          </w:tcPr>
          <w:tbl>
            <w:tblPr>
              <w:tblW w:w="1550" w:type="dxa"/>
              <w:tblCellSpacing w:w="15" w:type="dxa"/>
              <w:tblCellMar>
                <w:top w:w="15" w:type="dxa"/>
                <w:left w:w="15" w:type="dxa"/>
                <w:bottom w:w="15" w:type="dxa"/>
                <w:right w:w="15" w:type="dxa"/>
              </w:tblCellMar>
              <w:tblLook w:val="04A0" w:firstRow="1" w:lastRow="0" w:firstColumn="1" w:lastColumn="0" w:noHBand="0" w:noVBand="1"/>
            </w:tblPr>
            <w:tblGrid>
              <w:gridCol w:w="1550"/>
            </w:tblGrid>
            <w:tr w:rsidR="00573E20" w:rsidRPr="00C560CB" w14:paraId="20430E06" w14:textId="77777777" w:rsidTr="00E974EC">
              <w:trPr>
                <w:trHeight w:val="497"/>
                <w:tblCellSpacing w:w="15" w:type="dxa"/>
              </w:trPr>
              <w:tc>
                <w:tcPr>
                  <w:tcW w:w="0" w:type="auto"/>
                  <w:vAlign w:val="center"/>
                  <w:hideMark/>
                </w:tcPr>
                <w:p w14:paraId="371E4B7F" w14:textId="77777777" w:rsidR="00573E20" w:rsidRPr="00C560CB" w:rsidRDefault="00573E20" w:rsidP="008C3301">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Focus Area</w:t>
                  </w:r>
                </w:p>
              </w:tc>
            </w:tr>
          </w:tbl>
          <w:p w14:paraId="477DB4AD" w14:textId="77777777" w:rsidR="00573E20" w:rsidRPr="00C560CB" w:rsidRDefault="00573E20"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573E20" w:rsidRPr="00C560CB" w14:paraId="74F83674" w14:textId="77777777" w:rsidTr="00EC0A47">
              <w:trPr>
                <w:tblCellSpacing w:w="15" w:type="dxa"/>
              </w:trPr>
              <w:tc>
                <w:tcPr>
                  <w:tcW w:w="0" w:type="auto"/>
                  <w:vAlign w:val="center"/>
                  <w:hideMark/>
                </w:tcPr>
                <w:p w14:paraId="3C89290A" w14:textId="77777777" w:rsidR="00573E20" w:rsidRPr="00C560CB" w:rsidRDefault="00573E20" w:rsidP="008C3301">
                  <w:pPr>
                    <w:framePr w:hSpace="180" w:wrap="around" w:vAnchor="page" w:hAnchor="margin" w:y="2725"/>
                    <w:spacing w:after="0" w:line="276" w:lineRule="auto"/>
                    <w:jc w:val="both"/>
                    <w:rPr>
                      <w:rFonts w:ascii="Times New Roman" w:hAnsi="Times New Roman" w:cs="Times New Roman"/>
                    </w:rPr>
                  </w:pPr>
                </w:p>
              </w:tc>
            </w:tr>
          </w:tbl>
          <w:p w14:paraId="3DA5193F" w14:textId="77777777" w:rsidR="00DC5205" w:rsidRPr="00C560CB" w:rsidRDefault="00DC5205" w:rsidP="0048443F">
            <w:pPr>
              <w:spacing w:line="276" w:lineRule="auto"/>
              <w:jc w:val="both"/>
              <w:rPr>
                <w:rFonts w:ascii="Times New Roman" w:hAnsi="Times New Roman" w:cs="Times New Roman"/>
              </w:rPr>
            </w:pPr>
          </w:p>
        </w:tc>
        <w:tc>
          <w:tcPr>
            <w:tcW w:w="2503" w:type="dxa"/>
          </w:tcPr>
          <w:tbl>
            <w:tblPr>
              <w:tblW w:w="2287" w:type="dxa"/>
              <w:tblCellSpacing w:w="15" w:type="dxa"/>
              <w:tblCellMar>
                <w:top w:w="15" w:type="dxa"/>
                <w:left w:w="15" w:type="dxa"/>
                <w:bottom w:w="15" w:type="dxa"/>
                <w:right w:w="15" w:type="dxa"/>
              </w:tblCellMar>
              <w:tblLook w:val="04A0" w:firstRow="1" w:lastRow="0" w:firstColumn="1" w:lastColumn="0" w:noHBand="0" w:noVBand="1"/>
            </w:tblPr>
            <w:tblGrid>
              <w:gridCol w:w="2287"/>
            </w:tblGrid>
            <w:tr w:rsidR="00573E20" w:rsidRPr="00C560CB" w14:paraId="6C11CBF0" w14:textId="77777777" w:rsidTr="00E974EC">
              <w:trPr>
                <w:trHeight w:val="545"/>
                <w:tblHeader/>
                <w:tblCellSpacing w:w="15" w:type="dxa"/>
              </w:trPr>
              <w:tc>
                <w:tcPr>
                  <w:tcW w:w="0" w:type="auto"/>
                  <w:vAlign w:val="center"/>
                  <w:hideMark/>
                </w:tcPr>
                <w:p w14:paraId="2E5ACA5B" w14:textId="77777777" w:rsidR="00573E20" w:rsidRPr="00C560CB" w:rsidRDefault="00573E20" w:rsidP="008C3301">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Impact on Companies</w:t>
                  </w:r>
                </w:p>
              </w:tc>
            </w:tr>
          </w:tbl>
          <w:p w14:paraId="01C9AFF3" w14:textId="77777777" w:rsidR="00573E20" w:rsidRPr="00C560CB" w:rsidRDefault="00573E20"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573E20" w:rsidRPr="00C560CB" w14:paraId="25D3E2AB" w14:textId="77777777" w:rsidTr="00EC0A47">
              <w:trPr>
                <w:tblCellSpacing w:w="15" w:type="dxa"/>
              </w:trPr>
              <w:tc>
                <w:tcPr>
                  <w:tcW w:w="0" w:type="auto"/>
                  <w:vAlign w:val="center"/>
                  <w:hideMark/>
                </w:tcPr>
                <w:p w14:paraId="316FB733" w14:textId="77777777" w:rsidR="00573E20" w:rsidRPr="00C560CB" w:rsidRDefault="00573E20" w:rsidP="008C3301">
                  <w:pPr>
                    <w:framePr w:hSpace="180" w:wrap="around" w:vAnchor="page" w:hAnchor="margin" w:y="2725"/>
                    <w:spacing w:after="0" w:line="276" w:lineRule="auto"/>
                    <w:jc w:val="both"/>
                    <w:rPr>
                      <w:rFonts w:ascii="Times New Roman" w:hAnsi="Times New Roman" w:cs="Times New Roman"/>
                    </w:rPr>
                  </w:pPr>
                </w:p>
              </w:tc>
            </w:tr>
          </w:tbl>
          <w:p w14:paraId="01C65730" w14:textId="77777777" w:rsidR="00DC5205" w:rsidRPr="00C560CB" w:rsidRDefault="00DC5205" w:rsidP="0048443F">
            <w:pPr>
              <w:spacing w:line="276" w:lineRule="auto"/>
              <w:jc w:val="both"/>
              <w:rPr>
                <w:rFonts w:ascii="Times New Roman" w:hAnsi="Times New Roman" w:cs="Times New Roman"/>
              </w:rPr>
            </w:pPr>
          </w:p>
        </w:tc>
      </w:tr>
      <w:tr w:rsidR="00EC0A47" w:rsidRPr="00C560CB" w14:paraId="1EE22C70" w14:textId="77777777" w:rsidTr="005A320C">
        <w:trPr>
          <w:trHeight w:val="3142"/>
        </w:trPr>
        <w:tc>
          <w:tcPr>
            <w:tcW w:w="1825" w:type="dxa"/>
          </w:tcPr>
          <w:p w14:paraId="6257D517" w14:textId="0B05CBF7" w:rsidR="00E60813" w:rsidRPr="00C560CB" w:rsidRDefault="00573E20" w:rsidP="0048443F">
            <w:pPr>
              <w:spacing w:line="276" w:lineRule="auto"/>
              <w:jc w:val="both"/>
              <w:rPr>
                <w:rFonts w:ascii="Times New Roman" w:hAnsi="Times New Roman" w:cs="Times New Roman"/>
                <w:b/>
                <w:bCs/>
              </w:rPr>
            </w:pPr>
            <w:r w:rsidRPr="00C560CB">
              <w:rPr>
                <w:rFonts w:ascii="Times New Roman" w:hAnsi="Times New Roman" w:cs="Times New Roman"/>
                <w:b/>
                <w:bCs/>
              </w:rPr>
              <w:t>EU</w:t>
            </w:r>
          </w:p>
          <w:p w14:paraId="21ACE062" w14:textId="5E96CA1E" w:rsidR="00DC5205" w:rsidRPr="00C560CB" w:rsidRDefault="00DC5205" w:rsidP="0048443F">
            <w:pPr>
              <w:spacing w:line="276" w:lineRule="auto"/>
              <w:jc w:val="both"/>
              <w:rPr>
                <w:rFonts w:ascii="Times New Roman" w:hAnsi="Times New Roman" w:cs="Times New Roman"/>
                <w:b/>
                <w:bCs/>
              </w:rPr>
            </w:pPr>
          </w:p>
        </w:tc>
        <w:tc>
          <w:tcPr>
            <w:tcW w:w="2885" w:type="dxa"/>
          </w:tcPr>
          <w:p w14:paraId="0028CA20" w14:textId="60CA5161" w:rsidR="00DC5205" w:rsidRPr="00C560CB" w:rsidRDefault="00051A59" w:rsidP="0048443F">
            <w:pPr>
              <w:spacing w:line="276" w:lineRule="auto"/>
              <w:jc w:val="both"/>
              <w:rPr>
                <w:rFonts w:ascii="Times New Roman" w:hAnsi="Times New Roman" w:cs="Times New Roman"/>
              </w:rPr>
            </w:pPr>
            <w:r w:rsidRPr="00C560CB">
              <w:rPr>
                <w:rFonts w:ascii="Times New Roman" w:hAnsi="Times New Roman" w:cs="Times New Roman"/>
                <w:b/>
                <w:bCs/>
              </w:rPr>
              <w:t>-</w:t>
            </w:r>
            <w:r w:rsidR="007508E5" w:rsidRPr="00C560CB">
              <w:rPr>
                <w:rFonts w:ascii="Times New Roman" w:hAnsi="Times New Roman" w:cs="Times New Roman"/>
                <w:b/>
                <w:bCs/>
              </w:rPr>
              <w:t>Corporate Sustainability Reporting Directive (CSRD</w:t>
            </w:r>
            <w:r w:rsidR="00FA186A" w:rsidRPr="00C560CB">
              <w:rPr>
                <w:rFonts w:ascii="Times New Roman" w:hAnsi="Times New Roman" w:cs="Times New Roman"/>
                <w:b/>
                <w:bCs/>
              </w:rPr>
              <w:t>)</w:t>
            </w:r>
            <w:r w:rsidR="007508E5" w:rsidRPr="00C560CB">
              <w:rPr>
                <w:rFonts w:ascii="Times New Roman" w:hAnsi="Times New Roman" w:cs="Times New Roman"/>
              </w:rPr>
              <w:br/>
            </w:r>
            <w:r w:rsidRPr="00C560CB">
              <w:rPr>
                <w:rFonts w:ascii="Times New Roman" w:hAnsi="Times New Roman" w:cs="Times New Roman"/>
                <w:b/>
                <w:bCs/>
              </w:rPr>
              <w:t>-</w:t>
            </w:r>
            <w:r w:rsidR="007508E5" w:rsidRPr="00C560CB">
              <w:rPr>
                <w:rFonts w:ascii="Times New Roman" w:hAnsi="Times New Roman" w:cs="Times New Roman"/>
                <w:b/>
                <w:bCs/>
              </w:rPr>
              <w:t>EU Taxonomy for Sustainable Activities</w:t>
            </w:r>
          </w:p>
        </w:tc>
        <w:tc>
          <w:tcPr>
            <w:tcW w:w="1766" w:type="dxa"/>
          </w:tcPr>
          <w:p w14:paraId="37DEDBC8" w14:textId="57222449" w:rsidR="00DC5205" w:rsidRPr="00C560CB" w:rsidRDefault="00CF7313" w:rsidP="0048443F">
            <w:pPr>
              <w:spacing w:line="276" w:lineRule="auto"/>
              <w:jc w:val="both"/>
              <w:rPr>
                <w:rFonts w:ascii="Times New Roman" w:hAnsi="Times New Roman" w:cs="Times New Roman"/>
              </w:rPr>
            </w:pPr>
            <w:r w:rsidRPr="00C560CB">
              <w:rPr>
                <w:rFonts w:ascii="Times New Roman" w:hAnsi="Times New Roman" w:cs="Times New Roman"/>
              </w:rPr>
              <w:t xml:space="preserve">Comprehensive Environmental Reporting &amp; Verification </w:t>
            </w:r>
            <w:r w:rsidRPr="00C560CB">
              <w:rPr>
                <w:rFonts w:ascii="Times New Roman" w:hAnsi="Times New Roman" w:cs="Times New Roman"/>
              </w:rPr>
              <w:br/>
              <w:t>Sustainable Finance Compliance</w:t>
            </w:r>
          </w:p>
        </w:tc>
        <w:tc>
          <w:tcPr>
            <w:tcW w:w="2503" w:type="dxa"/>
          </w:tcPr>
          <w:p w14:paraId="7632678D" w14:textId="50E71953" w:rsidR="00F5503C" w:rsidRPr="00C560CB" w:rsidRDefault="00332D6B" w:rsidP="0048443F">
            <w:pPr>
              <w:spacing w:line="276" w:lineRule="auto"/>
              <w:jc w:val="both"/>
              <w:rPr>
                <w:rFonts w:ascii="Times New Roman" w:hAnsi="Times New Roman" w:cs="Times New Roman"/>
              </w:rPr>
            </w:pPr>
            <w:r w:rsidRPr="00C560CB">
              <w:rPr>
                <w:rFonts w:ascii="Times New Roman" w:hAnsi="Times New Roman" w:cs="Times New Roman"/>
              </w:rPr>
              <w:t xml:space="preserve">Requires detailed environmental disclosures, including Scope 1-3 emissions and climate targets. </w:t>
            </w:r>
            <w:r w:rsidRPr="00C560CB">
              <w:rPr>
                <w:rFonts w:ascii="Times New Roman" w:hAnsi="Times New Roman" w:cs="Times New Roman"/>
              </w:rPr>
              <w:br/>
              <w:t>- Mandates progressive third-party assurance for reports, starting with limited assurance, increasing compliance transparency</w:t>
            </w:r>
            <w:r w:rsidR="00F5503C" w:rsidRPr="00C560CB">
              <w:rPr>
                <w:rFonts w:ascii="Times New Roman" w:hAnsi="Times New Roman" w:cs="Times New Roman"/>
              </w:rPr>
              <w:t xml:space="preserve"> (Brightest, 2023)</w:t>
            </w:r>
            <w:r w:rsidR="008B0C18" w:rsidRPr="00C560CB">
              <w:rPr>
                <w:rFonts w:ascii="Times New Roman" w:hAnsi="Times New Roman" w:cs="Times New Roman"/>
              </w:rPr>
              <w:t>.</w:t>
            </w:r>
          </w:p>
          <w:p w14:paraId="7BA25D4C" w14:textId="06BB774D" w:rsidR="00DC5205" w:rsidRPr="00C560CB" w:rsidRDefault="00DC5205" w:rsidP="0048443F">
            <w:pPr>
              <w:spacing w:line="276" w:lineRule="auto"/>
              <w:jc w:val="both"/>
              <w:rPr>
                <w:rFonts w:ascii="Times New Roman" w:hAnsi="Times New Roman" w:cs="Times New Roman"/>
              </w:rPr>
            </w:pPr>
          </w:p>
        </w:tc>
      </w:tr>
      <w:tr w:rsidR="00EC0A47" w:rsidRPr="00C560CB" w14:paraId="764A91C5" w14:textId="77777777" w:rsidTr="005A320C">
        <w:trPr>
          <w:trHeight w:val="3142"/>
        </w:trPr>
        <w:tc>
          <w:tcPr>
            <w:tcW w:w="1825" w:type="dxa"/>
          </w:tcPr>
          <w:tbl>
            <w:tblPr>
              <w:tblW w:w="1609" w:type="dxa"/>
              <w:tblCellSpacing w:w="15" w:type="dxa"/>
              <w:tblCellMar>
                <w:top w:w="15" w:type="dxa"/>
                <w:left w:w="15" w:type="dxa"/>
                <w:bottom w:w="15" w:type="dxa"/>
                <w:right w:w="15" w:type="dxa"/>
              </w:tblCellMar>
              <w:tblLook w:val="04A0" w:firstRow="1" w:lastRow="0" w:firstColumn="1" w:lastColumn="0" w:noHBand="0" w:noVBand="1"/>
            </w:tblPr>
            <w:tblGrid>
              <w:gridCol w:w="1609"/>
            </w:tblGrid>
            <w:tr w:rsidR="00DD193B" w:rsidRPr="00C560CB" w14:paraId="25BF69C8" w14:textId="77777777" w:rsidTr="00E3107B">
              <w:trPr>
                <w:trHeight w:val="1473"/>
                <w:tblCellSpacing w:w="15" w:type="dxa"/>
              </w:trPr>
              <w:tc>
                <w:tcPr>
                  <w:tcW w:w="0" w:type="auto"/>
                  <w:vAlign w:val="center"/>
                  <w:hideMark/>
                </w:tcPr>
                <w:p w14:paraId="4C28AF2C" w14:textId="103CD4CA" w:rsidR="00E3107B" w:rsidRPr="00C560CB" w:rsidRDefault="00DD193B" w:rsidP="0048443F">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U.S.</w:t>
                  </w:r>
                  <w:r w:rsidR="00E3107B" w:rsidRPr="00C560CB">
                    <w:rPr>
                      <w:rFonts w:ascii="Times New Roman" w:hAnsi="Times New Roman" w:cs="Times New Roman"/>
                      <w:b/>
                      <w:bCs/>
                    </w:rPr>
                    <w:t xml:space="preserve"> </w:t>
                  </w:r>
                </w:p>
                <w:p w14:paraId="604A8439" w14:textId="4FD50E1D"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3B49E6C9" w14:textId="77777777" w:rsidR="00DD193B" w:rsidRPr="00C560CB" w:rsidRDefault="00DD193B"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D193B" w:rsidRPr="00C560CB" w14:paraId="120B64F9" w14:textId="77777777" w:rsidTr="00EC0A47">
              <w:trPr>
                <w:tblCellSpacing w:w="15" w:type="dxa"/>
              </w:trPr>
              <w:tc>
                <w:tcPr>
                  <w:tcW w:w="0" w:type="auto"/>
                  <w:vAlign w:val="center"/>
                  <w:hideMark/>
                </w:tcPr>
                <w:p w14:paraId="1D2791A7"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65CF9A07" w14:textId="77777777" w:rsidR="00DC5205" w:rsidRPr="00C560CB" w:rsidRDefault="00DC5205" w:rsidP="0048443F">
            <w:pPr>
              <w:spacing w:line="276" w:lineRule="auto"/>
              <w:jc w:val="both"/>
              <w:rPr>
                <w:rFonts w:ascii="Times New Roman" w:hAnsi="Times New Roman" w:cs="Times New Roman"/>
              </w:rPr>
            </w:pPr>
          </w:p>
        </w:tc>
        <w:tc>
          <w:tcPr>
            <w:tcW w:w="2885" w:type="dxa"/>
          </w:tcPr>
          <w:tbl>
            <w:tblPr>
              <w:tblW w:w="2637" w:type="dxa"/>
              <w:tblCellSpacing w:w="15" w:type="dxa"/>
              <w:tblCellMar>
                <w:top w:w="15" w:type="dxa"/>
                <w:left w:w="15" w:type="dxa"/>
                <w:bottom w:w="15" w:type="dxa"/>
                <w:right w:w="15" w:type="dxa"/>
              </w:tblCellMar>
              <w:tblLook w:val="04A0" w:firstRow="1" w:lastRow="0" w:firstColumn="1" w:lastColumn="0" w:noHBand="0" w:noVBand="1"/>
            </w:tblPr>
            <w:tblGrid>
              <w:gridCol w:w="2637"/>
            </w:tblGrid>
            <w:tr w:rsidR="00DD193B" w:rsidRPr="00C560CB" w14:paraId="5136A567" w14:textId="77777777" w:rsidTr="00E3107B">
              <w:trPr>
                <w:trHeight w:val="1649"/>
                <w:tblCellSpacing w:w="15" w:type="dxa"/>
              </w:trPr>
              <w:tc>
                <w:tcPr>
                  <w:tcW w:w="0" w:type="auto"/>
                  <w:vAlign w:val="center"/>
                  <w:hideMark/>
                </w:tcPr>
                <w:p w14:paraId="10DB8980" w14:textId="500244F2" w:rsidR="00DD193B" w:rsidRPr="00C560CB" w:rsidRDefault="00B91049" w:rsidP="0048443F">
                  <w:pPr>
                    <w:framePr w:hSpace="180" w:wrap="around" w:vAnchor="page" w:hAnchor="margin" w:y="2725"/>
                    <w:spacing w:after="0" w:line="276" w:lineRule="auto"/>
                    <w:jc w:val="both"/>
                    <w:rPr>
                      <w:rFonts w:ascii="Times New Roman" w:hAnsi="Times New Roman" w:cs="Times New Roman"/>
                    </w:rPr>
                  </w:pPr>
                  <w:r w:rsidRPr="00C560CB">
                    <w:rPr>
                      <w:rFonts w:ascii="Times New Roman" w:hAnsi="Times New Roman" w:cs="Times New Roman"/>
                      <w:b/>
                      <w:bCs/>
                    </w:rPr>
                    <w:t>SEC’s Proposed Climate Disclosure Rule</w:t>
                  </w:r>
                  <w:r w:rsidRPr="00C560CB">
                    <w:rPr>
                      <w:rFonts w:ascii="Times New Roman" w:hAnsi="Times New Roman" w:cs="Times New Roman"/>
                    </w:rPr>
                    <w:t xml:space="preserve"> </w:t>
                  </w:r>
                  <w:r w:rsidRPr="00C560CB">
                    <w:rPr>
                      <w:rFonts w:ascii="Times New Roman" w:hAnsi="Times New Roman" w:cs="Times New Roman"/>
                    </w:rPr>
                    <w:br/>
                  </w:r>
                  <w:r w:rsidR="00051A59" w:rsidRPr="00C560CB">
                    <w:rPr>
                      <w:rFonts w:ascii="Times New Roman" w:hAnsi="Times New Roman" w:cs="Times New Roman"/>
                      <w:b/>
                      <w:bCs/>
                    </w:rPr>
                    <w:t>-</w:t>
                  </w:r>
                  <w:r w:rsidRPr="00C560CB">
                    <w:rPr>
                      <w:rFonts w:ascii="Times New Roman" w:hAnsi="Times New Roman" w:cs="Times New Roman"/>
                    </w:rPr>
                    <w:t xml:space="preserve"> </w:t>
                  </w:r>
                  <w:r w:rsidRPr="00C560CB">
                    <w:rPr>
                      <w:rFonts w:ascii="Times New Roman" w:hAnsi="Times New Roman" w:cs="Times New Roman"/>
                      <w:b/>
                      <w:bCs/>
                    </w:rPr>
                    <w:t>Voluntary ESG Benchmarking</w:t>
                  </w:r>
                </w:p>
              </w:tc>
            </w:tr>
          </w:tbl>
          <w:p w14:paraId="38743935" w14:textId="77777777" w:rsidR="00DD193B" w:rsidRPr="00C560CB" w:rsidRDefault="00DD193B"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D193B" w:rsidRPr="00C560CB" w14:paraId="317D3A3A" w14:textId="77777777" w:rsidTr="00EC0A47">
              <w:trPr>
                <w:tblCellSpacing w:w="15" w:type="dxa"/>
              </w:trPr>
              <w:tc>
                <w:tcPr>
                  <w:tcW w:w="0" w:type="auto"/>
                  <w:vAlign w:val="center"/>
                  <w:hideMark/>
                </w:tcPr>
                <w:p w14:paraId="5DC38975"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6854FA79" w14:textId="77777777" w:rsidR="00DC5205" w:rsidRPr="00C560CB" w:rsidRDefault="00DC5205" w:rsidP="0048443F">
            <w:pPr>
              <w:spacing w:line="276" w:lineRule="auto"/>
              <w:jc w:val="both"/>
              <w:rPr>
                <w:rFonts w:ascii="Times New Roman" w:hAnsi="Times New Roman" w:cs="Times New Roman"/>
              </w:rPr>
            </w:pPr>
          </w:p>
        </w:tc>
        <w:tc>
          <w:tcPr>
            <w:tcW w:w="1766" w:type="dxa"/>
          </w:tcPr>
          <w:p w14:paraId="1F19DE6F" w14:textId="3252805F" w:rsidR="00DC5205" w:rsidRPr="00C560CB" w:rsidRDefault="00CF7313" w:rsidP="0048443F">
            <w:pPr>
              <w:spacing w:line="276" w:lineRule="auto"/>
              <w:jc w:val="both"/>
              <w:rPr>
                <w:rFonts w:ascii="Times New Roman" w:hAnsi="Times New Roman" w:cs="Times New Roman"/>
              </w:rPr>
            </w:pPr>
            <w:r w:rsidRPr="00C560CB">
              <w:rPr>
                <w:rFonts w:ascii="Times New Roman" w:hAnsi="Times New Roman" w:cs="Times New Roman"/>
              </w:rPr>
              <w:t xml:space="preserve">Investor-Driven Climate Transparency </w:t>
            </w:r>
            <w:r w:rsidRPr="00C560CB">
              <w:rPr>
                <w:rFonts w:ascii="Times New Roman" w:hAnsi="Times New Roman" w:cs="Times New Roman"/>
              </w:rPr>
              <w:br/>
              <w:t>Limited Regulatory Enforcement</w:t>
            </w:r>
          </w:p>
        </w:tc>
        <w:tc>
          <w:tcPr>
            <w:tcW w:w="2503" w:type="dxa"/>
          </w:tcPr>
          <w:p w14:paraId="3E770012" w14:textId="2BF77F9B" w:rsidR="00DC5205" w:rsidRPr="00C560CB" w:rsidRDefault="007C5818" w:rsidP="0048443F">
            <w:pPr>
              <w:spacing w:line="276" w:lineRule="auto"/>
              <w:jc w:val="both"/>
              <w:rPr>
                <w:rFonts w:ascii="Times New Roman" w:hAnsi="Times New Roman" w:cs="Times New Roman"/>
              </w:rPr>
            </w:pPr>
            <w:r w:rsidRPr="00C560CB">
              <w:rPr>
                <w:rFonts w:ascii="Times New Roman" w:hAnsi="Times New Roman" w:cs="Times New Roman"/>
              </w:rPr>
              <w:t>Encourages climate risk disclosures to attract investors, though sectoral inconsistencies remain due to voluntary reporting options</w:t>
            </w:r>
            <w:r w:rsidR="008B0C18" w:rsidRPr="00C560CB">
              <w:rPr>
                <w:rFonts w:ascii="Times New Roman" w:hAnsi="Times New Roman" w:cs="Times New Roman"/>
              </w:rPr>
              <w:t xml:space="preserve"> (Tan, 2024).</w:t>
            </w:r>
          </w:p>
        </w:tc>
      </w:tr>
      <w:tr w:rsidR="00EC0A47" w:rsidRPr="00C560CB" w14:paraId="0DC0987A" w14:textId="77777777" w:rsidTr="005A320C">
        <w:trPr>
          <w:trHeight w:val="3142"/>
        </w:trPr>
        <w:tc>
          <w:tcPr>
            <w:tcW w:w="1825" w:type="dxa"/>
          </w:tcPr>
          <w:tbl>
            <w:tblPr>
              <w:tblW w:w="513" w:type="dxa"/>
              <w:tblCellSpacing w:w="15" w:type="dxa"/>
              <w:tblCellMar>
                <w:top w:w="15" w:type="dxa"/>
                <w:left w:w="15" w:type="dxa"/>
                <w:bottom w:w="15" w:type="dxa"/>
                <w:right w:w="15" w:type="dxa"/>
              </w:tblCellMar>
              <w:tblLook w:val="04A0" w:firstRow="1" w:lastRow="0" w:firstColumn="1" w:lastColumn="0" w:noHBand="0" w:noVBand="1"/>
            </w:tblPr>
            <w:tblGrid>
              <w:gridCol w:w="513"/>
            </w:tblGrid>
            <w:tr w:rsidR="00DD193B" w:rsidRPr="00C560CB" w14:paraId="72953B37" w14:textId="77777777" w:rsidTr="00EC0A47">
              <w:trPr>
                <w:trHeight w:val="728"/>
                <w:tblCellSpacing w:w="15" w:type="dxa"/>
              </w:trPr>
              <w:tc>
                <w:tcPr>
                  <w:tcW w:w="0" w:type="auto"/>
                  <w:vAlign w:val="center"/>
                  <w:hideMark/>
                </w:tcPr>
                <w:p w14:paraId="0113E06C"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r w:rsidRPr="00C560CB">
                    <w:rPr>
                      <w:rFonts w:ascii="Times New Roman" w:hAnsi="Times New Roman" w:cs="Times New Roman"/>
                      <w:b/>
                      <w:bCs/>
                    </w:rPr>
                    <w:t>Asia</w:t>
                  </w:r>
                </w:p>
              </w:tc>
            </w:tr>
          </w:tbl>
          <w:p w14:paraId="620D9EB9" w14:textId="77777777" w:rsidR="00DD193B" w:rsidRPr="00C560CB" w:rsidRDefault="00DD193B"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D193B" w:rsidRPr="00C560CB" w14:paraId="6B2310F6" w14:textId="77777777" w:rsidTr="00EC0A47">
              <w:trPr>
                <w:tblCellSpacing w:w="15" w:type="dxa"/>
              </w:trPr>
              <w:tc>
                <w:tcPr>
                  <w:tcW w:w="0" w:type="auto"/>
                  <w:vAlign w:val="center"/>
                  <w:hideMark/>
                </w:tcPr>
                <w:p w14:paraId="3F8EFA3F"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25C72D9A" w14:textId="77777777" w:rsidR="00DC5205" w:rsidRPr="00C560CB" w:rsidRDefault="00DC5205" w:rsidP="0048443F">
            <w:pPr>
              <w:spacing w:line="276" w:lineRule="auto"/>
              <w:jc w:val="both"/>
              <w:rPr>
                <w:rFonts w:ascii="Times New Roman" w:hAnsi="Times New Roman" w:cs="Times New Roman"/>
              </w:rPr>
            </w:pPr>
          </w:p>
        </w:tc>
        <w:tc>
          <w:tcPr>
            <w:tcW w:w="2885" w:type="dxa"/>
          </w:tcPr>
          <w:p w14:paraId="652D2A4F" w14:textId="021F35B6" w:rsidR="00DC5205" w:rsidRPr="00C560CB" w:rsidRDefault="00051A59" w:rsidP="0048443F">
            <w:pPr>
              <w:spacing w:line="276" w:lineRule="auto"/>
              <w:jc w:val="both"/>
              <w:rPr>
                <w:rFonts w:ascii="Times New Roman" w:hAnsi="Times New Roman" w:cs="Times New Roman"/>
              </w:rPr>
            </w:pPr>
            <w:r w:rsidRPr="00C560CB">
              <w:rPr>
                <w:rFonts w:ascii="Times New Roman" w:hAnsi="Times New Roman" w:cs="Times New Roman"/>
                <w:b/>
                <w:bCs/>
              </w:rPr>
              <w:t>Japan’s Stewardship Code</w:t>
            </w:r>
            <w:r w:rsidRPr="00C560CB">
              <w:rPr>
                <w:rFonts w:ascii="Times New Roman" w:hAnsi="Times New Roman" w:cs="Times New Roman"/>
              </w:rPr>
              <w:t xml:space="preserve"> </w:t>
            </w:r>
            <w:r w:rsidRPr="00C560CB">
              <w:rPr>
                <w:rFonts w:ascii="Times New Roman" w:hAnsi="Times New Roman" w:cs="Times New Roman"/>
              </w:rPr>
              <w:br/>
            </w:r>
            <w:r w:rsidRPr="00C560CB">
              <w:rPr>
                <w:rFonts w:ascii="Times New Roman" w:hAnsi="Times New Roman" w:cs="Times New Roman"/>
                <w:b/>
                <w:bCs/>
              </w:rPr>
              <w:t>-</w:t>
            </w:r>
            <w:r w:rsidRPr="00C560CB">
              <w:rPr>
                <w:rFonts w:ascii="Times New Roman" w:hAnsi="Times New Roman" w:cs="Times New Roman"/>
              </w:rPr>
              <w:t xml:space="preserve"> </w:t>
            </w:r>
            <w:r w:rsidRPr="00C560CB">
              <w:rPr>
                <w:rFonts w:ascii="Times New Roman" w:hAnsi="Times New Roman" w:cs="Times New Roman"/>
                <w:b/>
                <w:bCs/>
              </w:rPr>
              <w:t>Singapore’s Environmental Risk Management (ERM) Guidelines &amp; Green Finance Action Plan</w:t>
            </w:r>
            <w:r w:rsidRPr="00C560CB">
              <w:rPr>
                <w:rFonts w:ascii="Times New Roman" w:hAnsi="Times New Roman" w:cs="Times New Roman"/>
              </w:rPr>
              <w:t xml:space="preserve"> </w:t>
            </w:r>
            <w:r w:rsidRPr="00C560CB">
              <w:rPr>
                <w:rFonts w:ascii="Times New Roman" w:hAnsi="Times New Roman" w:cs="Times New Roman"/>
              </w:rPr>
              <w:br/>
            </w:r>
            <w:r w:rsidRPr="00C560CB">
              <w:rPr>
                <w:rFonts w:ascii="Times New Roman" w:hAnsi="Times New Roman" w:cs="Times New Roman"/>
                <w:b/>
                <w:bCs/>
              </w:rPr>
              <w:t>-</w:t>
            </w:r>
            <w:r w:rsidRPr="00C560CB">
              <w:rPr>
                <w:rFonts w:ascii="Times New Roman" w:hAnsi="Times New Roman" w:cs="Times New Roman"/>
              </w:rPr>
              <w:t xml:space="preserve"> </w:t>
            </w:r>
            <w:r w:rsidRPr="00C560CB">
              <w:rPr>
                <w:rFonts w:ascii="Times New Roman" w:hAnsi="Times New Roman" w:cs="Times New Roman"/>
                <w:b/>
                <w:bCs/>
              </w:rPr>
              <w:t>Hong Kong Stock Exchange Climate Disclosure Proposals</w:t>
            </w:r>
          </w:p>
        </w:tc>
        <w:tc>
          <w:tcPr>
            <w:tcW w:w="1766" w:type="dxa"/>
          </w:tcPr>
          <w:p w14:paraId="10BD0FD7" w14:textId="0E4C04CC" w:rsidR="00DC5205" w:rsidRPr="00C560CB" w:rsidRDefault="00FA07A0" w:rsidP="0048443F">
            <w:pPr>
              <w:spacing w:line="276" w:lineRule="auto"/>
              <w:jc w:val="both"/>
              <w:rPr>
                <w:rFonts w:ascii="Times New Roman" w:hAnsi="Times New Roman" w:cs="Times New Roman"/>
              </w:rPr>
            </w:pPr>
            <w:r w:rsidRPr="00C560CB">
              <w:rPr>
                <w:rFonts w:ascii="Times New Roman" w:hAnsi="Times New Roman" w:cs="Times New Roman"/>
              </w:rPr>
              <w:t xml:space="preserve">Green Finance Development </w:t>
            </w:r>
            <w:r w:rsidRPr="00C560CB">
              <w:rPr>
                <w:rFonts w:ascii="Times New Roman" w:hAnsi="Times New Roman" w:cs="Times New Roman"/>
              </w:rPr>
              <w:br/>
              <w:t>Climate Risk and Disclosure Requirements</w:t>
            </w:r>
          </w:p>
        </w:tc>
        <w:tc>
          <w:tcPr>
            <w:tcW w:w="2503" w:type="dxa"/>
          </w:tcPr>
          <w:p w14:paraId="4015573D" w14:textId="0D718B08" w:rsidR="00DC5205" w:rsidRPr="00C560CB" w:rsidRDefault="006263A1" w:rsidP="0048443F">
            <w:pPr>
              <w:spacing w:line="276" w:lineRule="auto"/>
              <w:jc w:val="both"/>
              <w:rPr>
                <w:rFonts w:ascii="Times New Roman" w:hAnsi="Times New Roman" w:cs="Times New Roman"/>
              </w:rPr>
            </w:pPr>
            <w:r w:rsidRPr="00C560CB">
              <w:rPr>
                <w:rFonts w:ascii="Times New Roman" w:hAnsi="Times New Roman" w:cs="Times New Roman"/>
              </w:rPr>
              <w:t>Diverse regional approaches: Singapore and Hong Kong require sector-specific disclosures, while Japan promotes sustainable stewardship. Compliance levels v</w:t>
            </w:r>
            <w:r w:rsidR="00875142" w:rsidRPr="00C560CB">
              <w:rPr>
                <w:rFonts w:ascii="Times New Roman" w:hAnsi="Times New Roman" w:cs="Times New Roman"/>
              </w:rPr>
              <w:t xml:space="preserve">ary </w:t>
            </w:r>
            <w:r w:rsidR="00F2598A" w:rsidRPr="00C560CB">
              <w:rPr>
                <w:rFonts w:ascii="Times New Roman" w:hAnsi="Times New Roman" w:cs="Times New Roman"/>
              </w:rPr>
              <w:t>(Latham &amp; Watkins, 2023).</w:t>
            </w:r>
          </w:p>
        </w:tc>
      </w:tr>
    </w:tbl>
    <w:p w14:paraId="1B1C2146" w14:textId="77777777" w:rsidR="00223F0A" w:rsidRPr="00C560CB" w:rsidRDefault="00223F0A" w:rsidP="0048443F">
      <w:pPr>
        <w:spacing w:line="276" w:lineRule="auto"/>
        <w:jc w:val="both"/>
        <w:rPr>
          <w:rFonts w:ascii="Times New Roman" w:hAnsi="Times New Roman" w:cs="Times New Roman"/>
        </w:rPr>
      </w:pPr>
    </w:p>
    <w:p w14:paraId="7754DB60" w14:textId="59FD292D" w:rsidR="00445075" w:rsidRPr="00C560CB" w:rsidRDefault="00445075" w:rsidP="0048443F">
      <w:pPr>
        <w:pStyle w:val="Caption"/>
        <w:spacing w:line="276" w:lineRule="auto"/>
        <w:rPr>
          <w:rFonts w:ascii="Times New Roman" w:hAnsi="Times New Roman" w:cs="Times New Roman"/>
        </w:rPr>
      </w:pPr>
      <w:bookmarkStart w:id="67" w:name="_Toc179368023"/>
      <w:r w:rsidRPr="00C560CB">
        <w:rPr>
          <w:rFonts w:ascii="Times New Roman" w:hAnsi="Times New Roman" w:cs="Times New Roman"/>
        </w:rPr>
        <w:t xml:space="preserve">Table </w:t>
      </w:r>
      <w:r w:rsidRPr="00C560CB">
        <w:rPr>
          <w:rFonts w:ascii="Times New Roman" w:hAnsi="Times New Roman" w:cs="Times New Roman"/>
        </w:rPr>
        <w:fldChar w:fldCharType="begin"/>
      </w:r>
      <w:r w:rsidRPr="00C560CB">
        <w:rPr>
          <w:rFonts w:ascii="Times New Roman" w:hAnsi="Times New Roman" w:cs="Times New Roman"/>
        </w:rPr>
        <w:instrText xml:space="preserve"> SEQ Table \* ARABIC </w:instrText>
      </w:r>
      <w:r w:rsidRPr="00C560CB">
        <w:rPr>
          <w:rFonts w:ascii="Times New Roman" w:hAnsi="Times New Roman" w:cs="Times New Roman"/>
        </w:rPr>
        <w:fldChar w:fldCharType="separate"/>
      </w:r>
      <w:r w:rsidRPr="00C560CB">
        <w:rPr>
          <w:rFonts w:ascii="Times New Roman" w:hAnsi="Times New Roman" w:cs="Times New Roman"/>
        </w:rPr>
        <w:t>4</w:t>
      </w:r>
      <w:r w:rsidRPr="00C560CB">
        <w:rPr>
          <w:rFonts w:ascii="Times New Roman" w:hAnsi="Times New Roman" w:cs="Times New Roman"/>
        </w:rPr>
        <w:fldChar w:fldCharType="end"/>
      </w:r>
      <w:r w:rsidR="00F02FF9" w:rsidRPr="00C560CB">
        <w:rPr>
          <w:rFonts w:ascii="Times New Roman" w:hAnsi="Times New Roman" w:cs="Times New Roman"/>
        </w:rPr>
        <w:t xml:space="preserve"> Comparative Analysis of ESG Regulatory Requirements by Region</w:t>
      </w:r>
      <w:bookmarkEnd w:id="67"/>
    </w:p>
    <w:p w14:paraId="426140C4" w14:textId="77777777" w:rsidR="005A320C" w:rsidRPr="00C560CB" w:rsidRDefault="005A320C" w:rsidP="0048443F">
      <w:pPr>
        <w:spacing w:line="276" w:lineRule="auto"/>
        <w:jc w:val="center"/>
        <w:rPr>
          <w:rFonts w:ascii="Times New Roman" w:hAnsi="Times New Roman" w:cs="Times New Roman"/>
        </w:rPr>
      </w:pPr>
    </w:p>
    <w:p w14:paraId="696501EF" w14:textId="77777777" w:rsidR="005A320C" w:rsidRPr="00C560CB" w:rsidRDefault="005A320C" w:rsidP="0048443F">
      <w:pPr>
        <w:spacing w:line="276" w:lineRule="auto"/>
        <w:jc w:val="center"/>
        <w:rPr>
          <w:rFonts w:ascii="Times New Roman" w:hAnsi="Times New Roman" w:cs="Times New Roman"/>
        </w:rPr>
      </w:pPr>
    </w:p>
    <w:p w14:paraId="29D9C5F3" w14:textId="27FE7F43" w:rsidR="00404154" w:rsidRPr="00C560CB" w:rsidRDefault="00967916"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4F1854E9" w14:textId="77777777" w:rsidR="00967916" w:rsidRPr="00C560CB" w:rsidRDefault="00967916" w:rsidP="0048443F">
      <w:pPr>
        <w:pStyle w:val="Heading3"/>
        <w:spacing w:line="276" w:lineRule="auto"/>
        <w:rPr>
          <w:rFonts w:ascii="Times New Roman" w:hAnsi="Times New Roman" w:cs="Times New Roman"/>
        </w:rPr>
      </w:pPr>
    </w:p>
    <w:p w14:paraId="4D842405" w14:textId="77777777" w:rsidR="0096596A" w:rsidRPr="00C560CB" w:rsidRDefault="0096596A" w:rsidP="0048443F">
      <w:pPr>
        <w:spacing w:line="276" w:lineRule="auto"/>
        <w:rPr>
          <w:rFonts w:ascii="Times New Roman" w:hAnsi="Times New Roman" w:cs="Times New Roman"/>
        </w:rPr>
      </w:pPr>
    </w:p>
    <w:p w14:paraId="33608CFD" w14:textId="30307C2B" w:rsidR="00CA1983" w:rsidRPr="00C560CB" w:rsidRDefault="00CA1983" w:rsidP="0048443F">
      <w:pPr>
        <w:pStyle w:val="Heading3"/>
        <w:spacing w:line="276" w:lineRule="auto"/>
        <w:rPr>
          <w:rFonts w:ascii="Times New Roman" w:hAnsi="Times New Roman" w:cs="Times New Roman"/>
        </w:rPr>
      </w:pPr>
      <w:bookmarkStart w:id="68" w:name="_Toc179724824"/>
      <w:r w:rsidRPr="00C560CB">
        <w:rPr>
          <w:rFonts w:ascii="Times New Roman" w:hAnsi="Times New Roman" w:cs="Times New Roman"/>
        </w:rPr>
        <w:t>1.5.1.1 European Union (EU)</w:t>
      </w:r>
      <w:bookmarkEnd w:id="68"/>
    </w:p>
    <w:p w14:paraId="2E57855C" w14:textId="5C68984A" w:rsidR="003677C2" w:rsidRPr="00C560CB" w:rsidRDefault="00B41812" w:rsidP="0048443F">
      <w:pPr>
        <w:spacing w:line="276" w:lineRule="auto"/>
        <w:jc w:val="both"/>
        <w:rPr>
          <w:rFonts w:ascii="Times New Roman" w:hAnsi="Times New Roman" w:cs="Times New Roman"/>
        </w:rPr>
      </w:pPr>
      <w:r w:rsidRPr="00C560CB">
        <w:rPr>
          <w:rFonts w:ascii="Times New Roman" w:hAnsi="Times New Roman" w:cs="Times New Roman"/>
        </w:rPr>
        <w:t>The EU currently poses the most significant action in the regulation of ESG and some of these include the</w:t>
      </w:r>
      <w:r w:rsidR="00112B0A" w:rsidRPr="00C560CB">
        <w:rPr>
          <w:rFonts w:ascii="Times New Roman" w:hAnsi="Times New Roman" w:cs="Times New Roman"/>
        </w:rPr>
        <w:t xml:space="preserve"> Corporate Sustainability Reporting Directive</w:t>
      </w:r>
      <w:r w:rsidRPr="00C560CB">
        <w:rPr>
          <w:rFonts w:ascii="Times New Roman" w:hAnsi="Times New Roman" w:cs="Times New Roman"/>
        </w:rPr>
        <w:t xml:space="preserve"> </w:t>
      </w:r>
      <w:r w:rsidR="00112B0A" w:rsidRPr="00C560CB">
        <w:rPr>
          <w:rFonts w:ascii="Times New Roman" w:hAnsi="Times New Roman" w:cs="Times New Roman"/>
        </w:rPr>
        <w:t>(</w:t>
      </w:r>
      <w:r w:rsidRPr="00C560CB">
        <w:rPr>
          <w:rFonts w:ascii="Times New Roman" w:hAnsi="Times New Roman" w:cs="Times New Roman"/>
        </w:rPr>
        <w:t>CSRD</w:t>
      </w:r>
      <w:r w:rsidR="00112B0A" w:rsidRPr="00C560CB">
        <w:rPr>
          <w:rFonts w:ascii="Times New Roman" w:hAnsi="Times New Roman" w:cs="Times New Roman"/>
        </w:rPr>
        <w:t>)</w:t>
      </w:r>
      <w:r w:rsidRPr="00C560CB">
        <w:rPr>
          <w:rFonts w:ascii="Times New Roman" w:hAnsi="Times New Roman" w:cs="Times New Roman"/>
        </w:rPr>
        <w:t xml:space="preserve"> and the EU Taxonomy for Sustainable Activities. The CSRD expects companies to disclose environmental, social, and governance factors, including particular segments of certain emissions, climate change homework, and goals that correspond to the actuality of the Paris Arrangement. Moreover, under the CSRD, such disclosures need to be assured by independent parties; the assessment will be started with limited assurance and further, by 2028, reasonable assurance will be provided as it is with the common financial audit. This directive was issued to big firms of the EU and some non-EU firms carrying out business in the EU to ensure that the huge expenditure and monetary values arising from reporting activities are well-focused and enhanced to suit the needs of the stakeholders and </w:t>
      </w:r>
      <w:r w:rsidR="00603F2C" w:rsidRPr="00C560CB">
        <w:rPr>
          <w:rFonts w:ascii="Times New Roman" w:hAnsi="Times New Roman" w:cs="Times New Roman"/>
        </w:rPr>
        <w:t>investors​ (</w:t>
      </w:r>
      <w:r w:rsidR="003677C2" w:rsidRPr="00C560CB">
        <w:rPr>
          <w:rFonts w:ascii="Times New Roman" w:hAnsi="Times New Roman" w:cs="Times New Roman"/>
        </w:rPr>
        <w:t>Triggs, Mishkin and Meynier, 2023).</w:t>
      </w:r>
    </w:p>
    <w:p w14:paraId="03345C38" w14:textId="6EA3D563" w:rsidR="00CA1983" w:rsidRPr="00C560CB" w:rsidRDefault="00CA1983" w:rsidP="0048443F">
      <w:pPr>
        <w:spacing w:line="276" w:lineRule="auto"/>
        <w:jc w:val="both"/>
        <w:rPr>
          <w:rFonts w:ascii="Times New Roman" w:hAnsi="Times New Roman" w:cs="Times New Roman"/>
        </w:rPr>
      </w:pPr>
    </w:p>
    <w:p w14:paraId="75B6602F" w14:textId="77777777" w:rsidR="0015149C" w:rsidRPr="00C560CB" w:rsidRDefault="00603F2C" w:rsidP="0048443F">
      <w:pPr>
        <w:pStyle w:val="Heading3"/>
        <w:spacing w:line="276" w:lineRule="auto"/>
        <w:rPr>
          <w:rFonts w:ascii="Times New Roman" w:hAnsi="Times New Roman" w:cs="Times New Roman"/>
        </w:rPr>
      </w:pPr>
      <w:bookmarkStart w:id="69" w:name="_Toc179724825"/>
      <w:r w:rsidRPr="00C560CB">
        <w:rPr>
          <w:rFonts w:ascii="Times New Roman" w:hAnsi="Times New Roman" w:cs="Times New Roman"/>
        </w:rPr>
        <w:t xml:space="preserve">1.5.1.2 </w:t>
      </w:r>
      <w:r w:rsidR="0015149C" w:rsidRPr="00C560CB">
        <w:rPr>
          <w:rFonts w:ascii="Times New Roman" w:hAnsi="Times New Roman" w:cs="Times New Roman"/>
        </w:rPr>
        <w:t>United States (U.S.)</w:t>
      </w:r>
      <w:bookmarkEnd w:id="69"/>
    </w:p>
    <w:p w14:paraId="0D54B552" w14:textId="5B92218A" w:rsidR="006925C6" w:rsidRPr="00C560CB" w:rsidRDefault="0015149C" w:rsidP="0048443F">
      <w:pPr>
        <w:spacing w:line="276" w:lineRule="auto"/>
        <w:jc w:val="both"/>
        <w:rPr>
          <w:rFonts w:ascii="Times New Roman" w:hAnsi="Times New Roman" w:cs="Times New Roman"/>
        </w:rPr>
      </w:pPr>
      <w:r w:rsidRPr="00C560CB">
        <w:rPr>
          <w:rFonts w:ascii="Times New Roman" w:hAnsi="Times New Roman" w:cs="Times New Roman"/>
        </w:rPr>
        <w:t xml:space="preserve">US ESG regulation is different from the </w:t>
      </w:r>
      <w:r w:rsidR="00DD3607" w:rsidRPr="00C560CB">
        <w:rPr>
          <w:rFonts w:ascii="Times New Roman" w:hAnsi="Times New Roman" w:cs="Times New Roman"/>
        </w:rPr>
        <w:t>EUs</w:t>
      </w:r>
      <w:r w:rsidRPr="00C560CB">
        <w:rPr>
          <w:rFonts w:ascii="Times New Roman" w:hAnsi="Times New Roman" w:cs="Times New Roman"/>
        </w:rPr>
        <w:t xml:space="preserve"> in that it contains several voluntary reporting frameworks and the recently proposed SEC climate disclosure rule. Housed in this rule is the rationality that publicly listed corporations should be compelled to disclose material climate risks, emissions, and any frictions that may accompany the same. Nevertheless, there is no uniform regulation of ESG disclosures in the United States for different sectors due to which such information can be relaxed with and chose</w:t>
      </w:r>
      <w:r w:rsidR="00CA4E23" w:rsidRPr="00C560CB">
        <w:rPr>
          <w:rFonts w:ascii="Times New Roman" w:hAnsi="Times New Roman" w:cs="Times New Roman"/>
        </w:rPr>
        <w:t>n</w:t>
      </w:r>
      <w:r w:rsidRPr="00C560CB">
        <w:rPr>
          <w:rFonts w:ascii="Times New Roman" w:hAnsi="Times New Roman" w:cs="Times New Roman"/>
        </w:rPr>
        <w:t xml:space="preserve"> from the field along with industry trends and investor demand. Most U.S. firms still provide ESG disclosure on a voluntary basis for ESG investment purposes, however, the absence of mandatory requirements makes </w:t>
      </w:r>
      <w:r w:rsidR="00CA4E23" w:rsidRPr="00C560CB">
        <w:rPr>
          <w:rFonts w:ascii="Times New Roman" w:hAnsi="Times New Roman" w:cs="Times New Roman"/>
        </w:rPr>
        <w:t>the </w:t>
      </w:r>
      <w:r w:rsidRPr="00C560CB">
        <w:rPr>
          <w:rFonts w:ascii="Times New Roman" w:hAnsi="Times New Roman" w:cs="Times New Roman"/>
        </w:rPr>
        <w:t xml:space="preserve">comparison and quality of ESG disclosures </w:t>
      </w:r>
      <w:r w:rsidR="00CA4E23" w:rsidRPr="00C560CB">
        <w:rPr>
          <w:rFonts w:ascii="Times New Roman" w:hAnsi="Times New Roman" w:cs="Times New Roman"/>
        </w:rPr>
        <w:t>inconsistent (ISS, 2023)</w:t>
      </w:r>
      <w:r w:rsidRPr="00C560CB">
        <w:rPr>
          <w:rFonts w:ascii="Times New Roman" w:hAnsi="Times New Roman" w:cs="Times New Roman"/>
        </w:rPr>
        <w:t>.</w:t>
      </w:r>
    </w:p>
    <w:p w14:paraId="44ADC8FF" w14:textId="77777777" w:rsidR="00753ECD" w:rsidRPr="00C560CB" w:rsidRDefault="00753ECD" w:rsidP="0048443F">
      <w:pPr>
        <w:spacing w:line="276" w:lineRule="auto"/>
        <w:jc w:val="both"/>
        <w:rPr>
          <w:rFonts w:ascii="Times New Roman" w:hAnsi="Times New Roman" w:cs="Times New Roman"/>
        </w:rPr>
      </w:pPr>
    </w:p>
    <w:p w14:paraId="29391A1F" w14:textId="77777777" w:rsidR="00F4789C" w:rsidRPr="00C560CB" w:rsidRDefault="00753ECD" w:rsidP="0048443F">
      <w:pPr>
        <w:pStyle w:val="Heading3"/>
        <w:spacing w:line="276" w:lineRule="auto"/>
        <w:rPr>
          <w:rFonts w:ascii="Times New Roman" w:hAnsi="Times New Roman" w:cs="Times New Roman"/>
        </w:rPr>
      </w:pPr>
      <w:bookmarkStart w:id="70" w:name="_Toc179724826"/>
      <w:r w:rsidRPr="00C560CB">
        <w:rPr>
          <w:rFonts w:ascii="Times New Roman" w:hAnsi="Times New Roman" w:cs="Times New Roman"/>
        </w:rPr>
        <w:t>1.5.1.3</w:t>
      </w:r>
      <w:r w:rsidR="00F4789C" w:rsidRPr="00C560CB">
        <w:rPr>
          <w:rFonts w:ascii="Times New Roman" w:hAnsi="Times New Roman" w:cs="Times New Roman"/>
        </w:rPr>
        <w:t xml:space="preserve"> Asia</w:t>
      </w:r>
      <w:bookmarkEnd w:id="70"/>
    </w:p>
    <w:p w14:paraId="3DCAA11F" w14:textId="12B9E054" w:rsidR="00753ECD" w:rsidRPr="00C560CB" w:rsidRDefault="00F4789C" w:rsidP="0048443F">
      <w:pPr>
        <w:spacing w:line="276" w:lineRule="auto"/>
        <w:jc w:val="both"/>
        <w:rPr>
          <w:rFonts w:ascii="Times New Roman" w:hAnsi="Times New Roman" w:cs="Times New Roman"/>
        </w:rPr>
      </w:pPr>
      <w:r w:rsidRPr="00C560CB">
        <w:rPr>
          <w:rFonts w:ascii="Times New Roman" w:hAnsi="Times New Roman" w:cs="Times New Roman"/>
        </w:rPr>
        <w:t>Asian countries currently make notable efforts to advance ESG regulation; the first countries to do so are Japan, Singapore, and Hong Kong. Japan has been promoting a stewardship code requiring corporations to consider sustainability and impact on stakeholders for the long run and on the other hand, Singapore has followed a more systematic approach with the issuance of Environmental Risk Management (ERM) guidelines and the Green Finance Action Plan. The principles guiding ERM in Singapore are provided by the Monetary Authority of Singapore and include climate-related financial disclosures and green financing. In Hong Kong, the stock exchange has suggested improvements to the ESG disclosure regime requiring climate-related reporting in line with IFRS Sustainability Standards. This will only become fully effective in 2026 – making Hong Kong’s regulations some of the most stringent in the region. These regulations centre on green finance and climate risk disclosure but t</w:t>
      </w:r>
      <w:r w:rsidR="006806C5" w:rsidRPr="00C560CB">
        <w:rPr>
          <w:rFonts w:ascii="Times New Roman" w:hAnsi="Times New Roman" w:cs="Times New Roman"/>
        </w:rPr>
        <w:t>heir</w:t>
      </w:r>
      <w:r w:rsidRPr="00C560CB">
        <w:rPr>
          <w:rFonts w:ascii="Times New Roman" w:hAnsi="Times New Roman" w:cs="Times New Roman"/>
        </w:rPr>
        <w:t xml:space="preserve"> compliance differs across Asian countries depending </w:t>
      </w:r>
      <w:r w:rsidR="006806C5" w:rsidRPr="00C560CB">
        <w:rPr>
          <w:rFonts w:ascii="Times New Roman" w:hAnsi="Times New Roman" w:cs="Times New Roman"/>
        </w:rPr>
        <w:t>on</w:t>
      </w:r>
      <w:r w:rsidRPr="00C560CB">
        <w:rPr>
          <w:rFonts w:ascii="Times New Roman" w:hAnsi="Times New Roman" w:cs="Times New Roman"/>
        </w:rPr>
        <w:t xml:space="preserve"> their regulatory objective</w:t>
      </w:r>
      <w:r w:rsidR="004A4ABA" w:rsidRPr="00C560CB">
        <w:rPr>
          <w:rFonts w:ascii="Times New Roman" w:hAnsi="Times New Roman" w:cs="Times New Roman"/>
        </w:rPr>
        <w:t xml:space="preserve"> (ISS, 2023)</w:t>
      </w:r>
      <w:r w:rsidRPr="00C560CB">
        <w:rPr>
          <w:rFonts w:ascii="Times New Roman" w:hAnsi="Times New Roman" w:cs="Times New Roman"/>
        </w:rPr>
        <w:t>.</w:t>
      </w:r>
    </w:p>
    <w:p w14:paraId="25D9671C" w14:textId="548B3183" w:rsidR="002B7B9F" w:rsidRPr="00C560CB" w:rsidRDefault="002B7B9F" w:rsidP="0048443F">
      <w:pPr>
        <w:spacing w:line="276" w:lineRule="auto"/>
        <w:jc w:val="both"/>
        <w:rPr>
          <w:rFonts w:ascii="Times New Roman" w:hAnsi="Times New Roman" w:cs="Times New Roman"/>
        </w:rPr>
      </w:pPr>
      <w:r w:rsidRPr="00C560CB">
        <w:rPr>
          <w:rFonts w:ascii="Times New Roman" w:hAnsi="Times New Roman" w:cs="Times New Roman"/>
        </w:rPr>
        <w:t>In conclusion, although the EU’s ESG system is the most rigorous as it is prescriptive and requires reporters to disclose and substantiate their reports, the United States has not set a rigid step but remains mainly driven by investors. This paper explores that ESG regulation remains mixed in Asia and some of the countries such as Singapore and Hong Kong have made higher demands for environmental disclosures. This is due to the differing regional objectives</w:t>
      </w:r>
      <w:r w:rsidR="00C07924" w:rsidRPr="00C560CB">
        <w:rPr>
          <w:rFonts w:ascii="Times New Roman" w:hAnsi="Times New Roman" w:cs="Times New Roman"/>
        </w:rPr>
        <w:t>,</w:t>
      </w:r>
      <w:r w:rsidRPr="00C560CB">
        <w:rPr>
          <w:rFonts w:ascii="Times New Roman" w:hAnsi="Times New Roman" w:cs="Times New Roman"/>
        </w:rPr>
        <w:t xml:space="preserve"> but there is </w:t>
      </w:r>
      <w:r w:rsidR="00C07924" w:rsidRPr="00C560CB">
        <w:rPr>
          <w:rFonts w:ascii="Times New Roman" w:hAnsi="Times New Roman" w:cs="Times New Roman"/>
        </w:rPr>
        <w:t>an </w:t>
      </w:r>
      <w:r w:rsidRPr="00C560CB">
        <w:rPr>
          <w:rFonts w:ascii="Times New Roman" w:hAnsi="Times New Roman" w:cs="Times New Roman"/>
        </w:rPr>
        <w:t>observable global shift towards higher ESG responsibilities and disclosures.</w:t>
      </w:r>
    </w:p>
    <w:p w14:paraId="57C6550C" w14:textId="37AA7896" w:rsidR="003C3F03" w:rsidRPr="00C560CB" w:rsidRDefault="00A10743" w:rsidP="0048443F">
      <w:pPr>
        <w:pStyle w:val="Heading1"/>
        <w:spacing w:line="276" w:lineRule="auto"/>
        <w:rPr>
          <w:rFonts w:ascii="Times New Roman" w:hAnsi="Times New Roman" w:cs="Times New Roman"/>
        </w:rPr>
      </w:pPr>
      <w:bookmarkStart w:id="71" w:name="_Toc179724827"/>
      <w:r w:rsidRPr="00C560CB">
        <w:rPr>
          <w:rFonts w:ascii="Times New Roman" w:hAnsi="Times New Roman" w:cs="Times New Roman"/>
        </w:rPr>
        <w:lastRenderedPageBreak/>
        <w:t xml:space="preserve">Chapter </w:t>
      </w:r>
      <w:r w:rsidR="00B703A5" w:rsidRPr="00C560CB">
        <w:rPr>
          <w:rFonts w:ascii="Times New Roman" w:hAnsi="Times New Roman" w:cs="Times New Roman"/>
        </w:rPr>
        <w:t>5</w:t>
      </w:r>
      <w:bookmarkEnd w:id="71"/>
    </w:p>
    <w:p w14:paraId="74DD5A99" w14:textId="77777777" w:rsidR="00482F36" w:rsidRPr="00C560CB" w:rsidRDefault="00482F36" w:rsidP="0048443F">
      <w:pPr>
        <w:spacing w:line="276" w:lineRule="auto"/>
        <w:rPr>
          <w:rFonts w:ascii="Times New Roman" w:hAnsi="Times New Roman" w:cs="Times New Roman"/>
        </w:rPr>
      </w:pPr>
    </w:p>
    <w:p w14:paraId="5F6A3DDF" w14:textId="32FA7CA7" w:rsidR="00036221" w:rsidRPr="00C560CB" w:rsidRDefault="00262ED7" w:rsidP="0048443F">
      <w:pPr>
        <w:pStyle w:val="Heading2"/>
        <w:spacing w:line="276" w:lineRule="auto"/>
        <w:rPr>
          <w:rFonts w:ascii="Times New Roman" w:hAnsi="Times New Roman" w:cs="Times New Roman"/>
        </w:rPr>
      </w:pPr>
      <w:bookmarkStart w:id="72" w:name="_Toc179724828"/>
      <w:r w:rsidRPr="00C560CB">
        <w:rPr>
          <w:rFonts w:ascii="Times New Roman" w:hAnsi="Times New Roman" w:cs="Times New Roman"/>
        </w:rPr>
        <w:t>1.1</w:t>
      </w:r>
      <w:r w:rsidR="00036221" w:rsidRPr="00C560CB">
        <w:rPr>
          <w:rFonts w:ascii="Times New Roman" w:hAnsi="Times New Roman" w:cs="Times New Roman"/>
        </w:rPr>
        <w:t>Result</w:t>
      </w:r>
      <w:bookmarkEnd w:id="72"/>
    </w:p>
    <w:p w14:paraId="6AF8757A" w14:textId="26FF9D2A" w:rsidR="00D02FDD" w:rsidRPr="00C560CB" w:rsidRDefault="00D02FDD" w:rsidP="0048443F">
      <w:pPr>
        <w:spacing w:line="276" w:lineRule="auto"/>
        <w:jc w:val="both"/>
        <w:rPr>
          <w:rFonts w:ascii="Times New Roman" w:hAnsi="Times New Roman" w:cs="Times New Roman"/>
        </w:rPr>
      </w:pPr>
      <w:r w:rsidRPr="00C560CB">
        <w:rPr>
          <w:rFonts w:ascii="Times New Roman" w:hAnsi="Times New Roman" w:cs="Times New Roman"/>
        </w:rPr>
        <w:t>It becomes evident from the study that the successful implementation of ESG factors in commerce and the investment market regarding sustainable performance is necessary. Businesses with hearty ESG scores go through several advantages such as better performance, improved risks, and more investors’ trust. Especially important to mention that ESG integration is sector-specific, and some industries, including information technology and consumer goods, reported positive financial performance outcomes due to their sustainability efforts. For instance, Apple’s CARBON NEUTRAL and Unilever’s sustainable sourcing goals enticed consumers as well as investors, thus increasing corporate value.</w:t>
      </w:r>
    </w:p>
    <w:p w14:paraId="4C89BAB4" w14:textId="77777777" w:rsidR="00D02FDD" w:rsidRPr="00C560CB" w:rsidRDefault="00D02FDD" w:rsidP="0048443F">
      <w:pPr>
        <w:spacing w:line="276" w:lineRule="auto"/>
        <w:jc w:val="both"/>
        <w:rPr>
          <w:rFonts w:ascii="Times New Roman" w:hAnsi="Times New Roman" w:cs="Times New Roman"/>
        </w:rPr>
      </w:pPr>
      <w:r w:rsidRPr="00C560CB">
        <w:rPr>
          <w:rFonts w:ascii="Times New Roman" w:hAnsi="Times New Roman" w:cs="Times New Roman"/>
        </w:rPr>
        <w:t>In addition, ESG galvanically fits into risk management and compliance with the necessary regulatory guidelines for financial stability. According to the study, firms in the European banking sector, with high ESG scores have lower non-performing loan ratios suggesting good credit management (Tóth et al., 2021). ESG has also been confirmed to help companies become more resilient to an economic shock, especially those companies with good ESP standards such as Tesla in a renewable energy field.</w:t>
      </w:r>
    </w:p>
    <w:p w14:paraId="718D54FC" w14:textId="5F6DE1C6" w:rsidR="00D02FDD" w:rsidRPr="00C560CB" w:rsidRDefault="00D02FDD" w:rsidP="0048443F">
      <w:pPr>
        <w:spacing w:line="276" w:lineRule="auto"/>
        <w:jc w:val="both"/>
        <w:rPr>
          <w:rFonts w:ascii="Times New Roman" w:hAnsi="Times New Roman" w:cs="Times New Roman"/>
        </w:rPr>
      </w:pPr>
      <w:r w:rsidRPr="00C560CB">
        <w:rPr>
          <w:rFonts w:ascii="Times New Roman" w:hAnsi="Times New Roman" w:cs="Times New Roman"/>
        </w:rPr>
        <w:t xml:space="preserve">The values of the social factors are also vivid since the companies’ policies regarding employment rights and responsibilities, and their relations with the communities influence the market valuation and investors’ actions. Microsoft is an example of </w:t>
      </w:r>
      <w:r w:rsidR="00B87A2A" w:rsidRPr="00C560CB">
        <w:rPr>
          <w:rFonts w:ascii="Times New Roman" w:hAnsi="Times New Roman" w:cs="Times New Roman"/>
        </w:rPr>
        <w:t>an </w:t>
      </w:r>
      <w:r w:rsidRPr="00C560CB">
        <w:rPr>
          <w:rFonts w:ascii="Times New Roman" w:hAnsi="Times New Roman" w:cs="Times New Roman"/>
        </w:rPr>
        <w:t>organization proving how Diversity and inclusion policies when done well can improve ESG scores</w:t>
      </w:r>
      <w:r w:rsidR="009C532D" w:rsidRPr="00C560CB">
        <w:rPr>
          <w:rFonts w:ascii="Times New Roman" w:hAnsi="Times New Roman" w:cs="Times New Roman"/>
        </w:rPr>
        <w:t xml:space="preserve">, improve </w:t>
      </w:r>
      <w:r w:rsidRPr="00C560CB">
        <w:rPr>
          <w:rFonts w:ascii="Times New Roman" w:hAnsi="Times New Roman" w:cs="Times New Roman"/>
        </w:rPr>
        <w:t xml:space="preserve">investor loyalty and share market returns. This factor relates to transparency and anti-corruption measures, as well as to strong shareholder rights in guaranteeing corporate stability among the clients of the investment company. </w:t>
      </w:r>
      <w:r w:rsidR="00A81583" w:rsidRPr="00C560CB">
        <w:rPr>
          <w:rFonts w:ascii="Times New Roman" w:hAnsi="Times New Roman" w:cs="Times New Roman"/>
        </w:rPr>
        <w:t>G</w:t>
      </w:r>
      <w:r w:rsidRPr="00C560CB">
        <w:rPr>
          <w:rFonts w:ascii="Times New Roman" w:hAnsi="Times New Roman" w:cs="Times New Roman"/>
        </w:rPr>
        <w:t>overnance quality correlat</w:t>
      </w:r>
      <w:r w:rsidR="001D4CED" w:rsidRPr="00C560CB">
        <w:rPr>
          <w:rFonts w:ascii="Times New Roman" w:hAnsi="Times New Roman" w:cs="Times New Roman"/>
        </w:rPr>
        <w:t>es</w:t>
      </w:r>
      <w:r w:rsidRPr="00C560CB">
        <w:rPr>
          <w:rFonts w:ascii="Times New Roman" w:hAnsi="Times New Roman" w:cs="Times New Roman"/>
        </w:rPr>
        <w:t xml:space="preserve"> with improved financial performance as transparency and accountability provide benefits for the ESG interested investors, especially in </w:t>
      </w:r>
      <w:r w:rsidR="000D08C6" w:rsidRPr="00C560CB">
        <w:rPr>
          <w:rFonts w:ascii="Times New Roman" w:hAnsi="Times New Roman" w:cs="Times New Roman"/>
        </w:rPr>
        <w:t>such</w:t>
      </w:r>
      <w:r w:rsidRPr="00C560CB">
        <w:rPr>
          <w:rFonts w:ascii="Times New Roman" w:hAnsi="Times New Roman" w:cs="Times New Roman"/>
        </w:rPr>
        <w:t xml:space="preserve"> a licensed field as the financial one (Lupu &amp; Hurduzeu, 2022).</w:t>
      </w:r>
    </w:p>
    <w:p w14:paraId="619FB30B" w14:textId="1413B323" w:rsidR="00CB3E76" w:rsidRPr="00C560CB" w:rsidRDefault="00CB3E76" w:rsidP="0048443F">
      <w:pPr>
        <w:spacing w:line="276" w:lineRule="auto"/>
        <w:jc w:val="both"/>
        <w:rPr>
          <w:rFonts w:ascii="Times New Roman" w:hAnsi="Times New Roman" w:cs="Times New Roman"/>
        </w:rPr>
      </w:pPr>
      <w:r w:rsidRPr="00C560CB">
        <w:rPr>
          <w:rFonts w:ascii="Times New Roman" w:hAnsi="Times New Roman" w:cs="Times New Roman"/>
        </w:rPr>
        <w:t>Finally, the legal solutions supporting ESG integration need to be underlined as critical to stabilizing financial markets. Every financial market-linked policy requires companies to employ sustainable conduction strategies that would enhance market stability, especially during crises. For instance, European rules have made it easier for banks to manage capital unpredictability, thus dampening the variance problem (Chiaramonte et al., 2021). Therefore, the ESG integration that naturally occurs through regulatory backing produces improvements in sustainability at the corporate level and also bolsters the global financial structure in accordance with improvements in the wider economy and environment.</w:t>
      </w:r>
    </w:p>
    <w:p w14:paraId="2FCB1F17" w14:textId="7542B8FB" w:rsidR="00036221" w:rsidRPr="00C560CB" w:rsidRDefault="00CB3E76" w:rsidP="0048443F">
      <w:pPr>
        <w:spacing w:line="276" w:lineRule="auto"/>
        <w:jc w:val="both"/>
        <w:rPr>
          <w:rFonts w:ascii="Times New Roman" w:hAnsi="Times New Roman" w:cs="Times New Roman"/>
        </w:rPr>
      </w:pPr>
      <w:r w:rsidRPr="00C560CB">
        <w:rPr>
          <w:rFonts w:ascii="Times New Roman" w:hAnsi="Times New Roman" w:cs="Times New Roman"/>
        </w:rPr>
        <w:t>Due to their focus on building resilience and supporting the creation of sustainable wealth, ESG frameworks represent basic instruments that ensure a sustainable increase in value, for the benefit of the company, investors, and the general society.</w:t>
      </w:r>
    </w:p>
    <w:p w14:paraId="6B34DCA8" w14:textId="200E0EE9" w:rsidR="00482F36" w:rsidRPr="00C560CB" w:rsidRDefault="00482F36" w:rsidP="0048443F">
      <w:pPr>
        <w:spacing w:line="276" w:lineRule="auto"/>
        <w:jc w:val="both"/>
        <w:rPr>
          <w:rFonts w:ascii="Times New Roman" w:hAnsi="Times New Roman" w:cs="Times New Roman"/>
        </w:rPr>
      </w:pPr>
    </w:p>
    <w:p w14:paraId="2CF910EF" w14:textId="239005C1" w:rsidR="00A10743" w:rsidRPr="00C560CB" w:rsidRDefault="00036221" w:rsidP="0048443F">
      <w:pPr>
        <w:pStyle w:val="Heading2"/>
        <w:spacing w:line="276" w:lineRule="auto"/>
        <w:rPr>
          <w:rFonts w:ascii="Times New Roman" w:hAnsi="Times New Roman" w:cs="Times New Roman"/>
        </w:rPr>
      </w:pPr>
      <w:bookmarkStart w:id="73" w:name="_Toc179724829"/>
      <w:r w:rsidRPr="00C560CB">
        <w:rPr>
          <w:rFonts w:ascii="Times New Roman" w:hAnsi="Times New Roman" w:cs="Times New Roman"/>
        </w:rPr>
        <w:t>1.2</w:t>
      </w:r>
      <w:r w:rsidR="00993418" w:rsidRPr="00C560CB">
        <w:rPr>
          <w:rFonts w:ascii="Times New Roman" w:hAnsi="Times New Roman" w:cs="Times New Roman"/>
        </w:rPr>
        <w:t>Discussion</w:t>
      </w:r>
      <w:bookmarkEnd w:id="73"/>
      <w:r w:rsidR="00993418" w:rsidRPr="00C560CB">
        <w:rPr>
          <w:rFonts w:ascii="Times New Roman" w:hAnsi="Times New Roman" w:cs="Times New Roman"/>
        </w:rPr>
        <w:t xml:space="preserve"> </w:t>
      </w:r>
    </w:p>
    <w:p w14:paraId="2697DE19" w14:textId="2C6B3F92" w:rsidR="00DE0011" w:rsidRPr="00C560CB" w:rsidRDefault="00DE0011" w:rsidP="0048443F">
      <w:pPr>
        <w:spacing w:line="276" w:lineRule="auto"/>
        <w:jc w:val="both"/>
        <w:rPr>
          <w:rFonts w:ascii="Times New Roman" w:hAnsi="Times New Roman" w:cs="Times New Roman"/>
        </w:rPr>
      </w:pPr>
      <w:r w:rsidRPr="00C560CB">
        <w:rPr>
          <w:rFonts w:ascii="Times New Roman" w:hAnsi="Times New Roman" w:cs="Times New Roman"/>
        </w:rPr>
        <w:t xml:space="preserve">The inclusion of ESG factors into the financial markets now forms one of the significant requirements for increased sustainable development and improved business stability. The results highlighted in this paper suggest that organisations implementing ESG models receive several advantages such as risk minimisation, better vulnerability to crises, </w:t>
      </w:r>
      <w:r w:rsidR="007109A5" w:rsidRPr="00C560CB">
        <w:rPr>
          <w:rFonts w:ascii="Times New Roman" w:hAnsi="Times New Roman" w:cs="Times New Roman"/>
        </w:rPr>
        <w:t>and </w:t>
      </w:r>
      <w:r w:rsidRPr="00C560CB">
        <w:rPr>
          <w:rFonts w:ascii="Times New Roman" w:hAnsi="Times New Roman" w:cs="Times New Roman"/>
        </w:rPr>
        <w:t xml:space="preserve">new investor confidence. It supports prior work </w:t>
      </w:r>
      <w:r w:rsidRPr="00C560CB">
        <w:rPr>
          <w:rFonts w:ascii="Times New Roman" w:hAnsi="Times New Roman" w:cs="Times New Roman"/>
        </w:rPr>
        <w:lastRenderedPageBreak/>
        <w:t xml:space="preserve">highlighting that better financial performance is achieved among ESG-focused companies since these improved organizational practices, and reduced risk management issues </w:t>
      </w:r>
      <w:r w:rsidR="007109A5" w:rsidRPr="00C560CB">
        <w:rPr>
          <w:rFonts w:ascii="Times New Roman" w:hAnsi="Times New Roman" w:cs="Times New Roman"/>
        </w:rPr>
        <w:t xml:space="preserve">(Clark, Feiner, &amp; </w:t>
      </w:r>
      <w:proofErr w:type="spellStart"/>
      <w:r w:rsidR="007109A5" w:rsidRPr="00C560CB">
        <w:rPr>
          <w:rFonts w:ascii="Times New Roman" w:hAnsi="Times New Roman" w:cs="Times New Roman"/>
        </w:rPr>
        <w:t>Viehs</w:t>
      </w:r>
      <w:proofErr w:type="spellEnd"/>
      <w:r w:rsidR="007109A5" w:rsidRPr="00C560CB">
        <w:rPr>
          <w:rFonts w:ascii="Times New Roman" w:hAnsi="Times New Roman" w:cs="Times New Roman"/>
        </w:rPr>
        <w:t>, 2015).</w:t>
      </w:r>
    </w:p>
    <w:p w14:paraId="25CC5103" w14:textId="0E177398" w:rsidR="00937C26" w:rsidRPr="00C560CB" w:rsidRDefault="00B933FA" w:rsidP="0048443F">
      <w:pPr>
        <w:spacing w:line="276" w:lineRule="auto"/>
        <w:jc w:val="both"/>
        <w:rPr>
          <w:rFonts w:ascii="Times New Roman" w:hAnsi="Times New Roman" w:cs="Times New Roman"/>
        </w:rPr>
      </w:pPr>
      <w:r w:rsidRPr="00C560CB">
        <w:rPr>
          <w:rFonts w:ascii="Times New Roman" w:hAnsi="Times New Roman" w:cs="Times New Roman"/>
        </w:rPr>
        <w:t>It is noteworthy that the ESG regulatory frameworks play a crucial role in maintaining the stability of financial markets and are particularly relevant in segments such as banking and energy: the satisfaction of environmental standards in those segments is especially stringent. For instance, the financial institutions from the European region that integrate ESG factors have reported lower non-performing loan ratio</w:t>
      </w:r>
      <w:r w:rsidR="00937C26" w:rsidRPr="00C560CB">
        <w:rPr>
          <w:rFonts w:ascii="Times New Roman" w:hAnsi="Times New Roman" w:cs="Times New Roman"/>
        </w:rPr>
        <w:t>s</w:t>
      </w:r>
      <w:r w:rsidRPr="00C560CB">
        <w:rPr>
          <w:rFonts w:ascii="Times New Roman" w:hAnsi="Times New Roman" w:cs="Times New Roman"/>
        </w:rPr>
        <w:t xml:space="preserve"> than institutions that do not integrate ESG factors indicating better financial position (Tóth et al., 2021). This resilience is further evident in the aspect of operations during economic recession randomly; banks regulated by ESG perform better and continue to have capital access to counter recession impacts (Chiaramonte et al., 2022). </w:t>
      </w:r>
    </w:p>
    <w:p w14:paraId="7C95AE75" w14:textId="7E93D840" w:rsidR="00B933FA" w:rsidRPr="00C560CB" w:rsidRDefault="00B933FA" w:rsidP="0048443F">
      <w:pPr>
        <w:spacing w:line="276" w:lineRule="auto"/>
        <w:jc w:val="both"/>
        <w:rPr>
          <w:rFonts w:ascii="Times New Roman" w:hAnsi="Times New Roman" w:cs="Times New Roman"/>
        </w:rPr>
      </w:pPr>
      <w:r w:rsidRPr="00C560CB">
        <w:rPr>
          <w:rFonts w:ascii="Times New Roman" w:hAnsi="Times New Roman" w:cs="Times New Roman"/>
        </w:rPr>
        <w:t xml:space="preserve">Nevertheless, this study also established that </w:t>
      </w:r>
      <w:r w:rsidR="00937C26" w:rsidRPr="00C560CB">
        <w:rPr>
          <w:rFonts w:ascii="Times New Roman" w:hAnsi="Times New Roman" w:cs="Times New Roman"/>
        </w:rPr>
        <w:t>the </w:t>
      </w:r>
      <w:r w:rsidRPr="00C560CB">
        <w:rPr>
          <w:rFonts w:ascii="Times New Roman" w:hAnsi="Times New Roman" w:cs="Times New Roman"/>
        </w:rPr>
        <w:t>sector performs a vital role in determining ESG integration results. Major technology players like Microsoft and Apple are currently setting aggressive milestones for carbon</w:t>
      </w:r>
      <w:r w:rsidR="00937C26" w:rsidRPr="00C560CB">
        <w:rPr>
          <w:rFonts w:ascii="Times New Roman" w:hAnsi="Times New Roman" w:cs="Times New Roman"/>
        </w:rPr>
        <w:t>-</w:t>
      </w:r>
      <w:r w:rsidRPr="00C560CB">
        <w:rPr>
          <w:rFonts w:ascii="Times New Roman" w:hAnsi="Times New Roman" w:cs="Times New Roman"/>
        </w:rPr>
        <w:t>neutral status, to attract investors who are environment</w:t>
      </w:r>
      <w:r w:rsidR="00937C26" w:rsidRPr="00C560CB">
        <w:rPr>
          <w:rFonts w:ascii="Times New Roman" w:hAnsi="Times New Roman" w:cs="Times New Roman"/>
        </w:rPr>
        <w:t>-</w:t>
      </w:r>
      <w:r w:rsidRPr="00C560CB">
        <w:rPr>
          <w:rFonts w:ascii="Times New Roman" w:hAnsi="Times New Roman" w:cs="Times New Roman"/>
        </w:rPr>
        <w:t xml:space="preserve">conscious and to boost their image (Apple 2020; Microsoft 2024). On the other hand, those industries with a large environmental impact, notably </w:t>
      </w:r>
      <w:r w:rsidR="00937C26" w:rsidRPr="00C560CB">
        <w:rPr>
          <w:rFonts w:ascii="Times New Roman" w:hAnsi="Times New Roman" w:cs="Times New Roman"/>
        </w:rPr>
        <w:t>the </w:t>
      </w:r>
      <w:r w:rsidRPr="00C560CB">
        <w:rPr>
          <w:rFonts w:ascii="Times New Roman" w:hAnsi="Times New Roman" w:cs="Times New Roman"/>
        </w:rPr>
        <w:t xml:space="preserve">oil and gas industries, face more problems in fulfilling ESG standards. However, ESG integration has been utilized by companies such as </w:t>
      </w:r>
      <w:r w:rsidR="00452B16" w:rsidRPr="00C560CB">
        <w:rPr>
          <w:rFonts w:ascii="Times New Roman" w:hAnsi="Times New Roman" w:cs="Times New Roman"/>
        </w:rPr>
        <w:t>BP</w:t>
      </w:r>
      <w:r w:rsidRPr="00C560CB">
        <w:rPr>
          <w:rFonts w:ascii="Times New Roman" w:hAnsi="Times New Roman" w:cs="Times New Roman"/>
        </w:rPr>
        <w:t xml:space="preserve"> and Tesla to justify higher market capitalization and better brand image (Tesla, 2021; bp, 2021). The above trend supports the fact that investors who embrace ESG principles, ensure that they develop corporate resilience that creates long</w:t>
      </w:r>
      <w:r w:rsidR="00937C26" w:rsidRPr="00C560CB">
        <w:rPr>
          <w:rFonts w:ascii="Times New Roman" w:hAnsi="Times New Roman" w:cs="Times New Roman"/>
        </w:rPr>
        <w:t>-</w:t>
      </w:r>
      <w:r w:rsidRPr="00C560CB">
        <w:rPr>
          <w:rFonts w:ascii="Times New Roman" w:hAnsi="Times New Roman" w:cs="Times New Roman"/>
        </w:rPr>
        <w:t>term investors’ allegiance which is key for continuity.</w:t>
      </w:r>
    </w:p>
    <w:p w14:paraId="675CE3EF" w14:textId="04A912CB" w:rsidR="00F4251B" w:rsidRPr="00C560CB" w:rsidRDefault="00651815" w:rsidP="0048443F">
      <w:pPr>
        <w:spacing w:line="276" w:lineRule="auto"/>
        <w:jc w:val="both"/>
        <w:rPr>
          <w:rFonts w:ascii="Times New Roman" w:hAnsi="Times New Roman" w:cs="Times New Roman"/>
        </w:rPr>
      </w:pPr>
      <w:r w:rsidRPr="00C560CB">
        <w:rPr>
          <w:rFonts w:ascii="Times New Roman" w:hAnsi="Times New Roman" w:cs="Times New Roman"/>
        </w:rPr>
        <w:t xml:space="preserve">Another of the key findings is that investor perception and stock performance are influenced by social factors. Work and employment relations, business and community relations, and diversity management have been proved to offer better market returns, investor credibility and increment in market capitalizations. For example, while focusing on the materiality of gender diversity, the company managed, on one hand, to enhance its social image and, on the other, experience a boost in the stock price, largely in concordance with </w:t>
      </w:r>
      <w:r w:rsidR="001F21FD" w:rsidRPr="00C560CB">
        <w:rPr>
          <w:rFonts w:ascii="Times New Roman" w:hAnsi="Times New Roman" w:cs="Times New Roman"/>
        </w:rPr>
        <w:t>(Eccles, Ioannou and Serafeim, 2014)</w:t>
      </w:r>
      <w:r w:rsidRPr="00C560CB">
        <w:rPr>
          <w:rFonts w:ascii="Times New Roman" w:hAnsi="Times New Roman" w:cs="Times New Roman"/>
        </w:rPr>
        <w:t xml:space="preserve">, who noticed that the firms adopting sustainable activities perform better as they foster a more sustainable relationship with stakeholders. Therefore, incorporating social components </w:t>
      </w:r>
      <w:r w:rsidR="00F4251B" w:rsidRPr="00C560CB">
        <w:rPr>
          <w:rFonts w:ascii="Times New Roman" w:hAnsi="Times New Roman" w:cs="Times New Roman"/>
        </w:rPr>
        <w:t>in</w:t>
      </w:r>
      <w:r w:rsidRPr="00C560CB">
        <w:rPr>
          <w:rFonts w:ascii="Times New Roman" w:hAnsi="Times New Roman" w:cs="Times New Roman"/>
        </w:rPr>
        <w:t>to the ESG models is important for such organizations and organizations that challenge their solvency and credibility among investors.</w:t>
      </w:r>
    </w:p>
    <w:p w14:paraId="42DC0102" w14:textId="44EFE692" w:rsidR="00B933FA" w:rsidRPr="00C560CB" w:rsidRDefault="00651815" w:rsidP="0048443F">
      <w:pPr>
        <w:spacing w:line="276" w:lineRule="auto"/>
        <w:jc w:val="both"/>
        <w:rPr>
          <w:rFonts w:ascii="Times New Roman" w:hAnsi="Times New Roman" w:cs="Times New Roman"/>
        </w:rPr>
      </w:pPr>
      <w:r w:rsidRPr="00C560CB">
        <w:rPr>
          <w:rFonts w:ascii="Times New Roman" w:hAnsi="Times New Roman" w:cs="Times New Roman"/>
        </w:rPr>
        <w:t xml:space="preserve"> </w:t>
      </w:r>
      <w:r w:rsidR="00F4251B" w:rsidRPr="00C560CB">
        <w:rPr>
          <w:rFonts w:ascii="Times New Roman" w:hAnsi="Times New Roman" w:cs="Times New Roman"/>
        </w:rPr>
        <w:t>Conc</w:t>
      </w:r>
      <w:r w:rsidRPr="00C560CB">
        <w:rPr>
          <w:rFonts w:ascii="Times New Roman" w:hAnsi="Times New Roman" w:cs="Times New Roman"/>
        </w:rPr>
        <w:t>er</w:t>
      </w:r>
      <w:r w:rsidR="00F4251B" w:rsidRPr="00C560CB">
        <w:rPr>
          <w:rFonts w:ascii="Times New Roman" w:hAnsi="Times New Roman" w:cs="Times New Roman"/>
        </w:rPr>
        <w:t>ning</w:t>
      </w:r>
      <w:r w:rsidRPr="00C560CB">
        <w:rPr>
          <w:rFonts w:ascii="Times New Roman" w:hAnsi="Times New Roman" w:cs="Times New Roman"/>
        </w:rPr>
        <w:t xml:space="preserve"> governance, codes allowed administrative regulation to stress freeness, anti-corruption steps, and shareholders’ rights to cut the threats of financial mismanagement. Policies with a governance perspective assist in the creation of the corporate structure, necessary for long</w:t>
      </w:r>
      <w:r w:rsidR="00F4251B" w:rsidRPr="00C560CB">
        <w:rPr>
          <w:rFonts w:ascii="Times New Roman" w:hAnsi="Times New Roman" w:cs="Times New Roman"/>
        </w:rPr>
        <w:t>-</w:t>
      </w:r>
      <w:r w:rsidRPr="00C560CB">
        <w:rPr>
          <w:rFonts w:ascii="Times New Roman" w:hAnsi="Times New Roman" w:cs="Times New Roman"/>
        </w:rPr>
        <w:t xml:space="preserve">term stability which has been supported in various scholars’ papers such as those of </w:t>
      </w:r>
      <w:r w:rsidR="00B0554A" w:rsidRPr="00C560CB">
        <w:rPr>
          <w:rFonts w:ascii="Times New Roman" w:hAnsi="Times New Roman" w:cs="Times New Roman"/>
        </w:rPr>
        <w:t>(</w:t>
      </w:r>
      <w:r w:rsidRPr="00C560CB">
        <w:rPr>
          <w:rFonts w:ascii="Times New Roman" w:hAnsi="Times New Roman" w:cs="Times New Roman"/>
        </w:rPr>
        <w:t>Bebchuk, Cohen &amp; Ferrell</w:t>
      </w:r>
      <w:r w:rsidR="00B0554A" w:rsidRPr="00C560CB">
        <w:rPr>
          <w:rFonts w:ascii="Times New Roman" w:hAnsi="Times New Roman" w:cs="Times New Roman"/>
        </w:rPr>
        <w:t xml:space="preserve">, </w:t>
      </w:r>
      <w:r w:rsidRPr="00C560CB">
        <w:rPr>
          <w:rFonts w:ascii="Times New Roman" w:hAnsi="Times New Roman" w:cs="Times New Roman"/>
        </w:rPr>
        <w:t>2009) indicating that governance leads to better investor confidence and operational stability. Thus, this governance impact is felt in financial institutions because transparency and accountability act as safeguards for preventing a given risk while enabling the firms to appeal to investors interested in ESG principles (Lupu &amp; Hurduzeu, 2022).</w:t>
      </w:r>
    </w:p>
    <w:p w14:paraId="6AF0D323" w14:textId="72F88C62" w:rsidR="001541A2" w:rsidRPr="00C560CB" w:rsidRDefault="00D81A2D" w:rsidP="0048443F">
      <w:pPr>
        <w:spacing w:line="276" w:lineRule="auto"/>
        <w:jc w:val="both"/>
        <w:rPr>
          <w:rFonts w:ascii="Times New Roman" w:hAnsi="Times New Roman" w:cs="Times New Roman"/>
        </w:rPr>
      </w:pPr>
      <w:r w:rsidRPr="00C560CB">
        <w:rPr>
          <w:rFonts w:ascii="Times New Roman" w:hAnsi="Times New Roman" w:cs="Times New Roman"/>
        </w:rPr>
        <w:t>Nevertheless, some issues are still</w:t>
      </w:r>
      <w:r w:rsidR="00BD2B2D" w:rsidRPr="00C560CB">
        <w:rPr>
          <w:rFonts w:ascii="Times New Roman" w:hAnsi="Times New Roman" w:cs="Times New Roman"/>
        </w:rPr>
        <w:t xml:space="preserve"> </w:t>
      </w:r>
      <w:r w:rsidRPr="00C560CB">
        <w:rPr>
          <w:rFonts w:ascii="Times New Roman" w:hAnsi="Times New Roman" w:cs="Times New Roman"/>
        </w:rPr>
        <w:t xml:space="preserve">existing. </w:t>
      </w:r>
      <w:r w:rsidR="00BD2B2D" w:rsidRPr="00C560CB">
        <w:rPr>
          <w:rFonts w:ascii="Times New Roman" w:hAnsi="Times New Roman" w:cs="Times New Roman"/>
        </w:rPr>
        <w:t>The a</w:t>
      </w:r>
      <w:r w:rsidRPr="00C560CB">
        <w:rPr>
          <w:rFonts w:ascii="Times New Roman" w:hAnsi="Times New Roman" w:cs="Times New Roman"/>
        </w:rPr>
        <w:t xml:space="preserve">doption of ESG frameworks has been reported to be costly, particularly to players from emerging markets with often unpredictable legal structures. In the case of smaller </w:t>
      </w:r>
      <w:r w:rsidR="00B0554A" w:rsidRPr="00C560CB">
        <w:rPr>
          <w:rFonts w:ascii="Times New Roman" w:hAnsi="Times New Roman" w:cs="Times New Roman"/>
        </w:rPr>
        <w:t>firms’</w:t>
      </w:r>
      <w:r w:rsidRPr="00C560CB">
        <w:rPr>
          <w:rFonts w:ascii="Times New Roman" w:hAnsi="Times New Roman" w:cs="Times New Roman"/>
        </w:rPr>
        <w:t xml:space="preserve"> high costs of compliance as well as high capital investments </w:t>
      </w:r>
      <w:r w:rsidR="00BD2B2D" w:rsidRPr="00C560CB">
        <w:rPr>
          <w:rFonts w:ascii="Times New Roman" w:hAnsi="Times New Roman" w:cs="Times New Roman"/>
        </w:rPr>
        <w:t>are </w:t>
      </w:r>
      <w:r w:rsidRPr="00C560CB">
        <w:rPr>
          <w:rFonts w:ascii="Times New Roman" w:hAnsi="Times New Roman" w:cs="Times New Roman"/>
        </w:rPr>
        <w:t xml:space="preserve">necessary to put into effect the ESG principles (Friede, Busch &amp; Bassen, 2015). Also, the increased phenomenon of greenwashing – when organizations provide misleading information regarding their environmental and social responsibility standards – threatens to reduce investors’ confidence if the problem is not solved </w:t>
      </w:r>
      <w:r w:rsidR="001541A2" w:rsidRPr="00C560CB">
        <w:rPr>
          <w:rFonts w:ascii="Times New Roman" w:hAnsi="Times New Roman" w:cs="Times New Roman"/>
        </w:rPr>
        <w:t>(Macey, 2021)</w:t>
      </w:r>
      <w:r w:rsidR="00BD2B2D" w:rsidRPr="00C560CB">
        <w:rPr>
          <w:rFonts w:ascii="Times New Roman" w:hAnsi="Times New Roman" w:cs="Times New Roman"/>
        </w:rPr>
        <w:t>.</w:t>
      </w:r>
    </w:p>
    <w:p w14:paraId="73E7BA98" w14:textId="77777777" w:rsidR="00A34DAF" w:rsidRPr="00C560CB" w:rsidRDefault="00A34DAF" w:rsidP="0048443F">
      <w:pPr>
        <w:spacing w:line="276" w:lineRule="auto"/>
        <w:jc w:val="both"/>
        <w:rPr>
          <w:rFonts w:ascii="Times New Roman" w:hAnsi="Times New Roman" w:cs="Times New Roman"/>
        </w:rPr>
      </w:pPr>
    </w:p>
    <w:p w14:paraId="03FF62FC" w14:textId="612BC9D5" w:rsidR="00155354" w:rsidRPr="00C560CB" w:rsidRDefault="00155354" w:rsidP="00155354">
      <w:pPr>
        <w:pStyle w:val="Heading1"/>
        <w:rPr>
          <w:rFonts w:ascii="Times New Roman" w:hAnsi="Times New Roman" w:cs="Times New Roman"/>
        </w:rPr>
      </w:pPr>
      <w:bookmarkStart w:id="74" w:name="_Toc179724830"/>
      <w:r w:rsidRPr="00C560CB">
        <w:rPr>
          <w:rFonts w:ascii="Times New Roman" w:hAnsi="Times New Roman" w:cs="Times New Roman"/>
        </w:rPr>
        <w:lastRenderedPageBreak/>
        <w:t>Chapter 6</w:t>
      </w:r>
      <w:bookmarkEnd w:id="74"/>
    </w:p>
    <w:p w14:paraId="74E5D464" w14:textId="7DFBE53B" w:rsidR="00065FE4" w:rsidRPr="00C560CB" w:rsidRDefault="00A34DAF" w:rsidP="00A34DAF">
      <w:pPr>
        <w:pStyle w:val="Heading2"/>
        <w:rPr>
          <w:rFonts w:ascii="Times New Roman" w:hAnsi="Times New Roman" w:cs="Times New Roman"/>
        </w:rPr>
      </w:pPr>
      <w:bookmarkStart w:id="75" w:name="_Toc179724831"/>
      <w:r w:rsidRPr="00C560CB">
        <w:rPr>
          <w:rFonts w:ascii="Times New Roman" w:hAnsi="Times New Roman" w:cs="Times New Roman"/>
        </w:rPr>
        <w:t>1</w:t>
      </w:r>
      <w:r w:rsidR="00155354" w:rsidRPr="00C560CB">
        <w:rPr>
          <w:rFonts w:ascii="Times New Roman" w:hAnsi="Times New Roman" w:cs="Times New Roman"/>
        </w:rPr>
        <w:t>.</w:t>
      </w:r>
      <w:r w:rsidRPr="00C560CB">
        <w:rPr>
          <w:rFonts w:ascii="Times New Roman" w:hAnsi="Times New Roman" w:cs="Times New Roman"/>
        </w:rPr>
        <w:t xml:space="preserve"> Conclusion</w:t>
      </w:r>
      <w:bookmarkEnd w:id="75"/>
      <w:r w:rsidRPr="00C560CB">
        <w:rPr>
          <w:rFonts w:ascii="Times New Roman" w:hAnsi="Times New Roman" w:cs="Times New Roman"/>
        </w:rPr>
        <w:t xml:space="preserve"> </w:t>
      </w:r>
    </w:p>
    <w:p w14:paraId="78B173A5" w14:textId="2979B362" w:rsidR="00A34DAF" w:rsidRPr="00C560CB" w:rsidRDefault="00A34DAF" w:rsidP="002F450B">
      <w:pPr>
        <w:jc w:val="both"/>
        <w:rPr>
          <w:rFonts w:ascii="Times New Roman" w:hAnsi="Times New Roman" w:cs="Times New Roman"/>
        </w:rPr>
      </w:pPr>
      <w:r w:rsidRPr="00C560CB">
        <w:rPr>
          <w:rFonts w:ascii="Times New Roman" w:hAnsi="Times New Roman" w:cs="Times New Roman"/>
        </w:rPr>
        <w:t xml:space="preserve">In ending this dissertation on the effects of ESG factors on financial returns and risks in various industries, the following findings have been made. These results show just how important ESG practices are as a framework not only for monitoring sustainable performance but </w:t>
      </w:r>
      <w:r w:rsidR="002F450B" w:rsidRPr="00C560CB">
        <w:rPr>
          <w:rFonts w:ascii="Times New Roman" w:hAnsi="Times New Roman" w:cs="Times New Roman"/>
        </w:rPr>
        <w:t>also </w:t>
      </w:r>
      <w:r w:rsidRPr="00C560CB">
        <w:rPr>
          <w:rFonts w:ascii="Times New Roman" w:hAnsi="Times New Roman" w:cs="Times New Roman"/>
        </w:rPr>
        <w:t>as an inherent factor for boosting performance, shar</w:t>
      </w:r>
      <w:r w:rsidR="002F450B" w:rsidRPr="00C560CB">
        <w:rPr>
          <w:rFonts w:ascii="Times New Roman" w:hAnsi="Times New Roman" w:cs="Times New Roman"/>
        </w:rPr>
        <w:t>ing</w:t>
      </w:r>
      <w:r w:rsidRPr="00C560CB">
        <w:rPr>
          <w:rFonts w:ascii="Times New Roman" w:hAnsi="Times New Roman" w:cs="Times New Roman"/>
        </w:rPr>
        <w:t xml:space="preserve"> credibility, and defence against volatile markets.</w:t>
      </w:r>
    </w:p>
    <w:p w14:paraId="24AB6E09" w14:textId="2C9D3016" w:rsidR="00A34DAF" w:rsidRPr="00C560CB" w:rsidRDefault="00A34DAF" w:rsidP="002F450B">
      <w:pPr>
        <w:jc w:val="both"/>
        <w:rPr>
          <w:rFonts w:ascii="Times New Roman" w:hAnsi="Times New Roman" w:cs="Times New Roman"/>
        </w:rPr>
      </w:pPr>
      <w:r w:rsidRPr="00C560CB">
        <w:rPr>
          <w:rFonts w:ascii="Times New Roman" w:hAnsi="Times New Roman" w:cs="Times New Roman"/>
        </w:rPr>
        <w:t>This paper blurs the light on the fact that ESG factors, especially in industries that experience increased levels of environment</w:t>
      </w:r>
      <w:r w:rsidR="00293D2D" w:rsidRPr="00C560CB">
        <w:rPr>
          <w:rFonts w:ascii="Times New Roman" w:hAnsi="Times New Roman" w:cs="Times New Roman"/>
        </w:rPr>
        <w:t>al</w:t>
      </w:r>
      <w:r w:rsidRPr="00C560CB">
        <w:rPr>
          <w:rFonts w:ascii="Times New Roman" w:hAnsi="Times New Roman" w:cs="Times New Roman"/>
        </w:rPr>
        <w:t xml:space="preserve"> and social issues, have a certain impact on stock returns and investors’ perceptions. Organizations that include ESG standards in their operations perform better than those that have not embraced ESG policies in the market, especially those that capture the standards demanded by various sectors and regulations in each area. For example, firms with better ESG scores and rankings are found to face less stock risk and are rewarded with better valuations, and also more effective stakeholder management. The evidence above therefore supports the idea that ESG is not simply a compliance issue; it is a performance driver for sustainable value.</w:t>
      </w:r>
    </w:p>
    <w:p w14:paraId="72458645" w14:textId="1EDA9701" w:rsidR="00A34DAF" w:rsidRPr="00C560CB" w:rsidRDefault="00A34DAF" w:rsidP="002F450B">
      <w:pPr>
        <w:jc w:val="both"/>
        <w:rPr>
          <w:rFonts w:ascii="Times New Roman" w:hAnsi="Times New Roman" w:cs="Times New Roman"/>
        </w:rPr>
      </w:pPr>
      <w:r w:rsidRPr="00C560CB">
        <w:rPr>
          <w:rFonts w:ascii="Times New Roman" w:hAnsi="Times New Roman" w:cs="Times New Roman"/>
        </w:rPr>
        <w:t>However, the analysis also highlights the complex issues about the implementation of the ESG approach. The extent of financial effects of ESG reports differ between industries; industries such as technology and consumer product industries have a more straightforward financial gain seen when implementing ESG while industries such as energy face increased regulatory hurdles. The present paper also acknowledges the issues of ESG data comparability caused by the voluntary approach and variations in disclosure regulations across the regions.</w:t>
      </w:r>
    </w:p>
    <w:p w14:paraId="53E7DD1F" w14:textId="41A1EE48" w:rsidR="00A34DAF" w:rsidRPr="00C560CB" w:rsidRDefault="00824AA7" w:rsidP="002F450B">
      <w:pPr>
        <w:jc w:val="both"/>
        <w:rPr>
          <w:rFonts w:ascii="Times New Roman" w:hAnsi="Times New Roman" w:cs="Times New Roman"/>
        </w:rPr>
      </w:pPr>
      <w:r w:rsidRPr="00C560CB">
        <w:rPr>
          <w:rFonts w:ascii="Times New Roman" w:hAnsi="Times New Roman" w:cs="Times New Roman"/>
        </w:rPr>
        <w:t>In essence</w:t>
      </w:r>
      <w:r w:rsidR="002F01E8" w:rsidRPr="00C560CB">
        <w:rPr>
          <w:rFonts w:ascii="Times New Roman" w:hAnsi="Times New Roman" w:cs="Times New Roman"/>
        </w:rPr>
        <w:t>, ESG principles are indeed a radical social change in the field of business and investment, which encourages the transition to sustainable investment. The ongoing shift toward ESG compliance for businesses across the world points toward a trajectory of positive change in the way that companies invest, even if firms that choose to undertake this shift may experience operational or financial disadvantages as a result. Future studies might also extend research on ESG impacts more chronologically to apprehend its long-term consequences on financial solidity and market stability in a wider space and by sectors. Therefore, this research advances the understanding of sustainability and</w:t>
      </w:r>
      <w:r w:rsidR="00781B1A" w:rsidRPr="00C560CB">
        <w:rPr>
          <w:rFonts w:ascii="Times New Roman" w:hAnsi="Times New Roman" w:cs="Times New Roman"/>
        </w:rPr>
        <w:t> </w:t>
      </w:r>
      <w:r w:rsidR="00C6747F" w:rsidRPr="00C560CB">
        <w:rPr>
          <w:rFonts w:ascii="Times New Roman" w:hAnsi="Times New Roman" w:cs="Times New Roman"/>
        </w:rPr>
        <w:t xml:space="preserve">financial performance </w:t>
      </w:r>
      <w:r w:rsidR="00781B1A" w:rsidRPr="00C560CB">
        <w:rPr>
          <w:rFonts w:ascii="Times New Roman" w:hAnsi="Times New Roman" w:cs="Times New Roman"/>
        </w:rPr>
        <w:t xml:space="preserve">intersect </w:t>
      </w:r>
      <w:r w:rsidR="002F01E8" w:rsidRPr="00C560CB">
        <w:rPr>
          <w:rFonts w:ascii="Times New Roman" w:hAnsi="Times New Roman" w:cs="Times New Roman"/>
        </w:rPr>
        <w:t>and provides practical implications to corporate executives, policymakers, and investors enhancing the sustainability of an economy.</w:t>
      </w:r>
    </w:p>
    <w:p w14:paraId="1D1ADC7F" w14:textId="33E0CA45" w:rsidR="000F18C0" w:rsidRPr="00C560CB" w:rsidRDefault="00D81A2D" w:rsidP="0048443F">
      <w:pPr>
        <w:spacing w:line="276" w:lineRule="auto"/>
        <w:rPr>
          <w:rFonts w:ascii="Times New Roman" w:hAnsi="Times New Roman" w:cs="Times New Roman"/>
        </w:rPr>
      </w:pPr>
      <w:r w:rsidRPr="00C560CB">
        <w:rPr>
          <w:rFonts w:ascii="Times New Roman" w:hAnsi="Times New Roman" w:cs="Times New Roman"/>
        </w:rPr>
        <w:t xml:space="preserve"> </w:t>
      </w:r>
    </w:p>
    <w:p w14:paraId="5BD649C8" w14:textId="72424878" w:rsidR="000F18C0" w:rsidRPr="00C560CB" w:rsidRDefault="00FB60D9" w:rsidP="0048443F">
      <w:pPr>
        <w:pStyle w:val="Heading2"/>
        <w:spacing w:line="276" w:lineRule="auto"/>
        <w:rPr>
          <w:rFonts w:ascii="Times New Roman" w:hAnsi="Times New Roman" w:cs="Times New Roman"/>
        </w:rPr>
      </w:pPr>
      <w:bookmarkStart w:id="76" w:name="_Toc179724832"/>
      <w:r w:rsidRPr="00C560CB">
        <w:rPr>
          <w:rFonts w:ascii="Times New Roman" w:hAnsi="Times New Roman" w:cs="Times New Roman"/>
        </w:rPr>
        <w:t>1.</w:t>
      </w:r>
      <w:r w:rsidR="00155354" w:rsidRPr="00C560CB">
        <w:rPr>
          <w:rFonts w:ascii="Times New Roman" w:hAnsi="Times New Roman" w:cs="Times New Roman"/>
        </w:rPr>
        <w:t>1</w:t>
      </w:r>
      <w:r w:rsidR="00295924" w:rsidRPr="00C560CB">
        <w:rPr>
          <w:rFonts w:ascii="Times New Roman" w:hAnsi="Times New Roman" w:cs="Times New Roman"/>
        </w:rPr>
        <w:t xml:space="preserve"> </w:t>
      </w:r>
      <w:r w:rsidR="00D81A2D" w:rsidRPr="00C560CB">
        <w:rPr>
          <w:rFonts w:ascii="Times New Roman" w:hAnsi="Times New Roman" w:cs="Times New Roman"/>
        </w:rPr>
        <w:t>Recommendations</w:t>
      </w:r>
      <w:bookmarkEnd w:id="76"/>
      <w:r w:rsidR="00D81A2D" w:rsidRPr="00C560CB">
        <w:rPr>
          <w:rFonts w:ascii="Times New Roman" w:hAnsi="Times New Roman" w:cs="Times New Roman"/>
        </w:rPr>
        <w:t xml:space="preserve"> </w:t>
      </w:r>
    </w:p>
    <w:p w14:paraId="32A2061D" w14:textId="77777777" w:rsidR="00DA1391" w:rsidRPr="00C560CB" w:rsidRDefault="00D81A2D" w:rsidP="0048443F">
      <w:pPr>
        <w:spacing w:line="276" w:lineRule="auto"/>
        <w:jc w:val="both"/>
        <w:rPr>
          <w:rFonts w:ascii="Times New Roman" w:hAnsi="Times New Roman" w:cs="Times New Roman"/>
        </w:rPr>
      </w:pPr>
      <w:r w:rsidRPr="00C560CB">
        <w:rPr>
          <w:rFonts w:ascii="Times New Roman" w:hAnsi="Times New Roman" w:cs="Times New Roman"/>
        </w:rPr>
        <w:t>From the analysis conclusions, several recommendations can be derived that would help build stronger ESG frameworks in order to produce the greatest potential financial market and business stability.</w:t>
      </w:r>
    </w:p>
    <w:p w14:paraId="14DDAC48" w14:textId="2D60EBF1" w:rsidR="003C3F03" w:rsidRPr="00C560CB" w:rsidRDefault="00D81A2D" w:rsidP="0048443F">
      <w:pPr>
        <w:spacing w:line="276" w:lineRule="auto"/>
        <w:jc w:val="both"/>
        <w:rPr>
          <w:rFonts w:ascii="Times New Roman" w:hAnsi="Times New Roman" w:cs="Times New Roman"/>
        </w:rPr>
      </w:pPr>
      <w:r w:rsidRPr="00C560CB">
        <w:rPr>
          <w:rFonts w:ascii="Times New Roman" w:hAnsi="Times New Roman" w:cs="Times New Roman"/>
        </w:rPr>
        <w:t>Hence, enhance</w:t>
      </w:r>
      <w:r w:rsidR="004D280C" w:rsidRPr="00C560CB">
        <w:rPr>
          <w:rFonts w:ascii="Times New Roman" w:hAnsi="Times New Roman" w:cs="Times New Roman"/>
        </w:rPr>
        <w:t>s</w:t>
      </w:r>
      <w:r w:rsidRPr="00C560CB">
        <w:rPr>
          <w:rFonts w:ascii="Times New Roman" w:hAnsi="Times New Roman" w:cs="Times New Roman"/>
        </w:rPr>
        <w:t xml:space="preserve"> ESG reporting standards. Bottlenecks that account for variability in ESG reporting at the sector and region levels can be eliminated leading to improved comparability and thus enabling investors </w:t>
      </w:r>
      <w:r w:rsidR="004D280C" w:rsidRPr="00C560CB">
        <w:rPr>
          <w:rFonts w:ascii="Times New Roman" w:hAnsi="Times New Roman" w:cs="Times New Roman"/>
        </w:rPr>
        <w:t>to </w:t>
      </w:r>
      <w:r w:rsidRPr="00C560CB">
        <w:rPr>
          <w:rFonts w:ascii="Times New Roman" w:hAnsi="Times New Roman" w:cs="Times New Roman"/>
        </w:rPr>
        <w:t>make sound decisions on a firm’</w:t>
      </w:r>
      <w:r w:rsidR="004D280C" w:rsidRPr="00C560CB">
        <w:rPr>
          <w:rFonts w:ascii="Times New Roman" w:hAnsi="Times New Roman" w:cs="Times New Roman"/>
        </w:rPr>
        <w:t>s</w:t>
      </w:r>
      <w:r w:rsidRPr="00C560CB">
        <w:rPr>
          <w:rFonts w:ascii="Times New Roman" w:hAnsi="Times New Roman" w:cs="Times New Roman"/>
        </w:rPr>
        <w:t xml:space="preserve"> ESG performance. International organizations like the IFRS could have the power to set a universal ESG standard and check inefficiencies, </w:t>
      </w:r>
      <w:r w:rsidR="004D280C" w:rsidRPr="00C560CB">
        <w:rPr>
          <w:rFonts w:ascii="Times New Roman" w:hAnsi="Times New Roman" w:cs="Times New Roman"/>
        </w:rPr>
        <w:t>and </w:t>
      </w:r>
      <w:r w:rsidRPr="00C560CB">
        <w:rPr>
          <w:rFonts w:ascii="Times New Roman" w:hAnsi="Times New Roman" w:cs="Times New Roman"/>
        </w:rPr>
        <w:t>malpractices such as greenwashing by companies (Pasupuleti et al., 2024).</w:t>
      </w:r>
    </w:p>
    <w:p w14:paraId="101D6FA8" w14:textId="549D8821" w:rsidR="004D280C"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t xml:space="preserve">This supports compliance with ESG principles through Financial Support. </w:t>
      </w:r>
      <w:r w:rsidR="00A816D5" w:rsidRPr="00C560CB">
        <w:rPr>
          <w:rFonts w:ascii="Times New Roman" w:hAnsi="Times New Roman" w:cs="Times New Roman"/>
        </w:rPr>
        <w:t>G</w:t>
      </w:r>
      <w:r w:rsidRPr="00C560CB">
        <w:rPr>
          <w:rFonts w:ascii="Times New Roman" w:hAnsi="Times New Roman" w:cs="Times New Roman"/>
        </w:rPr>
        <w:t>overnments and financial institutions may offer incentives for firms that compl</w:t>
      </w:r>
      <w:r w:rsidR="004D280C" w:rsidRPr="00C560CB">
        <w:rPr>
          <w:rFonts w:ascii="Times New Roman" w:hAnsi="Times New Roman" w:cs="Times New Roman"/>
        </w:rPr>
        <w:t>y</w:t>
      </w:r>
      <w:r w:rsidRPr="00C560CB">
        <w:rPr>
          <w:rFonts w:ascii="Times New Roman" w:hAnsi="Times New Roman" w:cs="Times New Roman"/>
        </w:rPr>
        <w:t xml:space="preserve"> with ESG specifications; these could include tax exemptions or lower interest rates on business loans. Such an approach would ask emerging markets’ small and medium enterprises to integrate ESG compliance standards, where sustainable development does not interfere with profitability while avoiding huge investments </w:t>
      </w:r>
      <w:r w:rsidR="00856401" w:rsidRPr="00C560CB">
        <w:rPr>
          <w:rFonts w:ascii="Times New Roman" w:hAnsi="Times New Roman" w:cs="Times New Roman"/>
        </w:rPr>
        <w:t>(Maharajabdinul, 2024).</w:t>
      </w:r>
    </w:p>
    <w:p w14:paraId="692AD34E" w14:textId="3702B5EB" w:rsidR="00F71759"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lastRenderedPageBreak/>
        <w:t>Raising the Public Consciousness of ESG Best Practice</w:t>
      </w:r>
      <w:r w:rsidR="00856401" w:rsidRPr="00C560CB">
        <w:rPr>
          <w:rFonts w:ascii="Times New Roman" w:hAnsi="Times New Roman" w:cs="Times New Roman"/>
        </w:rPr>
        <w:t>s</w:t>
      </w:r>
      <w:r w:rsidRPr="00C560CB">
        <w:rPr>
          <w:rFonts w:ascii="Times New Roman" w:hAnsi="Times New Roman" w:cs="Times New Roman"/>
        </w:rPr>
        <w:t xml:space="preserve"> Media and publicity or awareness of the advantages of ESG can make more people invest </w:t>
      </w:r>
      <w:r w:rsidR="00856401" w:rsidRPr="00C560CB">
        <w:rPr>
          <w:rFonts w:ascii="Times New Roman" w:hAnsi="Times New Roman" w:cs="Times New Roman"/>
        </w:rPr>
        <w:t>i</w:t>
      </w:r>
      <w:r w:rsidRPr="00C560CB">
        <w:rPr>
          <w:rFonts w:ascii="Times New Roman" w:hAnsi="Times New Roman" w:cs="Times New Roman"/>
        </w:rPr>
        <w:t>n ESG</w:t>
      </w:r>
      <w:r w:rsidR="00856401" w:rsidRPr="00C560CB">
        <w:rPr>
          <w:rFonts w:ascii="Times New Roman" w:hAnsi="Times New Roman" w:cs="Times New Roman"/>
        </w:rPr>
        <w:t>-</w:t>
      </w:r>
      <w:r w:rsidRPr="00C560CB">
        <w:rPr>
          <w:rFonts w:ascii="Times New Roman" w:hAnsi="Times New Roman" w:cs="Times New Roman"/>
        </w:rPr>
        <w:t xml:space="preserve">compliant companies. Well-informed consumers and investors will prefer companies with good ESG scores, providing demand-side pressure to ensure executive adoption of these frameworks in their totality (Unilever, 2021). </w:t>
      </w:r>
    </w:p>
    <w:p w14:paraId="6D71AE89" w14:textId="77777777" w:rsidR="00F71759"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t xml:space="preserve">Industry Specific ESG Directives In view of the fact that ESG impacts are industry-specific, industry-specific guidelines will assist in dealing with issues characteristic of each sector. For example, the oil and gas sector could increase the emphasis on the environmental part, the technology sector could be interested in improving governance and social responsibility (La Torre et al., 2021). For experts to best </w:t>
      </w:r>
      <w:r w:rsidR="005C0692" w:rsidRPr="00C560CB">
        <w:rPr>
          <w:rFonts w:ascii="Times New Roman" w:hAnsi="Times New Roman" w:cs="Times New Roman"/>
        </w:rPr>
        <w:t>strategies</w:t>
      </w:r>
      <w:r w:rsidRPr="00C560CB">
        <w:rPr>
          <w:rFonts w:ascii="Times New Roman" w:hAnsi="Times New Roman" w:cs="Times New Roman"/>
        </w:rPr>
        <w:t xml:space="preserve"> the ESG system of rules, indices relating to ESG ha</w:t>
      </w:r>
      <w:r w:rsidR="005C0692" w:rsidRPr="00C560CB">
        <w:rPr>
          <w:rFonts w:ascii="Times New Roman" w:hAnsi="Times New Roman" w:cs="Times New Roman"/>
        </w:rPr>
        <w:t>ve</w:t>
      </w:r>
      <w:r w:rsidRPr="00C560CB">
        <w:rPr>
          <w:rFonts w:ascii="Times New Roman" w:hAnsi="Times New Roman" w:cs="Times New Roman"/>
        </w:rPr>
        <w:t xml:space="preserve"> been proposed to be calibrated according to sectors to ensure that the umbrella term of ESG remains highly applicable and realistic for companies of diverse industries. </w:t>
      </w:r>
    </w:p>
    <w:p w14:paraId="4ED03BAD" w14:textId="6BD20752" w:rsidR="003C3F03"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t xml:space="preserve">Long-term ESG investment is to be encouraged Those authorities should also make efforts to persuade investors </w:t>
      </w:r>
      <w:r w:rsidR="005C0692" w:rsidRPr="00C560CB">
        <w:rPr>
          <w:rFonts w:ascii="Times New Roman" w:hAnsi="Times New Roman" w:cs="Times New Roman"/>
        </w:rPr>
        <w:t>to </w:t>
      </w:r>
      <w:r w:rsidRPr="00C560CB">
        <w:rPr>
          <w:rFonts w:ascii="Times New Roman" w:hAnsi="Times New Roman" w:cs="Times New Roman"/>
        </w:rPr>
        <w:t>take long-term views of ESG investments. As such disclosures can be made on the long</w:t>
      </w:r>
      <w:r w:rsidR="005C0692" w:rsidRPr="00C560CB">
        <w:rPr>
          <w:rFonts w:ascii="Times New Roman" w:hAnsi="Times New Roman" w:cs="Times New Roman"/>
        </w:rPr>
        <w:t>-</w:t>
      </w:r>
      <w:r w:rsidRPr="00C560CB">
        <w:rPr>
          <w:rFonts w:ascii="Times New Roman" w:hAnsi="Times New Roman" w:cs="Times New Roman"/>
        </w:rPr>
        <w:t>term advantages and more risk-free returns that are associated with ESG, this shift can be encouraged. The investment tilted towards sustainable growth than the flash-in-the-pan investment drives ESG objectives and help</w:t>
      </w:r>
      <w:r w:rsidR="005C0692" w:rsidRPr="00C560CB">
        <w:rPr>
          <w:rFonts w:ascii="Times New Roman" w:hAnsi="Times New Roman" w:cs="Times New Roman"/>
        </w:rPr>
        <w:t>s</w:t>
      </w:r>
      <w:r w:rsidRPr="00C560CB">
        <w:rPr>
          <w:rFonts w:ascii="Times New Roman" w:hAnsi="Times New Roman" w:cs="Times New Roman"/>
        </w:rPr>
        <w:t xml:space="preserve"> to make </w:t>
      </w:r>
      <w:r w:rsidR="005C0692" w:rsidRPr="00C560CB">
        <w:rPr>
          <w:rFonts w:ascii="Times New Roman" w:hAnsi="Times New Roman" w:cs="Times New Roman"/>
        </w:rPr>
        <w:t>the </w:t>
      </w:r>
      <w:r w:rsidRPr="00C560CB">
        <w:rPr>
          <w:rFonts w:ascii="Times New Roman" w:hAnsi="Times New Roman" w:cs="Times New Roman"/>
        </w:rPr>
        <w:t>market more stable in the long</w:t>
      </w:r>
      <w:r w:rsidR="005C0692" w:rsidRPr="00C560CB">
        <w:rPr>
          <w:rFonts w:ascii="Times New Roman" w:hAnsi="Times New Roman" w:cs="Times New Roman"/>
        </w:rPr>
        <w:t xml:space="preserve"> </w:t>
      </w:r>
      <w:r w:rsidRPr="00C560CB">
        <w:rPr>
          <w:rFonts w:ascii="Times New Roman" w:hAnsi="Times New Roman" w:cs="Times New Roman"/>
        </w:rPr>
        <w:t xml:space="preserve">run </w:t>
      </w:r>
      <w:r w:rsidR="000270A4" w:rsidRPr="00C560CB">
        <w:rPr>
          <w:rFonts w:ascii="Times New Roman" w:hAnsi="Times New Roman" w:cs="Times New Roman"/>
        </w:rPr>
        <w:t>(BlackRock, n.d.).</w:t>
      </w:r>
    </w:p>
    <w:p w14:paraId="6FA6C14B" w14:textId="238FEFA1" w:rsidR="00C72DE1" w:rsidRPr="00C560CB" w:rsidRDefault="00C72DE1" w:rsidP="0048443F">
      <w:pPr>
        <w:spacing w:line="276" w:lineRule="auto"/>
        <w:jc w:val="both"/>
        <w:rPr>
          <w:rFonts w:ascii="Times New Roman" w:hAnsi="Times New Roman" w:cs="Times New Roman"/>
        </w:rPr>
      </w:pPr>
      <w:r w:rsidRPr="00C560CB">
        <w:rPr>
          <w:rFonts w:ascii="Times New Roman" w:hAnsi="Times New Roman" w:cs="Times New Roman"/>
        </w:rPr>
        <w:t>Control and Supervise Green Advertising Civil and self-regulatory mechanisms need to be tightened up and supplemented by rechecking companies’ actions with the declared ESG programs regular</w:t>
      </w:r>
      <w:r w:rsidR="00DE5CFE" w:rsidRPr="00C560CB">
        <w:rPr>
          <w:rFonts w:ascii="Times New Roman" w:hAnsi="Times New Roman" w:cs="Times New Roman"/>
        </w:rPr>
        <w:t>ly</w:t>
      </w:r>
      <w:r w:rsidRPr="00C560CB">
        <w:rPr>
          <w:rFonts w:ascii="Times New Roman" w:hAnsi="Times New Roman" w:cs="Times New Roman"/>
        </w:rPr>
        <w:t xml:space="preserve"> to combat greenwashing. Sanctions for ESG frauds would shield the investors while maintaining the purity of ESG as an authentic instrument for the sustainable expansion of markets (Macey, 2022). </w:t>
      </w:r>
    </w:p>
    <w:p w14:paraId="5C9FE7BF" w14:textId="4CB256AE" w:rsidR="003C3F03" w:rsidRPr="00C560CB" w:rsidRDefault="00C72DE1" w:rsidP="0048443F">
      <w:pPr>
        <w:spacing w:line="276" w:lineRule="auto"/>
        <w:jc w:val="both"/>
        <w:rPr>
          <w:rFonts w:ascii="Times New Roman" w:hAnsi="Times New Roman" w:cs="Times New Roman"/>
        </w:rPr>
      </w:pPr>
      <w:r w:rsidRPr="00C560CB">
        <w:rPr>
          <w:rFonts w:ascii="Times New Roman" w:hAnsi="Times New Roman" w:cs="Times New Roman"/>
        </w:rPr>
        <w:t>Sustainable and Responsible Investment: Main Goal and the Concept of Climate Resilience That is why, if climate risks remain a critical factor affecting the global markets, expanding climate resilience as an aspect of ESG will increase the competitiveness of those businesses that need to adapt to environmental transformations. This integration should also involve mechanisms for adapting to resource availability and maximum allowable emission goals and make companies more ready to encounter climate</w:t>
      </w:r>
      <w:r w:rsidR="00DE6DCA" w:rsidRPr="00C560CB">
        <w:rPr>
          <w:rFonts w:ascii="Times New Roman" w:hAnsi="Times New Roman" w:cs="Times New Roman"/>
        </w:rPr>
        <w:t>-</w:t>
      </w:r>
      <w:r w:rsidRPr="00C560CB">
        <w:rPr>
          <w:rFonts w:ascii="Times New Roman" w:hAnsi="Times New Roman" w:cs="Times New Roman"/>
        </w:rPr>
        <w:t>related shocks and disturbances</w:t>
      </w:r>
      <w:r w:rsidR="00134CB9" w:rsidRPr="00C560CB">
        <w:rPr>
          <w:rFonts w:ascii="Times New Roman" w:hAnsi="Times New Roman" w:cs="Times New Roman"/>
        </w:rPr>
        <w:t xml:space="preserve"> (Owen, 2024)</w:t>
      </w:r>
      <w:r w:rsidRPr="00C560CB">
        <w:rPr>
          <w:rFonts w:ascii="Times New Roman" w:hAnsi="Times New Roman" w:cs="Times New Roman"/>
        </w:rPr>
        <w:t>.</w:t>
      </w:r>
    </w:p>
    <w:p w14:paraId="41001912" w14:textId="77777777" w:rsidR="003C3F03" w:rsidRPr="00C560CB" w:rsidRDefault="003C3F03" w:rsidP="0048443F">
      <w:pPr>
        <w:spacing w:line="276" w:lineRule="auto"/>
        <w:rPr>
          <w:rFonts w:ascii="Times New Roman" w:hAnsi="Times New Roman" w:cs="Times New Roman"/>
        </w:rPr>
      </w:pPr>
    </w:p>
    <w:p w14:paraId="17FF4235" w14:textId="77777777" w:rsidR="001F4165" w:rsidRPr="00C560CB" w:rsidRDefault="001F4165" w:rsidP="0048443F">
      <w:pPr>
        <w:spacing w:line="276" w:lineRule="auto"/>
        <w:rPr>
          <w:rFonts w:ascii="Times New Roman" w:hAnsi="Times New Roman" w:cs="Times New Roman"/>
        </w:rPr>
      </w:pPr>
    </w:p>
    <w:p w14:paraId="7BAC67A8" w14:textId="77777777" w:rsidR="001F4165" w:rsidRPr="00C560CB" w:rsidRDefault="001F4165" w:rsidP="0048443F">
      <w:pPr>
        <w:spacing w:line="276" w:lineRule="auto"/>
        <w:rPr>
          <w:rFonts w:ascii="Times New Roman" w:hAnsi="Times New Roman" w:cs="Times New Roman"/>
        </w:rPr>
      </w:pPr>
    </w:p>
    <w:p w14:paraId="1CF02D87" w14:textId="77777777" w:rsidR="00C07924" w:rsidRPr="00C560CB" w:rsidRDefault="00C07924" w:rsidP="0048443F">
      <w:pPr>
        <w:spacing w:line="276" w:lineRule="auto"/>
        <w:rPr>
          <w:rFonts w:ascii="Times New Roman" w:hAnsi="Times New Roman" w:cs="Times New Roman"/>
        </w:rPr>
      </w:pPr>
    </w:p>
    <w:p w14:paraId="79388B19" w14:textId="77777777" w:rsidR="0014742E" w:rsidRPr="00C560CB" w:rsidRDefault="0014742E" w:rsidP="0048443F">
      <w:pPr>
        <w:spacing w:line="276" w:lineRule="auto"/>
        <w:rPr>
          <w:rFonts w:ascii="Times New Roman" w:hAnsi="Times New Roman" w:cs="Times New Roman"/>
        </w:rPr>
      </w:pPr>
    </w:p>
    <w:p w14:paraId="0A860B22" w14:textId="77777777" w:rsidR="0014742E" w:rsidRPr="00C560CB" w:rsidRDefault="0014742E" w:rsidP="0048443F">
      <w:pPr>
        <w:spacing w:line="276" w:lineRule="auto"/>
        <w:rPr>
          <w:rFonts w:ascii="Times New Roman" w:hAnsi="Times New Roman" w:cs="Times New Roman"/>
        </w:rPr>
      </w:pPr>
    </w:p>
    <w:p w14:paraId="04900844" w14:textId="77777777" w:rsidR="0014742E" w:rsidRPr="00C560CB" w:rsidRDefault="0014742E" w:rsidP="0048443F">
      <w:pPr>
        <w:spacing w:line="276" w:lineRule="auto"/>
        <w:rPr>
          <w:rFonts w:ascii="Times New Roman" w:hAnsi="Times New Roman" w:cs="Times New Roman"/>
        </w:rPr>
      </w:pPr>
    </w:p>
    <w:p w14:paraId="252F0BE2" w14:textId="77777777" w:rsidR="0058335C" w:rsidRPr="00C560CB" w:rsidRDefault="0058335C" w:rsidP="0048443F">
      <w:pPr>
        <w:spacing w:line="276" w:lineRule="auto"/>
        <w:rPr>
          <w:rFonts w:ascii="Times New Roman" w:hAnsi="Times New Roman" w:cs="Times New Roman"/>
        </w:rPr>
      </w:pPr>
    </w:p>
    <w:p w14:paraId="49995AA9" w14:textId="01470750" w:rsidR="00FB6FC5" w:rsidRPr="00C560CB" w:rsidRDefault="00FB6FC5" w:rsidP="0048443F">
      <w:pPr>
        <w:pStyle w:val="Heading1"/>
        <w:spacing w:line="276" w:lineRule="auto"/>
        <w:rPr>
          <w:rFonts w:ascii="Times New Roman" w:hAnsi="Times New Roman" w:cs="Times New Roman"/>
        </w:rPr>
      </w:pPr>
      <w:bookmarkStart w:id="77" w:name="_Toc179724833"/>
      <w:r w:rsidRPr="00C560CB">
        <w:rPr>
          <w:rFonts w:ascii="Times New Roman" w:hAnsi="Times New Roman" w:cs="Times New Roman"/>
        </w:rPr>
        <w:t>Bibliography</w:t>
      </w:r>
      <w:bookmarkEnd w:id="77"/>
    </w:p>
    <w:sdt>
      <w:sdtPr>
        <w:rPr>
          <w:rFonts w:ascii="Times New Roman" w:hAnsi="Times New Roman" w:cs="Times New Roman"/>
        </w:rPr>
        <w:id w:val="111145805"/>
        <w:bibliography/>
      </w:sdtPr>
      <w:sdtEndPr/>
      <w:sdtContent>
        <w:p w14:paraId="7827D01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ACCA Global (n.d.). </w:t>
          </w:r>
          <w:r w:rsidRPr="00C560CB">
            <w:rPr>
              <w:rFonts w:ascii="Times New Roman" w:hAnsi="Times New Roman" w:cs="Times New Roman"/>
              <w:i/>
              <w:iCs/>
            </w:rPr>
            <w:t>Diversifying the board – a step towards better governance | ACCA Global</w:t>
          </w:r>
          <w:r w:rsidRPr="00C560CB">
            <w:rPr>
              <w:rFonts w:ascii="Times New Roman" w:hAnsi="Times New Roman" w:cs="Times New Roman"/>
            </w:rPr>
            <w:t>. [online] www.accaglobal.com. Available at: https://www.accaglobal.com/uk/en/student/exam-support-resources/professional-exams-study-resources/strategic-business-leader/technical-articles/diversifying-the-board.html.</w:t>
          </w:r>
        </w:p>
        <w:p w14:paraId="2A666FF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Agrawal, A.K. and Matsa, D.A. (2013). Labor unemployment risk and corporate financing decisions. </w:t>
          </w:r>
          <w:r w:rsidRPr="00C560CB">
            <w:rPr>
              <w:rFonts w:ascii="Times New Roman" w:hAnsi="Times New Roman" w:cs="Times New Roman"/>
              <w:i/>
              <w:iCs/>
            </w:rPr>
            <w:t>Journal of Financial Economics</w:t>
          </w:r>
          <w:r w:rsidRPr="00C560CB">
            <w:rPr>
              <w:rFonts w:ascii="Times New Roman" w:hAnsi="Times New Roman" w:cs="Times New Roman"/>
            </w:rPr>
            <w:t>, 108(2), pp.449–470. doi:https://doi.org/10.1016/j.jfineco.2012.11.006.</w:t>
          </w:r>
        </w:p>
        <w:p w14:paraId="36E31AA5"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Akhil Pasupuleti, Lakshmana Rao Ayyagari and Shankara Rao Akuthota (2024). Assessing the impact of ESG scores on market performance in polluting companies: a post-COVID-19 analysis. </w:t>
          </w:r>
          <w:r w:rsidRPr="00C560CB">
            <w:rPr>
              <w:rFonts w:ascii="Times New Roman" w:hAnsi="Times New Roman" w:cs="Times New Roman"/>
              <w:i/>
              <w:iCs/>
            </w:rPr>
            <w:t>Discover sustainability</w:t>
          </w:r>
          <w:r w:rsidRPr="00C560CB">
            <w:rPr>
              <w:rFonts w:ascii="Times New Roman" w:hAnsi="Times New Roman" w:cs="Times New Roman"/>
            </w:rPr>
            <w:t>, 5(1). doi:https://doi.org/10.1007/s43621-024-00338-8.</w:t>
          </w:r>
        </w:p>
        <w:p w14:paraId="41820EB2"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Amel-Zadeh, A. and Serafeim, G. (2017). </w:t>
          </w:r>
          <w:r w:rsidRPr="00C560CB">
            <w:rPr>
              <w:rFonts w:ascii="Times New Roman" w:hAnsi="Times New Roman" w:cs="Times New Roman"/>
              <w:i/>
              <w:iCs/>
            </w:rPr>
            <w:t>Why and How Investors Use ESG Information: Evidence from a Global Survey</w:t>
          </w:r>
          <w:r w:rsidRPr="00C560CB">
            <w:rPr>
              <w:rFonts w:ascii="Times New Roman" w:hAnsi="Times New Roman" w:cs="Times New Roman"/>
            </w:rPr>
            <w:t>. [online] papers.ssrn.com. Available at: https://papers.ssrn.com/sol3/papers.cfm?abstract_id=2925310 [Accessed 16 Aug. 2024].</w:t>
          </w:r>
        </w:p>
        <w:p w14:paraId="357AABF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Apple (2020). </w:t>
          </w:r>
          <w:r w:rsidRPr="00C560CB">
            <w:rPr>
              <w:rFonts w:ascii="Times New Roman" w:hAnsi="Times New Roman" w:cs="Times New Roman"/>
              <w:i/>
              <w:iCs/>
            </w:rPr>
            <w:t>Environmental Progress Report</w:t>
          </w:r>
          <w:r w:rsidRPr="00C560CB">
            <w:rPr>
              <w:rFonts w:ascii="Times New Roman" w:hAnsi="Times New Roman" w:cs="Times New Roman"/>
            </w:rPr>
            <w:t>. [online] Available at: https://www.apple.com/environment/pdf/Apple_Environmental_Progress_Report_2020.pdf [Accessed 5 Sep. 2024].</w:t>
          </w:r>
        </w:p>
        <w:p w14:paraId="3E22F7E5"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Azeem, A., Naseem, M.A., Ali, R. and Ali, S. (2024). How Does Environmental Performance Contribute to Firm Financial Performance in a Multi-country Study? Mediating Role of Competitive Advantage and Moderating Role of Voluntary Environmental Initiatives. </w:t>
          </w:r>
          <w:r w:rsidRPr="00C560CB">
            <w:rPr>
              <w:rFonts w:ascii="Times New Roman" w:hAnsi="Times New Roman" w:cs="Times New Roman"/>
              <w:i/>
              <w:iCs/>
            </w:rPr>
            <w:t>Journal of the Knowledge Economy</w:t>
          </w:r>
          <w:r w:rsidRPr="00C560CB">
            <w:rPr>
              <w:rFonts w:ascii="Times New Roman" w:hAnsi="Times New Roman" w:cs="Times New Roman"/>
            </w:rPr>
            <w:t>. doi:https://doi.org/10.1007/s13132-024-02193-4.</w:t>
          </w:r>
        </w:p>
        <w:p w14:paraId="5E8CE0A2"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Baratta, A., Cimino, A., Longo, F., Solina, V. and Verteramo, S. (2023). The Impact of ESG Practices in Industry with a Focus on Carbon Emissions: Insights and Future Perspectives. </w:t>
          </w:r>
          <w:r w:rsidRPr="00C560CB">
            <w:rPr>
              <w:rFonts w:ascii="Times New Roman" w:hAnsi="Times New Roman" w:cs="Times New Roman"/>
              <w:i/>
              <w:iCs/>
            </w:rPr>
            <w:t>Sustainability</w:t>
          </w:r>
          <w:r w:rsidRPr="00C560CB">
            <w:rPr>
              <w:rFonts w:ascii="Times New Roman" w:hAnsi="Times New Roman" w:cs="Times New Roman"/>
            </w:rPr>
            <w:t>, [online] 15(8), p.6685. doi:https://doi.org/10.3390/su15086685 Pg 2,3.</w:t>
          </w:r>
        </w:p>
        <w:p w14:paraId="5D929BE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Bebchuk, L.A., Cohen, A. and Ferrell, A. (2009). </w:t>
          </w:r>
          <w:r w:rsidRPr="00C560CB">
            <w:rPr>
              <w:rFonts w:ascii="Times New Roman" w:hAnsi="Times New Roman" w:cs="Times New Roman"/>
              <w:i/>
              <w:iCs/>
            </w:rPr>
            <w:t>What Matters in Corporate Governance?</w:t>
          </w:r>
          <w:r w:rsidRPr="00C560CB">
            <w:rPr>
              <w:rFonts w:ascii="Times New Roman" w:hAnsi="Times New Roman" w:cs="Times New Roman"/>
            </w:rPr>
            <w:t xml:space="preserve"> [online] Social Science Research Network. Available at: https://ssrn.com/abstract=1331874 [Accessed 1 Oct. 2024].</w:t>
          </w:r>
        </w:p>
        <w:p w14:paraId="5C734907"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Benetyte, R., Gonenc, H. and Krusinskas, R. (2021). Corporate Governance vs. Financial Performance for Intensity of Innovation Investments. </w:t>
          </w:r>
          <w:r w:rsidRPr="00C560CB">
            <w:rPr>
              <w:rFonts w:ascii="Times New Roman" w:hAnsi="Times New Roman" w:cs="Times New Roman"/>
              <w:i/>
              <w:iCs/>
            </w:rPr>
            <w:t>Sustainability</w:t>
          </w:r>
          <w:r w:rsidRPr="00C560CB">
            <w:rPr>
              <w:rFonts w:ascii="Times New Roman" w:hAnsi="Times New Roman" w:cs="Times New Roman"/>
            </w:rPr>
            <w:t>, 13(9), p.5014. doi:https://doi.org/10.3390/su13095014.</w:t>
          </w:r>
        </w:p>
        <w:p w14:paraId="4DC56B2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BlackRock. (n.d.). </w:t>
          </w:r>
          <w:r w:rsidRPr="00C560CB">
            <w:rPr>
              <w:rFonts w:ascii="Times New Roman" w:hAnsi="Times New Roman" w:cs="Times New Roman"/>
              <w:i/>
              <w:iCs/>
            </w:rPr>
            <w:t>ESG integration – Sustainable investing - Themes</w:t>
          </w:r>
          <w:r w:rsidRPr="00C560CB">
            <w:rPr>
              <w:rFonts w:ascii="Times New Roman" w:hAnsi="Times New Roman" w:cs="Times New Roman"/>
            </w:rPr>
            <w:t>. [online] Available at: https://www.blackrock.com/lu/intermediaries/themes/sustainable-investing/esg-integration [Accessed 2 Oct. 2024].</w:t>
          </w:r>
        </w:p>
        <w:p w14:paraId="29ACC0A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Brightest (2023). </w:t>
          </w:r>
          <w:r w:rsidRPr="00C560CB">
            <w:rPr>
              <w:rFonts w:ascii="Times New Roman" w:hAnsi="Times New Roman" w:cs="Times New Roman"/>
              <w:i/>
              <w:iCs/>
            </w:rPr>
            <w:t>ESG Regulations in 2023 - List of Key European, US, and Other Government ESG Compliance Laws</w:t>
          </w:r>
          <w:r w:rsidRPr="00C560CB">
            <w:rPr>
              <w:rFonts w:ascii="Times New Roman" w:hAnsi="Times New Roman" w:cs="Times New Roman"/>
            </w:rPr>
            <w:t>. [online] Brightest. Available at: https://www.brightest.io/esg-regulations [Accessed 2 Oct. 2024].</w:t>
          </w:r>
        </w:p>
        <w:p w14:paraId="6367F925"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Chen, p&gt;Junping and Ying, Y. (2023). ESG Performance and Stock Price Volatility. </w:t>
          </w:r>
          <w:r w:rsidRPr="00C560CB">
            <w:rPr>
              <w:rFonts w:ascii="Times New Roman" w:hAnsi="Times New Roman" w:cs="Times New Roman"/>
              <w:i/>
              <w:iCs/>
            </w:rPr>
            <w:t>Academic Journal of Business &amp; Management</w:t>
          </w:r>
          <w:r w:rsidRPr="00C560CB">
            <w:rPr>
              <w:rFonts w:ascii="Times New Roman" w:hAnsi="Times New Roman" w:cs="Times New Roman"/>
            </w:rPr>
            <w:t>, [online] 5(22). doi:https://doi.org/10.25236/AJBM.2023.052229.</w:t>
          </w:r>
        </w:p>
        <w:p w14:paraId="26CDF3E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Chen, W., Dai, L., Fang, X. and Zhang, W. (2023). Labor protection and stock price crash risk: Evidence from international equity markets. </w:t>
          </w:r>
          <w:r w:rsidRPr="00C560CB">
            <w:rPr>
              <w:rFonts w:ascii="Times New Roman" w:hAnsi="Times New Roman" w:cs="Times New Roman"/>
              <w:i/>
              <w:iCs/>
            </w:rPr>
            <w:t>The British accounting review</w:t>
          </w:r>
          <w:r w:rsidRPr="00C560CB">
            <w:rPr>
              <w:rFonts w:ascii="Times New Roman" w:hAnsi="Times New Roman" w:cs="Times New Roman"/>
            </w:rPr>
            <w:t>, pp.101274–101274. doi:https://doi.org/10.1016/j.bar.2023.101274.</w:t>
          </w:r>
        </w:p>
        <w:p w14:paraId="4612E199"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Chiaramonte, L., Dreassi, A., Girardone, C. and Piserà, S. (2021). Do ESG strategies enhance bank stability during financial turmoil? Evidence from Europe. </w:t>
          </w:r>
          <w:r w:rsidRPr="00C560CB">
            <w:rPr>
              <w:rFonts w:ascii="Times New Roman" w:hAnsi="Times New Roman" w:cs="Times New Roman"/>
              <w:i/>
              <w:iCs/>
            </w:rPr>
            <w:t>The European Journal of Finance</w:t>
          </w:r>
          <w:r w:rsidRPr="00C560CB">
            <w:rPr>
              <w:rFonts w:ascii="Times New Roman" w:hAnsi="Times New Roman" w:cs="Times New Roman"/>
            </w:rPr>
            <w:t>, 28(12), pp.1–39. doi:https://doi.org/10.1080/1351847x.2021.1964556.</w:t>
          </w:r>
        </w:p>
        <w:p w14:paraId="5D658E0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Clark, G.L., Feiner, A. and </w:t>
          </w:r>
          <w:proofErr w:type="spellStart"/>
          <w:r w:rsidRPr="00C560CB">
            <w:rPr>
              <w:rFonts w:ascii="Times New Roman" w:hAnsi="Times New Roman" w:cs="Times New Roman"/>
            </w:rPr>
            <w:t>Viehs</w:t>
          </w:r>
          <w:proofErr w:type="spellEnd"/>
          <w:r w:rsidRPr="00C560CB">
            <w:rPr>
              <w:rFonts w:ascii="Times New Roman" w:hAnsi="Times New Roman" w:cs="Times New Roman"/>
            </w:rPr>
            <w:t xml:space="preserve">, M. (2015). </w:t>
          </w:r>
          <w:r w:rsidRPr="00C560CB">
            <w:rPr>
              <w:rFonts w:ascii="Times New Roman" w:hAnsi="Times New Roman" w:cs="Times New Roman"/>
              <w:i/>
              <w:iCs/>
            </w:rPr>
            <w:t>From the Stockholder to the Stakeholder: How Sustainability Can Drive Financial Outperformance</w:t>
          </w:r>
          <w:r w:rsidRPr="00C560CB">
            <w:rPr>
              <w:rFonts w:ascii="Times New Roman" w:hAnsi="Times New Roman" w:cs="Times New Roman"/>
            </w:rPr>
            <w:t>. [online] papers.ssrn.com. Available at: https://papers.ssrn.com/sol3/papers.cfm?abstract_id=2508281 [Accessed 5 Aug. 2024].</w:t>
          </w:r>
        </w:p>
        <w:p w14:paraId="1C05E45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de Zwaan, L., Brimble, M. and Stewart, J. (2015). Member perceptions of ESG investing through superannuation. </w:t>
          </w:r>
          <w:r w:rsidRPr="00C560CB">
            <w:rPr>
              <w:rFonts w:ascii="Times New Roman" w:hAnsi="Times New Roman" w:cs="Times New Roman"/>
              <w:i/>
              <w:iCs/>
            </w:rPr>
            <w:t>Sustainability Accounting, Management and Policy Journal</w:t>
          </w:r>
          <w:r w:rsidRPr="00C560CB">
            <w:rPr>
              <w:rFonts w:ascii="Times New Roman" w:hAnsi="Times New Roman" w:cs="Times New Roman"/>
            </w:rPr>
            <w:t>, 6(1), pp.79–102. doi:https://doi.org/10.1108/sampj-03-2014-0017.</w:t>
          </w:r>
        </w:p>
        <w:p w14:paraId="291633AD"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Eccles, R.G., Ioannou, I. and Serafeim, G. (2014). </w:t>
          </w:r>
          <w:r w:rsidRPr="00C560CB">
            <w:rPr>
              <w:rFonts w:ascii="Times New Roman" w:hAnsi="Times New Roman" w:cs="Times New Roman"/>
              <w:i/>
              <w:iCs/>
            </w:rPr>
            <w:t>The Impact of Corporate Sustainability on Organizational Processes and Performance</w:t>
          </w:r>
          <w:r w:rsidRPr="00C560CB">
            <w:rPr>
              <w:rFonts w:ascii="Times New Roman" w:hAnsi="Times New Roman" w:cs="Times New Roman"/>
            </w:rPr>
            <w:t>. [online] papers.ssrn.com. Available at: https://ssrn.com/abstract=1964011 [Accessed 15 Sep. 2024].</w:t>
          </w:r>
        </w:p>
        <w:p w14:paraId="53C94BA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Edmans, A. (2011). Does the stock market fully value intangibles? Employee satisfaction and equity prices. </w:t>
          </w:r>
          <w:r w:rsidRPr="00C560CB">
            <w:rPr>
              <w:rFonts w:ascii="Times New Roman" w:hAnsi="Times New Roman" w:cs="Times New Roman"/>
              <w:i/>
              <w:iCs/>
            </w:rPr>
            <w:t>Journal of Financial Economics</w:t>
          </w:r>
          <w:r w:rsidRPr="00C560CB">
            <w:rPr>
              <w:rFonts w:ascii="Times New Roman" w:hAnsi="Times New Roman" w:cs="Times New Roman"/>
            </w:rPr>
            <w:t>, 101(3), pp.621–640.</w:t>
          </w:r>
        </w:p>
        <w:p w14:paraId="6C688E19"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Environmental, Social and Governance. (2021). Available at: https://corporate.walmart.com/content/dam/corporate/documents/purpose/environmental-social-and-governance-report-archive/walmart-2021-esg-annual-summary.pdf [Accessed 5 Sep. 2024].</w:t>
          </w:r>
        </w:p>
        <w:p w14:paraId="02205104"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Friede, G., Busch, T. and Bassen, A. (2015). ESG and Financial performance: Aggregated Evidence from More than 2000 Empirical Studies. </w:t>
          </w:r>
          <w:r w:rsidRPr="00C560CB">
            <w:rPr>
              <w:rFonts w:ascii="Times New Roman" w:hAnsi="Times New Roman" w:cs="Times New Roman"/>
              <w:i/>
              <w:iCs/>
            </w:rPr>
            <w:t>Journal of Sustainable Finance &amp; Investment</w:t>
          </w:r>
          <w:r w:rsidRPr="00C560CB">
            <w:rPr>
              <w:rFonts w:ascii="Times New Roman" w:hAnsi="Times New Roman" w:cs="Times New Roman"/>
            </w:rPr>
            <w:t>, 5(4), pp.210–233. doi:https://doi.org/10.1080/20430795.2015.1118917.</w:t>
          </w:r>
        </w:p>
        <w:p w14:paraId="2CD0CAB7"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Giese, G., Lee, L.-E., Melas, D., Nagy, Z. and Nishikawa, L. (2019). Foundations of ESG Investing: How ESG Affects Equity Valuation, Risk, and Performance. </w:t>
          </w:r>
          <w:r w:rsidRPr="00C560CB">
            <w:rPr>
              <w:rFonts w:ascii="Times New Roman" w:hAnsi="Times New Roman" w:cs="Times New Roman"/>
              <w:i/>
              <w:iCs/>
            </w:rPr>
            <w:t>The Journal of Portfolio Management</w:t>
          </w:r>
          <w:r w:rsidRPr="00C560CB">
            <w:rPr>
              <w:rFonts w:ascii="Times New Roman" w:hAnsi="Times New Roman" w:cs="Times New Roman"/>
            </w:rPr>
            <w:t>, 45(5), pp.69–83.</w:t>
          </w:r>
        </w:p>
        <w:p w14:paraId="60FD942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GLOBAL SUSTAINABLE INVESTMENT ALLIANCE (2020). </w:t>
          </w:r>
          <w:r w:rsidRPr="00C560CB">
            <w:rPr>
              <w:rFonts w:ascii="Times New Roman" w:hAnsi="Times New Roman" w:cs="Times New Roman"/>
              <w:i/>
              <w:iCs/>
            </w:rPr>
            <w:t>GLOBAL SUSTAINABLE INVESTMENT REVIEW 2020</w:t>
          </w:r>
          <w:r w:rsidRPr="00C560CB">
            <w:rPr>
              <w:rFonts w:ascii="Times New Roman" w:hAnsi="Times New Roman" w:cs="Times New Roman"/>
            </w:rPr>
            <w:t>. [online] Available at: https://www.gsi-alliance.org/wp-content/uploads/2021/08/GSIR-20201.pdf [Accessed 6 Aug. 2024].</w:t>
          </w:r>
        </w:p>
        <w:p w14:paraId="7B29FD4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Guy, C. (2024). </w:t>
          </w:r>
          <w:r w:rsidRPr="00C560CB">
            <w:rPr>
              <w:rFonts w:ascii="Times New Roman" w:hAnsi="Times New Roman" w:cs="Times New Roman"/>
              <w:i/>
              <w:iCs/>
            </w:rPr>
            <w:t>Our guide to shareholder rights | RLK Solicitors</w:t>
          </w:r>
          <w:r w:rsidRPr="00C560CB">
            <w:rPr>
              <w:rFonts w:ascii="Times New Roman" w:hAnsi="Times New Roman" w:cs="Times New Roman"/>
            </w:rPr>
            <w:t>. [online] Rlksolicitors.com. Available at: https://rlksolicitors.com/2024/07/12/shareholder-rights/ [Accessed 2 Oct. 2024].</w:t>
          </w:r>
        </w:p>
        <w:p w14:paraId="14E572F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Horváthová, E. (2010). Does environmental performance affect financial performance? A meta-analysis. </w:t>
          </w:r>
          <w:r w:rsidRPr="00C560CB">
            <w:rPr>
              <w:rFonts w:ascii="Times New Roman" w:hAnsi="Times New Roman" w:cs="Times New Roman"/>
              <w:i/>
              <w:iCs/>
            </w:rPr>
            <w:t>Ecological Economics</w:t>
          </w:r>
          <w:r w:rsidRPr="00C560CB">
            <w:rPr>
              <w:rFonts w:ascii="Times New Roman" w:hAnsi="Times New Roman" w:cs="Times New Roman"/>
            </w:rPr>
            <w:t>, 70(1), pp.52–59. doi:https://doi.org/10.1016/j.ecolecon.2010.04.004.</w:t>
          </w:r>
        </w:p>
        <w:p w14:paraId="41784B2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ISS (2023). </w:t>
          </w:r>
          <w:r w:rsidRPr="00C560CB">
            <w:rPr>
              <w:rFonts w:ascii="Times New Roman" w:hAnsi="Times New Roman" w:cs="Times New Roman"/>
              <w:i/>
              <w:iCs/>
            </w:rPr>
            <w:t>2023 Global Regulatory Update: Recent Developments and Key Themes in ESG-Related Regulations Globally</w:t>
          </w:r>
          <w:r w:rsidRPr="00C560CB">
            <w:rPr>
              <w:rFonts w:ascii="Times New Roman" w:hAnsi="Times New Roman" w:cs="Times New Roman"/>
            </w:rPr>
            <w:t>. [online] ISS. Available at: https://www.issgovernance.com/library/2023-global-regulatory-update-recent-developments-and-key-themes-in-esg-related-regulations-globally/ [Accessed 3 Oct. 2024].</w:t>
          </w:r>
        </w:p>
        <w:p w14:paraId="3EE87781"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Khan, M., Serafeim, G. and Yoon, A. (2016). </w:t>
          </w:r>
          <w:r w:rsidRPr="00C560CB">
            <w:rPr>
              <w:rFonts w:ascii="Times New Roman" w:hAnsi="Times New Roman" w:cs="Times New Roman"/>
              <w:i/>
              <w:iCs/>
            </w:rPr>
            <w:t>Corporate Sustainability: First Evidence on Materiality</w:t>
          </w:r>
          <w:r w:rsidRPr="00C560CB">
            <w:rPr>
              <w:rFonts w:ascii="Times New Roman" w:hAnsi="Times New Roman" w:cs="Times New Roman"/>
            </w:rPr>
            <w:t>. [online] papers.ssrn.com. Available at: https://papers.ssrn.com/sol3/papers.cfm?abstract_id=2575912 [Accessed 16 Aug. 2024].</w:t>
          </w:r>
        </w:p>
        <w:p w14:paraId="773D6341"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La Torre, M., Mango, F., Cafaro, A. and Leo, S. (2020). Does the ESG Index Affect Stock Return? Evidence from the Eurostoxx50. </w:t>
          </w:r>
          <w:r w:rsidRPr="00C560CB">
            <w:rPr>
              <w:rFonts w:ascii="Times New Roman" w:hAnsi="Times New Roman" w:cs="Times New Roman"/>
              <w:i/>
              <w:iCs/>
            </w:rPr>
            <w:t>Sustainability</w:t>
          </w:r>
          <w:r w:rsidRPr="00C560CB">
            <w:rPr>
              <w:rFonts w:ascii="Times New Roman" w:hAnsi="Times New Roman" w:cs="Times New Roman"/>
            </w:rPr>
            <w:t>, [online] 12(16), p.6387. doi:https://doi.org/10.3390/su12166387.</w:t>
          </w:r>
        </w:p>
        <w:p w14:paraId="0915BB3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Latham &amp; Watkins (2023). </w:t>
          </w:r>
          <w:r w:rsidRPr="00C560CB">
            <w:rPr>
              <w:rFonts w:ascii="Times New Roman" w:hAnsi="Times New Roman" w:cs="Times New Roman"/>
              <w:i/>
              <w:iCs/>
            </w:rPr>
            <w:t>Regulatory Updates in Asia ESG — August 2023</w:t>
          </w:r>
          <w:r w:rsidRPr="00C560CB">
            <w:rPr>
              <w:rFonts w:ascii="Times New Roman" w:hAnsi="Times New Roman" w:cs="Times New Roman"/>
            </w:rPr>
            <w:t>. [online] www.lw.com. Available at: https://www.lw.com/en/insights/regulatory-updates-in-asia-esg-august-2023 [Accessed 2 Oct. 2024].</w:t>
          </w:r>
        </w:p>
        <w:p w14:paraId="21BADC9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Le Sourd, V. (2022). </w:t>
          </w:r>
          <w:r w:rsidRPr="00C560CB">
            <w:rPr>
              <w:rFonts w:ascii="Times New Roman" w:hAnsi="Times New Roman" w:cs="Times New Roman"/>
              <w:i/>
              <w:iCs/>
            </w:rPr>
            <w:t>Does ESG investing improve risk-adjusted performance?</w:t>
          </w:r>
          <w:r w:rsidRPr="00C560CB">
            <w:rPr>
              <w:rFonts w:ascii="Times New Roman" w:hAnsi="Times New Roman" w:cs="Times New Roman"/>
            </w:rPr>
            <w:t xml:space="preserve"> [online] climateimpact.edhec.edu. Available at: https://climateimpact.edhec.edu/does-esg-investing-improve-risk-adjusted-performance [Accessed 25 Sep. 2024].</w:t>
          </w:r>
        </w:p>
        <w:p w14:paraId="18ADFAA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Lupu, I., Hurduzeu, G. and Lupu, R. (2022). How Is the ESG Reflected in European Financial Stability? </w:t>
          </w:r>
          <w:r w:rsidRPr="00C560CB">
            <w:rPr>
              <w:rFonts w:ascii="Times New Roman" w:hAnsi="Times New Roman" w:cs="Times New Roman"/>
              <w:i/>
              <w:iCs/>
            </w:rPr>
            <w:t>Sustainability</w:t>
          </w:r>
          <w:r w:rsidRPr="00C560CB">
            <w:rPr>
              <w:rFonts w:ascii="Times New Roman" w:hAnsi="Times New Roman" w:cs="Times New Roman"/>
            </w:rPr>
            <w:t>, 14(16), p.10287. doi:https://doi.org/10.3390/su141610287.</w:t>
          </w:r>
        </w:p>
        <w:p w14:paraId="6576ACE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Macey, J.R. (2021). ESG Investing: Why Here? Why Now? </w:t>
          </w:r>
          <w:r w:rsidRPr="00C560CB">
            <w:rPr>
              <w:rFonts w:ascii="Times New Roman" w:hAnsi="Times New Roman" w:cs="Times New Roman"/>
              <w:i/>
              <w:iCs/>
            </w:rPr>
            <w:t>SSRN Electronic Journal</w:t>
          </w:r>
          <w:r w:rsidRPr="00C560CB">
            <w:rPr>
              <w:rFonts w:ascii="Times New Roman" w:hAnsi="Times New Roman" w:cs="Times New Roman"/>
            </w:rPr>
            <w:t>, 19(2). doi:https://doi.org/10.2139/ssrn.3942903.</w:t>
          </w:r>
        </w:p>
        <w:p w14:paraId="14D486B2" w14:textId="46D5F94E"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Maharajabdinul (2024). Understanding the Linkages Between Financial Markets and Sustainable Economic Development. </w:t>
          </w:r>
          <w:r w:rsidRPr="00C560CB">
            <w:rPr>
              <w:rFonts w:ascii="Times New Roman" w:hAnsi="Times New Roman" w:cs="Times New Roman"/>
              <w:i/>
              <w:iCs/>
            </w:rPr>
            <w:t>Advances in Economics &amp; Financial Studies</w:t>
          </w:r>
          <w:r w:rsidRPr="00C560CB">
            <w:rPr>
              <w:rFonts w:ascii="Times New Roman" w:hAnsi="Times New Roman" w:cs="Times New Roman"/>
            </w:rPr>
            <w:t>, 2(2). doi:https://doi.org/10.60079/aefs.v2i2.282.</w:t>
          </w:r>
        </w:p>
        <w:p w14:paraId="38400D8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Microsoft (2024). </w:t>
          </w:r>
          <w:r w:rsidRPr="00C560CB">
            <w:rPr>
              <w:rFonts w:ascii="Times New Roman" w:hAnsi="Times New Roman" w:cs="Times New Roman"/>
              <w:i/>
              <w:iCs/>
            </w:rPr>
            <w:t>{{ vm.head.metaTitle }}</w:t>
          </w:r>
          <w:r w:rsidRPr="00C560CB">
            <w:rPr>
              <w:rFonts w:ascii="Times New Roman" w:hAnsi="Times New Roman" w:cs="Times New Roman"/>
            </w:rPr>
            <w:t>. [online] Microsoft Environmental Sustainability Report 2020. Available at: https://microsoft.relayto.com/e/microsoft-environmental-sustainability-report-2020-cfk1su4y85nck/nYVqLYsI28 [Accessed 8 Sep. 2024].</w:t>
          </w:r>
        </w:p>
        <w:p w14:paraId="0C544DC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Miralles‐Quirós, M.M., Miralles‐Quirós, J.L. and Redondo‐Hernández, J. (2019). The impact of environmental, social, and governance performance on stock prices: Evidence from the banking industry. </w:t>
          </w:r>
          <w:r w:rsidRPr="00C560CB">
            <w:rPr>
              <w:rFonts w:ascii="Times New Roman" w:hAnsi="Times New Roman" w:cs="Times New Roman"/>
              <w:i/>
              <w:iCs/>
            </w:rPr>
            <w:t>Corporate Social Responsibility and Environmental Management</w:t>
          </w:r>
          <w:r w:rsidRPr="00C560CB">
            <w:rPr>
              <w:rFonts w:ascii="Times New Roman" w:hAnsi="Times New Roman" w:cs="Times New Roman"/>
            </w:rPr>
            <w:t>, 26(6). doi:https://doi.org/10.1002/csr.1759 Pg 8-9.</w:t>
          </w:r>
        </w:p>
        <w:p w14:paraId="1938EC04"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Ng, T.-H., Lye, C.-T., Chan, K.-H., Lim, Y.-Z. and Lim, Y.-S. (2020). Sustainability in Asia: The Roles of Financial Development in Environmental, Social and Governance (ESG) Performance. </w:t>
          </w:r>
          <w:r w:rsidRPr="00C560CB">
            <w:rPr>
              <w:rFonts w:ascii="Times New Roman" w:hAnsi="Times New Roman" w:cs="Times New Roman"/>
              <w:i/>
              <w:iCs/>
            </w:rPr>
            <w:t>Social Indicators Research</w:t>
          </w:r>
          <w:r w:rsidRPr="00C560CB">
            <w:rPr>
              <w:rFonts w:ascii="Times New Roman" w:hAnsi="Times New Roman" w:cs="Times New Roman"/>
            </w:rPr>
            <w:t>, 150(1), pp.17–44. doi:https://doi.org/10.1007/s11205-020-02288-w Pg 5-6.</w:t>
          </w:r>
        </w:p>
        <w:p w14:paraId="37C320AF"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Nike (2021). </w:t>
          </w:r>
          <w:r w:rsidRPr="00C560CB">
            <w:rPr>
              <w:rFonts w:ascii="Times New Roman" w:hAnsi="Times New Roman" w:cs="Times New Roman"/>
              <w:i/>
              <w:iCs/>
            </w:rPr>
            <w:t xml:space="preserve">FORM 10-K (Mark One) </w:t>
          </w:r>
          <w:r w:rsidRPr="00C560CB">
            <w:rPr>
              <w:rFonts w:ascii="Segoe UI Symbol" w:hAnsi="Segoe UI Symbol" w:cs="Segoe UI Symbol"/>
              <w:i/>
              <w:iCs/>
            </w:rPr>
            <w:t>☑</w:t>
          </w:r>
          <w:r w:rsidRPr="00C560CB">
            <w:rPr>
              <w:rFonts w:ascii="Times New Roman" w:hAnsi="Times New Roman" w:cs="Times New Roman"/>
              <w:i/>
              <w:iCs/>
            </w:rPr>
            <w:t xml:space="preserve"> ANNUAL REPORT PURSUANT TO SECTION 13 OR 15(D) OF THE SECURITIES EXCHANGE ACT OF 1934 FOR THE FISCAL YEAR ENDED</w:t>
          </w:r>
          <w:r w:rsidRPr="00C560CB">
            <w:rPr>
              <w:rFonts w:ascii="Times New Roman" w:hAnsi="Times New Roman" w:cs="Times New Roman"/>
            </w:rPr>
            <w:t>. [online] Available at: https://s1.q4cdn.com/806093406/files/doc_downloads/2021/08/Nike10k2021.pdf [Accessed 8 Sep. 2024].</w:t>
          </w:r>
        </w:p>
        <w:p w14:paraId="53C99B2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Owen, N. (2024). Sustainability Strategies in UK Financial Services: Integrating ESG Principles for Long-Term Growth. </w:t>
          </w:r>
          <w:r w:rsidRPr="00C560CB">
            <w:rPr>
              <w:rFonts w:ascii="Times New Roman" w:hAnsi="Times New Roman" w:cs="Times New Roman"/>
              <w:i/>
              <w:iCs/>
            </w:rPr>
            <w:t>JBMI Insight</w:t>
          </w:r>
          <w:r w:rsidRPr="00C560CB">
            <w:rPr>
              <w:rFonts w:ascii="Times New Roman" w:hAnsi="Times New Roman" w:cs="Times New Roman"/>
            </w:rPr>
            <w:t>, [online] 1(1), pp.44–51. Available at: https://jbmij.org/system/index.php/home/article/view/9 [Accessed 1 Sep. 2024].</w:t>
          </w:r>
        </w:p>
        <w:p w14:paraId="78516514"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Pérez-Gladish, B., Benson, K. and Faff, R. (2012). Profiling socially responsible investors: Australian evidence. </w:t>
          </w:r>
          <w:r w:rsidRPr="00C560CB">
            <w:rPr>
              <w:rFonts w:ascii="Times New Roman" w:hAnsi="Times New Roman" w:cs="Times New Roman"/>
              <w:i/>
              <w:iCs/>
            </w:rPr>
            <w:t>Australian Journal of Management</w:t>
          </w:r>
          <w:r w:rsidRPr="00C560CB">
            <w:rPr>
              <w:rFonts w:ascii="Times New Roman" w:hAnsi="Times New Roman" w:cs="Times New Roman"/>
            </w:rPr>
            <w:t>, 37(2), pp.189–209. doi:https://doi.org/10.1177/0312896211429158.</w:t>
          </w:r>
        </w:p>
        <w:p w14:paraId="659FA886"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Practical Law. (n.d.). </w:t>
          </w:r>
          <w:r w:rsidRPr="00C560CB">
            <w:rPr>
              <w:rFonts w:ascii="Times New Roman" w:hAnsi="Times New Roman" w:cs="Times New Roman"/>
              <w:i/>
              <w:iCs/>
            </w:rPr>
            <w:t>Environmental, Social, and Governance (ESG)</w:t>
          </w:r>
          <w:r w:rsidRPr="00C560CB">
            <w:rPr>
              <w:rFonts w:ascii="Times New Roman" w:hAnsi="Times New Roman" w:cs="Times New Roman"/>
            </w:rPr>
            <w:t>. [online] Available at: https://uk.practicallaw.thomsonreuters.com/w-034-5142?transitionType=Default&amp;contextData=(sc.Default)&amp;firstPage=true [Accessed 28 Sep. 2024].</w:t>
          </w:r>
        </w:p>
        <w:p w14:paraId="39110B0D"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Principles for Responsible Investment (n.d.). </w:t>
          </w:r>
          <w:r w:rsidRPr="00C560CB">
            <w:rPr>
              <w:rFonts w:ascii="Times New Roman" w:hAnsi="Times New Roman" w:cs="Times New Roman"/>
              <w:i/>
              <w:iCs/>
            </w:rPr>
            <w:t>ENGAGING ON ANTI-BRIBERY AND CORRUPTION A GUIDE FOR INVESTORS AND COMPANIES</w:t>
          </w:r>
          <w:r w:rsidRPr="00C560CB">
            <w:rPr>
              <w:rFonts w:ascii="Times New Roman" w:hAnsi="Times New Roman" w:cs="Times New Roman"/>
            </w:rPr>
            <w:t>. [online] Available at: https://www.unpri.org/download?ac=1826 [Accessed 2 Oct. 2024].</w:t>
          </w:r>
        </w:p>
        <w:p w14:paraId="5DE1BA8D"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Principles for responsible Investment (2023). </w:t>
          </w:r>
          <w:r w:rsidRPr="00C560CB">
            <w:rPr>
              <w:rFonts w:ascii="Times New Roman" w:hAnsi="Times New Roman" w:cs="Times New Roman"/>
              <w:i/>
              <w:iCs/>
            </w:rPr>
            <w:t>A practical guide to ESG integration for equity investing</w:t>
          </w:r>
          <w:r w:rsidRPr="00C560CB">
            <w:rPr>
              <w:rFonts w:ascii="Times New Roman" w:hAnsi="Times New Roman" w:cs="Times New Roman"/>
            </w:rPr>
            <w:t>. [online] PRI. Available at: https://www.unpri.org/listed-equity/esg-integration-in-listed-equity-a-technical-guide/11273.article [Accessed 16 Aug. 2024].</w:t>
          </w:r>
        </w:p>
        <w:p w14:paraId="37BEA25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Rahi, A.F., Akter, R. and Johansson, J. (2021). Do sustainability practices influence financial performance? Evidence from the Nordic financial industry. </w:t>
          </w:r>
          <w:r w:rsidRPr="00C560CB">
            <w:rPr>
              <w:rFonts w:ascii="Times New Roman" w:hAnsi="Times New Roman" w:cs="Times New Roman"/>
              <w:i/>
              <w:iCs/>
            </w:rPr>
            <w:t>Accounting Research Journal</w:t>
          </w:r>
          <w:r w:rsidRPr="00C560CB">
            <w:rPr>
              <w:rFonts w:ascii="Times New Roman" w:hAnsi="Times New Roman" w:cs="Times New Roman"/>
            </w:rPr>
            <w:t>, ahead-of-print(ahead-of-print). doi:https://doi.org/10.1108/arj-12-2020-0373.</w:t>
          </w:r>
        </w:p>
        <w:p w14:paraId="2766CBC2"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Rakotomavo, M. (2011). Preferences of retail investors and institutions for corporate social performance. </w:t>
          </w:r>
          <w:r w:rsidRPr="00C560CB">
            <w:rPr>
              <w:rFonts w:ascii="Times New Roman" w:hAnsi="Times New Roman" w:cs="Times New Roman"/>
              <w:i/>
              <w:iCs/>
            </w:rPr>
            <w:t>Journal of Sustainable Finance and Investment</w:t>
          </w:r>
          <w:r w:rsidRPr="00C560CB">
            <w:rPr>
              <w:rFonts w:ascii="Times New Roman" w:hAnsi="Times New Roman" w:cs="Times New Roman"/>
            </w:rPr>
            <w:t>, 1(2), pp.93–102. doi:https://doi.org/10.1080/20430795.2011.582322.</w:t>
          </w:r>
        </w:p>
        <w:p w14:paraId="2DA3976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Raut, R.K., Kumar, R. and Das, N. (2020). Individual investors’ intention towards SRI in India: an implementation of the theory of reasoned action. </w:t>
          </w:r>
          <w:r w:rsidRPr="00C560CB">
            <w:rPr>
              <w:rFonts w:ascii="Times New Roman" w:hAnsi="Times New Roman" w:cs="Times New Roman"/>
              <w:i/>
              <w:iCs/>
            </w:rPr>
            <w:t>Social Responsibility Journal</w:t>
          </w:r>
          <w:r w:rsidRPr="00C560CB">
            <w:rPr>
              <w:rFonts w:ascii="Times New Roman" w:hAnsi="Times New Roman" w:cs="Times New Roman"/>
            </w:rPr>
            <w:t>, 17(7), pp.877–896. doi:https://doi.org/10.1108/srj-02-2018-0052.</w:t>
          </w:r>
        </w:p>
        <w:p w14:paraId="77F3767F"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Steinhaeuser, I. (2022). </w:t>
          </w:r>
          <w:r w:rsidRPr="00C560CB">
            <w:rPr>
              <w:rFonts w:ascii="Times New Roman" w:hAnsi="Times New Roman" w:cs="Times New Roman"/>
              <w:i/>
              <w:iCs/>
            </w:rPr>
            <w:t>Financial materiality: Understanding the financial performance of ESG strategies</w:t>
          </w:r>
          <w:r w:rsidRPr="00C560CB">
            <w:rPr>
              <w:rFonts w:ascii="Times New Roman" w:hAnsi="Times New Roman" w:cs="Times New Roman"/>
            </w:rPr>
            <w:t>. [online] Thomson Reuters Institute. Available at: https://www.thomsonreuters.com/en-us/posts/investigation-fraud-and-risk/financial-materiality-esg/ [Accessed 3 Oct. 2024].</w:t>
          </w:r>
        </w:p>
        <w:p w14:paraId="5215D58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Sultana, S., Zulkifli, N. and Zainal, D. (2018). Environmental, Social and Governance (ESG) and Investment Decision in Bangladesh. </w:t>
          </w:r>
          <w:r w:rsidRPr="00C560CB">
            <w:rPr>
              <w:rFonts w:ascii="Times New Roman" w:hAnsi="Times New Roman" w:cs="Times New Roman"/>
              <w:i/>
              <w:iCs/>
            </w:rPr>
            <w:t>Sustainability</w:t>
          </w:r>
          <w:r w:rsidRPr="00C560CB">
            <w:rPr>
              <w:rFonts w:ascii="Times New Roman" w:hAnsi="Times New Roman" w:cs="Times New Roman"/>
            </w:rPr>
            <w:t>, [online] 10(6), p.1831. doi:https://doi.org/10.3390/su10061831.</w:t>
          </w:r>
        </w:p>
        <w:p w14:paraId="2AAE865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Tan (2024). </w:t>
          </w:r>
          <w:r w:rsidRPr="00C560CB">
            <w:rPr>
              <w:rFonts w:ascii="Times New Roman" w:hAnsi="Times New Roman" w:cs="Times New Roman"/>
              <w:i/>
              <w:iCs/>
            </w:rPr>
            <w:t>Key ESG Regulations in EU and USA in 2023: A roundup - Amplo Global</w:t>
          </w:r>
          <w:r w:rsidRPr="00C560CB">
            <w:rPr>
              <w:rFonts w:ascii="Times New Roman" w:hAnsi="Times New Roman" w:cs="Times New Roman"/>
            </w:rPr>
            <w:t>. [online] Amplo Global. Available at: https://amploglobal.com/key-esg-regulations-in-eu-and-usa-in-2023-a-roundup/ [Accessed 2 Oct. 2024].</w:t>
          </w:r>
        </w:p>
        <w:p w14:paraId="0463DA8C"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Tesla (2020). </w:t>
          </w:r>
          <w:r w:rsidRPr="00C560CB">
            <w:rPr>
              <w:rFonts w:ascii="Times New Roman" w:hAnsi="Times New Roman" w:cs="Times New Roman"/>
              <w:i/>
              <w:iCs/>
            </w:rPr>
            <w:t>Impact Report 2020</w:t>
          </w:r>
          <w:r w:rsidRPr="00C560CB">
            <w:rPr>
              <w:rFonts w:ascii="Times New Roman" w:hAnsi="Times New Roman" w:cs="Times New Roman"/>
            </w:rPr>
            <w:t xml:space="preserve">. [online] </w:t>
          </w:r>
          <w:r w:rsidRPr="00C560CB">
            <w:rPr>
              <w:rFonts w:ascii="Times New Roman" w:hAnsi="Times New Roman" w:cs="Times New Roman"/>
              <w:i/>
              <w:iCs/>
            </w:rPr>
            <w:t>Tesla</w:t>
          </w:r>
          <w:r w:rsidRPr="00C560CB">
            <w:rPr>
              <w:rFonts w:ascii="Times New Roman" w:hAnsi="Times New Roman" w:cs="Times New Roman"/>
            </w:rPr>
            <w:t>, www.tesla.com: Tesla, pp.1–94. Available at: https://www.tesla.com/ns_videos/2020-tesla-impact-report.pdf [Accessed 5 Sep. 2024].</w:t>
          </w:r>
        </w:p>
        <w:p w14:paraId="05C3EFC6"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Tesla (2021). </w:t>
          </w:r>
          <w:r w:rsidRPr="00C560CB">
            <w:rPr>
              <w:rFonts w:ascii="Times New Roman" w:hAnsi="Times New Roman" w:cs="Times New Roman"/>
              <w:i/>
              <w:iCs/>
            </w:rPr>
            <w:t>UNITED STATES SECURITIES AND EXCHANGE COMMISSION</w:t>
          </w:r>
          <w:r w:rsidRPr="00C560CB">
            <w:rPr>
              <w:rFonts w:ascii="Times New Roman" w:hAnsi="Times New Roman" w:cs="Times New Roman"/>
            </w:rPr>
            <w:t>. [online] Available at: https://ir.tesla.com/_flysystem/s3/sec/000156459021004599/tsla-10k_20201231-gen.pdf [Accessed 8 Sep. 2024].</w:t>
          </w:r>
        </w:p>
        <w:p w14:paraId="48D23A46"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Tóth, B., Lippai-Makra, E., Szládek, D. and Kiss, G.D. (2021). The Contribution of ESG Information to the Financial Stability of European Banks. </w:t>
          </w:r>
          <w:r w:rsidRPr="00C560CB">
            <w:rPr>
              <w:rFonts w:ascii="Times New Roman" w:hAnsi="Times New Roman" w:cs="Times New Roman"/>
              <w:i/>
              <w:iCs/>
            </w:rPr>
            <w:t>Pénzügyi Szemle = Public Finance Quarterly</w:t>
          </w:r>
          <w:r w:rsidRPr="00C560CB">
            <w:rPr>
              <w:rFonts w:ascii="Times New Roman" w:hAnsi="Times New Roman" w:cs="Times New Roman"/>
            </w:rPr>
            <w:t>, [online] 66(3), pp.429–450. doi:https://doi.org/10.35551/pfq_2021_3_7.</w:t>
          </w:r>
        </w:p>
        <w:p w14:paraId="441263E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Triggs, M., Mishkin, S. and Meynier, T. (2023). </w:t>
          </w:r>
          <w:r w:rsidRPr="00C560CB">
            <w:rPr>
              <w:rFonts w:ascii="Times New Roman" w:hAnsi="Times New Roman" w:cs="Times New Roman"/>
              <w:i/>
              <w:iCs/>
            </w:rPr>
            <w:t>EU Finalizes ESG Reporting Rules with International Impacts</w:t>
          </w:r>
          <w:r w:rsidRPr="00C560CB">
            <w:rPr>
              <w:rFonts w:ascii="Times New Roman" w:hAnsi="Times New Roman" w:cs="Times New Roman"/>
            </w:rPr>
            <w:t>. [online] The Harvard Law School Forum on Corporate Governance. Available at: https://corpgov.law.harvard.edu/2023/01/30/eu-finalizes-esg-reporting-rules-with-international-impacts/ [Accessed 2 Oct. 2024].</w:t>
          </w:r>
        </w:p>
        <w:p w14:paraId="108E570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Unilever (2021). </w:t>
          </w:r>
          <w:r w:rsidRPr="00C560CB">
            <w:rPr>
              <w:rFonts w:ascii="Times New Roman" w:hAnsi="Times New Roman" w:cs="Times New Roman"/>
              <w:i/>
              <w:iCs/>
            </w:rPr>
            <w:t>Unilever Annual report and account 2021</w:t>
          </w:r>
          <w:r w:rsidRPr="00C560CB">
            <w:rPr>
              <w:rFonts w:ascii="Times New Roman" w:hAnsi="Times New Roman" w:cs="Times New Roman"/>
            </w:rPr>
            <w:t>. [online] Unilever. Available at: https://www.unilever.com/files/92ui5egz/production/75f31d18a2219004f4afe03e37ccd2a3b383472f.pdf [Accessed 20 Aug. 2024]. Pg 28.</w:t>
          </w:r>
        </w:p>
        <w:p w14:paraId="3FAE5CEC"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van Duuren, E., Plantinga, A. and Scholtens, B. (2016). ESG Integration and the Investment Management Process: Fundamental Investing Reinvented. </w:t>
          </w:r>
          <w:r w:rsidRPr="00C560CB">
            <w:rPr>
              <w:rFonts w:ascii="Times New Roman" w:hAnsi="Times New Roman" w:cs="Times New Roman"/>
              <w:i/>
              <w:iCs/>
            </w:rPr>
            <w:t>Journal of Business Ethics</w:t>
          </w:r>
          <w:r w:rsidRPr="00C560CB">
            <w:rPr>
              <w:rFonts w:ascii="Times New Roman" w:hAnsi="Times New Roman" w:cs="Times New Roman"/>
            </w:rPr>
            <w:t>, [online] 138(3), pp.525–533. doi:https://doi.org/10.1007/s10551-015-2610-8.</w:t>
          </w:r>
        </w:p>
        <w:p w14:paraId="1F2FA35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Yahoo.com. (2024a). </w:t>
          </w:r>
          <w:r w:rsidRPr="00C560CB">
            <w:rPr>
              <w:rFonts w:ascii="Times New Roman" w:hAnsi="Times New Roman" w:cs="Times New Roman"/>
              <w:i/>
              <w:iCs/>
            </w:rPr>
            <w:t>Microsoft Corporation (MSFT) stock historical prices and data – Yahoo Finance</w:t>
          </w:r>
          <w:r w:rsidRPr="00C560CB">
            <w:rPr>
              <w:rFonts w:ascii="Times New Roman" w:hAnsi="Times New Roman" w:cs="Times New Roman"/>
            </w:rPr>
            <w:t>. [online] Available at: https://uk.finance.yahoo.com/quote/MSFT/history/?frequency=1mo&amp;period1=1546300800&amp;period2=1609372800 [Accessed 8 Sep. 2024].</w:t>
          </w:r>
        </w:p>
        <w:p w14:paraId="019A7077"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Yahoo.com. (2024b). </w:t>
          </w:r>
          <w:r w:rsidRPr="00C560CB">
            <w:rPr>
              <w:rFonts w:ascii="Times New Roman" w:hAnsi="Times New Roman" w:cs="Times New Roman"/>
              <w:i/>
              <w:iCs/>
            </w:rPr>
            <w:t>Unilever N.V. (UNA.AS) stock historical prices and data – Yahoo Finance</w:t>
          </w:r>
          <w:r w:rsidRPr="00C560CB">
            <w:rPr>
              <w:rFonts w:ascii="Times New Roman" w:hAnsi="Times New Roman" w:cs="Times New Roman"/>
            </w:rPr>
            <w:t>. [online] Available at: https://uk.finance.yahoo.com/quote/UNA.AS/history/ [Accessed 5 Sep. 2024].</w:t>
          </w:r>
        </w:p>
        <w:p w14:paraId="1CD9449F"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Yu, Z., Farooq, U., Mohammad Mahtab Alam and Dai, J. (2024). How does environmental, social, and governance (ESG) performance determine investment mix? New empirical evidence from BRICS. </w:t>
          </w:r>
          <w:r w:rsidRPr="00C560CB">
            <w:rPr>
              <w:rFonts w:ascii="Times New Roman" w:hAnsi="Times New Roman" w:cs="Times New Roman"/>
              <w:i/>
              <w:iCs/>
            </w:rPr>
            <w:t>Borsa Istanbul review</w:t>
          </w:r>
          <w:r w:rsidRPr="00C560CB">
            <w:rPr>
              <w:rFonts w:ascii="Times New Roman" w:hAnsi="Times New Roman" w:cs="Times New Roman"/>
            </w:rPr>
            <w:t>, 24(3). doi:https://doi.org/10.1016/j.bir.2024.02.007.</w:t>
          </w:r>
        </w:p>
        <w:p w14:paraId="77281C55" w14:textId="562A54DD" w:rsidR="001F4165" w:rsidRPr="00C560CB" w:rsidRDefault="00FD3886" w:rsidP="00613947">
          <w:pPr>
            <w:spacing w:line="276" w:lineRule="auto"/>
            <w:jc w:val="both"/>
            <w:rPr>
              <w:rFonts w:ascii="Times New Roman" w:hAnsi="Times New Roman" w:cs="Times New Roman"/>
            </w:rPr>
          </w:pPr>
        </w:p>
      </w:sdtContent>
    </w:sdt>
    <w:p w14:paraId="36BECBC7" w14:textId="68C4C33C" w:rsidR="00DA5402" w:rsidRPr="00C560CB" w:rsidRDefault="00DA5402" w:rsidP="0048443F">
      <w:pPr>
        <w:spacing w:line="276" w:lineRule="auto"/>
        <w:rPr>
          <w:rFonts w:ascii="Times New Roman" w:hAnsi="Times New Roman" w:cs="Times New Roman"/>
        </w:rPr>
      </w:pPr>
    </w:p>
    <w:p w14:paraId="64EA95F7" w14:textId="77777777" w:rsidR="007D623E" w:rsidRPr="00C560CB" w:rsidRDefault="007D623E" w:rsidP="0048443F">
      <w:pPr>
        <w:spacing w:line="276" w:lineRule="auto"/>
        <w:rPr>
          <w:rFonts w:ascii="Times New Roman" w:hAnsi="Times New Roman" w:cs="Times New Roman"/>
        </w:rPr>
      </w:pPr>
    </w:p>
    <w:p w14:paraId="7CF59969" w14:textId="77777777" w:rsidR="007D623E" w:rsidRPr="00C560CB" w:rsidRDefault="007D623E" w:rsidP="0048443F">
      <w:pPr>
        <w:spacing w:line="276" w:lineRule="auto"/>
        <w:rPr>
          <w:rFonts w:ascii="Times New Roman" w:hAnsi="Times New Roman" w:cs="Times New Roman"/>
        </w:rPr>
      </w:pPr>
    </w:p>
    <w:p w14:paraId="4E311598" w14:textId="77777777" w:rsidR="007D623E" w:rsidRPr="00C560CB" w:rsidRDefault="007D623E" w:rsidP="0048443F">
      <w:pPr>
        <w:spacing w:line="276" w:lineRule="auto"/>
        <w:rPr>
          <w:rFonts w:ascii="Times New Roman" w:hAnsi="Times New Roman" w:cs="Times New Roman"/>
        </w:rPr>
      </w:pPr>
    </w:p>
    <w:p w14:paraId="1066634B" w14:textId="77777777" w:rsidR="007D623E" w:rsidRPr="00C560CB" w:rsidRDefault="007D623E" w:rsidP="0048443F">
      <w:pPr>
        <w:spacing w:line="276" w:lineRule="auto"/>
        <w:rPr>
          <w:rFonts w:ascii="Times New Roman" w:hAnsi="Times New Roman" w:cs="Times New Roman"/>
        </w:rPr>
      </w:pPr>
    </w:p>
    <w:p w14:paraId="5465BC58" w14:textId="77777777" w:rsidR="007D623E" w:rsidRPr="00C560CB" w:rsidRDefault="007D623E" w:rsidP="0048443F">
      <w:pPr>
        <w:spacing w:line="276" w:lineRule="auto"/>
        <w:rPr>
          <w:rFonts w:ascii="Times New Roman" w:hAnsi="Times New Roman" w:cs="Times New Roman"/>
        </w:rPr>
      </w:pPr>
    </w:p>
    <w:p w14:paraId="76B4A012" w14:textId="77777777" w:rsidR="007D623E" w:rsidRPr="00C560CB" w:rsidRDefault="007D623E" w:rsidP="0048443F">
      <w:pPr>
        <w:spacing w:line="276" w:lineRule="auto"/>
        <w:rPr>
          <w:rFonts w:ascii="Times New Roman" w:hAnsi="Times New Roman" w:cs="Times New Roman"/>
        </w:rPr>
      </w:pPr>
    </w:p>
    <w:p w14:paraId="33824607" w14:textId="77777777" w:rsidR="007D623E" w:rsidRPr="00C560CB" w:rsidRDefault="007D623E" w:rsidP="0048443F">
      <w:pPr>
        <w:spacing w:line="276" w:lineRule="auto"/>
        <w:rPr>
          <w:rFonts w:ascii="Times New Roman" w:hAnsi="Times New Roman" w:cs="Times New Roman"/>
        </w:rPr>
      </w:pPr>
    </w:p>
    <w:p w14:paraId="57D2EA51" w14:textId="77777777" w:rsidR="007D623E" w:rsidRPr="00C560CB" w:rsidRDefault="007D623E" w:rsidP="0048443F">
      <w:pPr>
        <w:spacing w:line="276" w:lineRule="auto"/>
        <w:rPr>
          <w:rFonts w:ascii="Times New Roman" w:hAnsi="Times New Roman" w:cs="Times New Roman"/>
        </w:rPr>
      </w:pPr>
    </w:p>
    <w:p w14:paraId="6B1A399B" w14:textId="77777777" w:rsidR="007D623E" w:rsidRPr="00C560CB" w:rsidRDefault="007D623E" w:rsidP="0048443F">
      <w:pPr>
        <w:spacing w:line="276" w:lineRule="auto"/>
        <w:rPr>
          <w:rFonts w:ascii="Times New Roman" w:hAnsi="Times New Roman" w:cs="Times New Roman"/>
        </w:rPr>
      </w:pPr>
    </w:p>
    <w:p w14:paraId="4E0ADA61" w14:textId="77777777" w:rsidR="007D623E" w:rsidRPr="00C560CB" w:rsidRDefault="007D623E" w:rsidP="0048443F">
      <w:pPr>
        <w:spacing w:line="276" w:lineRule="auto"/>
        <w:rPr>
          <w:rFonts w:ascii="Times New Roman" w:hAnsi="Times New Roman" w:cs="Times New Roman"/>
        </w:rPr>
      </w:pPr>
    </w:p>
    <w:p w14:paraId="75C6FF71" w14:textId="77777777" w:rsidR="007D623E" w:rsidRPr="00C560CB" w:rsidRDefault="007D623E" w:rsidP="0048443F">
      <w:pPr>
        <w:spacing w:line="276" w:lineRule="auto"/>
        <w:rPr>
          <w:rFonts w:ascii="Times New Roman" w:hAnsi="Times New Roman" w:cs="Times New Roman"/>
        </w:rPr>
      </w:pPr>
    </w:p>
    <w:p w14:paraId="08CC91FD" w14:textId="77777777" w:rsidR="007D623E" w:rsidRPr="00C560CB" w:rsidRDefault="007D623E" w:rsidP="0048443F">
      <w:pPr>
        <w:spacing w:line="276" w:lineRule="auto"/>
        <w:rPr>
          <w:rFonts w:ascii="Times New Roman" w:hAnsi="Times New Roman" w:cs="Times New Roman"/>
        </w:rPr>
      </w:pPr>
    </w:p>
    <w:p w14:paraId="2162E804" w14:textId="77777777" w:rsidR="007D623E" w:rsidRPr="00C560CB" w:rsidRDefault="007D623E" w:rsidP="0048443F">
      <w:pPr>
        <w:spacing w:line="276" w:lineRule="auto"/>
        <w:rPr>
          <w:rFonts w:ascii="Times New Roman" w:hAnsi="Times New Roman" w:cs="Times New Roman"/>
        </w:rPr>
      </w:pPr>
    </w:p>
    <w:p w14:paraId="3C937C41" w14:textId="77777777" w:rsidR="007D623E" w:rsidRPr="00C560CB" w:rsidRDefault="007D623E" w:rsidP="0048443F">
      <w:pPr>
        <w:spacing w:line="276" w:lineRule="auto"/>
        <w:rPr>
          <w:rFonts w:ascii="Times New Roman" w:hAnsi="Times New Roman" w:cs="Times New Roman"/>
        </w:rPr>
      </w:pPr>
    </w:p>
    <w:p w14:paraId="41BC7A55" w14:textId="77777777" w:rsidR="007D623E" w:rsidRPr="00C560CB" w:rsidRDefault="007D623E" w:rsidP="0048443F">
      <w:pPr>
        <w:spacing w:line="276" w:lineRule="auto"/>
        <w:rPr>
          <w:rFonts w:ascii="Times New Roman" w:hAnsi="Times New Roman" w:cs="Times New Roman"/>
        </w:rPr>
      </w:pPr>
    </w:p>
    <w:p w14:paraId="08138000" w14:textId="77777777" w:rsidR="007D623E" w:rsidRPr="00C560CB" w:rsidRDefault="007D623E" w:rsidP="0048443F">
      <w:pPr>
        <w:spacing w:line="276" w:lineRule="auto"/>
        <w:rPr>
          <w:rFonts w:ascii="Times New Roman" w:hAnsi="Times New Roman" w:cs="Times New Roman"/>
        </w:rPr>
      </w:pPr>
    </w:p>
    <w:p w14:paraId="10A743C5" w14:textId="77777777" w:rsidR="007D623E" w:rsidRPr="00C560CB" w:rsidRDefault="007D623E" w:rsidP="0048443F">
      <w:pPr>
        <w:spacing w:line="276" w:lineRule="auto"/>
        <w:rPr>
          <w:rFonts w:ascii="Times New Roman" w:hAnsi="Times New Roman" w:cs="Times New Roman"/>
        </w:rPr>
      </w:pPr>
    </w:p>
    <w:p w14:paraId="48FC5ACF" w14:textId="77777777" w:rsidR="007D623E" w:rsidRPr="00C560CB" w:rsidRDefault="007D623E" w:rsidP="0048443F">
      <w:pPr>
        <w:spacing w:line="276" w:lineRule="auto"/>
        <w:rPr>
          <w:rFonts w:ascii="Times New Roman" w:hAnsi="Times New Roman" w:cs="Times New Roman"/>
        </w:rPr>
      </w:pPr>
    </w:p>
    <w:p w14:paraId="3F0C058C" w14:textId="77777777" w:rsidR="007D623E" w:rsidRPr="00C560CB" w:rsidRDefault="007D623E" w:rsidP="0048443F">
      <w:pPr>
        <w:spacing w:line="276" w:lineRule="auto"/>
        <w:rPr>
          <w:rFonts w:ascii="Times New Roman" w:hAnsi="Times New Roman" w:cs="Times New Roman"/>
        </w:rPr>
      </w:pPr>
    </w:p>
    <w:p w14:paraId="17105571" w14:textId="77777777" w:rsidR="007D623E" w:rsidRPr="00C560CB" w:rsidRDefault="007D623E" w:rsidP="0048443F">
      <w:pPr>
        <w:spacing w:line="276" w:lineRule="auto"/>
        <w:rPr>
          <w:rFonts w:ascii="Times New Roman" w:hAnsi="Times New Roman" w:cs="Times New Roman"/>
        </w:rPr>
      </w:pPr>
    </w:p>
    <w:p w14:paraId="74F6F080" w14:textId="77777777" w:rsidR="007D623E" w:rsidRPr="00C560CB" w:rsidRDefault="007D623E" w:rsidP="0048443F">
      <w:pPr>
        <w:spacing w:line="276" w:lineRule="auto"/>
        <w:rPr>
          <w:rFonts w:ascii="Times New Roman" w:hAnsi="Times New Roman" w:cs="Times New Roman"/>
        </w:rPr>
      </w:pPr>
    </w:p>
    <w:p w14:paraId="7D8A57DE" w14:textId="77777777" w:rsidR="00FA5720" w:rsidRDefault="00FA5720" w:rsidP="00455E22">
      <w:pPr>
        <w:rPr>
          <w:rFonts w:ascii="Times New Roman" w:eastAsiaTheme="majorEastAsia" w:hAnsi="Times New Roman" w:cs="Times New Roman"/>
          <w:color w:val="0F4761" w:themeColor="accent1" w:themeShade="BF"/>
          <w:sz w:val="40"/>
          <w:szCs w:val="40"/>
        </w:rPr>
      </w:pPr>
    </w:p>
    <w:p w14:paraId="739D5A95" w14:textId="77777777" w:rsidR="00FA5720" w:rsidRDefault="00FA5720" w:rsidP="00455E22">
      <w:pPr>
        <w:rPr>
          <w:rFonts w:ascii="Times New Roman" w:eastAsiaTheme="majorEastAsia" w:hAnsi="Times New Roman" w:cs="Times New Roman"/>
          <w:color w:val="0F4761" w:themeColor="accent1" w:themeShade="BF"/>
          <w:sz w:val="40"/>
          <w:szCs w:val="40"/>
        </w:rPr>
      </w:pPr>
    </w:p>
    <w:p w14:paraId="495CCAFA" w14:textId="77777777" w:rsidR="00FA5720" w:rsidRDefault="00FA5720" w:rsidP="00455E22">
      <w:pPr>
        <w:rPr>
          <w:rFonts w:ascii="Times New Roman" w:eastAsiaTheme="majorEastAsia" w:hAnsi="Times New Roman" w:cs="Times New Roman"/>
          <w:color w:val="0F4761" w:themeColor="accent1" w:themeShade="BF"/>
          <w:sz w:val="40"/>
          <w:szCs w:val="40"/>
        </w:rPr>
      </w:pPr>
    </w:p>
    <w:p w14:paraId="3FCDA30E" w14:textId="76A8EB6E" w:rsidR="00455E22" w:rsidRPr="00C560CB" w:rsidRDefault="00455E22" w:rsidP="00455E22">
      <w:pPr>
        <w:rPr>
          <w:rFonts w:ascii="Times New Roman" w:eastAsiaTheme="majorEastAsia" w:hAnsi="Times New Roman" w:cs="Times New Roman"/>
          <w:color w:val="0F4761" w:themeColor="accent1" w:themeShade="BF"/>
          <w:sz w:val="40"/>
          <w:szCs w:val="40"/>
        </w:rPr>
      </w:pPr>
      <w:r w:rsidRPr="00455E22">
        <w:rPr>
          <w:rFonts w:ascii="Times New Roman" w:eastAsiaTheme="majorEastAsia" w:hAnsi="Times New Roman" w:cs="Times New Roman"/>
          <w:color w:val="0F4761" w:themeColor="accent1" w:themeShade="BF"/>
          <w:sz w:val="40"/>
          <w:szCs w:val="40"/>
        </w:rPr>
        <w:lastRenderedPageBreak/>
        <w:t>Appendices</w:t>
      </w:r>
    </w:p>
    <w:p w14:paraId="74593577" w14:textId="2D313933" w:rsidR="001773E8" w:rsidRPr="00C560CB" w:rsidRDefault="001773E8" w:rsidP="001773E8">
      <w:pPr>
        <w:rPr>
          <w:rFonts w:ascii="Times New Roman" w:hAnsi="Times New Roman" w:cs="Times New Roman"/>
        </w:rPr>
      </w:pPr>
      <w:r w:rsidRPr="00C560CB">
        <w:rPr>
          <w:rFonts w:ascii="Times New Roman" w:hAnsi="Times New Roman" w:cs="Times New Roman"/>
        </w:rPr>
        <w:t>Appendix A</w:t>
      </w:r>
      <w:r w:rsidR="00FA728D" w:rsidRPr="00C560CB">
        <w:rPr>
          <w:rFonts w:ascii="Times New Roman" w:hAnsi="Times New Roman" w:cs="Times New Roman"/>
        </w:rPr>
        <w:t xml:space="preserve"> </w:t>
      </w:r>
      <w:r w:rsidR="00FA728D" w:rsidRPr="00C560CB">
        <w:rPr>
          <w:rFonts w:ascii="Times New Roman" w:hAnsi="Times New Roman" w:cs="Times New Roman"/>
        </w:rPr>
        <w:t>Summary of ESG Ratings for Selected Companies</w:t>
      </w:r>
    </w:p>
    <w:p w14:paraId="4EDE0965" w14:textId="77777777" w:rsidR="003E7A37" w:rsidRPr="00C560CB" w:rsidRDefault="003E7A37" w:rsidP="001773E8">
      <w:pPr>
        <w:rPr>
          <w:rFonts w:ascii="Times New Roman" w:hAnsi="Times New Roman" w:cs="Times New Roman"/>
        </w:rPr>
      </w:pPr>
    </w:p>
    <w:bookmarkStart w:id="78" w:name="_MON_1790334208"/>
    <w:bookmarkEnd w:id="78"/>
    <w:p w14:paraId="7A8C15CC" w14:textId="18C266B2" w:rsidR="001773E8" w:rsidRPr="00C560CB" w:rsidRDefault="00FD3886" w:rsidP="001773E8">
      <w:pPr>
        <w:rPr>
          <w:rFonts w:ascii="Times New Roman" w:hAnsi="Times New Roman" w:cs="Times New Roman"/>
        </w:rPr>
      </w:pPr>
      <w:r w:rsidRPr="00C560CB">
        <w:rPr>
          <w:rFonts w:ascii="Times New Roman" w:hAnsi="Times New Roman" w:cs="Times New Roman"/>
        </w:rPr>
        <w:object w:dxaOrig="7045" w:dyaOrig="3138" w14:anchorId="543789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5" type="#_x0000_t75" style="width:462.5pt;height:206.3pt" o:ole="">
            <v:imagedata r:id="rId17" o:title=""/>
          </v:shape>
          <o:OLEObject Type="Embed" ProgID="Excel.Sheet.12" ShapeID="_x0000_i1075" DrawAspect="Content" ObjectID="_1790337706" r:id="rId18"/>
        </w:object>
      </w:r>
    </w:p>
    <w:p w14:paraId="61CBF8A5" w14:textId="77777777" w:rsidR="00720327" w:rsidRPr="00C560CB" w:rsidRDefault="00720327" w:rsidP="00720327">
      <w:pPr>
        <w:rPr>
          <w:rFonts w:ascii="Times New Roman" w:hAnsi="Times New Roman" w:cs="Times New Roman"/>
        </w:rPr>
      </w:pPr>
    </w:p>
    <w:p w14:paraId="7325E639" w14:textId="77777777" w:rsidR="00720327" w:rsidRPr="00C560CB" w:rsidRDefault="00720327" w:rsidP="00720327">
      <w:pPr>
        <w:rPr>
          <w:rFonts w:ascii="Times New Roman" w:hAnsi="Times New Roman" w:cs="Times New Roman"/>
        </w:rPr>
      </w:pPr>
    </w:p>
    <w:sectPr w:rsidR="00720327" w:rsidRPr="00C560CB" w:rsidSect="00BE49AD">
      <w:headerReference w:type="default" r:id="rId19"/>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8810A" w14:textId="77777777" w:rsidR="008038DB" w:rsidRPr="004B0A4E" w:rsidRDefault="008038DB" w:rsidP="00B242DF">
      <w:pPr>
        <w:spacing w:after="0" w:line="240" w:lineRule="auto"/>
      </w:pPr>
      <w:r w:rsidRPr="004B0A4E">
        <w:separator/>
      </w:r>
    </w:p>
  </w:endnote>
  <w:endnote w:type="continuationSeparator" w:id="0">
    <w:p w14:paraId="60034917" w14:textId="77777777" w:rsidR="008038DB" w:rsidRPr="004B0A4E" w:rsidRDefault="008038DB" w:rsidP="00B242DF">
      <w:pPr>
        <w:spacing w:after="0" w:line="240" w:lineRule="auto"/>
      </w:pPr>
      <w:r w:rsidRPr="004B0A4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33B8B3" w14:textId="5413A523" w:rsidR="0076599D" w:rsidRPr="004B0A4E" w:rsidRDefault="0076599D" w:rsidP="00856401">
    <w:pPr>
      <w:pStyle w:val="Footer"/>
    </w:pPr>
  </w:p>
  <w:p w14:paraId="1B80CC07" w14:textId="77777777" w:rsidR="0076599D" w:rsidRPr="004B0A4E" w:rsidRDefault="00765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5BBC7E" w14:textId="77777777" w:rsidR="008038DB" w:rsidRPr="004B0A4E" w:rsidRDefault="008038DB" w:rsidP="00B242DF">
      <w:pPr>
        <w:spacing w:after="0" w:line="240" w:lineRule="auto"/>
      </w:pPr>
      <w:r w:rsidRPr="004B0A4E">
        <w:separator/>
      </w:r>
    </w:p>
  </w:footnote>
  <w:footnote w:type="continuationSeparator" w:id="0">
    <w:p w14:paraId="40AA3EEC" w14:textId="77777777" w:rsidR="008038DB" w:rsidRPr="004B0A4E" w:rsidRDefault="008038DB" w:rsidP="00B242DF">
      <w:pPr>
        <w:spacing w:after="0" w:line="240" w:lineRule="auto"/>
      </w:pPr>
      <w:r w:rsidRPr="004B0A4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color w:val="0D0D0D" w:themeColor="text1" w:themeTint="F2"/>
      </w:rPr>
      <w:id w:val="206146142"/>
      <w:docPartObj>
        <w:docPartGallery w:val="Page Numbers (Top of Page)"/>
        <w:docPartUnique/>
      </w:docPartObj>
    </w:sdtPr>
    <w:sdtEndPr>
      <w:rPr>
        <w:spacing w:val="60"/>
      </w:rPr>
    </w:sdtEndPr>
    <w:sdtContent>
      <w:p w14:paraId="471BCA02" w14:textId="5DEB774D" w:rsidR="005C3D38" w:rsidRPr="004B0A4E" w:rsidRDefault="005C3D38">
        <w:pPr>
          <w:pStyle w:val="Header"/>
          <w:pBdr>
            <w:bottom w:val="single" w:sz="4" w:space="1" w:color="D9D9D9" w:themeColor="background1" w:themeShade="D9"/>
          </w:pBdr>
          <w:rPr>
            <w:b/>
            <w:bCs/>
            <w:color w:val="0D0D0D" w:themeColor="text1" w:themeTint="F2"/>
          </w:rPr>
        </w:pPr>
        <w:r w:rsidRPr="004B0A4E">
          <w:rPr>
            <w:b/>
            <w:bCs/>
            <w:i/>
            <w:iCs/>
            <w:color w:val="0D0D0D" w:themeColor="text1" w:themeTint="F2"/>
            <w:sz w:val="18"/>
            <w:szCs w:val="18"/>
          </w:rPr>
          <w:fldChar w:fldCharType="begin"/>
        </w:r>
        <w:r w:rsidRPr="004B0A4E">
          <w:rPr>
            <w:b/>
            <w:bCs/>
            <w:i/>
            <w:iCs/>
            <w:color w:val="0D0D0D" w:themeColor="text1" w:themeTint="F2"/>
            <w:sz w:val="18"/>
            <w:szCs w:val="18"/>
          </w:rPr>
          <w:instrText>PAGE   \* MERGEFORMAT</w:instrText>
        </w:r>
        <w:r w:rsidRPr="004B0A4E">
          <w:rPr>
            <w:b/>
            <w:bCs/>
            <w:i/>
            <w:iCs/>
            <w:color w:val="0D0D0D" w:themeColor="text1" w:themeTint="F2"/>
            <w:sz w:val="18"/>
            <w:szCs w:val="18"/>
          </w:rPr>
          <w:fldChar w:fldCharType="separate"/>
        </w:r>
        <w:r w:rsidRPr="004B0A4E">
          <w:rPr>
            <w:b/>
            <w:bCs/>
            <w:i/>
            <w:iCs/>
            <w:color w:val="0D0D0D" w:themeColor="text1" w:themeTint="F2"/>
            <w:sz w:val="18"/>
            <w:szCs w:val="18"/>
          </w:rPr>
          <w:t>2</w:t>
        </w:r>
        <w:r w:rsidRPr="004B0A4E">
          <w:rPr>
            <w:b/>
            <w:bCs/>
            <w:i/>
            <w:iCs/>
            <w:color w:val="0D0D0D" w:themeColor="text1" w:themeTint="F2"/>
            <w:sz w:val="18"/>
            <w:szCs w:val="18"/>
          </w:rPr>
          <w:fldChar w:fldCharType="end"/>
        </w:r>
        <w:r w:rsidRPr="004B0A4E">
          <w:rPr>
            <w:b/>
            <w:bCs/>
            <w:color w:val="0D0D0D" w:themeColor="text1" w:themeTint="F2"/>
            <w:sz w:val="18"/>
            <w:szCs w:val="18"/>
          </w:rPr>
          <w:t xml:space="preserve"> | </w:t>
        </w:r>
        <w:r w:rsidRPr="004B0A4E">
          <w:rPr>
            <w:b/>
            <w:bCs/>
            <w:color w:val="171717" w:themeColor="background2" w:themeShade="1A"/>
            <w:spacing w:val="60"/>
            <w:sz w:val="18"/>
            <w:szCs w:val="18"/>
          </w:rPr>
          <w:t>Univer</w:t>
        </w:r>
        <w:r w:rsidR="007D5074" w:rsidRPr="004B0A4E">
          <w:rPr>
            <w:b/>
            <w:bCs/>
            <w:color w:val="171717" w:themeColor="background2" w:themeShade="1A"/>
            <w:spacing w:val="60"/>
            <w:sz w:val="18"/>
            <w:szCs w:val="18"/>
          </w:rPr>
          <w:t>sity of Wales Trinity Saint David</w:t>
        </w:r>
      </w:p>
    </w:sdtContent>
  </w:sdt>
  <w:p w14:paraId="1A8CDFB0" w14:textId="77777777" w:rsidR="0076599D" w:rsidRPr="004B0A4E" w:rsidRDefault="0076599D">
    <w:pPr>
      <w:pStyle w:val="Header"/>
      <w:rPr>
        <w:color w:val="0D0D0D" w:themeColor="text1" w:themeTint="F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507F3"/>
    <w:multiLevelType w:val="hybridMultilevel"/>
    <w:tmpl w:val="3F90CE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A71ECD"/>
    <w:multiLevelType w:val="multilevel"/>
    <w:tmpl w:val="8C88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95657"/>
    <w:multiLevelType w:val="hybridMultilevel"/>
    <w:tmpl w:val="12302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D528F"/>
    <w:multiLevelType w:val="multilevel"/>
    <w:tmpl w:val="0FA48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3E6AC5"/>
    <w:multiLevelType w:val="multilevel"/>
    <w:tmpl w:val="991EC23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DF909CE"/>
    <w:multiLevelType w:val="hybridMultilevel"/>
    <w:tmpl w:val="CF6E4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73BB2"/>
    <w:multiLevelType w:val="hybridMultilevel"/>
    <w:tmpl w:val="BF50F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E12C9E"/>
    <w:multiLevelType w:val="multilevel"/>
    <w:tmpl w:val="B6AC7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C635F7"/>
    <w:multiLevelType w:val="hybridMultilevel"/>
    <w:tmpl w:val="0F824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33732B"/>
    <w:multiLevelType w:val="multilevel"/>
    <w:tmpl w:val="08F84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F043F0"/>
    <w:multiLevelType w:val="hybridMultilevel"/>
    <w:tmpl w:val="26669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6F5582"/>
    <w:multiLevelType w:val="multilevel"/>
    <w:tmpl w:val="22C2F4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C944A5"/>
    <w:multiLevelType w:val="multilevel"/>
    <w:tmpl w:val="7F845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72588D"/>
    <w:multiLevelType w:val="multilevel"/>
    <w:tmpl w:val="CBFE6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640D7C"/>
    <w:multiLevelType w:val="multilevel"/>
    <w:tmpl w:val="DD9E7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A11867"/>
    <w:multiLevelType w:val="hybridMultilevel"/>
    <w:tmpl w:val="C3C60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3F24CD"/>
    <w:multiLevelType w:val="hybridMultilevel"/>
    <w:tmpl w:val="CB4CC7D0"/>
    <w:lvl w:ilvl="0" w:tplc="78F23A94">
      <w:start w:val="21"/>
      <w:numFmt w:val="bullet"/>
      <w:lvlText w:val="-"/>
      <w:lvlJc w:val="left"/>
      <w:pPr>
        <w:ind w:left="720" w:hanging="360"/>
      </w:pPr>
      <w:rPr>
        <w:rFonts w:ascii="Aptos" w:eastAsiaTheme="minorEastAsia"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A95BB6"/>
    <w:multiLevelType w:val="multilevel"/>
    <w:tmpl w:val="4D56701C"/>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22354C6"/>
    <w:multiLevelType w:val="multilevel"/>
    <w:tmpl w:val="FF84F95A"/>
    <w:lvl w:ilvl="0">
      <w:start w:val="1"/>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3750553"/>
    <w:multiLevelType w:val="multilevel"/>
    <w:tmpl w:val="022E1FE4"/>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4C26DD2"/>
    <w:multiLevelType w:val="multilevel"/>
    <w:tmpl w:val="A90EE946"/>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3B67A9A"/>
    <w:multiLevelType w:val="multilevel"/>
    <w:tmpl w:val="90547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3F2FC2"/>
    <w:multiLevelType w:val="hybridMultilevel"/>
    <w:tmpl w:val="AF60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C421AA"/>
    <w:multiLevelType w:val="multilevel"/>
    <w:tmpl w:val="54C6B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F214F6"/>
    <w:multiLevelType w:val="multilevel"/>
    <w:tmpl w:val="6CB25BAC"/>
    <w:lvl w:ilvl="0">
      <w:start w:val="1"/>
      <w:numFmt w:val="decimal"/>
      <w:lvlText w:val="%1."/>
      <w:lvlJc w:val="left"/>
      <w:pPr>
        <w:ind w:left="720" w:hanging="360"/>
      </w:pPr>
      <w:rPr>
        <w:rFonts w:hint="default"/>
      </w:rPr>
    </w:lvl>
    <w:lvl w:ilvl="1">
      <w:start w:val="2"/>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F23522A"/>
    <w:multiLevelType w:val="multilevel"/>
    <w:tmpl w:val="A38E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DC7960"/>
    <w:multiLevelType w:val="multilevel"/>
    <w:tmpl w:val="40D0C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867920"/>
    <w:multiLevelType w:val="multilevel"/>
    <w:tmpl w:val="A5DA1C64"/>
    <w:lvl w:ilvl="0">
      <w:start w:val="1"/>
      <w:numFmt w:val="decimal"/>
      <w:lvlText w:val="%1"/>
      <w:lvlJc w:val="left"/>
      <w:pPr>
        <w:ind w:left="480" w:hanging="480"/>
      </w:pPr>
      <w:rPr>
        <w:rFonts w:eastAsiaTheme="majorEastAsia" w:cstheme="majorBidi" w:hint="default"/>
        <w:i/>
        <w:color w:val="0F4761" w:themeColor="accent1" w:themeShade="BF"/>
      </w:rPr>
    </w:lvl>
    <w:lvl w:ilvl="1">
      <w:start w:val="3"/>
      <w:numFmt w:val="decimal"/>
      <w:lvlText w:val="%1.%2"/>
      <w:lvlJc w:val="left"/>
      <w:pPr>
        <w:ind w:left="480" w:hanging="480"/>
      </w:pPr>
      <w:rPr>
        <w:rFonts w:eastAsiaTheme="majorEastAsia" w:cstheme="majorBidi" w:hint="default"/>
        <w:i w:val="0"/>
        <w:iCs/>
        <w:color w:val="0F4761" w:themeColor="accent1" w:themeShade="BF"/>
      </w:rPr>
    </w:lvl>
    <w:lvl w:ilvl="2">
      <w:start w:val="2"/>
      <w:numFmt w:val="decimal"/>
      <w:lvlText w:val="%1.%2.%3"/>
      <w:lvlJc w:val="left"/>
      <w:pPr>
        <w:ind w:left="720" w:hanging="720"/>
      </w:pPr>
      <w:rPr>
        <w:rFonts w:eastAsiaTheme="majorEastAsia" w:cstheme="majorBidi" w:hint="default"/>
        <w:i/>
        <w:color w:val="0F4761" w:themeColor="accent1" w:themeShade="BF"/>
      </w:rPr>
    </w:lvl>
    <w:lvl w:ilvl="3">
      <w:start w:val="1"/>
      <w:numFmt w:val="decimal"/>
      <w:lvlText w:val="%1.%2.%3.%4"/>
      <w:lvlJc w:val="left"/>
      <w:pPr>
        <w:ind w:left="720" w:hanging="720"/>
      </w:pPr>
      <w:rPr>
        <w:rFonts w:eastAsiaTheme="majorEastAsia" w:cstheme="majorBidi" w:hint="default"/>
        <w:i/>
        <w:color w:val="0F4761" w:themeColor="accent1" w:themeShade="BF"/>
      </w:rPr>
    </w:lvl>
    <w:lvl w:ilvl="4">
      <w:start w:val="1"/>
      <w:numFmt w:val="decimal"/>
      <w:lvlText w:val="%1.%2.%3.%4.%5"/>
      <w:lvlJc w:val="left"/>
      <w:pPr>
        <w:ind w:left="1080" w:hanging="1080"/>
      </w:pPr>
      <w:rPr>
        <w:rFonts w:eastAsiaTheme="majorEastAsia" w:cstheme="majorBidi" w:hint="default"/>
        <w:i/>
        <w:color w:val="0F4761" w:themeColor="accent1" w:themeShade="BF"/>
      </w:rPr>
    </w:lvl>
    <w:lvl w:ilvl="5">
      <w:start w:val="1"/>
      <w:numFmt w:val="decimal"/>
      <w:lvlText w:val="%1.%2.%3.%4.%5.%6"/>
      <w:lvlJc w:val="left"/>
      <w:pPr>
        <w:ind w:left="1080" w:hanging="1080"/>
      </w:pPr>
      <w:rPr>
        <w:rFonts w:eastAsiaTheme="majorEastAsia" w:cstheme="majorBidi" w:hint="default"/>
        <w:i/>
        <w:color w:val="0F4761" w:themeColor="accent1" w:themeShade="BF"/>
      </w:rPr>
    </w:lvl>
    <w:lvl w:ilvl="6">
      <w:start w:val="1"/>
      <w:numFmt w:val="decimal"/>
      <w:lvlText w:val="%1.%2.%3.%4.%5.%6.%7"/>
      <w:lvlJc w:val="left"/>
      <w:pPr>
        <w:ind w:left="1440" w:hanging="1440"/>
      </w:pPr>
      <w:rPr>
        <w:rFonts w:eastAsiaTheme="majorEastAsia" w:cstheme="majorBidi" w:hint="default"/>
        <w:i/>
        <w:color w:val="0F4761" w:themeColor="accent1" w:themeShade="BF"/>
      </w:rPr>
    </w:lvl>
    <w:lvl w:ilvl="7">
      <w:start w:val="1"/>
      <w:numFmt w:val="decimal"/>
      <w:lvlText w:val="%1.%2.%3.%4.%5.%6.%7.%8"/>
      <w:lvlJc w:val="left"/>
      <w:pPr>
        <w:ind w:left="1440" w:hanging="1440"/>
      </w:pPr>
      <w:rPr>
        <w:rFonts w:eastAsiaTheme="majorEastAsia" w:cstheme="majorBidi" w:hint="default"/>
        <w:i/>
        <w:color w:val="0F4761" w:themeColor="accent1" w:themeShade="BF"/>
      </w:rPr>
    </w:lvl>
    <w:lvl w:ilvl="8">
      <w:start w:val="1"/>
      <w:numFmt w:val="decimal"/>
      <w:lvlText w:val="%1.%2.%3.%4.%5.%6.%7.%8.%9"/>
      <w:lvlJc w:val="left"/>
      <w:pPr>
        <w:ind w:left="1800" w:hanging="1800"/>
      </w:pPr>
      <w:rPr>
        <w:rFonts w:eastAsiaTheme="majorEastAsia" w:cstheme="majorBidi" w:hint="default"/>
        <w:i/>
        <w:color w:val="0F4761" w:themeColor="accent1" w:themeShade="BF"/>
      </w:rPr>
    </w:lvl>
  </w:abstractNum>
  <w:abstractNum w:abstractNumId="28" w15:restartNumberingAfterBreak="0">
    <w:nsid w:val="75534B09"/>
    <w:multiLevelType w:val="multilevel"/>
    <w:tmpl w:val="A6C0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9424CB"/>
    <w:multiLevelType w:val="multilevel"/>
    <w:tmpl w:val="8CD8A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3511827">
    <w:abstractNumId w:val="21"/>
  </w:num>
  <w:num w:numId="2" w16cid:durableId="713231381">
    <w:abstractNumId w:val="17"/>
  </w:num>
  <w:num w:numId="3" w16cid:durableId="1641569919">
    <w:abstractNumId w:val="27"/>
  </w:num>
  <w:num w:numId="4" w16cid:durableId="1374842924">
    <w:abstractNumId w:val="28"/>
  </w:num>
  <w:num w:numId="5" w16cid:durableId="543372520">
    <w:abstractNumId w:val="3"/>
  </w:num>
  <w:num w:numId="6" w16cid:durableId="1635023939">
    <w:abstractNumId w:val="29"/>
  </w:num>
  <w:num w:numId="7" w16cid:durableId="55007590">
    <w:abstractNumId w:val="25"/>
  </w:num>
  <w:num w:numId="8" w16cid:durableId="1312641293">
    <w:abstractNumId w:val="13"/>
  </w:num>
  <w:num w:numId="9" w16cid:durableId="532882054">
    <w:abstractNumId w:val="9"/>
  </w:num>
  <w:num w:numId="10" w16cid:durableId="237519408">
    <w:abstractNumId w:val="14"/>
  </w:num>
  <w:num w:numId="11" w16cid:durableId="1113479825">
    <w:abstractNumId w:val="23"/>
  </w:num>
  <w:num w:numId="12" w16cid:durableId="1469274937">
    <w:abstractNumId w:val="20"/>
  </w:num>
  <w:num w:numId="13" w16cid:durableId="2115518734">
    <w:abstractNumId w:val="24"/>
  </w:num>
  <w:num w:numId="14" w16cid:durableId="569972555">
    <w:abstractNumId w:val="12"/>
  </w:num>
  <w:num w:numId="15" w16cid:durableId="2083093715">
    <w:abstractNumId w:val="19"/>
  </w:num>
  <w:num w:numId="16" w16cid:durableId="1349864960">
    <w:abstractNumId w:val="18"/>
  </w:num>
  <w:num w:numId="17" w16cid:durableId="396167290">
    <w:abstractNumId w:val="22"/>
  </w:num>
  <w:num w:numId="18" w16cid:durableId="692727188">
    <w:abstractNumId w:val="4"/>
  </w:num>
  <w:num w:numId="19" w16cid:durableId="1338536547">
    <w:abstractNumId w:val="2"/>
  </w:num>
  <w:num w:numId="20" w16cid:durableId="992373040">
    <w:abstractNumId w:val="6"/>
  </w:num>
  <w:num w:numId="21" w16cid:durableId="863830910">
    <w:abstractNumId w:val="10"/>
  </w:num>
  <w:num w:numId="22" w16cid:durableId="2008944605">
    <w:abstractNumId w:val="16"/>
  </w:num>
  <w:num w:numId="23" w16cid:durableId="1502813654">
    <w:abstractNumId w:val="15"/>
  </w:num>
  <w:num w:numId="24" w16cid:durableId="889077494">
    <w:abstractNumId w:val="5"/>
  </w:num>
  <w:num w:numId="25" w16cid:durableId="531964893">
    <w:abstractNumId w:val="7"/>
  </w:num>
  <w:num w:numId="26" w16cid:durableId="1071730930">
    <w:abstractNumId w:val="1"/>
  </w:num>
  <w:num w:numId="27" w16cid:durableId="1587496661">
    <w:abstractNumId w:val="8"/>
  </w:num>
  <w:num w:numId="28" w16cid:durableId="386220582">
    <w:abstractNumId w:val="0"/>
  </w:num>
  <w:num w:numId="29" w16cid:durableId="314531318">
    <w:abstractNumId w:val="26"/>
  </w:num>
  <w:num w:numId="30" w16cid:durableId="13918045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0917324">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8CB"/>
    <w:rsid w:val="0000004D"/>
    <w:rsid w:val="000014D3"/>
    <w:rsid w:val="00001E85"/>
    <w:rsid w:val="00001E87"/>
    <w:rsid w:val="0000553D"/>
    <w:rsid w:val="00005D0D"/>
    <w:rsid w:val="0001348F"/>
    <w:rsid w:val="00014769"/>
    <w:rsid w:val="00014BD4"/>
    <w:rsid w:val="00015388"/>
    <w:rsid w:val="0001554D"/>
    <w:rsid w:val="00021016"/>
    <w:rsid w:val="0002226D"/>
    <w:rsid w:val="00022F47"/>
    <w:rsid w:val="000247DE"/>
    <w:rsid w:val="00025AF9"/>
    <w:rsid w:val="00026199"/>
    <w:rsid w:val="00026651"/>
    <w:rsid w:val="000270A4"/>
    <w:rsid w:val="00035585"/>
    <w:rsid w:val="00036221"/>
    <w:rsid w:val="00036A34"/>
    <w:rsid w:val="00037DE3"/>
    <w:rsid w:val="00037FDE"/>
    <w:rsid w:val="0004359B"/>
    <w:rsid w:val="00045086"/>
    <w:rsid w:val="000450C5"/>
    <w:rsid w:val="00047E1C"/>
    <w:rsid w:val="00050C07"/>
    <w:rsid w:val="00051A59"/>
    <w:rsid w:val="00056012"/>
    <w:rsid w:val="00057052"/>
    <w:rsid w:val="0006049C"/>
    <w:rsid w:val="00064540"/>
    <w:rsid w:val="000649C1"/>
    <w:rsid w:val="000651F9"/>
    <w:rsid w:val="00065FE4"/>
    <w:rsid w:val="0007394A"/>
    <w:rsid w:val="00075315"/>
    <w:rsid w:val="00075AD4"/>
    <w:rsid w:val="000774BE"/>
    <w:rsid w:val="00083BD2"/>
    <w:rsid w:val="00083FEA"/>
    <w:rsid w:val="0008679D"/>
    <w:rsid w:val="000878DC"/>
    <w:rsid w:val="000927F7"/>
    <w:rsid w:val="00093448"/>
    <w:rsid w:val="00094B49"/>
    <w:rsid w:val="00097A57"/>
    <w:rsid w:val="000A0197"/>
    <w:rsid w:val="000A1B43"/>
    <w:rsid w:val="000A5C51"/>
    <w:rsid w:val="000A6064"/>
    <w:rsid w:val="000B0574"/>
    <w:rsid w:val="000B2F1E"/>
    <w:rsid w:val="000B6105"/>
    <w:rsid w:val="000B62F0"/>
    <w:rsid w:val="000B77F5"/>
    <w:rsid w:val="000C0E6E"/>
    <w:rsid w:val="000C23D4"/>
    <w:rsid w:val="000D08C6"/>
    <w:rsid w:val="000D2561"/>
    <w:rsid w:val="000D3A84"/>
    <w:rsid w:val="000D79C5"/>
    <w:rsid w:val="000E0AD8"/>
    <w:rsid w:val="000E1B50"/>
    <w:rsid w:val="000E22CB"/>
    <w:rsid w:val="000E4BE1"/>
    <w:rsid w:val="000F18C0"/>
    <w:rsid w:val="000F3850"/>
    <w:rsid w:val="00100A98"/>
    <w:rsid w:val="00112B0A"/>
    <w:rsid w:val="00117EFE"/>
    <w:rsid w:val="00121942"/>
    <w:rsid w:val="00122378"/>
    <w:rsid w:val="001240AC"/>
    <w:rsid w:val="00127362"/>
    <w:rsid w:val="00132B9A"/>
    <w:rsid w:val="00133084"/>
    <w:rsid w:val="001341FF"/>
    <w:rsid w:val="00134CB9"/>
    <w:rsid w:val="00135987"/>
    <w:rsid w:val="00142455"/>
    <w:rsid w:val="00142C05"/>
    <w:rsid w:val="001457D9"/>
    <w:rsid w:val="00145EBA"/>
    <w:rsid w:val="0014742E"/>
    <w:rsid w:val="0015149C"/>
    <w:rsid w:val="0015160E"/>
    <w:rsid w:val="001541A2"/>
    <w:rsid w:val="001547C0"/>
    <w:rsid w:val="00154894"/>
    <w:rsid w:val="00154A46"/>
    <w:rsid w:val="00154B9B"/>
    <w:rsid w:val="00155354"/>
    <w:rsid w:val="00160BC5"/>
    <w:rsid w:val="0016341C"/>
    <w:rsid w:val="0016371F"/>
    <w:rsid w:val="00163745"/>
    <w:rsid w:val="00163A6C"/>
    <w:rsid w:val="001646F0"/>
    <w:rsid w:val="0016482E"/>
    <w:rsid w:val="0016791B"/>
    <w:rsid w:val="0017106C"/>
    <w:rsid w:val="00171DB5"/>
    <w:rsid w:val="00176F36"/>
    <w:rsid w:val="001773E8"/>
    <w:rsid w:val="001803BF"/>
    <w:rsid w:val="00180FA3"/>
    <w:rsid w:val="001853DF"/>
    <w:rsid w:val="001858AA"/>
    <w:rsid w:val="00187989"/>
    <w:rsid w:val="00190977"/>
    <w:rsid w:val="00190BCB"/>
    <w:rsid w:val="00190E29"/>
    <w:rsid w:val="00191126"/>
    <w:rsid w:val="0019120B"/>
    <w:rsid w:val="001915C4"/>
    <w:rsid w:val="00191B01"/>
    <w:rsid w:val="001A3050"/>
    <w:rsid w:val="001A342B"/>
    <w:rsid w:val="001A3460"/>
    <w:rsid w:val="001A3492"/>
    <w:rsid w:val="001A45C7"/>
    <w:rsid w:val="001A4C96"/>
    <w:rsid w:val="001A764B"/>
    <w:rsid w:val="001A792F"/>
    <w:rsid w:val="001B0511"/>
    <w:rsid w:val="001B2204"/>
    <w:rsid w:val="001B36FD"/>
    <w:rsid w:val="001B3C3C"/>
    <w:rsid w:val="001B6B67"/>
    <w:rsid w:val="001C5AC6"/>
    <w:rsid w:val="001C5C97"/>
    <w:rsid w:val="001D4CED"/>
    <w:rsid w:val="001D5C9B"/>
    <w:rsid w:val="001D5CA6"/>
    <w:rsid w:val="001E1790"/>
    <w:rsid w:val="001E3A05"/>
    <w:rsid w:val="001E4883"/>
    <w:rsid w:val="001E500C"/>
    <w:rsid w:val="001F21FD"/>
    <w:rsid w:val="001F37D5"/>
    <w:rsid w:val="001F4165"/>
    <w:rsid w:val="001F4744"/>
    <w:rsid w:val="001F6F81"/>
    <w:rsid w:val="00200883"/>
    <w:rsid w:val="002043B6"/>
    <w:rsid w:val="00207342"/>
    <w:rsid w:val="00211D59"/>
    <w:rsid w:val="00212D26"/>
    <w:rsid w:val="00213A5E"/>
    <w:rsid w:val="00216FA4"/>
    <w:rsid w:val="00217AB7"/>
    <w:rsid w:val="002207EE"/>
    <w:rsid w:val="00223F0A"/>
    <w:rsid w:val="00224E9C"/>
    <w:rsid w:val="00230E20"/>
    <w:rsid w:val="0023124A"/>
    <w:rsid w:val="00231331"/>
    <w:rsid w:val="002313A3"/>
    <w:rsid w:val="00240647"/>
    <w:rsid w:val="00240816"/>
    <w:rsid w:val="00241690"/>
    <w:rsid w:val="00243630"/>
    <w:rsid w:val="00243EF9"/>
    <w:rsid w:val="00244B7D"/>
    <w:rsid w:val="00246871"/>
    <w:rsid w:val="002469F9"/>
    <w:rsid w:val="00251927"/>
    <w:rsid w:val="002544B4"/>
    <w:rsid w:val="002561E5"/>
    <w:rsid w:val="00256DC4"/>
    <w:rsid w:val="0025723A"/>
    <w:rsid w:val="00260E51"/>
    <w:rsid w:val="0026150C"/>
    <w:rsid w:val="00262ED7"/>
    <w:rsid w:val="00263BA6"/>
    <w:rsid w:val="002729E3"/>
    <w:rsid w:val="00280D9C"/>
    <w:rsid w:val="00283A52"/>
    <w:rsid w:val="002840E5"/>
    <w:rsid w:val="0028519B"/>
    <w:rsid w:val="002857CA"/>
    <w:rsid w:val="00290A81"/>
    <w:rsid w:val="0029204C"/>
    <w:rsid w:val="002928A8"/>
    <w:rsid w:val="002931A6"/>
    <w:rsid w:val="00293D2D"/>
    <w:rsid w:val="00294825"/>
    <w:rsid w:val="00295924"/>
    <w:rsid w:val="00296139"/>
    <w:rsid w:val="002A18EA"/>
    <w:rsid w:val="002A198A"/>
    <w:rsid w:val="002A2418"/>
    <w:rsid w:val="002B7B9F"/>
    <w:rsid w:val="002C0807"/>
    <w:rsid w:val="002C3010"/>
    <w:rsid w:val="002C4220"/>
    <w:rsid w:val="002C4259"/>
    <w:rsid w:val="002C4AA8"/>
    <w:rsid w:val="002C510F"/>
    <w:rsid w:val="002C7BF6"/>
    <w:rsid w:val="002D1E92"/>
    <w:rsid w:val="002D2075"/>
    <w:rsid w:val="002E28FA"/>
    <w:rsid w:val="002E2E60"/>
    <w:rsid w:val="002E45D8"/>
    <w:rsid w:val="002E5470"/>
    <w:rsid w:val="002E6B48"/>
    <w:rsid w:val="002E6D5C"/>
    <w:rsid w:val="002F01E8"/>
    <w:rsid w:val="002F31CB"/>
    <w:rsid w:val="002F450B"/>
    <w:rsid w:val="002F6F91"/>
    <w:rsid w:val="002F789C"/>
    <w:rsid w:val="003009DF"/>
    <w:rsid w:val="00301C21"/>
    <w:rsid w:val="00304914"/>
    <w:rsid w:val="003050A8"/>
    <w:rsid w:val="00305D79"/>
    <w:rsid w:val="00307BF3"/>
    <w:rsid w:val="003112B8"/>
    <w:rsid w:val="00313E61"/>
    <w:rsid w:val="00314617"/>
    <w:rsid w:val="00314677"/>
    <w:rsid w:val="00315FD6"/>
    <w:rsid w:val="0032005E"/>
    <w:rsid w:val="00320DB1"/>
    <w:rsid w:val="00321FFE"/>
    <w:rsid w:val="00322B4B"/>
    <w:rsid w:val="003242D2"/>
    <w:rsid w:val="00324AA9"/>
    <w:rsid w:val="00325B09"/>
    <w:rsid w:val="003304C7"/>
    <w:rsid w:val="00332D6B"/>
    <w:rsid w:val="003339FA"/>
    <w:rsid w:val="00334F0B"/>
    <w:rsid w:val="00335DAD"/>
    <w:rsid w:val="00341E56"/>
    <w:rsid w:val="00341F4E"/>
    <w:rsid w:val="00342948"/>
    <w:rsid w:val="00342ABF"/>
    <w:rsid w:val="00360E7F"/>
    <w:rsid w:val="00360ECB"/>
    <w:rsid w:val="0036152D"/>
    <w:rsid w:val="00361F14"/>
    <w:rsid w:val="00362FD7"/>
    <w:rsid w:val="00366815"/>
    <w:rsid w:val="0036767F"/>
    <w:rsid w:val="003676B2"/>
    <w:rsid w:val="003677C2"/>
    <w:rsid w:val="00367B4B"/>
    <w:rsid w:val="003702C2"/>
    <w:rsid w:val="003725AA"/>
    <w:rsid w:val="00373040"/>
    <w:rsid w:val="003730E0"/>
    <w:rsid w:val="00373F9D"/>
    <w:rsid w:val="003740BD"/>
    <w:rsid w:val="00381EB5"/>
    <w:rsid w:val="003825AC"/>
    <w:rsid w:val="00382B52"/>
    <w:rsid w:val="003832BE"/>
    <w:rsid w:val="00383B20"/>
    <w:rsid w:val="00383BB8"/>
    <w:rsid w:val="0038512D"/>
    <w:rsid w:val="00391D15"/>
    <w:rsid w:val="00393110"/>
    <w:rsid w:val="00394EB2"/>
    <w:rsid w:val="003A0592"/>
    <w:rsid w:val="003A1219"/>
    <w:rsid w:val="003A172F"/>
    <w:rsid w:val="003A2493"/>
    <w:rsid w:val="003A5770"/>
    <w:rsid w:val="003A6B4A"/>
    <w:rsid w:val="003A7E29"/>
    <w:rsid w:val="003B085F"/>
    <w:rsid w:val="003B0A33"/>
    <w:rsid w:val="003B0CD6"/>
    <w:rsid w:val="003B51AB"/>
    <w:rsid w:val="003C0D53"/>
    <w:rsid w:val="003C371C"/>
    <w:rsid w:val="003C3F03"/>
    <w:rsid w:val="003C7A76"/>
    <w:rsid w:val="003D12C2"/>
    <w:rsid w:val="003D35A1"/>
    <w:rsid w:val="003D6A43"/>
    <w:rsid w:val="003E3089"/>
    <w:rsid w:val="003E34CD"/>
    <w:rsid w:val="003E4E6D"/>
    <w:rsid w:val="003E64F2"/>
    <w:rsid w:val="003E73CC"/>
    <w:rsid w:val="003E799C"/>
    <w:rsid w:val="003E7A37"/>
    <w:rsid w:val="003F1D02"/>
    <w:rsid w:val="003F32DA"/>
    <w:rsid w:val="003F4362"/>
    <w:rsid w:val="003F56A9"/>
    <w:rsid w:val="0040095F"/>
    <w:rsid w:val="00401DDB"/>
    <w:rsid w:val="00404154"/>
    <w:rsid w:val="0041011E"/>
    <w:rsid w:val="00411182"/>
    <w:rsid w:val="00413245"/>
    <w:rsid w:val="0041442A"/>
    <w:rsid w:val="00415A23"/>
    <w:rsid w:val="00416854"/>
    <w:rsid w:val="004174D1"/>
    <w:rsid w:val="00420233"/>
    <w:rsid w:val="0042134C"/>
    <w:rsid w:val="00421EE3"/>
    <w:rsid w:val="0042350A"/>
    <w:rsid w:val="00423E6C"/>
    <w:rsid w:val="00424328"/>
    <w:rsid w:val="0042441F"/>
    <w:rsid w:val="00424795"/>
    <w:rsid w:val="00425A49"/>
    <w:rsid w:val="00425D4D"/>
    <w:rsid w:val="0042675A"/>
    <w:rsid w:val="004315A0"/>
    <w:rsid w:val="00431AB9"/>
    <w:rsid w:val="00432EFA"/>
    <w:rsid w:val="00433875"/>
    <w:rsid w:val="0043416D"/>
    <w:rsid w:val="00435081"/>
    <w:rsid w:val="00436EF1"/>
    <w:rsid w:val="0044038A"/>
    <w:rsid w:val="0044334A"/>
    <w:rsid w:val="0044505D"/>
    <w:rsid w:val="00445075"/>
    <w:rsid w:val="00450758"/>
    <w:rsid w:val="00450EEC"/>
    <w:rsid w:val="00452B16"/>
    <w:rsid w:val="0045311C"/>
    <w:rsid w:val="0045346D"/>
    <w:rsid w:val="00455CBC"/>
    <w:rsid w:val="00455E22"/>
    <w:rsid w:val="00460B04"/>
    <w:rsid w:val="0046523D"/>
    <w:rsid w:val="00465EF6"/>
    <w:rsid w:val="00467633"/>
    <w:rsid w:val="00470F02"/>
    <w:rsid w:val="00473665"/>
    <w:rsid w:val="00473D6D"/>
    <w:rsid w:val="00476B5D"/>
    <w:rsid w:val="00477981"/>
    <w:rsid w:val="00482A29"/>
    <w:rsid w:val="00482F36"/>
    <w:rsid w:val="00483BAA"/>
    <w:rsid w:val="0048443F"/>
    <w:rsid w:val="0048678E"/>
    <w:rsid w:val="004868A6"/>
    <w:rsid w:val="00491989"/>
    <w:rsid w:val="00493CD2"/>
    <w:rsid w:val="004967A8"/>
    <w:rsid w:val="004A4937"/>
    <w:rsid w:val="004A4ABA"/>
    <w:rsid w:val="004A4FA0"/>
    <w:rsid w:val="004A5BEC"/>
    <w:rsid w:val="004A7208"/>
    <w:rsid w:val="004A7BE2"/>
    <w:rsid w:val="004B0A4E"/>
    <w:rsid w:val="004B412C"/>
    <w:rsid w:val="004C0AEF"/>
    <w:rsid w:val="004C1B10"/>
    <w:rsid w:val="004C3B82"/>
    <w:rsid w:val="004C49B1"/>
    <w:rsid w:val="004C629A"/>
    <w:rsid w:val="004D1289"/>
    <w:rsid w:val="004D1BC5"/>
    <w:rsid w:val="004D280C"/>
    <w:rsid w:val="004D2E0D"/>
    <w:rsid w:val="004E238F"/>
    <w:rsid w:val="004E7660"/>
    <w:rsid w:val="004F14A4"/>
    <w:rsid w:val="004F1B8E"/>
    <w:rsid w:val="004F2D07"/>
    <w:rsid w:val="004F5B78"/>
    <w:rsid w:val="004F62CE"/>
    <w:rsid w:val="004F64B6"/>
    <w:rsid w:val="004F7C9D"/>
    <w:rsid w:val="0050417A"/>
    <w:rsid w:val="005042FA"/>
    <w:rsid w:val="005061E7"/>
    <w:rsid w:val="00506E1F"/>
    <w:rsid w:val="0051003F"/>
    <w:rsid w:val="00512D51"/>
    <w:rsid w:val="00512D83"/>
    <w:rsid w:val="00513A77"/>
    <w:rsid w:val="0051448A"/>
    <w:rsid w:val="00514B4D"/>
    <w:rsid w:val="00517976"/>
    <w:rsid w:val="00523A01"/>
    <w:rsid w:val="00524024"/>
    <w:rsid w:val="00530A37"/>
    <w:rsid w:val="00530AA1"/>
    <w:rsid w:val="00533C5D"/>
    <w:rsid w:val="00534B20"/>
    <w:rsid w:val="00535B2B"/>
    <w:rsid w:val="00537949"/>
    <w:rsid w:val="00540AEF"/>
    <w:rsid w:val="00540F04"/>
    <w:rsid w:val="0054209B"/>
    <w:rsid w:val="005426A2"/>
    <w:rsid w:val="00543C7D"/>
    <w:rsid w:val="0054491C"/>
    <w:rsid w:val="00552026"/>
    <w:rsid w:val="00555A62"/>
    <w:rsid w:val="00557D57"/>
    <w:rsid w:val="00561A2B"/>
    <w:rsid w:val="00561AD9"/>
    <w:rsid w:val="005672A5"/>
    <w:rsid w:val="00573E20"/>
    <w:rsid w:val="00575CAE"/>
    <w:rsid w:val="00575F0F"/>
    <w:rsid w:val="0057718A"/>
    <w:rsid w:val="00577657"/>
    <w:rsid w:val="00580C56"/>
    <w:rsid w:val="005811B0"/>
    <w:rsid w:val="0058335C"/>
    <w:rsid w:val="00583C86"/>
    <w:rsid w:val="0058436A"/>
    <w:rsid w:val="0058482E"/>
    <w:rsid w:val="00590746"/>
    <w:rsid w:val="00593065"/>
    <w:rsid w:val="0059370E"/>
    <w:rsid w:val="005942CC"/>
    <w:rsid w:val="005945D0"/>
    <w:rsid w:val="0059488C"/>
    <w:rsid w:val="005979B2"/>
    <w:rsid w:val="005A077A"/>
    <w:rsid w:val="005A09F0"/>
    <w:rsid w:val="005A0F61"/>
    <w:rsid w:val="005A320C"/>
    <w:rsid w:val="005A40E1"/>
    <w:rsid w:val="005A484A"/>
    <w:rsid w:val="005A6684"/>
    <w:rsid w:val="005A7C3D"/>
    <w:rsid w:val="005B14EA"/>
    <w:rsid w:val="005B477B"/>
    <w:rsid w:val="005B4ABA"/>
    <w:rsid w:val="005C0692"/>
    <w:rsid w:val="005C1482"/>
    <w:rsid w:val="005C3D38"/>
    <w:rsid w:val="005C5911"/>
    <w:rsid w:val="005D5386"/>
    <w:rsid w:val="005D799F"/>
    <w:rsid w:val="005E06FE"/>
    <w:rsid w:val="005E0D79"/>
    <w:rsid w:val="005E46E1"/>
    <w:rsid w:val="005E5C84"/>
    <w:rsid w:val="005E6238"/>
    <w:rsid w:val="005F0A68"/>
    <w:rsid w:val="005F1BEC"/>
    <w:rsid w:val="005F1C12"/>
    <w:rsid w:val="005F3B93"/>
    <w:rsid w:val="005F43FD"/>
    <w:rsid w:val="005F4F16"/>
    <w:rsid w:val="005F73B6"/>
    <w:rsid w:val="00603E6E"/>
    <w:rsid w:val="00603F2C"/>
    <w:rsid w:val="00605077"/>
    <w:rsid w:val="00607498"/>
    <w:rsid w:val="00610400"/>
    <w:rsid w:val="00611B2B"/>
    <w:rsid w:val="00613947"/>
    <w:rsid w:val="006159A5"/>
    <w:rsid w:val="0062133C"/>
    <w:rsid w:val="006239B4"/>
    <w:rsid w:val="006263A1"/>
    <w:rsid w:val="0063363D"/>
    <w:rsid w:val="006340E3"/>
    <w:rsid w:val="0063414E"/>
    <w:rsid w:val="006365E7"/>
    <w:rsid w:val="00641629"/>
    <w:rsid w:val="00642043"/>
    <w:rsid w:val="00643B2C"/>
    <w:rsid w:val="00644161"/>
    <w:rsid w:val="00644760"/>
    <w:rsid w:val="00651815"/>
    <w:rsid w:val="00653AD0"/>
    <w:rsid w:val="006542BA"/>
    <w:rsid w:val="00656CD3"/>
    <w:rsid w:val="00662483"/>
    <w:rsid w:val="00663F05"/>
    <w:rsid w:val="00664087"/>
    <w:rsid w:val="00671355"/>
    <w:rsid w:val="00672DCC"/>
    <w:rsid w:val="00673CBC"/>
    <w:rsid w:val="00677652"/>
    <w:rsid w:val="006777B6"/>
    <w:rsid w:val="006806C5"/>
    <w:rsid w:val="00682B0E"/>
    <w:rsid w:val="00683139"/>
    <w:rsid w:val="00690EB3"/>
    <w:rsid w:val="00691408"/>
    <w:rsid w:val="00691B39"/>
    <w:rsid w:val="006925C6"/>
    <w:rsid w:val="006930B3"/>
    <w:rsid w:val="0069477A"/>
    <w:rsid w:val="00694EB4"/>
    <w:rsid w:val="00695426"/>
    <w:rsid w:val="00696CE1"/>
    <w:rsid w:val="006A01F9"/>
    <w:rsid w:val="006A0E63"/>
    <w:rsid w:val="006A1527"/>
    <w:rsid w:val="006A590B"/>
    <w:rsid w:val="006A6EE1"/>
    <w:rsid w:val="006B07E4"/>
    <w:rsid w:val="006B32F1"/>
    <w:rsid w:val="006C0B77"/>
    <w:rsid w:val="006C1A01"/>
    <w:rsid w:val="006C3213"/>
    <w:rsid w:val="006C420F"/>
    <w:rsid w:val="006C4658"/>
    <w:rsid w:val="006C6FB6"/>
    <w:rsid w:val="006D26B8"/>
    <w:rsid w:val="006D331F"/>
    <w:rsid w:val="006E33AE"/>
    <w:rsid w:val="006E51FC"/>
    <w:rsid w:val="006E6418"/>
    <w:rsid w:val="006F2039"/>
    <w:rsid w:val="006F24A4"/>
    <w:rsid w:val="006F31C9"/>
    <w:rsid w:val="006F390C"/>
    <w:rsid w:val="006F4955"/>
    <w:rsid w:val="006F70B9"/>
    <w:rsid w:val="006F7A14"/>
    <w:rsid w:val="0070537F"/>
    <w:rsid w:val="007109A5"/>
    <w:rsid w:val="00716886"/>
    <w:rsid w:val="00720327"/>
    <w:rsid w:val="00720975"/>
    <w:rsid w:val="0072249F"/>
    <w:rsid w:val="00722642"/>
    <w:rsid w:val="007235FF"/>
    <w:rsid w:val="007238F3"/>
    <w:rsid w:val="00723DC5"/>
    <w:rsid w:val="007240E8"/>
    <w:rsid w:val="00726BC0"/>
    <w:rsid w:val="0072797B"/>
    <w:rsid w:val="0073084F"/>
    <w:rsid w:val="007323E8"/>
    <w:rsid w:val="00733AEA"/>
    <w:rsid w:val="00742BDB"/>
    <w:rsid w:val="00746EB1"/>
    <w:rsid w:val="007508E5"/>
    <w:rsid w:val="00751016"/>
    <w:rsid w:val="00753ECD"/>
    <w:rsid w:val="00757BFC"/>
    <w:rsid w:val="00760884"/>
    <w:rsid w:val="007628AD"/>
    <w:rsid w:val="00764C96"/>
    <w:rsid w:val="0076599D"/>
    <w:rsid w:val="00766FA4"/>
    <w:rsid w:val="00767B92"/>
    <w:rsid w:val="00770939"/>
    <w:rsid w:val="007720B1"/>
    <w:rsid w:val="007738E0"/>
    <w:rsid w:val="00777172"/>
    <w:rsid w:val="0078044F"/>
    <w:rsid w:val="007814BA"/>
    <w:rsid w:val="00781B1A"/>
    <w:rsid w:val="00781EB6"/>
    <w:rsid w:val="007855A6"/>
    <w:rsid w:val="00785CAB"/>
    <w:rsid w:val="00790E1D"/>
    <w:rsid w:val="00792D48"/>
    <w:rsid w:val="00793B26"/>
    <w:rsid w:val="00794FA7"/>
    <w:rsid w:val="007961F4"/>
    <w:rsid w:val="007967A0"/>
    <w:rsid w:val="007A1636"/>
    <w:rsid w:val="007A1D37"/>
    <w:rsid w:val="007A2C2B"/>
    <w:rsid w:val="007A320F"/>
    <w:rsid w:val="007A39C1"/>
    <w:rsid w:val="007A5B22"/>
    <w:rsid w:val="007A61ED"/>
    <w:rsid w:val="007A7B70"/>
    <w:rsid w:val="007B00BF"/>
    <w:rsid w:val="007B35A7"/>
    <w:rsid w:val="007B5A7F"/>
    <w:rsid w:val="007C0E9A"/>
    <w:rsid w:val="007C4B82"/>
    <w:rsid w:val="007C5818"/>
    <w:rsid w:val="007D47CA"/>
    <w:rsid w:val="007D5074"/>
    <w:rsid w:val="007D58CA"/>
    <w:rsid w:val="007D623E"/>
    <w:rsid w:val="007E1CBC"/>
    <w:rsid w:val="007E5FD0"/>
    <w:rsid w:val="007E75B4"/>
    <w:rsid w:val="007F2530"/>
    <w:rsid w:val="007F3A6F"/>
    <w:rsid w:val="007F3FD7"/>
    <w:rsid w:val="007F540E"/>
    <w:rsid w:val="008038DB"/>
    <w:rsid w:val="0080598F"/>
    <w:rsid w:val="00805D0C"/>
    <w:rsid w:val="00807629"/>
    <w:rsid w:val="0081244F"/>
    <w:rsid w:val="00814A67"/>
    <w:rsid w:val="00816A41"/>
    <w:rsid w:val="00820888"/>
    <w:rsid w:val="008225C0"/>
    <w:rsid w:val="0082280C"/>
    <w:rsid w:val="00822E28"/>
    <w:rsid w:val="00824AA7"/>
    <w:rsid w:val="00825626"/>
    <w:rsid w:val="008305AE"/>
    <w:rsid w:val="00832667"/>
    <w:rsid w:val="00835F12"/>
    <w:rsid w:val="00836B22"/>
    <w:rsid w:val="00841622"/>
    <w:rsid w:val="008422F9"/>
    <w:rsid w:val="008423A3"/>
    <w:rsid w:val="00846120"/>
    <w:rsid w:val="00850B55"/>
    <w:rsid w:val="00856401"/>
    <w:rsid w:val="00860B50"/>
    <w:rsid w:val="008622C9"/>
    <w:rsid w:val="008644F3"/>
    <w:rsid w:val="008662E5"/>
    <w:rsid w:val="00870244"/>
    <w:rsid w:val="0087431B"/>
    <w:rsid w:val="00875142"/>
    <w:rsid w:val="008779C1"/>
    <w:rsid w:val="0088444B"/>
    <w:rsid w:val="00887640"/>
    <w:rsid w:val="00887681"/>
    <w:rsid w:val="0089490D"/>
    <w:rsid w:val="00897994"/>
    <w:rsid w:val="00897F72"/>
    <w:rsid w:val="008A0574"/>
    <w:rsid w:val="008A14F3"/>
    <w:rsid w:val="008A171B"/>
    <w:rsid w:val="008A2232"/>
    <w:rsid w:val="008A34FE"/>
    <w:rsid w:val="008B0196"/>
    <w:rsid w:val="008B0C18"/>
    <w:rsid w:val="008B0FD2"/>
    <w:rsid w:val="008B19AF"/>
    <w:rsid w:val="008B6A9C"/>
    <w:rsid w:val="008C20DF"/>
    <w:rsid w:val="008C3301"/>
    <w:rsid w:val="008D3049"/>
    <w:rsid w:val="008D6EA0"/>
    <w:rsid w:val="008E2CB0"/>
    <w:rsid w:val="008E43A5"/>
    <w:rsid w:val="008E524E"/>
    <w:rsid w:val="008F34F7"/>
    <w:rsid w:val="008F4B45"/>
    <w:rsid w:val="008F6AE6"/>
    <w:rsid w:val="009020FF"/>
    <w:rsid w:val="0090272D"/>
    <w:rsid w:val="00902820"/>
    <w:rsid w:val="00903DE8"/>
    <w:rsid w:val="009076C2"/>
    <w:rsid w:val="00907B4D"/>
    <w:rsid w:val="00911B73"/>
    <w:rsid w:val="00911CA1"/>
    <w:rsid w:val="0091619E"/>
    <w:rsid w:val="00920C06"/>
    <w:rsid w:val="00922501"/>
    <w:rsid w:val="00922709"/>
    <w:rsid w:val="00922D80"/>
    <w:rsid w:val="009253BE"/>
    <w:rsid w:val="00930DAA"/>
    <w:rsid w:val="00934990"/>
    <w:rsid w:val="00935367"/>
    <w:rsid w:val="00937C26"/>
    <w:rsid w:val="00937CB1"/>
    <w:rsid w:val="00941867"/>
    <w:rsid w:val="009426D5"/>
    <w:rsid w:val="00942D1A"/>
    <w:rsid w:val="00943067"/>
    <w:rsid w:val="00946615"/>
    <w:rsid w:val="00950F28"/>
    <w:rsid w:val="00951306"/>
    <w:rsid w:val="009540A8"/>
    <w:rsid w:val="009569EE"/>
    <w:rsid w:val="00964CC2"/>
    <w:rsid w:val="0096596A"/>
    <w:rsid w:val="00967916"/>
    <w:rsid w:val="009718EB"/>
    <w:rsid w:val="009738A8"/>
    <w:rsid w:val="00973F07"/>
    <w:rsid w:val="009740FE"/>
    <w:rsid w:val="0097441C"/>
    <w:rsid w:val="009746C3"/>
    <w:rsid w:val="009748D8"/>
    <w:rsid w:val="009775C8"/>
    <w:rsid w:val="009823A8"/>
    <w:rsid w:val="009841C0"/>
    <w:rsid w:val="00985234"/>
    <w:rsid w:val="00985F7A"/>
    <w:rsid w:val="0098618D"/>
    <w:rsid w:val="00992387"/>
    <w:rsid w:val="00992DD9"/>
    <w:rsid w:val="00993418"/>
    <w:rsid w:val="00993848"/>
    <w:rsid w:val="00994201"/>
    <w:rsid w:val="0099503F"/>
    <w:rsid w:val="00995942"/>
    <w:rsid w:val="009962E1"/>
    <w:rsid w:val="009A0BD5"/>
    <w:rsid w:val="009A62A7"/>
    <w:rsid w:val="009A7E2E"/>
    <w:rsid w:val="009B0631"/>
    <w:rsid w:val="009B13B8"/>
    <w:rsid w:val="009B5870"/>
    <w:rsid w:val="009C26AE"/>
    <w:rsid w:val="009C3956"/>
    <w:rsid w:val="009C4A2C"/>
    <w:rsid w:val="009C532D"/>
    <w:rsid w:val="009C558F"/>
    <w:rsid w:val="009C7E1E"/>
    <w:rsid w:val="009C7E69"/>
    <w:rsid w:val="009D11C1"/>
    <w:rsid w:val="009D6264"/>
    <w:rsid w:val="009D689B"/>
    <w:rsid w:val="009E5182"/>
    <w:rsid w:val="009F099F"/>
    <w:rsid w:val="009F12BD"/>
    <w:rsid w:val="009F194F"/>
    <w:rsid w:val="009F2DC6"/>
    <w:rsid w:val="00A01CD5"/>
    <w:rsid w:val="00A06BBF"/>
    <w:rsid w:val="00A10743"/>
    <w:rsid w:val="00A138A1"/>
    <w:rsid w:val="00A13D38"/>
    <w:rsid w:val="00A14703"/>
    <w:rsid w:val="00A24E5D"/>
    <w:rsid w:val="00A33C58"/>
    <w:rsid w:val="00A34DAF"/>
    <w:rsid w:val="00A34DEA"/>
    <w:rsid w:val="00A3540A"/>
    <w:rsid w:val="00A370CF"/>
    <w:rsid w:val="00A376CB"/>
    <w:rsid w:val="00A434E1"/>
    <w:rsid w:val="00A46443"/>
    <w:rsid w:val="00A47EF6"/>
    <w:rsid w:val="00A502C4"/>
    <w:rsid w:val="00A50C8F"/>
    <w:rsid w:val="00A51F22"/>
    <w:rsid w:val="00A53C36"/>
    <w:rsid w:val="00A57743"/>
    <w:rsid w:val="00A6190A"/>
    <w:rsid w:val="00A62A66"/>
    <w:rsid w:val="00A64581"/>
    <w:rsid w:val="00A64FA7"/>
    <w:rsid w:val="00A65ED8"/>
    <w:rsid w:val="00A75F3B"/>
    <w:rsid w:val="00A801CA"/>
    <w:rsid w:val="00A81583"/>
    <w:rsid w:val="00A816D5"/>
    <w:rsid w:val="00A8243A"/>
    <w:rsid w:val="00A84DD2"/>
    <w:rsid w:val="00A85FD2"/>
    <w:rsid w:val="00A90E93"/>
    <w:rsid w:val="00A935B5"/>
    <w:rsid w:val="00A9585D"/>
    <w:rsid w:val="00A9724C"/>
    <w:rsid w:val="00A97367"/>
    <w:rsid w:val="00AA0353"/>
    <w:rsid w:val="00AA3558"/>
    <w:rsid w:val="00AA7208"/>
    <w:rsid w:val="00AB280C"/>
    <w:rsid w:val="00AC074D"/>
    <w:rsid w:val="00AC0790"/>
    <w:rsid w:val="00AC2DC3"/>
    <w:rsid w:val="00AC552A"/>
    <w:rsid w:val="00AD1AB8"/>
    <w:rsid w:val="00AD27B9"/>
    <w:rsid w:val="00AD49DB"/>
    <w:rsid w:val="00AD5E2E"/>
    <w:rsid w:val="00AE18CB"/>
    <w:rsid w:val="00AE5545"/>
    <w:rsid w:val="00AE68A4"/>
    <w:rsid w:val="00AE794B"/>
    <w:rsid w:val="00AE7A9E"/>
    <w:rsid w:val="00AF098A"/>
    <w:rsid w:val="00AF0D12"/>
    <w:rsid w:val="00AF159E"/>
    <w:rsid w:val="00AF2446"/>
    <w:rsid w:val="00AF2D4A"/>
    <w:rsid w:val="00AF2FBF"/>
    <w:rsid w:val="00AF374F"/>
    <w:rsid w:val="00AF494F"/>
    <w:rsid w:val="00AF586E"/>
    <w:rsid w:val="00AF5E20"/>
    <w:rsid w:val="00AF75DE"/>
    <w:rsid w:val="00B004F9"/>
    <w:rsid w:val="00B025DC"/>
    <w:rsid w:val="00B0531E"/>
    <w:rsid w:val="00B0554A"/>
    <w:rsid w:val="00B07239"/>
    <w:rsid w:val="00B10D1B"/>
    <w:rsid w:val="00B136EF"/>
    <w:rsid w:val="00B212D5"/>
    <w:rsid w:val="00B2136B"/>
    <w:rsid w:val="00B242DF"/>
    <w:rsid w:val="00B268AC"/>
    <w:rsid w:val="00B3134E"/>
    <w:rsid w:val="00B3166C"/>
    <w:rsid w:val="00B41812"/>
    <w:rsid w:val="00B443AA"/>
    <w:rsid w:val="00B4445B"/>
    <w:rsid w:val="00B46120"/>
    <w:rsid w:val="00B51A30"/>
    <w:rsid w:val="00B525CB"/>
    <w:rsid w:val="00B52AC4"/>
    <w:rsid w:val="00B55E5B"/>
    <w:rsid w:val="00B56E6F"/>
    <w:rsid w:val="00B6125B"/>
    <w:rsid w:val="00B621F9"/>
    <w:rsid w:val="00B63B11"/>
    <w:rsid w:val="00B64A7D"/>
    <w:rsid w:val="00B703A5"/>
    <w:rsid w:val="00B72259"/>
    <w:rsid w:val="00B74217"/>
    <w:rsid w:val="00B74375"/>
    <w:rsid w:val="00B748E9"/>
    <w:rsid w:val="00B769DD"/>
    <w:rsid w:val="00B76B1C"/>
    <w:rsid w:val="00B77CC4"/>
    <w:rsid w:val="00B800D3"/>
    <w:rsid w:val="00B84A5C"/>
    <w:rsid w:val="00B8599D"/>
    <w:rsid w:val="00B85D21"/>
    <w:rsid w:val="00B87A2A"/>
    <w:rsid w:val="00B91049"/>
    <w:rsid w:val="00B914E4"/>
    <w:rsid w:val="00B930EA"/>
    <w:rsid w:val="00B933FA"/>
    <w:rsid w:val="00B9596A"/>
    <w:rsid w:val="00B95BAF"/>
    <w:rsid w:val="00B961E0"/>
    <w:rsid w:val="00B96491"/>
    <w:rsid w:val="00B97813"/>
    <w:rsid w:val="00BA003D"/>
    <w:rsid w:val="00BA263D"/>
    <w:rsid w:val="00BA750E"/>
    <w:rsid w:val="00BA7BC9"/>
    <w:rsid w:val="00BB0ECF"/>
    <w:rsid w:val="00BB41BF"/>
    <w:rsid w:val="00BB5B6D"/>
    <w:rsid w:val="00BB5DB5"/>
    <w:rsid w:val="00BB7A30"/>
    <w:rsid w:val="00BC0D28"/>
    <w:rsid w:val="00BC2CEC"/>
    <w:rsid w:val="00BC5C6B"/>
    <w:rsid w:val="00BD10EC"/>
    <w:rsid w:val="00BD2B2D"/>
    <w:rsid w:val="00BD3925"/>
    <w:rsid w:val="00BD584D"/>
    <w:rsid w:val="00BE01B9"/>
    <w:rsid w:val="00BE14EB"/>
    <w:rsid w:val="00BE49AD"/>
    <w:rsid w:val="00BE73D9"/>
    <w:rsid w:val="00BF21C5"/>
    <w:rsid w:val="00BF287E"/>
    <w:rsid w:val="00BF3531"/>
    <w:rsid w:val="00BF5B69"/>
    <w:rsid w:val="00BF6E7D"/>
    <w:rsid w:val="00BF7DD0"/>
    <w:rsid w:val="00C01780"/>
    <w:rsid w:val="00C02755"/>
    <w:rsid w:val="00C05DB3"/>
    <w:rsid w:val="00C07924"/>
    <w:rsid w:val="00C07B0D"/>
    <w:rsid w:val="00C07EED"/>
    <w:rsid w:val="00C1027E"/>
    <w:rsid w:val="00C1073C"/>
    <w:rsid w:val="00C10EE8"/>
    <w:rsid w:val="00C10EEC"/>
    <w:rsid w:val="00C1328E"/>
    <w:rsid w:val="00C138AA"/>
    <w:rsid w:val="00C2005A"/>
    <w:rsid w:val="00C208BE"/>
    <w:rsid w:val="00C20E84"/>
    <w:rsid w:val="00C23E79"/>
    <w:rsid w:val="00C250D5"/>
    <w:rsid w:val="00C371FA"/>
    <w:rsid w:val="00C407CD"/>
    <w:rsid w:val="00C414C9"/>
    <w:rsid w:val="00C503CE"/>
    <w:rsid w:val="00C5310C"/>
    <w:rsid w:val="00C53639"/>
    <w:rsid w:val="00C560CB"/>
    <w:rsid w:val="00C5671F"/>
    <w:rsid w:val="00C56FB9"/>
    <w:rsid w:val="00C57965"/>
    <w:rsid w:val="00C60249"/>
    <w:rsid w:val="00C64052"/>
    <w:rsid w:val="00C64220"/>
    <w:rsid w:val="00C64BC7"/>
    <w:rsid w:val="00C65E65"/>
    <w:rsid w:val="00C6747F"/>
    <w:rsid w:val="00C70583"/>
    <w:rsid w:val="00C70807"/>
    <w:rsid w:val="00C71835"/>
    <w:rsid w:val="00C72DE1"/>
    <w:rsid w:val="00C75314"/>
    <w:rsid w:val="00C759E8"/>
    <w:rsid w:val="00C766C5"/>
    <w:rsid w:val="00C76AA9"/>
    <w:rsid w:val="00C80FF0"/>
    <w:rsid w:val="00C81CB2"/>
    <w:rsid w:val="00C840E8"/>
    <w:rsid w:val="00C84C51"/>
    <w:rsid w:val="00C911EE"/>
    <w:rsid w:val="00C96D22"/>
    <w:rsid w:val="00C97826"/>
    <w:rsid w:val="00CA1983"/>
    <w:rsid w:val="00CA4E23"/>
    <w:rsid w:val="00CA5480"/>
    <w:rsid w:val="00CA5739"/>
    <w:rsid w:val="00CA608D"/>
    <w:rsid w:val="00CB3E76"/>
    <w:rsid w:val="00CB60A8"/>
    <w:rsid w:val="00CB7B94"/>
    <w:rsid w:val="00CC59F8"/>
    <w:rsid w:val="00CC5F07"/>
    <w:rsid w:val="00CC67F2"/>
    <w:rsid w:val="00CC7A89"/>
    <w:rsid w:val="00CD2E99"/>
    <w:rsid w:val="00CE563D"/>
    <w:rsid w:val="00CE7EEA"/>
    <w:rsid w:val="00CF0BBF"/>
    <w:rsid w:val="00CF12AF"/>
    <w:rsid w:val="00CF242E"/>
    <w:rsid w:val="00CF33D8"/>
    <w:rsid w:val="00CF7313"/>
    <w:rsid w:val="00D00443"/>
    <w:rsid w:val="00D02FDD"/>
    <w:rsid w:val="00D03196"/>
    <w:rsid w:val="00D0622E"/>
    <w:rsid w:val="00D07D7A"/>
    <w:rsid w:val="00D10B75"/>
    <w:rsid w:val="00D11F6B"/>
    <w:rsid w:val="00D124AD"/>
    <w:rsid w:val="00D12AA1"/>
    <w:rsid w:val="00D145A6"/>
    <w:rsid w:val="00D1644A"/>
    <w:rsid w:val="00D17017"/>
    <w:rsid w:val="00D20206"/>
    <w:rsid w:val="00D20E72"/>
    <w:rsid w:val="00D226ED"/>
    <w:rsid w:val="00D226F5"/>
    <w:rsid w:val="00D22E17"/>
    <w:rsid w:val="00D23167"/>
    <w:rsid w:val="00D23E3B"/>
    <w:rsid w:val="00D25481"/>
    <w:rsid w:val="00D267B3"/>
    <w:rsid w:val="00D274D9"/>
    <w:rsid w:val="00D27ED1"/>
    <w:rsid w:val="00D30C75"/>
    <w:rsid w:val="00D3586F"/>
    <w:rsid w:val="00D3709D"/>
    <w:rsid w:val="00D42CFA"/>
    <w:rsid w:val="00D43DA8"/>
    <w:rsid w:val="00D452E5"/>
    <w:rsid w:val="00D45878"/>
    <w:rsid w:val="00D46946"/>
    <w:rsid w:val="00D51EC6"/>
    <w:rsid w:val="00D53598"/>
    <w:rsid w:val="00D54DFE"/>
    <w:rsid w:val="00D55AF4"/>
    <w:rsid w:val="00D57121"/>
    <w:rsid w:val="00D60F98"/>
    <w:rsid w:val="00D61527"/>
    <w:rsid w:val="00D61A1B"/>
    <w:rsid w:val="00D61D2D"/>
    <w:rsid w:val="00D624DE"/>
    <w:rsid w:val="00D64C16"/>
    <w:rsid w:val="00D714E3"/>
    <w:rsid w:val="00D72E54"/>
    <w:rsid w:val="00D80003"/>
    <w:rsid w:val="00D81A2D"/>
    <w:rsid w:val="00D82940"/>
    <w:rsid w:val="00D82B34"/>
    <w:rsid w:val="00D9609A"/>
    <w:rsid w:val="00DA1391"/>
    <w:rsid w:val="00DA5402"/>
    <w:rsid w:val="00DA79E9"/>
    <w:rsid w:val="00DA7E4A"/>
    <w:rsid w:val="00DB52A7"/>
    <w:rsid w:val="00DB53A3"/>
    <w:rsid w:val="00DB5D79"/>
    <w:rsid w:val="00DB6880"/>
    <w:rsid w:val="00DC5205"/>
    <w:rsid w:val="00DC6162"/>
    <w:rsid w:val="00DD193B"/>
    <w:rsid w:val="00DD27A5"/>
    <w:rsid w:val="00DD3607"/>
    <w:rsid w:val="00DD48BB"/>
    <w:rsid w:val="00DD4BE9"/>
    <w:rsid w:val="00DE0011"/>
    <w:rsid w:val="00DE43B8"/>
    <w:rsid w:val="00DE5CFE"/>
    <w:rsid w:val="00DE6DCA"/>
    <w:rsid w:val="00DE7A07"/>
    <w:rsid w:val="00DF3C92"/>
    <w:rsid w:val="00E0234B"/>
    <w:rsid w:val="00E02EDA"/>
    <w:rsid w:val="00E0504A"/>
    <w:rsid w:val="00E067E0"/>
    <w:rsid w:val="00E06A6D"/>
    <w:rsid w:val="00E07BBC"/>
    <w:rsid w:val="00E12C36"/>
    <w:rsid w:val="00E12FDA"/>
    <w:rsid w:val="00E13FB5"/>
    <w:rsid w:val="00E14F5C"/>
    <w:rsid w:val="00E16D94"/>
    <w:rsid w:val="00E2098F"/>
    <w:rsid w:val="00E279DB"/>
    <w:rsid w:val="00E3107B"/>
    <w:rsid w:val="00E31FF6"/>
    <w:rsid w:val="00E34222"/>
    <w:rsid w:val="00E34D29"/>
    <w:rsid w:val="00E35613"/>
    <w:rsid w:val="00E36537"/>
    <w:rsid w:val="00E37E85"/>
    <w:rsid w:val="00E428D9"/>
    <w:rsid w:val="00E446F7"/>
    <w:rsid w:val="00E447F6"/>
    <w:rsid w:val="00E44BEB"/>
    <w:rsid w:val="00E46AE8"/>
    <w:rsid w:val="00E500E8"/>
    <w:rsid w:val="00E50844"/>
    <w:rsid w:val="00E50BBF"/>
    <w:rsid w:val="00E50C0B"/>
    <w:rsid w:val="00E5398A"/>
    <w:rsid w:val="00E540B8"/>
    <w:rsid w:val="00E60502"/>
    <w:rsid w:val="00E60813"/>
    <w:rsid w:val="00E60F1B"/>
    <w:rsid w:val="00E70F3C"/>
    <w:rsid w:val="00E73EB2"/>
    <w:rsid w:val="00E74A36"/>
    <w:rsid w:val="00E76D9E"/>
    <w:rsid w:val="00E773FE"/>
    <w:rsid w:val="00E77A9C"/>
    <w:rsid w:val="00E8067D"/>
    <w:rsid w:val="00E81A00"/>
    <w:rsid w:val="00E844D8"/>
    <w:rsid w:val="00E8587D"/>
    <w:rsid w:val="00E85E4C"/>
    <w:rsid w:val="00E869EE"/>
    <w:rsid w:val="00E86B05"/>
    <w:rsid w:val="00E900D4"/>
    <w:rsid w:val="00E94C63"/>
    <w:rsid w:val="00E974EC"/>
    <w:rsid w:val="00EA09E3"/>
    <w:rsid w:val="00EA0ABB"/>
    <w:rsid w:val="00EA40A5"/>
    <w:rsid w:val="00EA4690"/>
    <w:rsid w:val="00EB1D92"/>
    <w:rsid w:val="00EB2408"/>
    <w:rsid w:val="00EB4B00"/>
    <w:rsid w:val="00EB5C27"/>
    <w:rsid w:val="00EC0A47"/>
    <w:rsid w:val="00EC0C1A"/>
    <w:rsid w:val="00EC13BB"/>
    <w:rsid w:val="00EC1A60"/>
    <w:rsid w:val="00EC2485"/>
    <w:rsid w:val="00EC3540"/>
    <w:rsid w:val="00EC3BBD"/>
    <w:rsid w:val="00EC4019"/>
    <w:rsid w:val="00EC5256"/>
    <w:rsid w:val="00EC5882"/>
    <w:rsid w:val="00ED01EB"/>
    <w:rsid w:val="00ED1A97"/>
    <w:rsid w:val="00ED2EA3"/>
    <w:rsid w:val="00ED5430"/>
    <w:rsid w:val="00ED6760"/>
    <w:rsid w:val="00EE0974"/>
    <w:rsid w:val="00EE1F4B"/>
    <w:rsid w:val="00EE2AF8"/>
    <w:rsid w:val="00EE583E"/>
    <w:rsid w:val="00EE5C57"/>
    <w:rsid w:val="00EF2799"/>
    <w:rsid w:val="00EF2F2F"/>
    <w:rsid w:val="00EF37A6"/>
    <w:rsid w:val="00EF3B68"/>
    <w:rsid w:val="00EF6213"/>
    <w:rsid w:val="00F00A20"/>
    <w:rsid w:val="00F00F28"/>
    <w:rsid w:val="00F02FF9"/>
    <w:rsid w:val="00F036A5"/>
    <w:rsid w:val="00F06AA7"/>
    <w:rsid w:val="00F06F46"/>
    <w:rsid w:val="00F1369F"/>
    <w:rsid w:val="00F17492"/>
    <w:rsid w:val="00F20E76"/>
    <w:rsid w:val="00F20E7F"/>
    <w:rsid w:val="00F23492"/>
    <w:rsid w:val="00F23B4A"/>
    <w:rsid w:val="00F2598A"/>
    <w:rsid w:val="00F261E9"/>
    <w:rsid w:val="00F35045"/>
    <w:rsid w:val="00F351AB"/>
    <w:rsid w:val="00F36587"/>
    <w:rsid w:val="00F3724B"/>
    <w:rsid w:val="00F414AD"/>
    <w:rsid w:val="00F41710"/>
    <w:rsid w:val="00F41E5A"/>
    <w:rsid w:val="00F4251B"/>
    <w:rsid w:val="00F435ED"/>
    <w:rsid w:val="00F43600"/>
    <w:rsid w:val="00F43D7A"/>
    <w:rsid w:val="00F4789C"/>
    <w:rsid w:val="00F47B39"/>
    <w:rsid w:val="00F50031"/>
    <w:rsid w:val="00F54AAF"/>
    <w:rsid w:val="00F5503C"/>
    <w:rsid w:val="00F55588"/>
    <w:rsid w:val="00F603A8"/>
    <w:rsid w:val="00F63BEE"/>
    <w:rsid w:val="00F66BB7"/>
    <w:rsid w:val="00F67911"/>
    <w:rsid w:val="00F67ADB"/>
    <w:rsid w:val="00F707FD"/>
    <w:rsid w:val="00F71759"/>
    <w:rsid w:val="00F71A7F"/>
    <w:rsid w:val="00F73748"/>
    <w:rsid w:val="00F7556A"/>
    <w:rsid w:val="00F778F4"/>
    <w:rsid w:val="00F81FDA"/>
    <w:rsid w:val="00F824CE"/>
    <w:rsid w:val="00F839D0"/>
    <w:rsid w:val="00F83E2E"/>
    <w:rsid w:val="00F851D1"/>
    <w:rsid w:val="00F865FF"/>
    <w:rsid w:val="00F87171"/>
    <w:rsid w:val="00F8790A"/>
    <w:rsid w:val="00F907AC"/>
    <w:rsid w:val="00F913BE"/>
    <w:rsid w:val="00F91B44"/>
    <w:rsid w:val="00F91F38"/>
    <w:rsid w:val="00F928A5"/>
    <w:rsid w:val="00F95E0D"/>
    <w:rsid w:val="00FA07A0"/>
    <w:rsid w:val="00FA186A"/>
    <w:rsid w:val="00FA5720"/>
    <w:rsid w:val="00FA6381"/>
    <w:rsid w:val="00FA728D"/>
    <w:rsid w:val="00FB0D41"/>
    <w:rsid w:val="00FB1359"/>
    <w:rsid w:val="00FB17E3"/>
    <w:rsid w:val="00FB2EDB"/>
    <w:rsid w:val="00FB3175"/>
    <w:rsid w:val="00FB4969"/>
    <w:rsid w:val="00FB4D93"/>
    <w:rsid w:val="00FB60D9"/>
    <w:rsid w:val="00FB6FC5"/>
    <w:rsid w:val="00FB7EA2"/>
    <w:rsid w:val="00FC081B"/>
    <w:rsid w:val="00FC0E4F"/>
    <w:rsid w:val="00FC4C69"/>
    <w:rsid w:val="00FC76B9"/>
    <w:rsid w:val="00FD1D1C"/>
    <w:rsid w:val="00FD3886"/>
    <w:rsid w:val="00FD4318"/>
    <w:rsid w:val="00FD75C8"/>
    <w:rsid w:val="00FE22B9"/>
    <w:rsid w:val="00FF081F"/>
    <w:rsid w:val="00FF29C0"/>
    <w:rsid w:val="00FF3DD2"/>
    <w:rsid w:val="00FF4947"/>
    <w:rsid w:val="00FF4F65"/>
    <w:rsid w:val="00FF5F4D"/>
    <w:rsid w:val="00FF64A3"/>
    <w:rsid w:val="00FF64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AC88A8"/>
  <w15:chartTrackingRefBased/>
  <w15:docId w15:val="{F45E16D1-5322-4027-9C87-DD11D828B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9AF"/>
    <w:pPr>
      <w:spacing w:line="259"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AE1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1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1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E1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E1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1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1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E1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E1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8CB"/>
    <w:rPr>
      <w:rFonts w:eastAsiaTheme="majorEastAsia" w:cstheme="majorBidi"/>
      <w:color w:val="272727" w:themeColor="text1" w:themeTint="D8"/>
    </w:rPr>
  </w:style>
  <w:style w:type="paragraph" w:styleId="Title">
    <w:name w:val="Title"/>
    <w:basedOn w:val="Normal"/>
    <w:next w:val="Normal"/>
    <w:link w:val="TitleChar"/>
    <w:uiPriority w:val="10"/>
    <w:qFormat/>
    <w:rsid w:val="00AE1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8CB"/>
    <w:pPr>
      <w:spacing w:before="160"/>
      <w:jc w:val="center"/>
    </w:pPr>
    <w:rPr>
      <w:i/>
      <w:iCs/>
      <w:color w:val="404040" w:themeColor="text1" w:themeTint="BF"/>
    </w:rPr>
  </w:style>
  <w:style w:type="character" w:customStyle="1" w:styleId="QuoteChar">
    <w:name w:val="Quote Char"/>
    <w:basedOn w:val="DefaultParagraphFont"/>
    <w:link w:val="Quote"/>
    <w:uiPriority w:val="29"/>
    <w:rsid w:val="00AE18CB"/>
    <w:rPr>
      <w:i/>
      <w:iCs/>
      <w:color w:val="404040" w:themeColor="text1" w:themeTint="BF"/>
    </w:rPr>
  </w:style>
  <w:style w:type="paragraph" w:styleId="ListParagraph">
    <w:name w:val="List Paragraph"/>
    <w:basedOn w:val="Normal"/>
    <w:uiPriority w:val="34"/>
    <w:qFormat/>
    <w:rsid w:val="00AE18CB"/>
    <w:pPr>
      <w:ind w:left="720"/>
      <w:contextualSpacing/>
    </w:pPr>
  </w:style>
  <w:style w:type="character" w:styleId="IntenseEmphasis">
    <w:name w:val="Intense Emphasis"/>
    <w:basedOn w:val="DefaultParagraphFont"/>
    <w:uiPriority w:val="21"/>
    <w:qFormat/>
    <w:rsid w:val="00AE18CB"/>
    <w:rPr>
      <w:i/>
      <w:iCs/>
      <w:color w:val="0F4761" w:themeColor="accent1" w:themeShade="BF"/>
    </w:rPr>
  </w:style>
  <w:style w:type="paragraph" w:styleId="IntenseQuote">
    <w:name w:val="Intense Quote"/>
    <w:basedOn w:val="Normal"/>
    <w:next w:val="Normal"/>
    <w:link w:val="IntenseQuoteChar"/>
    <w:uiPriority w:val="30"/>
    <w:qFormat/>
    <w:rsid w:val="00AE1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8CB"/>
    <w:rPr>
      <w:i/>
      <w:iCs/>
      <w:color w:val="0F4761" w:themeColor="accent1" w:themeShade="BF"/>
    </w:rPr>
  </w:style>
  <w:style w:type="character" w:styleId="IntenseReference">
    <w:name w:val="Intense Reference"/>
    <w:basedOn w:val="DefaultParagraphFont"/>
    <w:uiPriority w:val="32"/>
    <w:qFormat/>
    <w:rsid w:val="00AE18CB"/>
    <w:rPr>
      <w:b/>
      <w:bCs/>
      <w:smallCaps/>
      <w:color w:val="0F4761" w:themeColor="accent1" w:themeShade="BF"/>
      <w:spacing w:val="5"/>
    </w:rPr>
  </w:style>
  <w:style w:type="paragraph" w:styleId="TOCHeading">
    <w:name w:val="TOC Heading"/>
    <w:basedOn w:val="Heading1"/>
    <w:next w:val="Normal"/>
    <w:uiPriority w:val="39"/>
    <w:unhideWhenUsed/>
    <w:qFormat/>
    <w:rsid w:val="00AF75DE"/>
    <w:pPr>
      <w:spacing w:before="240" w:after="0"/>
      <w:outlineLvl w:val="9"/>
    </w:pPr>
    <w:rPr>
      <w:sz w:val="32"/>
      <w:szCs w:val="32"/>
      <w:lang w:eastAsia="en-GB"/>
    </w:rPr>
  </w:style>
  <w:style w:type="paragraph" w:styleId="TOC1">
    <w:name w:val="toc 1"/>
    <w:basedOn w:val="Normal"/>
    <w:next w:val="Normal"/>
    <w:autoRedefine/>
    <w:uiPriority w:val="39"/>
    <w:unhideWhenUsed/>
    <w:rsid w:val="000D79C5"/>
    <w:pPr>
      <w:spacing w:after="100"/>
    </w:pPr>
  </w:style>
  <w:style w:type="character" w:styleId="Hyperlink">
    <w:name w:val="Hyperlink"/>
    <w:basedOn w:val="DefaultParagraphFont"/>
    <w:uiPriority w:val="99"/>
    <w:unhideWhenUsed/>
    <w:rsid w:val="000D79C5"/>
    <w:rPr>
      <w:color w:val="467886" w:themeColor="hyperlink"/>
      <w:u w:val="single"/>
    </w:rPr>
  </w:style>
  <w:style w:type="paragraph" w:styleId="TOC2">
    <w:name w:val="toc 2"/>
    <w:basedOn w:val="Normal"/>
    <w:next w:val="Normal"/>
    <w:autoRedefine/>
    <w:uiPriority w:val="39"/>
    <w:unhideWhenUsed/>
    <w:rsid w:val="00416854"/>
    <w:pPr>
      <w:tabs>
        <w:tab w:val="right" w:leader="dot" w:pos="9016"/>
      </w:tabs>
      <w:spacing w:after="100"/>
      <w:ind w:left="220"/>
      <w:jc w:val="both"/>
    </w:pPr>
  </w:style>
  <w:style w:type="paragraph" w:styleId="TOC3">
    <w:name w:val="toc 3"/>
    <w:basedOn w:val="Normal"/>
    <w:next w:val="Normal"/>
    <w:autoRedefine/>
    <w:uiPriority w:val="39"/>
    <w:unhideWhenUsed/>
    <w:rsid w:val="009C558F"/>
    <w:pPr>
      <w:spacing w:after="100"/>
      <w:ind w:left="440"/>
    </w:pPr>
  </w:style>
  <w:style w:type="paragraph" w:styleId="TOC4">
    <w:name w:val="toc 4"/>
    <w:basedOn w:val="Normal"/>
    <w:next w:val="Normal"/>
    <w:autoRedefine/>
    <w:uiPriority w:val="39"/>
    <w:unhideWhenUsed/>
    <w:rsid w:val="00BE01B9"/>
    <w:pPr>
      <w:spacing w:after="100"/>
      <w:ind w:left="660"/>
    </w:pPr>
  </w:style>
  <w:style w:type="paragraph" w:styleId="TOC5">
    <w:name w:val="toc 5"/>
    <w:basedOn w:val="Normal"/>
    <w:next w:val="Normal"/>
    <w:autoRedefine/>
    <w:uiPriority w:val="39"/>
    <w:unhideWhenUsed/>
    <w:rsid w:val="00BE01B9"/>
    <w:pPr>
      <w:spacing w:after="100"/>
      <w:ind w:left="880"/>
    </w:pPr>
  </w:style>
  <w:style w:type="paragraph" w:styleId="Caption">
    <w:name w:val="caption"/>
    <w:basedOn w:val="Normal"/>
    <w:next w:val="Normal"/>
    <w:uiPriority w:val="35"/>
    <w:unhideWhenUsed/>
    <w:qFormat/>
    <w:rsid w:val="00EC1A6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043B6"/>
    <w:pPr>
      <w:spacing w:after="0"/>
    </w:pPr>
  </w:style>
  <w:style w:type="paragraph" w:styleId="NormalWeb">
    <w:name w:val="Normal (Web)"/>
    <w:basedOn w:val="Normal"/>
    <w:uiPriority w:val="99"/>
    <w:semiHidden/>
    <w:unhideWhenUsed/>
    <w:rsid w:val="001B22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2204"/>
    <w:rPr>
      <w:b/>
      <w:bCs/>
    </w:rPr>
  </w:style>
  <w:style w:type="table" w:styleId="TableGrid">
    <w:name w:val="Table Grid"/>
    <w:basedOn w:val="TableNormal"/>
    <w:uiPriority w:val="39"/>
    <w:rsid w:val="00E16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967A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B0D4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6930B3"/>
    <w:rPr>
      <w:color w:val="605E5C"/>
      <w:shd w:val="clear" w:color="auto" w:fill="E1DFDD"/>
    </w:rPr>
  </w:style>
  <w:style w:type="table" w:styleId="TableGridLight">
    <w:name w:val="Grid Table Light"/>
    <w:basedOn w:val="TableNormal"/>
    <w:uiPriority w:val="40"/>
    <w:rsid w:val="0002101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02101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B24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2DF"/>
    <w:rPr>
      <w:rFonts w:eastAsiaTheme="minorEastAsia"/>
      <w:kern w:val="0"/>
      <w:sz w:val="22"/>
      <w:szCs w:val="22"/>
      <w14:ligatures w14:val="none"/>
    </w:rPr>
  </w:style>
  <w:style w:type="paragraph" w:styleId="Footer">
    <w:name w:val="footer"/>
    <w:basedOn w:val="Normal"/>
    <w:link w:val="FooterChar"/>
    <w:uiPriority w:val="99"/>
    <w:unhideWhenUsed/>
    <w:rsid w:val="00B24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2DF"/>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4690">
      <w:bodyDiv w:val="1"/>
      <w:marLeft w:val="0"/>
      <w:marRight w:val="0"/>
      <w:marTop w:val="0"/>
      <w:marBottom w:val="0"/>
      <w:divBdr>
        <w:top w:val="none" w:sz="0" w:space="0" w:color="auto"/>
        <w:left w:val="none" w:sz="0" w:space="0" w:color="auto"/>
        <w:bottom w:val="none" w:sz="0" w:space="0" w:color="auto"/>
        <w:right w:val="none" w:sz="0" w:space="0" w:color="auto"/>
      </w:divBdr>
    </w:div>
    <w:div w:id="7371714">
      <w:bodyDiv w:val="1"/>
      <w:marLeft w:val="0"/>
      <w:marRight w:val="0"/>
      <w:marTop w:val="0"/>
      <w:marBottom w:val="0"/>
      <w:divBdr>
        <w:top w:val="none" w:sz="0" w:space="0" w:color="auto"/>
        <w:left w:val="none" w:sz="0" w:space="0" w:color="auto"/>
        <w:bottom w:val="none" w:sz="0" w:space="0" w:color="auto"/>
        <w:right w:val="none" w:sz="0" w:space="0" w:color="auto"/>
      </w:divBdr>
    </w:div>
    <w:div w:id="9532442">
      <w:bodyDiv w:val="1"/>
      <w:marLeft w:val="0"/>
      <w:marRight w:val="0"/>
      <w:marTop w:val="0"/>
      <w:marBottom w:val="0"/>
      <w:divBdr>
        <w:top w:val="none" w:sz="0" w:space="0" w:color="auto"/>
        <w:left w:val="none" w:sz="0" w:space="0" w:color="auto"/>
        <w:bottom w:val="none" w:sz="0" w:space="0" w:color="auto"/>
        <w:right w:val="none" w:sz="0" w:space="0" w:color="auto"/>
      </w:divBdr>
    </w:div>
    <w:div w:id="9720206">
      <w:bodyDiv w:val="1"/>
      <w:marLeft w:val="0"/>
      <w:marRight w:val="0"/>
      <w:marTop w:val="0"/>
      <w:marBottom w:val="0"/>
      <w:divBdr>
        <w:top w:val="none" w:sz="0" w:space="0" w:color="auto"/>
        <w:left w:val="none" w:sz="0" w:space="0" w:color="auto"/>
        <w:bottom w:val="none" w:sz="0" w:space="0" w:color="auto"/>
        <w:right w:val="none" w:sz="0" w:space="0" w:color="auto"/>
      </w:divBdr>
    </w:div>
    <w:div w:id="11687972">
      <w:bodyDiv w:val="1"/>
      <w:marLeft w:val="0"/>
      <w:marRight w:val="0"/>
      <w:marTop w:val="0"/>
      <w:marBottom w:val="0"/>
      <w:divBdr>
        <w:top w:val="none" w:sz="0" w:space="0" w:color="auto"/>
        <w:left w:val="none" w:sz="0" w:space="0" w:color="auto"/>
        <w:bottom w:val="none" w:sz="0" w:space="0" w:color="auto"/>
        <w:right w:val="none" w:sz="0" w:space="0" w:color="auto"/>
      </w:divBdr>
    </w:div>
    <w:div w:id="12461010">
      <w:bodyDiv w:val="1"/>
      <w:marLeft w:val="0"/>
      <w:marRight w:val="0"/>
      <w:marTop w:val="0"/>
      <w:marBottom w:val="0"/>
      <w:divBdr>
        <w:top w:val="none" w:sz="0" w:space="0" w:color="auto"/>
        <w:left w:val="none" w:sz="0" w:space="0" w:color="auto"/>
        <w:bottom w:val="none" w:sz="0" w:space="0" w:color="auto"/>
        <w:right w:val="none" w:sz="0" w:space="0" w:color="auto"/>
      </w:divBdr>
    </w:div>
    <w:div w:id="18968702">
      <w:bodyDiv w:val="1"/>
      <w:marLeft w:val="0"/>
      <w:marRight w:val="0"/>
      <w:marTop w:val="0"/>
      <w:marBottom w:val="0"/>
      <w:divBdr>
        <w:top w:val="none" w:sz="0" w:space="0" w:color="auto"/>
        <w:left w:val="none" w:sz="0" w:space="0" w:color="auto"/>
        <w:bottom w:val="none" w:sz="0" w:space="0" w:color="auto"/>
        <w:right w:val="none" w:sz="0" w:space="0" w:color="auto"/>
      </w:divBdr>
    </w:div>
    <w:div w:id="22480705">
      <w:bodyDiv w:val="1"/>
      <w:marLeft w:val="0"/>
      <w:marRight w:val="0"/>
      <w:marTop w:val="0"/>
      <w:marBottom w:val="0"/>
      <w:divBdr>
        <w:top w:val="none" w:sz="0" w:space="0" w:color="auto"/>
        <w:left w:val="none" w:sz="0" w:space="0" w:color="auto"/>
        <w:bottom w:val="none" w:sz="0" w:space="0" w:color="auto"/>
        <w:right w:val="none" w:sz="0" w:space="0" w:color="auto"/>
      </w:divBdr>
    </w:div>
    <w:div w:id="26412533">
      <w:bodyDiv w:val="1"/>
      <w:marLeft w:val="0"/>
      <w:marRight w:val="0"/>
      <w:marTop w:val="0"/>
      <w:marBottom w:val="0"/>
      <w:divBdr>
        <w:top w:val="none" w:sz="0" w:space="0" w:color="auto"/>
        <w:left w:val="none" w:sz="0" w:space="0" w:color="auto"/>
        <w:bottom w:val="none" w:sz="0" w:space="0" w:color="auto"/>
        <w:right w:val="none" w:sz="0" w:space="0" w:color="auto"/>
      </w:divBdr>
    </w:div>
    <w:div w:id="29690406">
      <w:bodyDiv w:val="1"/>
      <w:marLeft w:val="0"/>
      <w:marRight w:val="0"/>
      <w:marTop w:val="0"/>
      <w:marBottom w:val="0"/>
      <w:divBdr>
        <w:top w:val="none" w:sz="0" w:space="0" w:color="auto"/>
        <w:left w:val="none" w:sz="0" w:space="0" w:color="auto"/>
        <w:bottom w:val="none" w:sz="0" w:space="0" w:color="auto"/>
        <w:right w:val="none" w:sz="0" w:space="0" w:color="auto"/>
      </w:divBdr>
    </w:div>
    <w:div w:id="30541102">
      <w:bodyDiv w:val="1"/>
      <w:marLeft w:val="0"/>
      <w:marRight w:val="0"/>
      <w:marTop w:val="0"/>
      <w:marBottom w:val="0"/>
      <w:divBdr>
        <w:top w:val="none" w:sz="0" w:space="0" w:color="auto"/>
        <w:left w:val="none" w:sz="0" w:space="0" w:color="auto"/>
        <w:bottom w:val="none" w:sz="0" w:space="0" w:color="auto"/>
        <w:right w:val="none" w:sz="0" w:space="0" w:color="auto"/>
      </w:divBdr>
    </w:div>
    <w:div w:id="34812891">
      <w:bodyDiv w:val="1"/>
      <w:marLeft w:val="0"/>
      <w:marRight w:val="0"/>
      <w:marTop w:val="0"/>
      <w:marBottom w:val="0"/>
      <w:divBdr>
        <w:top w:val="none" w:sz="0" w:space="0" w:color="auto"/>
        <w:left w:val="none" w:sz="0" w:space="0" w:color="auto"/>
        <w:bottom w:val="none" w:sz="0" w:space="0" w:color="auto"/>
        <w:right w:val="none" w:sz="0" w:space="0" w:color="auto"/>
      </w:divBdr>
    </w:div>
    <w:div w:id="36324002">
      <w:bodyDiv w:val="1"/>
      <w:marLeft w:val="0"/>
      <w:marRight w:val="0"/>
      <w:marTop w:val="0"/>
      <w:marBottom w:val="0"/>
      <w:divBdr>
        <w:top w:val="none" w:sz="0" w:space="0" w:color="auto"/>
        <w:left w:val="none" w:sz="0" w:space="0" w:color="auto"/>
        <w:bottom w:val="none" w:sz="0" w:space="0" w:color="auto"/>
        <w:right w:val="none" w:sz="0" w:space="0" w:color="auto"/>
      </w:divBdr>
    </w:div>
    <w:div w:id="42415245">
      <w:bodyDiv w:val="1"/>
      <w:marLeft w:val="0"/>
      <w:marRight w:val="0"/>
      <w:marTop w:val="0"/>
      <w:marBottom w:val="0"/>
      <w:divBdr>
        <w:top w:val="none" w:sz="0" w:space="0" w:color="auto"/>
        <w:left w:val="none" w:sz="0" w:space="0" w:color="auto"/>
        <w:bottom w:val="none" w:sz="0" w:space="0" w:color="auto"/>
        <w:right w:val="none" w:sz="0" w:space="0" w:color="auto"/>
      </w:divBdr>
    </w:div>
    <w:div w:id="43023482">
      <w:bodyDiv w:val="1"/>
      <w:marLeft w:val="0"/>
      <w:marRight w:val="0"/>
      <w:marTop w:val="0"/>
      <w:marBottom w:val="0"/>
      <w:divBdr>
        <w:top w:val="none" w:sz="0" w:space="0" w:color="auto"/>
        <w:left w:val="none" w:sz="0" w:space="0" w:color="auto"/>
        <w:bottom w:val="none" w:sz="0" w:space="0" w:color="auto"/>
        <w:right w:val="none" w:sz="0" w:space="0" w:color="auto"/>
      </w:divBdr>
    </w:div>
    <w:div w:id="46536347">
      <w:bodyDiv w:val="1"/>
      <w:marLeft w:val="0"/>
      <w:marRight w:val="0"/>
      <w:marTop w:val="0"/>
      <w:marBottom w:val="0"/>
      <w:divBdr>
        <w:top w:val="none" w:sz="0" w:space="0" w:color="auto"/>
        <w:left w:val="none" w:sz="0" w:space="0" w:color="auto"/>
        <w:bottom w:val="none" w:sz="0" w:space="0" w:color="auto"/>
        <w:right w:val="none" w:sz="0" w:space="0" w:color="auto"/>
      </w:divBdr>
    </w:div>
    <w:div w:id="51202679">
      <w:bodyDiv w:val="1"/>
      <w:marLeft w:val="0"/>
      <w:marRight w:val="0"/>
      <w:marTop w:val="0"/>
      <w:marBottom w:val="0"/>
      <w:divBdr>
        <w:top w:val="none" w:sz="0" w:space="0" w:color="auto"/>
        <w:left w:val="none" w:sz="0" w:space="0" w:color="auto"/>
        <w:bottom w:val="none" w:sz="0" w:space="0" w:color="auto"/>
        <w:right w:val="none" w:sz="0" w:space="0" w:color="auto"/>
      </w:divBdr>
    </w:div>
    <w:div w:id="61606030">
      <w:bodyDiv w:val="1"/>
      <w:marLeft w:val="0"/>
      <w:marRight w:val="0"/>
      <w:marTop w:val="0"/>
      <w:marBottom w:val="0"/>
      <w:divBdr>
        <w:top w:val="none" w:sz="0" w:space="0" w:color="auto"/>
        <w:left w:val="none" w:sz="0" w:space="0" w:color="auto"/>
        <w:bottom w:val="none" w:sz="0" w:space="0" w:color="auto"/>
        <w:right w:val="none" w:sz="0" w:space="0" w:color="auto"/>
      </w:divBdr>
    </w:div>
    <w:div w:id="68844472">
      <w:bodyDiv w:val="1"/>
      <w:marLeft w:val="0"/>
      <w:marRight w:val="0"/>
      <w:marTop w:val="0"/>
      <w:marBottom w:val="0"/>
      <w:divBdr>
        <w:top w:val="none" w:sz="0" w:space="0" w:color="auto"/>
        <w:left w:val="none" w:sz="0" w:space="0" w:color="auto"/>
        <w:bottom w:val="none" w:sz="0" w:space="0" w:color="auto"/>
        <w:right w:val="none" w:sz="0" w:space="0" w:color="auto"/>
      </w:divBdr>
    </w:div>
    <w:div w:id="70782772">
      <w:bodyDiv w:val="1"/>
      <w:marLeft w:val="0"/>
      <w:marRight w:val="0"/>
      <w:marTop w:val="0"/>
      <w:marBottom w:val="0"/>
      <w:divBdr>
        <w:top w:val="none" w:sz="0" w:space="0" w:color="auto"/>
        <w:left w:val="none" w:sz="0" w:space="0" w:color="auto"/>
        <w:bottom w:val="none" w:sz="0" w:space="0" w:color="auto"/>
        <w:right w:val="none" w:sz="0" w:space="0" w:color="auto"/>
      </w:divBdr>
    </w:div>
    <w:div w:id="76632151">
      <w:bodyDiv w:val="1"/>
      <w:marLeft w:val="0"/>
      <w:marRight w:val="0"/>
      <w:marTop w:val="0"/>
      <w:marBottom w:val="0"/>
      <w:divBdr>
        <w:top w:val="none" w:sz="0" w:space="0" w:color="auto"/>
        <w:left w:val="none" w:sz="0" w:space="0" w:color="auto"/>
        <w:bottom w:val="none" w:sz="0" w:space="0" w:color="auto"/>
        <w:right w:val="none" w:sz="0" w:space="0" w:color="auto"/>
      </w:divBdr>
    </w:div>
    <w:div w:id="77531767">
      <w:bodyDiv w:val="1"/>
      <w:marLeft w:val="0"/>
      <w:marRight w:val="0"/>
      <w:marTop w:val="0"/>
      <w:marBottom w:val="0"/>
      <w:divBdr>
        <w:top w:val="none" w:sz="0" w:space="0" w:color="auto"/>
        <w:left w:val="none" w:sz="0" w:space="0" w:color="auto"/>
        <w:bottom w:val="none" w:sz="0" w:space="0" w:color="auto"/>
        <w:right w:val="none" w:sz="0" w:space="0" w:color="auto"/>
      </w:divBdr>
    </w:div>
    <w:div w:id="93014063">
      <w:bodyDiv w:val="1"/>
      <w:marLeft w:val="0"/>
      <w:marRight w:val="0"/>
      <w:marTop w:val="0"/>
      <w:marBottom w:val="0"/>
      <w:divBdr>
        <w:top w:val="none" w:sz="0" w:space="0" w:color="auto"/>
        <w:left w:val="none" w:sz="0" w:space="0" w:color="auto"/>
        <w:bottom w:val="none" w:sz="0" w:space="0" w:color="auto"/>
        <w:right w:val="none" w:sz="0" w:space="0" w:color="auto"/>
      </w:divBdr>
    </w:div>
    <w:div w:id="132524782">
      <w:bodyDiv w:val="1"/>
      <w:marLeft w:val="0"/>
      <w:marRight w:val="0"/>
      <w:marTop w:val="0"/>
      <w:marBottom w:val="0"/>
      <w:divBdr>
        <w:top w:val="none" w:sz="0" w:space="0" w:color="auto"/>
        <w:left w:val="none" w:sz="0" w:space="0" w:color="auto"/>
        <w:bottom w:val="none" w:sz="0" w:space="0" w:color="auto"/>
        <w:right w:val="none" w:sz="0" w:space="0" w:color="auto"/>
      </w:divBdr>
    </w:div>
    <w:div w:id="134807981">
      <w:bodyDiv w:val="1"/>
      <w:marLeft w:val="0"/>
      <w:marRight w:val="0"/>
      <w:marTop w:val="0"/>
      <w:marBottom w:val="0"/>
      <w:divBdr>
        <w:top w:val="none" w:sz="0" w:space="0" w:color="auto"/>
        <w:left w:val="none" w:sz="0" w:space="0" w:color="auto"/>
        <w:bottom w:val="none" w:sz="0" w:space="0" w:color="auto"/>
        <w:right w:val="none" w:sz="0" w:space="0" w:color="auto"/>
      </w:divBdr>
    </w:div>
    <w:div w:id="143087287">
      <w:bodyDiv w:val="1"/>
      <w:marLeft w:val="0"/>
      <w:marRight w:val="0"/>
      <w:marTop w:val="0"/>
      <w:marBottom w:val="0"/>
      <w:divBdr>
        <w:top w:val="none" w:sz="0" w:space="0" w:color="auto"/>
        <w:left w:val="none" w:sz="0" w:space="0" w:color="auto"/>
        <w:bottom w:val="none" w:sz="0" w:space="0" w:color="auto"/>
        <w:right w:val="none" w:sz="0" w:space="0" w:color="auto"/>
      </w:divBdr>
    </w:div>
    <w:div w:id="144902283">
      <w:bodyDiv w:val="1"/>
      <w:marLeft w:val="0"/>
      <w:marRight w:val="0"/>
      <w:marTop w:val="0"/>
      <w:marBottom w:val="0"/>
      <w:divBdr>
        <w:top w:val="none" w:sz="0" w:space="0" w:color="auto"/>
        <w:left w:val="none" w:sz="0" w:space="0" w:color="auto"/>
        <w:bottom w:val="none" w:sz="0" w:space="0" w:color="auto"/>
        <w:right w:val="none" w:sz="0" w:space="0" w:color="auto"/>
      </w:divBdr>
    </w:div>
    <w:div w:id="153449759">
      <w:bodyDiv w:val="1"/>
      <w:marLeft w:val="0"/>
      <w:marRight w:val="0"/>
      <w:marTop w:val="0"/>
      <w:marBottom w:val="0"/>
      <w:divBdr>
        <w:top w:val="none" w:sz="0" w:space="0" w:color="auto"/>
        <w:left w:val="none" w:sz="0" w:space="0" w:color="auto"/>
        <w:bottom w:val="none" w:sz="0" w:space="0" w:color="auto"/>
        <w:right w:val="none" w:sz="0" w:space="0" w:color="auto"/>
      </w:divBdr>
    </w:div>
    <w:div w:id="169217970">
      <w:bodyDiv w:val="1"/>
      <w:marLeft w:val="0"/>
      <w:marRight w:val="0"/>
      <w:marTop w:val="0"/>
      <w:marBottom w:val="0"/>
      <w:divBdr>
        <w:top w:val="none" w:sz="0" w:space="0" w:color="auto"/>
        <w:left w:val="none" w:sz="0" w:space="0" w:color="auto"/>
        <w:bottom w:val="none" w:sz="0" w:space="0" w:color="auto"/>
        <w:right w:val="none" w:sz="0" w:space="0" w:color="auto"/>
      </w:divBdr>
      <w:divsChild>
        <w:div w:id="1481001452">
          <w:marLeft w:val="0"/>
          <w:marRight w:val="0"/>
          <w:marTop w:val="0"/>
          <w:marBottom w:val="0"/>
          <w:divBdr>
            <w:top w:val="none" w:sz="0" w:space="0" w:color="auto"/>
            <w:left w:val="none" w:sz="0" w:space="0" w:color="auto"/>
            <w:bottom w:val="none" w:sz="0" w:space="0" w:color="auto"/>
            <w:right w:val="none" w:sz="0" w:space="0" w:color="auto"/>
          </w:divBdr>
        </w:div>
      </w:divsChild>
    </w:div>
    <w:div w:id="174460690">
      <w:bodyDiv w:val="1"/>
      <w:marLeft w:val="0"/>
      <w:marRight w:val="0"/>
      <w:marTop w:val="0"/>
      <w:marBottom w:val="0"/>
      <w:divBdr>
        <w:top w:val="none" w:sz="0" w:space="0" w:color="auto"/>
        <w:left w:val="none" w:sz="0" w:space="0" w:color="auto"/>
        <w:bottom w:val="none" w:sz="0" w:space="0" w:color="auto"/>
        <w:right w:val="none" w:sz="0" w:space="0" w:color="auto"/>
      </w:divBdr>
    </w:div>
    <w:div w:id="177161477">
      <w:bodyDiv w:val="1"/>
      <w:marLeft w:val="0"/>
      <w:marRight w:val="0"/>
      <w:marTop w:val="0"/>
      <w:marBottom w:val="0"/>
      <w:divBdr>
        <w:top w:val="none" w:sz="0" w:space="0" w:color="auto"/>
        <w:left w:val="none" w:sz="0" w:space="0" w:color="auto"/>
        <w:bottom w:val="none" w:sz="0" w:space="0" w:color="auto"/>
        <w:right w:val="none" w:sz="0" w:space="0" w:color="auto"/>
      </w:divBdr>
    </w:div>
    <w:div w:id="180899917">
      <w:bodyDiv w:val="1"/>
      <w:marLeft w:val="0"/>
      <w:marRight w:val="0"/>
      <w:marTop w:val="0"/>
      <w:marBottom w:val="0"/>
      <w:divBdr>
        <w:top w:val="none" w:sz="0" w:space="0" w:color="auto"/>
        <w:left w:val="none" w:sz="0" w:space="0" w:color="auto"/>
        <w:bottom w:val="none" w:sz="0" w:space="0" w:color="auto"/>
        <w:right w:val="none" w:sz="0" w:space="0" w:color="auto"/>
      </w:divBdr>
    </w:div>
    <w:div w:id="185607947">
      <w:bodyDiv w:val="1"/>
      <w:marLeft w:val="0"/>
      <w:marRight w:val="0"/>
      <w:marTop w:val="0"/>
      <w:marBottom w:val="0"/>
      <w:divBdr>
        <w:top w:val="none" w:sz="0" w:space="0" w:color="auto"/>
        <w:left w:val="none" w:sz="0" w:space="0" w:color="auto"/>
        <w:bottom w:val="none" w:sz="0" w:space="0" w:color="auto"/>
        <w:right w:val="none" w:sz="0" w:space="0" w:color="auto"/>
      </w:divBdr>
    </w:div>
    <w:div w:id="190846587">
      <w:bodyDiv w:val="1"/>
      <w:marLeft w:val="0"/>
      <w:marRight w:val="0"/>
      <w:marTop w:val="0"/>
      <w:marBottom w:val="0"/>
      <w:divBdr>
        <w:top w:val="none" w:sz="0" w:space="0" w:color="auto"/>
        <w:left w:val="none" w:sz="0" w:space="0" w:color="auto"/>
        <w:bottom w:val="none" w:sz="0" w:space="0" w:color="auto"/>
        <w:right w:val="none" w:sz="0" w:space="0" w:color="auto"/>
      </w:divBdr>
    </w:div>
    <w:div w:id="192353672">
      <w:bodyDiv w:val="1"/>
      <w:marLeft w:val="0"/>
      <w:marRight w:val="0"/>
      <w:marTop w:val="0"/>
      <w:marBottom w:val="0"/>
      <w:divBdr>
        <w:top w:val="none" w:sz="0" w:space="0" w:color="auto"/>
        <w:left w:val="none" w:sz="0" w:space="0" w:color="auto"/>
        <w:bottom w:val="none" w:sz="0" w:space="0" w:color="auto"/>
        <w:right w:val="none" w:sz="0" w:space="0" w:color="auto"/>
      </w:divBdr>
    </w:div>
    <w:div w:id="197401500">
      <w:bodyDiv w:val="1"/>
      <w:marLeft w:val="0"/>
      <w:marRight w:val="0"/>
      <w:marTop w:val="0"/>
      <w:marBottom w:val="0"/>
      <w:divBdr>
        <w:top w:val="none" w:sz="0" w:space="0" w:color="auto"/>
        <w:left w:val="none" w:sz="0" w:space="0" w:color="auto"/>
        <w:bottom w:val="none" w:sz="0" w:space="0" w:color="auto"/>
        <w:right w:val="none" w:sz="0" w:space="0" w:color="auto"/>
      </w:divBdr>
    </w:div>
    <w:div w:id="209154181">
      <w:bodyDiv w:val="1"/>
      <w:marLeft w:val="0"/>
      <w:marRight w:val="0"/>
      <w:marTop w:val="0"/>
      <w:marBottom w:val="0"/>
      <w:divBdr>
        <w:top w:val="none" w:sz="0" w:space="0" w:color="auto"/>
        <w:left w:val="none" w:sz="0" w:space="0" w:color="auto"/>
        <w:bottom w:val="none" w:sz="0" w:space="0" w:color="auto"/>
        <w:right w:val="none" w:sz="0" w:space="0" w:color="auto"/>
      </w:divBdr>
    </w:div>
    <w:div w:id="213584599">
      <w:bodyDiv w:val="1"/>
      <w:marLeft w:val="0"/>
      <w:marRight w:val="0"/>
      <w:marTop w:val="0"/>
      <w:marBottom w:val="0"/>
      <w:divBdr>
        <w:top w:val="none" w:sz="0" w:space="0" w:color="auto"/>
        <w:left w:val="none" w:sz="0" w:space="0" w:color="auto"/>
        <w:bottom w:val="none" w:sz="0" w:space="0" w:color="auto"/>
        <w:right w:val="none" w:sz="0" w:space="0" w:color="auto"/>
      </w:divBdr>
    </w:div>
    <w:div w:id="236785980">
      <w:bodyDiv w:val="1"/>
      <w:marLeft w:val="0"/>
      <w:marRight w:val="0"/>
      <w:marTop w:val="0"/>
      <w:marBottom w:val="0"/>
      <w:divBdr>
        <w:top w:val="none" w:sz="0" w:space="0" w:color="auto"/>
        <w:left w:val="none" w:sz="0" w:space="0" w:color="auto"/>
        <w:bottom w:val="none" w:sz="0" w:space="0" w:color="auto"/>
        <w:right w:val="none" w:sz="0" w:space="0" w:color="auto"/>
      </w:divBdr>
      <w:divsChild>
        <w:div w:id="1055010279">
          <w:marLeft w:val="0"/>
          <w:marRight w:val="0"/>
          <w:marTop w:val="0"/>
          <w:marBottom w:val="0"/>
          <w:divBdr>
            <w:top w:val="none" w:sz="0" w:space="0" w:color="auto"/>
            <w:left w:val="none" w:sz="0" w:space="0" w:color="auto"/>
            <w:bottom w:val="none" w:sz="0" w:space="0" w:color="auto"/>
            <w:right w:val="none" w:sz="0" w:space="0" w:color="auto"/>
          </w:divBdr>
        </w:div>
      </w:divsChild>
    </w:div>
    <w:div w:id="241912157">
      <w:bodyDiv w:val="1"/>
      <w:marLeft w:val="0"/>
      <w:marRight w:val="0"/>
      <w:marTop w:val="0"/>
      <w:marBottom w:val="0"/>
      <w:divBdr>
        <w:top w:val="none" w:sz="0" w:space="0" w:color="auto"/>
        <w:left w:val="none" w:sz="0" w:space="0" w:color="auto"/>
        <w:bottom w:val="none" w:sz="0" w:space="0" w:color="auto"/>
        <w:right w:val="none" w:sz="0" w:space="0" w:color="auto"/>
      </w:divBdr>
    </w:div>
    <w:div w:id="247690021">
      <w:bodyDiv w:val="1"/>
      <w:marLeft w:val="0"/>
      <w:marRight w:val="0"/>
      <w:marTop w:val="0"/>
      <w:marBottom w:val="0"/>
      <w:divBdr>
        <w:top w:val="none" w:sz="0" w:space="0" w:color="auto"/>
        <w:left w:val="none" w:sz="0" w:space="0" w:color="auto"/>
        <w:bottom w:val="none" w:sz="0" w:space="0" w:color="auto"/>
        <w:right w:val="none" w:sz="0" w:space="0" w:color="auto"/>
      </w:divBdr>
    </w:div>
    <w:div w:id="256867175">
      <w:bodyDiv w:val="1"/>
      <w:marLeft w:val="0"/>
      <w:marRight w:val="0"/>
      <w:marTop w:val="0"/>
      <w:marBottom w:val="0"/>
      <w:divBdr>
        <w:top w:val="none" w:sz="0" w:space="0" w:color="auto"/>
        <w:left w:val="none" w:sz="0" w:space="0" w:color="auto"/>
        <w:bottom w:val="none" w:sz="0" w:space="0" w:color="auto"/>
        <w:right w:val="none" w:sz="0" w:space="0" w:color="auto"/>
      </w:divBdr>
    </w:div>
    <w:div w:id="261455429">
      <w:bodyDiv w:val="1"/>
      <w:marLeft w:val="0"/>
      <w:marRight w:val="0"/>
      <w:marTop w:val="0"/>
      <w:marBottom w:val="0"/>
      <w:divBdr>
        <w:top w:val="none" w:sz="0" w:space="0" w:color="auto"/>
        <w:left w:val="none" w:sz="0" w:space="0" w:color="auto"/>
        <w:bottom w:val="none" w:sz="0" w:space="0" w:color="auto"/>
        <w:right w:val="none" w:sz="0" w:space="0" w:color="auto"/>
      </w:divBdr>
    </w:div>
    <w:div w:id="265384951">
      <w:bodyDiv w:val="1"/>
      <w:marLeft w:val="0"/>
      <w:marRight w:val="0"/>
      <w:marTop w:val="0"/>
      <w:marBottom w:val="0"/>
      <w:divBdr>
        <w:top w:val="none" w:sz="0" w:space="0" w:color="auto"/>
        <w:left w:val="none" w:sz="0" w:space="0" w:color="auto"/>
        <w:bottom w:val="none" w:sz="0" w:space="0" w:color="auto"/>
        <w:right w:val="none" w:sz="0" w:space="0" w:color="auto"/>
      </w:divBdr>
    </w:div>
    <w:div w:id="273682751">
      <w:bodyDiv w:val="1"/>
      <w:marLeft w:val="0"/>
      <w:marRight w:val="0"/>
      <w:marTop w:val="0"/>
      <w:marBottom w:val="0"/>
      <w:divBdr>
        <w:top w:val="none" w:sz="0" w:space="0" w:color="auto"/>
        <w:left w:val="none" w:sz="0" w:space="0" w:color="auto"/>
        <w:bottom w:val="none" w:sz="0" w:space="0" w:color="auto"/>
        <w:right w:val="none" w:sz="0" w:space="0" w:color="auto"/>
      </w:divBdr>
    </w:div>
    <w:div w:id="288434664">
      <w:bodyDiv w:val="1"/>
      <w:marLeft w:val="0"/>
      <w:marRight w:val="0"/>
      <w:marTop w:val="0"/>
      <w:marBottom w:val="0"/>
      <w:divBdr>
        <w:top w:val="none" w:sz="0" w:space="0" w:color="auto"/>
        <w:left w:val="none" w:sz="0" w:space="0" w:color="auto"/>
        <w:bottom w:val="none" w:sz="0" w:space="0" w:color="auto"/>
        <w:right w:val="none" w:sz="0" w:space="0" w:color="auto"/>
      </w:divBdr>
    </w:div>
    <w:div w:id="288783169">
      <w:bodyDiv w:val="1"/>
      <w:marLeft w:val="0"/>
      <w:marRight w:val="0"/>
      <w:marTop w:val="0"/>
      <w:marBottom w:val="0"/>
      <w:divBdr>
        <w:top w:val="none" w:sz="0" w:space="0" w:color="auto"/>
        <w:left w:val="none" w:sz="0" w:space="0" w:color="auto"/>
        <w:bottom w:val="none" w:sz="0" w:space="0" w:color="auto"/>
        <w:right w:val="none" w:sz="0" w:space="0" w:color="auto"/>
      </w:divBdr>
    </w:div>
    <w:div w:id="302081951">
      <w:bodyDiv w:val="1"/>
      <w:marLeft w:val="0"/>
      <w:marRight w:val="0"/>
      <w:marTop w:val="0"/>
      <w:marBottom w:val="0"/>
      <w:divBdr>
        <w:top w:val="none" w:sz="0" w:space="0" w:color="auto"/>
        <w:left w:val="none" w:sz="0" w:space="0" w:color="auto"/>
        <w:bottom w:val="none" w:sz="0" w:space="0" w:color="auto"/>
        <w:right w:val="none" w:sz="0" w:space="0" w:color="auto"/>
      </w:divBdr>
    </w:div>
    <w:div w:id="303898262">
      <w:bodyDiv w:val="1"/>
      <w:marLeft w:val="0"/>
      <w:marRight w:val="0"/>
      <w:marTop w:val="0"/>
      <w:marBottom w:val="0"/>
      <w:divBdr>
        <w:top w:val="none" w:sz="0" w:space="0" w:color="auto"/>
        <w:left w:val="none" w:sz="0" w:space="0" w:color="auto"/>
        <w:bottom w:val="none" w:sz="0" w:space="0" w:color="auto"/>
        <w:right w:val="none" w:sz="0" w:space="0" w:color="auto"/>
      </w:divBdr>
      <w:divsChild>
        <w:div w:id="1695571327">
          <w:marLeft w:val="0"/>
          <w:marRight w:val="0"/>
          <w:marTop w:val="0"/>
          <w:marBottom w:val="0"/>
          <w:divBdr>
            <w:top w:val="none" w:sz="0" w:space="0" w:color="auto"/>
            <w:left w:val="none" w:sz="0" w:space="0" w:color="auto"/>
            <w:bottom w:val="none" w:sz="0" w:space="0" w:color="auto"/>
            <w:right w:val="none" w:sz="0" w:space="0" w:color="auto"/>
          </w:divBdr>
          <w:divsChild>
            <w:div w:id="1177232769">
              <w:marLeft w:val="0"/>
              <w:marRight w:val="0"/>
              <w:marTop w:val="0"/>
              <w:marBottom w:val="0"/>
              <w:divBdr>
                <w:top w:val="none" w:sz="0" w:space="0" w:color="auto"/>
                <w:left w:val="none" w:sz="0" w:space="0" w:color="auto"/>
                <w:bottom w:val="none" w:sz="0" w:space="0" w:color="auto"/>
                <w:right w:val="none" w:sz="0" w:space="0" w:color="auto"/>
              </w:divBdr>
              <w:divsChild>
                <w:div w:id="219366220">
                  <w:marLeft w:val="0"/>
                  <w:marRight w:val="0"/>
                  <w:marTop w:val="0"/>
                  <w:marBottom w:val="0"/>
                  <w:divBdr>
                    <w:top w:val="none" w:sz="0" w:space="0" w:color="auto"/>
                    <w:left w:val="none" w:sz="0" w:space="0" w:color="auto"/>
                    <w:bottom w:val="none" w:sz="0" w:space="0" w:color="auto"/>
                    <w:right w:val="none" w:sz="0" w:space="0" w:color="auto"/>
                  </w:divBdr>
                  <w:divsChild>
                    <w:div w:id="695887673">
                      <w:marLeft w:val="0"/>
                      <w:marRight w:val="0"/>
                      <w:marTop w:val="0"/>
                      <w:marBottom w:val="0"/>
                      <w:divBdr>
                        <w:top w:val="none" w:sz="0" w:space="0" w:color="auto"/>
                        <w:left w:val="none" w:sz="0" w:space="0" w:color="auto"/>
                        <w:bottom w:val="none" w:sz="0" w:space="0" w:color="auto"/>
                        <w:right w:val="none" w:sz="0" w:space="0" w:color="auto"/>
                      </w:divBdr>
                      <w:divsChild>
                        <w:div w:id="2116747959">
                          <w:marLeft w:val="0"/>
                          <w:marRight w:val="0"/>
                          <w:marTop w:val="0"/>
                          <w:marBottom w:val="0"/>
                          <w:divBdr>
                            <w:top w:val="none" w:sz="0" w:space="0" w:color="auto"/>
                            <w:left w:val="none" w:sz="0" w:space="0" w:color="auto"/>
                            <w:bottom w:val="none" w:sz="0" w:space="0" w:color="auto"/>
                            <w:right w:val="none" w:sz="0" w:space="0" w:color="auto"/>
                          </w:divBdr>
                          <w:divsChild>
                            <w:div w:id="1069110778">
                              <w:marLeft w:val="0"/>
                              <w:marRight w:val="0"/>
                              <w:marTop w:val="0"/>
                              <w:marBottom w:val="0"/>
                              <w:divBdr>
                                <w:top w:val="none" w:sz="0" w:space="0" w:color="auto"/>
                                <w:left w:val="none" w:sz="0" w:space="0" w:color="auto"/>
                                <w:bottom w:val="none" w:sz="0" w:space="0" w:color="auto"/>
                                <w:right w:val="none" w:sz="0" w:space="0" w:color="auto"/>
                              </w:divBdr>
                              <w:divsChild>
                                <w:div w:id="2052344091">
                                  <w:marLeft w:val="0"/>
                                  <w:marRight w:val="0"/>
                                  <w:marTop w:val="0"/>
                                  <w:marBottom w:val="0"/>
                                  <w:divBdr>
                                    <w:top w:val="none" w:sz="0" w:space="0" w:color="auto"/>
                                    <w:left w:val="none" w:sz="0" w:space="0" w:color="auto"/>
                                    <w:bottom w:val="none" w:sz="0" w:space="0" w:color="auto"/>
                                    <w:right w:val="none" w:sz="0" w:space="0" w:color="auto"/>
                                  </w:divBdr>
                                  <w:divsChild>
                                    <w:div w:id="1552377646">
                                      <w:marLeft w:val="0"/>
                                      <w:marRight w:val="0"/>
                                      <w:marTop w:val="0"/>
                                      <w:marBottom w:val="0"/>
                                      <w:divBdr>
                                        <w:top w:val="none" w:sz="0" w:space="0" w:color="auto"/>
                                        <w:left w:val="none" w:sz="0" w:space="0" w:color="auto"/>
                                        <w:bottom w:val="none" w:sz="0" w:space="0" w:color="auto"/>
                                        <w:right w:val="none" w:sz="0" w:space="0" w:color="auto"/>
                                      </w:divBdr>
                                      <w:divsChild>
                                        <w:div w:id="510291614">
                                          <w:marLeft w:val="0"/>
                                          <w:marRight w:val="0"/>
                                          <w:marTop w:val="0"/>
                                          <w:marBottom w:val="0"/>
                                          <w:divBdr>
                                            <w:top w:val="none" w:sz="0" w:space="0" w:color="auto"/>
                                            <w:left w:val="none" w:sz="0" w:space="0" w:color="auto"/>
                                            <w:bottom w:val="none" w:sz="0" w:space="0" w:color="auto"/>
                                            <w:right w:val="none" w:sz="0" w:space="0" w:color="auto"/>
                                          </w:divBdr>
                                          <w:divsChild>
                                            <w:div w:id="556091418">
                                              <w:marLeft w:val="0"/>
                                              <w:marRight w:val="0"/>
                                              <w:marTop w:val="0"/>
                                              <w:marBottom w:val="0"/>
                                              <w:divBdr>
                                                <w:top w:val="none" w:sz="0" w:space="0" w:color="auto"/>
                                                <w:left w:val="none" w:sz="0" w:space="0" w:color="auto"/>
                                                <w:bottom w:val="none" w:sz="0" w:space="0" w:color="auto"/>
                                                <w:right w:val="none" w:sz="0" w:space="0" w:color="auto"/>
                                              </w:divBdr>
                                              <w:divsChild>
                                                <w:div w:id="797072455">
                                                  <w:marLeft w:val="0"/>
                                                  <w:marRight w:val="0"/>
                                                  <w:marTop w:val="0"/>
                                                  <w:marBottom w:val="0"/>
                                                  <w:divBdr>
                                                    <w:top w:val="none" w:sz="0" w:space="0" w:color="auto"/>
                                                    <w:left w:val="none" w:sz="0" w:space="0" w:color="auto"/>
                                                    <w:bottom w:val="none" w:sz="0" w:space="0" w:color="auto"/>
                                                    <w:right w:val="none" w:sz="0" w:space="0" w:color="auto"/>
                                                  </w:divBdr>
                                                  <w:divsChild>
                                                    <w:div w:id="1110852827">
                                                      <w:marLeft w:val="0"/>
                                                      <w:marRight w:val="0"/>
                                                      <w:marTop w:val="0"/>
                                                      <w:marBottom w:val="0"/>
                                                      <w:divBdr>
                                                        <w:top w:val="none" w:sz="0" w:space="0" w:color="auto"/>
                                                        <w:left w:val="none" w:sz="0" w:space="0" w:color="auto"/>
                                                        <w:bottom w:val="none" w:sz="0" w:space="0" w:color="auto"/>
                                                        <w:right w:val="none" w:sz="0" w:space="0" w:color="auto"/>
                                                      </w:divBdr>
                                                      <w:divsChild>
                                                        <w:div w:id="134435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4692008">
          <w:marLeft w:val="0"/>
          <w:marRight w:val="0"/>
          <w:marTop w:val="0"/>
          <w:marBottom w:val="0"/>
          <w:divBdr>
            <w:top w:val="none" w:sz="0" w:space="0" w:color="auto"/>
            <w:left w:val="none" w:sz="0" w:space="0" w:color="auto"/>
            <w:bottom w:val="none" w:sz="0" w:space="0" w:color="auto"/>
            <w:right w:val="none" w:sz="0" w:space="0" w:color="auto"/>
          </w:divBdr>
          <w:divsChild>
            <w:div w:id="559488015">
              <w:marLeft w:val="0"/>
              <w:marRight w:val="0"/>
              <w:marTop w:val="0"/>
              <w:marBottom w:val="0"/>
              <w:divBdr>
                <w:top w:val="none" w:sz="0" w:space="0" w:color="auto"/>
                <w:left w:val="none" w:sz="0" w:space="0" w:color="auto"/>
                <w:bottom w:val="none" w:sz="0" w:space="0" w:color="auto"/>
                <w:right w:val="none" w:sz="0" w:space="0" w:color="auto"/>
              </w:divBdr>
              <w:divsChild>
                <w:div w:id="1704987216">
                  <w:marLeft w:val="0"/>
                  <w:marRight w:val="0"/>
                  <w:marTop w:val="0"/>
                  <w:marBottom w:val="0"/>
                  <w:divBdr>
                    <w:top w:val="none" w:sz="0" w:space="0" w:color="auto"/>
                    <w:left w:val="none" w:sz="0" w:space="0" w:color="auto"/>
                    <w:bottom w:val="none" w:sz="0" w:space="0" w:color="auto"/>
                    <w:right w:val="none" w:sz="0" w:space="0" w:color="auto"/>
                  </w:divBdr>
                  <w:divsChild>
                    <w:div w:id="197987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677270">
      <w:bodyDiv w:val="1"/>
      <w:marLeft w:val="0"/>
      <w:marRight w:val="0"/>
      <w:marTop w:val="0"/>
      <w:marBottom w:val="0"/>
      <w:divBdr>
        <w:top w:val="none" w:sz="0" w:space="0" w:color="auto"/>
        <w:left w:val="none" w:sz="0" w:space="0" w:color="auto"/>
        <w:bottom w:val="none" w:sz="0" w:space="0" w:color="auto"/>
        <w:right w:val="none" w:sz="0" w:space="0" w:color="auto"/>
      </w:divBdr>
    </w:div>
    <w:div w:id="313801331">
      <w:bodyDiv w:val="1"/>
      <w:marLeft w:val="0"/>
      <w:marRight w:val="0"/>
      <w:marTop w:val="0"/>
      <w:marBottom w:val="0"/>
      <w:divBdr>
        <w:top w:val="none" w:sz="0" w:space="0" w:color="auto"/>
        <w:left w:val="none" w:sz="0" w:space="0" w:color="auto"/>
        <w:bottom w:val="none" w:sz="0" w:space="0" w:color="auto"/>
        <w:right w:val="none" w:sz="0" w:space="0" w:color="auto"/>
      </w:divBdr>
    </w:div>
    <w:div w:id="324861960">
      <w:bodyDiv w:val="1"/>
      <w:marLeft w:val="0"/>
      <w:marRight w:val="0"/>
      <w:marTop w:val="0"/>
      <w:marBottom w:val="0"/>
      <w:divBdr>
        <w:top w:val="none" w:sz="0" w:space="0" w:color="auto"/>
        <w:left w:val="none" w:sz="0" w:space="0" w:color="auto"/>
        <w:bottom w:val="none" w:sz="0" w:space="0" w:color="auto"/>
        <w:right w:val="none" w:sz="0" w:space="0" w:color="auto"/>
      </w:divBdr>
    </w:div>
    <w:div w:id="335619733">
      <w:bodyDiv w:val="1"/>
      <w:marLeft w:val="0"/>
      <w:marRight w:val="0"/>
      <w:marTop w:val="0"/>
      <w:marBottom w:val="0"/>
      <w:divBdr>
        <w:top w:val="none" w:sz="0" w:space="0" w:color="auto"/>
        <w:left w:val="none" w:sz="0" w:space="0" w:color="auto"/>
        <w:bottom w:val="none" w:sz="0" w:space="0" w:color="auto"/>
        <w:right w:val="none" w:sz="0" w:space="0" w:color="auto"/>
      </w:divBdr>
    </w:div>
    <w:div w:id="339086145">
      <w:bodyDiv w:val="1"/>
      <w:marLeft w:val="0"/>
      <w:marRight w:val="0"/>
      <w:marTop w:val="0"/>
      <w:marBottom w:val="0"/>
      <w:divBdr>
        <w:top w:val="none" w:sz="0" w:space="0" w:color="auto"/>
        <w:left w:val="none" w:sz="0" w:space="0" w:color="auto"/>
        <w:bottom w:val="none" w:sz="0" w:space="0" w:color="auto"/>
        <w:right w:val="none" w:sz="0" w:space="0" w:color="auto"/>
      </w:divBdr>
      <w:divsChild>
        <w:div w:id="1605915381">
          <w:marLeft w:val="0"/>
          <w:marRight w:val="0"/>
          <w:marTop w:val="0"/>
          <w:marBottom w:val="0"/>
          <w:divBdr>
            <w:top w:val="none" w:sz="0" w:space="0" w:color="auto"/>
            <w:left w:val="none" w:sz="0" w:space="0" w:color="auto"/>
            <w:bottom w:val="none" w:sz="0" w:space="0" w:color="auto"/>
            <w:right w:val="none" w:sz="0" w:space="0" w:color="auto"/>
          </w:divBdr>
        </w:div>
      </w:divsChild>
    </w:div>
    <w:div w:id="339233583">
      <w:bodyDiv w:val="1"/>
      <w:marLeft w:val="0"/>
      <w:marRight w:val="0"/>
      <w:marTop w:val="0"/>
      <w:marBottom w:val="0"/>
      <w:divBdr>
        <w:top w:val="none" w:sz="0" w:space="0" w:color="auto"/>
        <w:left w:val="none" w:sz="0" w:space="0" w:color="auto"/>
        <w:bottom w:val="none" w:sz="0" w:space="0" w:color="auto"/>
        <w:right w:val="none" w:sz="0" w:space="0" w:color="auto"/>
      </w:divBdr>
    </w:div>
    <w:div w:id="339312070">
      <w:bodyDiv w:val="1"/>
      <w:marLeft w:val="0"/>
      <w:marRight w:val="0"/>
      <w:marTop w:val="0"/>
      <w:marBottom w:val="0"/>
      <w:divBdr>
        <w:top w:val="none" w:sz="0" w:space="0" w:color="auto"/>
        <w:left w:val="none" w:sz="0" w:space="0" w:color="auto"/>
        <w:bottom w:val="none" w:sz="0" w:space="0" w:color="auto"/>
        <w:right w:val="none" w:sz="0" w:space="0" w:color="auto"/>
      </w:divBdr>
    </w:div>
    <w:div w:id="340159358">
      <w:bodyDiv w:val="1"/>
      <w:marLeft w:val="0"/>
      <w:marRight w:val="0"/>
      <w:marTop w:val="0"/>
      <w:marBottom w:val="0"/>
      <w:divBdr>
        <w:top w:val="none" w:sz="0" w:space="0" w:color="auto"/>
        <w:left w:val="none" w:sz="0" w:space="0" w:color="auto"/>
        <w:bottom w:val="none" w:sz="0" w:space="0" w:color="auto"/>
        <w:right w:val="none" w:sz="0" w:space="0" w:color="auto"/>
      </w:divBdr>
    </w:div>
    <w:div w:id="350375569">
      <w:bodyDiv w:val="1"/>
      <w:marLeft w:val="0"/>
      <w:marRight w:val="0"/>
      <w:marTop w:val="0"/>
      <w:marBottom w:val="0"/>
      <w:divBdr>
        <w:top w:val="none" w:sz="0" w:space="0" w:color="auto"/>
        <w:left w:val="none" w:sz="0" w:space="0" w:color="auto"/>
        <w:bottom w:val="none" w:sz="0" w:space="0" w:color="auto"/>
        <w:right w:val="none" w:sz="0" w:space="0" w:color="auto"/>
      </w:divBdr>
    </w:div>
    <w:div w:id="369961853">
      <w:bodyDiv w:val="1"/>
      <w:marLeft w:val="0"/>
      <w:marRight w:val="0"/>
      <w:marTop w:val="0"/>
      <w:marBottom w:val="0"/>
      <w:divBdr>
        <w:top w:val="none" w:sz="0" w:space="0" w:color="auto"/>
        <w:left w:val="none" w:sz="0" w:space="0" w:color="auto"/>
        <w:bottom w:val="none" w:sz="0" w:space="0" w:color="auto"/>
        <w:right w:val="none" w:sz="0" w:space="0" w:color="auto"/>
      </w:divBdr>
    </w:div>
    <w:div w:id="370036082">
      <w:bodyDiv w:val="1"/>
      <w:marLeft w:val="0"/>
      <w:marRight w:val="0"/>
      <w:marTop w:val="0"/>
      <w:marBottom w:val="0"/>
      <w:divBdr>
        <w:top w:val="none" w:sz="0" w:space="0" w:color="auto"/>
        <w:left w:val="none" w:sz="0" w:space="0" w:color="auto"/>
        <w:bottom w:val="none" w:sz="0" w:space="0" w:color="auto"/>
        <w:right w:val="none" w:sz="0" w:space="0" w:color="auto"/>
      </w:divBdr>
    </w:div>
    <w:div w:id="385883681">
      <w:bodyDiv w:val="1"/>
      <w:marLeft w:val="0"/>
      <w:marRight w:val="0"/>
      <w:marTop w:val="0"/>
      <w:marBottom w:val="0"/>
      <w:divBdr>
        <w:top w:val="none" w:sz="0" w:space="0" w:color="auto"/>
        <w:left w:val="none" w:sz="0" w:space="0" w:color="auto"/>
        <w:bottom w:val="none" w:sz="0" w:space="0" w:color="auto"/>
        <w:right w:val="none" w:sz="0" w:space="0" w:color="auto"/>
      </w:divBdr>
    </w:div>
    <w:div w:id="411243271">
      <w:bodyDiv w:val="1"/>
      <w:marLeft w:val="0"/>
      <w:marRight w:val="0"/>
      <w:marTop w:val="0"/>
      <w:marBottom w:val="0"/>
      <w:divBdr>
        <w:top w:val="none" w:sz="0" w:space="0" w:color="auto"/>
        <w:left w:val="none" w:sz="0" w:space="0" w:color="auto"/>
        <w:bottom w:val="none" w:sz="0" w:space="0" w:color="auto"/>
        <w:right w:val="none" w:sz="0" w:space="0" w:color="auto"/>
      </w:divBdr>
    </w:div>
    <w:div w:id="426774790">
      <w:bodyDiv w:val="1"/>
      <w:marLeft w:val="0"/>
      <w:marRight w:val="0"/>
      <w:marTop w:val="0"/>
      <w:marBottom w:val="0"/>
      <w:divBdr>
        <w:top w:val="none" w:sz="0" w:space="0" w:color="auto"/>
        <w:left w:val="none" w:sz="0" w:space="0" w:color="auto"/>
        <w:bottom w:val="none" w:sz="0" w:space="0" w:color="auto"/>
        <w:right w:val="none" w:sz="0" w:space="0" w:color="auto"/>
      </w:divBdr>
    </w:div>
    <w:div w:id="451362969">
      <w:bodyDiv w:val="1"/>
      <w:marLeft w:val="0"/>
      <w:marRight w:val="0"/>
      <w:marTop w:val="0"/>
      <w:marBottom w:val="0"/>
      <w:divBdr>
        <w:top w:val="none" w:sz="0" w:space="0" w:color="auto"/>
        <w:left w:val="none" w:sz="0" w:space="0" w:color="auto"/>
        <w:bottom w:val="none" w:sz="0" w:space="0" w:color="auto"/>
        <w:right w:val="none" w:sz="0" w:space="0" w:color="auto"/>
      </w:divBdr>
    </w:div>
    <w:div w:id="453982657">
      <w:bodyDiv w:val="1"/>
      <w:marLeft w:val="0"/>
      <w:marRight w:val="0"/>
      <w:marTop w:val="0"/>
      <w:marBottom w:val="0"/>
      <w:divBdr>
        <w:top w:val="none" w:sz="0" w:space="0" w:color="auto"/>
        <w:left w:val="none" w:sz="0" w:space="0" w:color="auto"/>
        <w:bottom w:val="none" w:sz="0" w:space="0" w:color="auto"/>
        <w:right w:val="none" w:sz="0" w:space="0" w:color="auto"/>
      </w:divBdr>
    </w:div>
    <w:div w:id="472261398">
      <w:bodyDiv w:val="1"/>
      <w:marLeft w:val="0"/>
      <w:marRight w:val="0"/>
      <w:marTop w:val="0"/>
      <w:marBottom w:val="0"/>
      <w:divBdr>
        <w:top w:val="none" w:sz="0" w:space="0" w:color="auto"/>
        <w:left w:val="none" w:sz="0" w:space="0" w:color="auto"/>
        <w:bottom w:val="none" w:sz="0" w:space="0" w:color="auto"/>
        <w:right w:val="none" w:sz="0" w:space="0" w:color="auto"/>
      </w:divBdr>
    </w:div>
    <w:div w:id="488011971">
      <w:bodyDiv w:val="1"/>
      <w:marLeft w:val="0"/>
      <w:marRight w:val="0"/>
      <w:marTop w:val="0"/>
      <w:marBottom w:val="0"/>
      <w:divBdr>
        <w:top w:val="none" w:sz="0" w:space="0" w:color="auto"/>
        <w:left w:val="none" w:sz="0" w:space="0" w:color="auto"/>
        <w:bottom w:val="none" w:sz="0" w:space="0" w:color="auto"/>
        <w:right w:val="none" w:sz="0" w:space="0" w:color="auto"/>
      </w:divBdr>
    </w:div>
    <w:div w:id="491222273">
      <w:bodyDiv w:val="1"/>
      <w:marLeft w:val="0"/>
      <w:marRight w:val="0"/>
      <w:marTop w:val="0"/>
      <w:marBottom w:val="0"/>
      <w:divBdr>
        <w:top w:val="none" w:sz="0" w:space="0" w:color="auto"/>
        <w:left w:val="none" w:sz="0" w:space="0" w:color="auto"/>
        <w:bottom w:val="none" w:sz="0" w:space="0" w:color="auto"/>
        <w:right w:val="none" w:sz="0" w:space="0" w:color="auto"/>
      </w:divBdr>
    </w:div>
    <w:div w:id="493767103">
      <w:bodyDiv w:val="1"/>
      <w:marLeft w:val="0"/>
      <w:marRight w:val="0"/>
      <w:marTop w:val="0"/>
      <w:marBottom w:val="0"/>
      <w:divBdr>
        <w:top w:val="none" w:sz="0" w:space="0" w:color="auto"/>
        <w:left w:val="none" w:sz="0" w:space="0" w:color="auto"/>
        <w:bottom w:val="none" w:sz="0" w:space="0" w:color="auto"/>
        <w:right w:val="none" w:sz="0" w:space="0" w:color="auto"/>
      </w:divBdr>
    </w:div>
    <w:div w:id="499202179">
      <w:bodyDiv w:val="1"/>
      <w:marLeft w:val="0"/>
      <w:marRight w:val="0"/>
      <w:marTop w:val="0"/>
      <w:marBottom w:val="0"/>
      <w:divBdr>
        <w:top w:val="none" w:sz="0" w:space="0" w:color="auto"/>
        <w:left w:val="none" w:sz="0" w:space="0" w:color="auto"/>
        <w:bottom w:val="none" w:sz="0" w:space="0" w:color="auto"/>
        <w:right w:val="none" w:sz="0" w:space="0" w:color="auto"/>
      </w:divBdr>
    </w:div>
    <w:div w:id="502743372">
      <w:bodyDiv w:val="1"/>
      <w:marLeft w:val="0"/>
      <w:marRight w:val="0"/>
      <w:marTop w:val="0"/>
      <w:marBottom w:val="0"/>
      <w:divBdr>
        <w:top w:val="none" w:sz="0" w:space="0" w:color="auto"/>
        <w:left w:val="none" w:sz="0" w:space="0" w:color="auto"/>
        <w:bottom w:val="none" w:sz="0" w:space="0" w:color="auto"/>
        <w:right w:val="none" w:sz="0" w:space="0" w:color="auto"/>
      </w:divBdr>
    </w:div>
    <w:div w:id="503781246">
      <w:bodyDiv w:val="1"/>
      <w:marLeft w:val="0"/>
      <w:marRight w:val="0"/>
      <w:marTop w:val="0"/>
      <w:marBottom w:val="0"/>
      <w:divBdr>
        <w:top w:val="none" w:sz="0" w:space="0" w:color="auto"/>
        <w:left w:val="none" w:sz="0" w:space="0" w:color="auto"/>
        <w:bottom w:val="none" w:sz="0" w:space="0" w:color="auto"/>
        <w:right w:val="none" w:sz="0" w:space="0" w:color="auto"/>
      </w:divBdr>
    </w:div>
    <w:div w:id="512108241">
      <w:bodyDiv w:val="1"/>
      <w:marLeft w:val="0"/>
      <w:marRight w:val="0"/>
      <w:marTop w:val="0"/>
      <w:marBottom w:val="0"/>
      <w:divBdr>
        <w:top w:val="none" w:sz="0" w:space="0" w:color="auto"/>
        <w:left w:val="none" w:sz="0" w:space="0" w:color="auto"/>
        <w:bottom w:val="none" w:sz="0" w:space="0" w:color="auto"/>
        <w:right w:val="none" w:sz="0" w:space="0" w:color="auto"/>
      </w:divBdr>
    </w:div>
    <w:div w:id="517238752">
      <w:bodyDiv w:val="1"/>
      <w:marLeft w:val="0"/>
      <w:marRight w:val="0"/>
      <w:marTop w:val="0"/>
      <w:marBottom w:val="0"/>
      <w:divBdr>
        <w:top w:val="none" w:sz="0" w:space="0" w:color="auto"/>
        <w:left w:val="none" w:sz="0" w:space="0" w:color="auto"/>
        <w:bottom w:val="none" w:sz="0" w:space="0" w:color="auto"/>
        <w:right w:val="none" w:sz="0" w:space="0" w:color="auto"/>
      </w:divBdr>
    </w:div>
    <w:div w:id="521481116">
      <w:bodyDiv w:val="1"/>
      <w:marLeft w:val="0"/>
      <w:marRight w:val="0"/>
      <w:marTop w:val="0"/>
      <w:marBottom w:val="0"/>
      <w:divBdr>
        <w:top w:val="none" w:sz="0" w:space="0" w:color="auto"/>
        <w:left w:val="none" w:sz="0" w:space="0" w:color="auto"/>
        <w:bottom w:val="none" w:sz="0" w:space="0" w:color="auto"/>
        <w:right w:val="none" w:sz="0" w:space="0" w:color="auto"/>
      </w:divBdr>
    </w:div>
    <w:div w:id="523058735">
      <w:bodyDiv w:val="1"/>
      <w:marLeft w:val="0"/>
      <w:marRight w:val="0"/>
      <w:marTop w:val="0"/>
      <w:marBottom w:val="0"/>
      <w:divBdr>
        <w:top w:val="none" w:sz="0" w:space="0" w:color="auto"/>
        <w:left w:val="none" w:sz="0" w:space="0" w:color="auto"/>
        <w:bottom w:val="none" w:sz="0" w:space="0" w:color="auto"/>
        <w:right w:val="none" w:sz="0" w:space="0" w:color="auto"/>
      </w:divBdr>
    </w:div>
    <w:div w:id="532881952">
      <w:bodyDiv w:val="1"/>
      <w:marLeft w:val="0"/>
      <w:marRight w:val="0"/>
      <w:marTop w:val="0"/>
      <w:marBottom w:val="0"/>
      <w:divBdr>
        <w:top w:val="none" w:sz="0" w:space="0" w:color="auto"/>
        <w:left w:val="none" w:sz="0" w:space="0" w:color="auto"/>
        <w:bottom w:val="none" w:sz="0" w:space="0" w:color="auto"/>
        <w:right w:val="none" w:sz="0" w:space="0" w:color="auto"/>
      </w:divBdr>
    </w:div>
    <w:div w:id="538469725">
      <w:bodyDiv w:val="1"/>
      <w:marLeft w:val="0"/>
      <w:marRight w:val="0"/>
      <w:marTop w:val="0"/>
      <w:marBottom w:val="0"/>
      <w:divBdr>
        <w:top w:val="none" w:sz="0" w:space="0" w:color="auto"/>
        <w:left w:val="none" w:sz="0" w:space="0" w:color="auto"/>
        <w:bottom w:val="none" w:sz="0" w:space="0" w:color="auto"/>
        <w:right w:val="none" w:sz="0" w:space="0" w:color="auto"/>
      </w:divBdr>
    </w:div>
    <w:div w:id="540090472">
      <w:bodyDiv w:val="1"/>
      <w:marLeft w:val="0"/>
      <w:marRight w:val="0"/>
      <w:marTop w:val="0"/>
      <w:marBottom w:val="0"/>
      <w:divBdr>
        <w:top w:val="none" w:sz="0" w:space="0" w:color="auto"/>
        <w:left w:val="none" w:sz="0" w:space="0" w:color="auto"/>
        <w:bottom w:val="none" w:sz="0" w:space="0" w:color="auto"/>
        <w:right w:val="none" w:sz="0" w:space="0" w:color="auto"/>
      </w:divBdr>
    </w:div>
    <w:div w:id="540241063">
      <w:bodyDiv w:val="1"/>
      <w:marLeft w:val="0"/>
      <w:marRight w:val="0"/>
      <w:marTop w:val="0"/>
      <w:marBottom w:val="0"/>
      <w:divBdr>
        <w:top w:val="none" w:sz="0" w:space="0" w:color="auto"/>
        <w:left w:val="none" w:sz="0" w:space="0" w:color="auto"/>
        <w:bottom w:val="none" w:sz="0" w:space="0" w:color="auto"/>
        <w:right w:val="none" w:sz="0" w:space="0" w:color="auto"/>
      </w:divBdr>
    </w:div>
    <w:div w:id="557785493">
      <w:bodyDiv w:val="1"/>
      <w:marLeft w:val="0"/>
      <w:marRight w:val="0"/>
      <w:marTop w:val="0"/>
      <w:marBottom w:val="0"/>
      <w:divBdr>
        <w:top w:val="none" w:sz="0" w:space="0" w:color="auto"/>
        <w:left w:val="none" w:sz="0" w:space="0" w:color="auto"/>
        <w:bottom w:val="none" w:sz="0" w:space="0" w:color="auto"/>
        <w:right w:val="none" w:sz="0" w:space="0" w:color="auto"/>
      </w:divBdr>
    </w:div>
    <w:div w:id="565144772">
      <w:bodyDiv w:val="1"/>
      <w:marLeft w:val="0"/>
      <w:marRight w:val="0"/>
      <w:marTop w:val="0"/>
      <w:marBottom w:val="0"/>
      <w:divBdr>
        <w:top w:val="none" w:sz="0" w:space="0" w:color="auto"/>
        <w:left w:val="none" w:sz="0" w:space="0" w:color="auto"/>
        <w:bottom w:val="none" w:sz="0" w:space="0" w:color="auto"/>
        <w:right w:val="none" w:sz="0" w:space="0" w:color="auto"/>
      </w:divBdr>
    </w:div>
    <w:div w:id="575895716">
      <w:bodyDiv w:val="1"/>
      <w:marLeft w:val="0"/>
      <w:marRight w:val="0"/>
      <w:marTop w:val="0"/>
      <w:marBottom w:val="0"/>
      <w:divBdr>
        <w:top w:val="none" w:sz="0" w:space="0" w:color="auto"/>
        <w:left w:val="none" w:sz="0" w:space="0" w:color="auto"/>
        <w:bottom w:val="none" w:sz="0" w:space="0" w:color="auto"/>
        <w:right w:val="none" w:sz="0" w:space="0" w:color="auto"/>
      </w:divBdr>
    </w:div>
    <w:div w:id="577132070">
      <w:bodyDiv w:val="1"/>
      <w:marLeft w:val="0"/>
      <w:marRight w:val="0"/>
      <w:marTop w:val="0"/>
      <w:marBottom w:val="0"/>
      <w:divBdr>
        <w:top w:val="none" w:sz="0" w:space="0" w:color="auto"/>
        <w:left w:val="none" w:sz="0" w:space="0" w:color="auto"/>
        <w:bottom w:val="none" w:sz="0" w:space="0" w:color="auto"/>
        <w:right w:val="none" w:sz="0" w:space="0" w:color="auto"/>
      </w:divBdr>
    </w:div>
    <w:div w:id="586571636">
      <w:bodyDiv w:val="1"/>
      <w:marLeft w:val="0"/>
      <w:marRight w:val="0"/>
      <w:marTop w:val="0"/>
      <w:marBottom w:val="0"/>
      <w:divBdr>
        <w:top w:val="none" w:sz="0" w:space="0" w:color="auto"/>
        <w:left w:val="none" w:sz="0" w:space="0" w:color="auto"/>
        <w:bottom w:val="none" w:sz="0" w:space="0" w:color="auto"/>
        <w:right w:val="none" w:sz="0" w:space="0" w:color="auto"/>
      </w:divBdr>
    </w:div>
    <w:div w:id="594676666">
      <w:bodyDiv w:val="1"/>
      <w:marLeft w:val="0"/>
      <w:marRight w:val="0"/>
      <w:marTop w:val="0"/>
      <w:marBottom w:val="0"/>
      <w:divBdr>
        <w:top w:val="none" w:sz="0" w:space="0" w:color="auto"/>
        <w:left w:val="none" w:sz="0" w:space="0" w:color="auto"/>
        <w:bottom w:val="none" w:sz="0" w:space="0" w:color="auto"/>
        <w:right w:val="none" w:sz="0" w:space="0" w:color="auto"/>
      </w:divBdr>
      <w:divsChild>
        <w:div w:id="1470779328">
          <w:marLeft w:val="0"/>
          <w:marRight w:val="0"/>
          <w:marTop w:val="0"/>
          <w:marBottom w:val="0"/>
          <w:divBdr>
            <w:top w:val="none" w:sz="0" w:space="0" w:color="auto"/>
            <w:left w:val="none" w:sz="0" w:space="0" w:color="auto"/>
            <w:bottom w:val="none" w:sz="0" w:space="0" w:color="auto"/>
            <w:right w:val="none" w:sz="0" w:space="0" w:color="auto"/>
          </w:divBdr>
        </w:div>
      </w:divsChild>
    </w:div>
    <w:div w:id="594706072">
      <w:bodyDiv w:val="1"/>
      <w:marLeft w:val="0"/>
      <w:marRight w:val="0"/>
      <w:marTop w:val="0"/>
      <w:marBottom w:val="0"/>
      <w:divBdr>
        <w:top w:val="none" w:sz="0" w:space="0" w:color="auto"/>
        <w:left w:val="none" w:sz="0" w:space="0" w:color="auto"/>
        <w:bottom w:val="none" w:sz="0" w:space="0" w:color="auto"/>
        <w:right w:val="none" w:sz="0" w:space="0" w:color="auto"/>
      </w:divBdr>
    </w:div>
    <w:div w:id="603997891">
      <w:bodyDiv w:val="1"/>
      <w:marLeft w:val="0"/>
      <w:marRight w:val="0"/>
      <w:marTop w:val="0"/>
      <w:marBottom w:val="0"/>
      <w:divBdr>
        <w:top w:val="none" w:sz="0" w:space="0" w:color="auto"/>
        <w:left w:val="none" w:sz="0" w:space="0" w:color="auto"/>
        <w:bottom w:val="none" w:sz="0" w:space="0" w:color="auto"/>
        <w:right w:val="none" w:sz="0" w:space="0" w:color="auto"/>
      </w:divBdr>
    </w:div>
    <w:div w:id="615479631">
      <w:bodyDiv w:val="1"/>
      <w:marLeft w:val="0"/>
      <w:marRight w:val="0"/>
      <w:marTop w:val="0"/>
      <w:marBottom w:val="0"/>
      <w:divBdr>
        <w:top w:val="none" w:sz="0" w:space="0" w:color="auto"/>
        <w:left w:val="none" w:sz="0" w:space="0" w:color="auto"/>
        <w:bottom w:val="none" w:sz="0" w:space="0" w:color="auto"/>
        <w:right w:val="none" w:sz="0" w:space="0" w:color="auto"/>
      </w:divBdr>
    </w:div>
    <w:div w:id="618996114">
      <w:bodyDiv w:val="1"/>
      <w:marLeft w:val="0"/>
      <w:marRight w:val="0"/>
      <w:marTop w:val="0"/>
      <w:marBottom w:val="0"/>
      <w:divBdr>
        <w:top w:val="none" w:sz="0" w:space="0" w:color="auto"/>
        <w:left w:val="none" w:sz="0" w:space="0" w:color="auto"/>
        <w:bottom w:val="none" w:sz="0" w:space="0" w:color="auto"/>
        <w:right w:val="none" w:sz="0" w:space="0" w:color="auto"/>
      </w:divBdr>
    </w:div>
    <w:div w:id="650715890">
      <w:bodyDiv w:val="1"/>
      <w:marLeft w:val="0"/>
      <w:marRight w:val="0"/>
      <w:marTop w:val="0"/>
      <w:marBottom w:val="0"/>
      <w:divBdr>
        <w:top w:val="none" w:sz="0" w:space="0" w:color="auto"/>
        <w:left w:val="none" w:sz="0" w:space="0" w:color="auto"/>
        <w:bottom w:val="none" w:sz="0" w:space="0" w:color="auto"/>
        <w:right w:val="none" w:sz="0" w:space="0" w:color="auto"/>
      </w:divBdr>
    </w:div>
    <w:div w:id="658269832">
      <w:bodyDiv w:val="1"/>
      <w:marLeft w:val="0"/>
      <w:marRight w:val="0"/>
      <w:marTop w:val="0"/>
      <w:marBottom w:val="0"/>
      <w:divBdr>
        <w:top w:val="none" w:sz="0" w:space="0" w:color="auto"/>
        <w:left w:val="none" w:sz="0" w:space="0" w:color="auto"/>
        <w:bottom w:val="none" w:sz="0" w:space="0" w:color="auto"/>
        <w:right w:val="none" w:sz="0" w:space="0" w:color="auto"/>
      </w:divBdr>
    </w:div>
    <w:div w:id="659503414">
      <w:bodyDiv w:val="1"/>
      <w:marLeft w:val="0"/>
      <w:marRight w:val="0"/>
      <w:marTop w:val="0"/>
      <w:marBottom w:val="0"/>
      <w:divBdr>
        <w:top w:val="none" w:sz="0" w:space="0" w:color="auto"/>
        <w:left w:val="none" w:sz="0" w:space="0" w:color="auto"/>
        <w:bottom w:val="none" w:sz="0" w:space="0" w:color="auto"/>
        <w:right w:val="none" w:sz="0" w:space="0" w:color="auto"/>
      </w:divBdr>
    </w:div>
    <w:div w:id="662584863">
      <w:bodyDiv w:val="1"/>
      <w:marLeft w:val="0"/>
      <w:marRight w:val="0"/>
      <w:marTop w:val="0"/>
      <w:marBottom w:val="0"/>
      <w:divBdr>
        <w:top w:val="none" w:sz="0" w:space="0" w:color="auto"/>
        <w:left w:val="none" w:sz="0" w:space="0" w:color="auto"/>
        <w:bottom w:val="none" w:sz="0" w:space="0" w:color="auto"/>
        <w:right w:val="none" w:sz="0" w:space="0" w:color="auto"/>
      </w:divBdr>
    </w:div>
    <w:div w:id="662900045">
      <w:bodyDiv w:val="1"/>
      <w:marLeft w:val="0"/>
      <w:marRight w:val="0"/>
      <w:marTop w:val="0"/>
      <w:marBottom w:val="0"/>
      <w:divBdr>
        <w:top w:val="none" w:sz="0" w:space="0" w:color="auto"/>
        <w:left w:val="none" w:sz="0" w:space="0" w:color="auto"/>
        <w:bottom w:val="none" w:sz="0" w:space="0" w:color="auto"/>
        <w:right w:val="none" w:sz="0" w:space="0" w:color="auto"/>
      </w:divBdr>
    </w:div>
    <w:div w:id="664406285">
      <w:bodyDiv w:val="1"/>
      <w:marLeft w:val="0"/>
      <w:marRight w:val="0"/>
      <w:marTop w:val="0"/>
      <w:marBottom w:val="0"/>
      <w:divBdr>
        <w:top w:val="none" w:sz="0" w:space="0" w:color="auto"/>
        <w:left w:val="none" w:sz="0" w:space="0" w:color="auto"/>
        <w:bottom w:val="none" w:sz="0" w:space="0" w:color="auto"/>
        <w:right w:val="none" w:sz="0" w:space="0" w:color="auto"/>
      </w:divBdr>
    </w:div>
    <w:div w:id="669455534">
      <w:bodyDiv w:val="1"/>
      <w:marLeft w:val="0"/>
      <w:marRight w:val="0"/>
      <w:marTop w:val="0"/>
      <w:marBottom w:val="0"/>
      <w:divBdr>
        <w:top w:val="none" w:sz="0" w:space="0" w:color="auto"/>
        <w:left w:val="none" w:sz="0" w:space="0" w:color="auto"/>
        <w:bottom w:val="none" w:sz="0" w:space="0" w:color="auto"/>
        <w:right w:val="none" w:sz="0" w:space="0" w:color="auto"/>
      </w:divBdr>
    </w:div>
    <w:div w:id="669798866">
      <w:bodyDiv w:val="1"/>
      <w:marLeft w:val="0"/>
      <w:marRight w:val="0"/>
      <w:marTop w:val="0"/>
      <w:marBottom w:val="0"/>
      <w:divBdr>
        <w:top w:val="none" w:sz="0" w:space="0" w:color="auto"/>
        <w:left w:val="none" w:sz="0" w:space="0" w:color="auto"/>
        <w:bottom w:val="none" w:sz="0" w:space="0" w:color="auto"/>
        <w:right w:val="none" w:sz="0" w:space="0" w:color="auto"/>
      </w:divBdr>
    </w:div>
    <w:div w:id="673342863">
      <w:bodyDiv w:val="1"/>
      <w:marLeft w:val="0"/>
      <w:marRight w:val="0"/>
      <w:marTop w:val="0"/>
      <w:marBottom w:val="0"/>
      <w:divBdr>
        <w:top w:val="none" w:sz="0" w:space="0" w:color="auto"/>
        <w:left w:val="none" w:sz="0" w:space="0" w:color="auto"/>
        <w:bottom w:val="none" w:sz="0" w:space="0" w:color="auto"/>
        <w:right w:val="none" w:sz="0" w:space="0" w:color="auto"/>
      </w:divBdr>
    </w:div>
    <w:div w:id="682125758">
      <w:bodyDiv w:val="1"/>
      <w:marLeft w:val="0"/>
      <w:marRight w:val="0"/>
      <w:marTop w:val="0"/>
      <w:marBottom w:val="0"/>
      <w:divBdr>
        <w:top w:val="none" w:sz="0" w:space="0" w:color="auto"/>
        <w:left w:val="none" w:sz="0" w:space="0" w:color="auto"/>
        <w:bottom w:val="none" w:sz="0" w:space="0" w:color="auto"/>
        <w:right w:val="none" w:sz="0" w:space="0" w:color="auto"/>
      </w:divBdr>
    </w:div>
    <w:div w:id="683748843">
      <w:bodyDiv w:val="1"/>
      <w:marLeft w:val="0"/>
      <w:marRight w:val="0"/>
      <w:marTop w:val="0"/>
      <w:marBottom w:val="0"/>
      <w:divBdr>
        <w:top w:val="none" w:sz="0" w:space="0" w:color="auto"/>
        <w:left w:val="none" w:sz="0" w:space="0" w:color="auto"/>
        <w:bottom w:val="none" w:sz="0" w:space="0" w:color="auto"/>
        <w:right w:val="none" w:sz="0" w:space="0" w:color="auto"/>
      </w:divBdr>
    </w:div>
    <w:div w:id="684944631">
      <w:bodyDiv w:val="1"/>
      <w:marLeft w:val="0"/>
      <w:marRight w:val="0"/>
      <w:marTop w:val="0"/>
      <w:marBottom w:val="0"/>
      <w:divBdr>
        <w:top w:val="none" w:sz="0" w:space="0" w:color="auto"/>
        <w:left w:val="none" w:sz="0" w:space="0" w:color="auto"/>
        <w:bottom w:val="none" w:sz="0" w:space="0" w:color="auto"/>
        <w:right w:val="none" w:sz="0" w:space="0" w:color="auto"/>
      </w:divBdr>
    </w:div>
    <w:div w:id="689987106">
      <w:bodyDiv w:val="1"/>
      <w:marLeft w:val="0"/>
      <w:marRight w:val="0"/>
      <w:marTop w:val="0"/>
      <w:marBottom w:val="0"/>
      <w:divBdr>
        <w:top w:val="none" w:sz="0" w:space="0" w:color="auto"/>
        <w:left w:val="none" w:sz="0" w:space="0" w:color="auto"/>
        <w:bottom w:val="none" w:sz="0" w:space="0" w:color="auto"/>
        <w:right w:val="none" w:sz="0" w:space="0" w:color="auto"/>
      </w:divBdr>
      <w:divsChild>
        <w:div w:id="1068454943">
          <w:marLeft w:val="0"/>
          <w:marRight w:val="0"/>
          <w:marTop w:val="0"/>
          <w:marBottom w:val="0"/>
          <w:divBdr>
            <w:top w:val="none" w:sz="0" w:space="0" w:color="auto"/>
            <w:left w:val="none" w:sz="0" w:space="0" w:color="auto"/>
            <w:bottom w:val="none" w:sz="0" w:space="0" w:color="auto"/>
            <w:right w:val="none" w:sz="0" w:space="0" w:color="auto"/>
          </w:divBdr>
        </w:div>
        <w:div w:id="1372880072">
          <w:marLeft w:val="0"/>
          <w:marRight w:val="0"/>
          <w:marTop w:val="0"/>
          <w:marBottom w:val="0"/>
          <w:divBdr>
            <w:top w:val="none" w:sz="0" w:space="0" w:color="auto"/>
            <w:left w:val="none" w:sz="0" w:space="0" w:color="auto"/>
            <w:bottom w:val="none" w:sz="0" w:space="0" w:color="auto"/>
            <w:right w:val="none" w:sz="0" w:space="0" w:color="auto"/>
          </w:divBdr>
        </w:div>
        <w:div w:id="546334958">
          <w:marLeft w:val="0"/>
          <w:marRight w:val="0"/>
          <w:marTop w:val="0"/>
          <w:marBottom w:val="0"/>
          <w:divBdr>
            <w:top w:val="none" w:sz="0" w:space="0" w:color="auto"/>
            <w:left w:val="none" w:sz="0" w:space="0" w:color="auto"/>
            <w:bottom w:val="none" w:sz="0" w:space="0" w:color="auto"/>
            <w:right w:val="none" w:sz="0" w:space="0" w:color="auto"/>
          </w:divBdr>
        </w:div>
      </w:divsChild>
    </w:div>
    <w:div w:id="691230133">
      <w:bodyDiv w:val="1"/>
      <w:marLeft w:val="0"/>
      <w:marRight w:val="0"/>
      <w:marTop w:val="0"/>
      <w:marBottom w:val="0"/>
      <w:divBdr>
        <w:top w:val="none" w:sz="0" w:space="0" w:color="auto"/>
        <w:left w:val="none" w:sz="0" w:space="0" w:color="auto"/>
        <w:bottom w:val="none" w:sz="0" w:space="0" w:color="auto"/>
        <w:right w:val="none" w:sz="0" w:space="0" w:color="auto"/>
      </w:divBdr>
    </w:div>
    <w:div w:id="694774244">
      <w:bodyDiv w:val="1"/>
      <w:marLeft w:val="0"/>
      <w:marRight w:val="0"/>
      <w:marTop w:val="0"/>
      <w:marBottom w:val="0"/>
      <w:divBdr>
        <w:top w:val="none" w:sz="0" w:space="0" w:color="auto"/>
        <w:left w:val="none" w:sz="0" w:space="0" w:color="auto"/>
        <w:bottom w:val="none" w:sz="0" w:space="0" w:color="auto"/>
        <w:right w:val="none" w:sz="0" w:space="0" w:color="auto"/>
      </w:divBdr>
    </w:div>
    <w:div w:id="711266871">
      <w:bodyDiv w:val="1"/>
      <w:marLeft w:val="0"/>
      <w:marRight w:val="0"/>
      <w:marTop w:val="0"/>
      <w:marBottom w:val="0"/>
      <w:divBdr>
        <w:top w:val="none" w:sz="0" w:space="0" w:color="auto"/>
        <w:left w:val="none" w:sz="0" w:space="0" w:color="auto"/>
        <w:bottom w:val="none" w:sz="0" w:space="0" w:color="auto"/>
        <w:right w:val="none" w:sz="0" w:space="0" w:color="auto"/>
      </w:divBdr>
    </w:div>
    <w:div w:id="725763453">
      <w:bodyDiv w:val="1"/>
      <w:marLeft w:val="0"/>
      <w:marRight w:val="0"/>
      <w:marTop w:val="0"/>
      <w:marBottom w:val="0"/>
      <w:divBdr>
        <w:top w:val="none" w:sz="0" w:space="0" w:color="auto"/>
        <w:left w:val="none" w:sz="0" w:space="0" w:color="auto"/>
        <w:bottom w:val="none" w:sz="0" w:space="0" w:color="auto"/>
        <w:right w:val="none" w:sz="0" w:space="0" w:color="auto"/>
      </w:divBdr>
    </w:div>
    <w:div w:id="747116579">
      <w:bodyDiv w:val="1"/>
      <w:marLeft w:val="0"/>
      <w:marRight w:val="0"/>
      <w:marTop w:val="0"/>
      <w:marBottom w:val="0"/>
      <w:divBdr>
        <w:top w:val="none" w:sz="0" w:space="0" w:color="auto"/>
        <w:left w:val="none" w:sz="0" w:space="0" w:color="auto"/>
        <w:bottom w:val="none" w:sz="0" w:space="0" w:color="auto"/>
        <w:right w:val="none" w:sz="0" w:space="0" w:color="auto"/>
      </w:divBdr>
    </w:div>
    <w:div w:id="750540240">
      <w:bodyDiv w:val="1"/>
      <w:marLeft w:val="0"/>
      <w:marRight w:val="0"/>
      <w:marTop w:val="0"/>
      <w:marBottom w:val="0"/>
      <w:divBdr>
        <w:top w:val="none" w:sz="0" w:space="0" w:color="auto"/>
        <w:left w:val="none" w:sz="0" w:space="0" w:color="auto"/>
        <w:bottom w:val="none" w:sz="0" w:space="0" w:color="auto"/>
        <w:right w:val="none" w:sz="0" w:space="0" w:color="auto"/>
      </w:divBdr>
    </w:div>
    <w:div w:id="754128686">
      <w:bodyDiv w:val="1"/>
      <w:marLeft w:val="0"/>
      <w:marRight w:val="0"/>
      <w:marTop w:val="0"/>
      <w:marBottom w:val="0"/>
      <w:divBdr>
        <w:top w:val="none" w:sz="0" w:space="0" w:color="auto"/>
        <w:left w:val="none" w:sz="0" w:space="0" w:color="auto"/>
        <w:bottom w:val="none" w:sz="0" w:space="0" w:color="auto"/>
        <w:right w:val="none" w:sz="0" w:space="0" w:color="auto"/>
      </w:divBdr>
    </w:div>
    <w:div w:id="754208624">
      <w:bodyDiv w:val="1"/>
      <w:marLeft w:val="0"/>
      <w:marRight w:val="0"/>
      <w:marTop w:val="0"/>
      <w:marBottom w:val="0"/>
      <w:divBdr>
        <w:top w:val="none" w:sz="0" w:space="0" w:color="auto"/>
        <w:left w:val="none" w:sz="0" w:space="0" w:color="auto"/>
        <w:bottom w:val="none" w:sz="0" w:space="0" w:color="auto"/>
        <w:right w:val="none" w:sz="0" w:space="0" w:color="auto"/>
      </w:divBdr>
    </w:div>
    <w:div w:id="755858464">
      <w:bodyDiv w:val="1"/>
      <w:marLeft w:val="0"/>
      <w:marRight w:val="0"/>
      <w:marTop w:val="0"/>
      <w:marBottom w:val="0"/>
      <w:divBdr>
        <w:top w:val="none" w:sz="0" w:space="0" w:color="auto"/>
        <w:left w:val="none" w:sz="0" w:space="0" w:color="auto"/>
        <w:bottom w:val="none" w:sz="0" w:space="0" w:color="auto"/>
        <w:right w:val="none" w:sz="0" w:space="0" w:color="auto"/>
      </w:divBdr>
    </w:div>
    <w:div w:id="755901410">
      <w:bodyDiv w:val="1"/>
      <w:marLeft w:val="0"/>
      <w:marRight w:val="0"/>
      <w:marTop w:val="0"/>
      <w:marBottom w:val="0"/>
      <w:divBdr>
        <w:top w:val="none" w:sz="0" w:space="0" w:color="auto"/>
        <w:left w:val="none" w:sz="0" w:space="0" w:color="auto"/>
        <w:bottom w:val="none" w:sz="0" w:space="0" w:color="auto"/>
        <w:right w:val="none" w:sz="0" w:space="0" w:color="auto"/>
      </w:divBdr>
    </w:div>
    <w:div w:id="762726481">
      <w:bodyDiv w:val="1"/>
      <w:marLeft w:val="0"/>
      <w:marRight w:val="0"/>
      <w:marTop w:val="0"/>
      <w:marBottom w:val="0"/>
      <w:divBdr>
        <w:top w:val="none" w:sz="0" w:space="0" w:color="auto"/>
        <w:left w:val="none" w:sz="0" w:space="0" w:color="auto"/>
        <w:bottom w:val="none" w:sz="0" w:space="0" w:color="auto"/>
        <w:right w:val="none" w:sz="0" w:space="0" w:color="auto"/>
      </w:divBdr>
    </w:div>
    <w:div w:id="776026357">
      <w:bodyDiv w:val="1"/>
      <w:marLeft w:val="0"/>
      <w:marRight w:val="0"/>
      <w:marTop w:val="0"/>
      <w:marBottom w:val="0"/>
      <w:divBdr>
        <w:top w:val="none" w:sz="0" w:space="0" w:color="auto"/>
        <w:left w:val="none" w:sz="0" w:space="0" w:color="auto"/>
        <w:bottom w:val="none" w:sz="0" w:space="0" w:color="auto"/>
        <w:right w:val="none" w:sz="0" w:space="0" w:color="auto"/>
      </w:divBdr>
    </w:div>
    <w:div w:id="776297175">
      <w:bodyDiv w:val="1"/>
      <w:marLeft w:val="0"/>
      <w:marRight w:val="0"/>
      <w:marTop w:val="0"/>
      <w:marBottom w:val="0"/>
      <w:divBdr>
        <w:top w:val="none" w:sz="0" w:space="0" w:color="auto"/>
        <w:left w:val="none" w:sz="0" w:space="0" w:color="auto"/>
        <w:bottom w:val="none" w:sz="0" w:space="0" w:color="auto"/>
        <w:right w:val="none" w:sz="0" w:space="0" w:color="auto"/>
      </w:divBdr>
    </w:div>
    <w:div w:id="779685537">
      <w:bodyDiv w:val="1"/>
      <w:marLeft w:val="0"/>
      <w:marRight w:val="0"/>
      <w:marTop w:val="0"/>
      <w:marBottom w:val="0"/>
      <w:divBdr>
        <w:top w:val="none" w:sz="0" w:space="0" w:color="auto"/>
        <w:left w:val="none" w:sz="0" w:space="0" w:color="auto"/>
        <w:bottom w:val="none" w:sz="0" w:space="0" w:color="auto"/>
        <w:right w:val="none" w:sz="0" w:space="0" w:color="auto"/>
      </w:divBdr>
    </w:div>
    <w:div w:id="781922446">
      <w:bodyDiv w:val="1"/>
      <w:marLeft w:val="0"/>
      <w:marRight w:val="0"/>
      <w:marTop w:val="0"/>
      <w:marBottom w:val="0"/>
      <w:divBdr>
        <w:top w:val="none" w:sz="0" w:space="0" w:color="auto"/>
        <w:left w:val="none" w:sz="0" w:space="0" w:color="auto"/>
        <w:bottom w:val="none" w:sz="0" w:space="0" w:color="auto"/>
        <w:right w:val="none" w:sz="0" w:space="0" w:color="auto"/>
      </w:divBdr>
    </w:div>
    <w:div w:id="785583922">
      <w:bodyDiv w:val="1"/>
      <w:marLeft w:val="0"/>
      <w:marRight w:val="0"/>
      <w:marTop w:val="0"/>
      <w:marBottom w:val="0"/>
      <w:divBdr>
        <w:top w:val="none" w:sz="0" w:space="0" w:color="auto"/>
        <w:left w:val="none" w:sz="0" w:space="0" w:color="auto"/>
        <w:bottom w:val="none" w:sz="0" w:space="0" w:color="auto"/>
        <w:right w:val="none" w:sz="0" w:space="0" w:color="auto"/>
      </w:divBdr>
    </w:div>
    <w:div w:id="785778036">
      <w:bodyDiv w:val="1"/>
      <w:marLeft w:val="0"/>
      <w:marRight w:val="0"/>
      <w:marTop w:val="0"/>
      <w:marBottom w:val="0"/>
      <w:divBdr>
        <w:top w:val="none" w:sz="0" w:space="0" w:color="auto"/>
        <w:left w:val="none" w:sz="0" w:space="0" w:color="auto"/>
        <w:bottom w:val="none" w:sz="0" w:space="0" w:color="auto"/>
        <w:right w:val="none" w:sz="0" w:space="0" w:color="auto"/>
      </w:divBdr>
    </w:div>
    <w:div w:id="788625504">
      <w:bodyDiv w:val="1"/>
      <w:marLeft w:val="0"/>
      <w:marRight w:val="0"/>
      <w:marTop w:val="0"/>
      <w:marBottom w:val="0"/>
      <w:divBdr>
        <w:top w:val="none" w:sz="0" w:space="0" w:color="auto"/>
        <w:left w:val="none" w:sz="0" w:space="0" w:color="auto"/>
        <w:bottom w:val="none" w:sz="0" w:space="0" w:color="auto"/>
        <w:right w:val="none" w:sz="0" w:space="0" w:color="auto"/>
      </w:divBdr>
      <w:divsChild>
        <w:div w:id="1417481345">
          <w:marLeft w:val="0"/>
          <w:marRight w:val="0"/>
          <w:marTop w:val="0"/>
          <w:marBottom w:val="0"/>
          <w:divBdr>
            <w:top w:val="none" w:sz="0" w:space="0" w:color="auto"/>
            <w:left w:val="none" w:sz="0" w:space="0" w:color="auto"/>
            <w:bottom w:val="none" w:sz="0" w:space="0" w:color="auto"/>
            <w:right w:val="none" w:sz="0" w:space="0" w:color="auto"/>
          </w:divBdr>
        </w:div>
      </w:divsChild>
    </w:div>
    <w:div w:id="788747509">
      <w:bodyDiv w:val="1"/>
      <w:marLeft w:val="0"/>
      <w:marRight w:val="0"/>
      <w:marTop w:val="0"/>
      <w:marBottom w:val="0"/>
      <w:divBdr>
        <w:top w:val="none" w:sz="0" w:space="0" w:color="auto"/>
        <w:left w:val="none" w:sz="0" w:space="0" w:color="auto"/>
        <w:bottom w:val="none" w:sz="0" w:space="0" w:color="auto"/>
        <w:right w:val="none" w:sz="0" w:space="0" w:color="auto"/>
      </w:divBdr>
    </w:div>
    <w:div w:id="789082335">
      <w:bodyDiv w:val="1"/>
      <w:marLeft w:val="0"/>
      <w:marRight w:val="0"/>
      <w:marTop w:val="0"/>
      <w:marBottom w:val="0"/>
      <w:divBdr>
        <w:top w:val="none" w:sz="0" w:space="0" w:color="auto"/>
        <w:left w:val="none" w:sz="0" w:space="0" w:color="auto"/>
        <w:bottom w:val="none" w:sz="0" w:space="0" w:color="auto"/>
        <w:right w:val="none" w:sz="0" w:space="0" w:color="auto"/>
      </w:divBdr>
    </w:div>
    <w:div w:id="789133155">
      <w:bodyDiv w:val="1"/>
      <w:marLeft w:val="0"/>
      <w:marRight w:val="0"/>
      <w:marTop w:val="0"/>
      <w:marBottom w:val="0"/>
      <w:divBdr>
        <w:top w:val="none" w:sz="0" w:space="0" w:color="auto"/>
        <w:left w:val="none" w:sz="0" w:space="0" w:color="auto"/>
        <w:bottom w:val="none" w:sz="0" w:space="0" w:color="auto"/>
        <w:right w:val="none" w:sz="0" w:space="0" w:color="auto"/>
      </w:divBdr>
      <w:divsChild>
        <w:div w:id="1135831489">
          <w:marLeft w:val="0"/>
          <w:marRight w:val="0"/>
          <w:marTop w:val="0"/>
          <w:marBottom w:val="0"/>
          <w:divBdr>
            <w:top w:val="none" w:sz="0" w:space="0" w:color="auto"/>
            <w:left w:val="none" w:sz="0" w:space="0" w:color="auto"/>
            <w:bottom w:val="none" w:sz="0" w:space="0" w:color="auto"/>
            <w:right w:val="none" w:sz="0" w:space="0" w:color="auto"/>
          </w:divBdr>
        </w:div>
        <w:div w:id="878977446">
          <w:marLeft w:val="0"/>
          <w:marRight w:val="0"/>
          <w:marTop w:val="0"/>
          <w:marBottom w:val="0"/>
          <w:divBdr>
            <w:top w:val="none" w:sz="0" w:space="0" w:color="auto"/>
            <w:left w:val="none" w:sz="0" w:space="0" w:color="auto"/>
            <w:bottom w:val="none" w:sz="0" w:space="0" w:color="auto"/>
            <w:right w:val="none" w:sz="0" w:space="0" w:color="auto"/>
          </w:divBdr>
        </w:div>
        <w:div w:id="2144616320">
          <w:marLeft w:val="0"/>
          <w:marRight w:val="0"/>
          <w:marTop w:val="0"/>
          <w:marBottom w:val="0"/>
          <w:divBdr>
            <w:top w:val="none" w:sz="0" w:space="0" w:color="auto"/>
            <w:left w:val="none" w:sz="0" w:space="0" w:color="auto"/>
            <w:bottom w:val="none" w:sz="0" w:space="0" w:color="auto"/>
            <w:right w:val="none" w:sz="0" w:space="0" w:color="auto"/>
          </w:divBdr>
        </w:div>
      </w:divsChild>
    </w:div>
    <w:div w:id="795300088">
      <w:bodyDiv w:val="1"/>
      <w:marLeft w:val="0"/>
      <w:marRight w:val="0"/>
      <w:marTop w:val="0"/>
      <w:marBottom w:val="0"/>
      <w:divBdr>
        <w:top w:val="none" w:sz="0" w:space="0" w:color="auto"/>
        <w:left w:val="none" w:sz="0" w:space="0" w:color="auto"/>
        <w:bottom w:val="none" w:sz="0" w:space="0" w:color="auto"/>
        <w:right w:val="none" w:sz="0" w:space="0" w:color="auto"/>
      </w:divBdr>
    </w:div>
    <w:div w:id="807940010">
      <w:bodyDiv w:val="1"/>
      <w:marLeft w:val="0"/>
      <w:marRight w:val="0"/>
      <w:marTop w:val="0"/>
      <w:marBottom w:val="0"/>
      <w:divBdr>
        <w:top w:val="none" w:sz="0" w:space="0" w:color="auto"/>
        <w:left w:val="none" w:sz="0" w:space="0" w:color="auto"/>
        <w:bottom w:val="none" w:sz="0" w:space="0" w:color="auto"/>
        <w:right w:val="none" w:sz="0" w:space="0" w:color="auto"/>
      </w:divBdr>
    </w:div>
    <w:div w:id="808397461">
      <w:bodyDiv w:val="1"/>
      <w:marLeft w:val="0"/>
      <w:marRight w:val="0"/>
      <w:marTop w:val="0"/>
      <w:marBottom w:val="0"/>
      <w:divBdr>
        <w:top w:val="none" w:sz="0" w:space="0" w:color="auto"/>
        <w:left w:val="none" w:sz="0" w:space="0" w:color="auto"/>
        <w:bottom w:val="none" w:sz="0" w:space="0" w:color="auto"/>
        <w:right w:val="none" w:sz="0" w:space="0" w:color="auto"/>
      </w:divBdr>
    </w:div>
    <w:div w:id="813983032">
      <w:bodyDiv w:val="1"/>
      <w:marLeft w:val="0"/>
      <w:marRight w:val="0"/>
      <w:marTop w:val="0"/>
      <w:marBottom w:val="0"/>
      <w:divBdr>
        <w:top w:val="none" w:sz="0" w:space="0" w:color="auto"/>
        <w:left w:val="none" w:sz="0" w:space="0" w:color="auto"/>
        <w:bottom w:val="none" w:sz="0" w:space="0" w:color="auto"/>
        <w:right w:val="none" w:sz="0" w:space="0" w:color="auto"/>
      </w:divBdr>
    </w:div>
    <w:div w:id="821460702">
      <w:bodyDiv w:val="1"/>
      <w:marLeft w:val="0"/>
      <w:marRight w:val="0"/>
      <w:marTop w:val="0"/>
      <w:marBottom w:val="0"/>
      <w:divBdr>
        <w:top w:val="none" w:sz="0" w:space="0" w:color="auto"/>
        <w:left w:val="none" w:sz="0" w:space="0" w:color="auto"/>
        <w:bottom w:val="none" w:sz="0" w:space="0" w:color="auto"/>
        <w:right w:val="none" w:sz="0" w:space="0" w:color="auto"/>
      </w:divBdr>
    </w:div>
    <w:div w:id="828205828">
      <w:bodyDiv w:val="1"/>
      <w:marLeft w:val="0"/>
      <w:marRight w:val="0"/>
      <w:marTop w:val="0"/>
      <w:marBottom w:val="0"/>
      <w:divBdr>
        <w:top w:val="none" w:sz="0" w:space="0" w:color="auto"/>
        <w:left w:val="none" w:sz="0" w:space="0" w:color="auto"/>
        <w:bottom w:val="none" w:sz="0" w:space="0" w:color="auto"/>
        <w:right w:val="none" w:sz="0" w:space="0" w:color="auto"/>
      </w:divBdr>
    </w:div>
    <w:div w:id="832454813">
      <w:bodyDiv w:val="1"/>
      <w:marLeft w:val="0"/>
      <w:marRight w:val="0"/>
      <w:marTop w:val="0"/>
      <w:marBottom w:val="0"/>
      <w:divBdr>
        <w:top w:val="none" w:sz="0" w:space="0" w:color="auto"/>
        <w:left w:val="none" w:sz="0" w:space="0" w:color="auto"/>
        <w:bottom w:val="none" w:sz="0" w:space="0" w:color="auto"/>
        <w:right w:val="none" w:sz="0" w:space="0" w:color="auto"/>
      </w:divBdr>
    </w:div>
    <w:div w:id="852302500">
      <w:bodyDiv w:val="1"/>
      <w:marLeft w:val="0"/>
      <w:marRight w:val="0"/>
      <w:marTop w:val="0"/>
      <w:marBottom w:val="0"/>
      <w:divBdr>
        <w:top w:val="none" w:sz="0" w:space="0" w:color="auto"/>
        <w:left w:val="none" w:sz="0" w:space="0" w:color="auto"/>
        <w:bottom w:val="none" w:sz="0" w:space="0" w:color="auto"/>
        <w:right w:val="none" w:sz="0" w:space="0" w:color="auto"/>
      </w:divBdr>
    </w:div>
    <w:div w:id="865100041">
      <w:bodyDiv w:val="1"/>
      <w:marLeft w:val="0"/>
      <w:marRight w:val="0"/>
      <w:marTop w:val="0"/>
      <w:marBottom w:val="0"/>
      <w:divBdr>
        <w:top w:val="none" w:sz="0" w:space="0" w:color="auto"/>
        <w:left w:val="none" w:sz="0" w:space="0" w:color="auto"/>
        <w:bottom w:val="none" w:sz="0" w:space="0" w:color="auto"/>
        <w:right w:val="none" w:sz="0" w:space="0" w:color="auto"/>
      </w:divBdr>
    </w:div>
    <w:div w:id="870151229">
      <w:bodyDiv w:val="1"/>
      <w:marLeft w:val="0"/>
      <w:marRight w:val="0"/>
      <w:marTop w:val="0"/>
      <w:marBottom w:val="0"/>
      <w:divBdr>
        <w:top w:val="none" w:sz="0" w:space="0" w:color="auto"/>
        <w:left w:val="none" w:sz="0" w:space="0" w:color="auto"/>
        <w:bottom w:val="none" w:sz="0" w:space="0" w:color="auto"/>
        <w:right w:val="none" w:sz="0" w:space="0" w:color="auto"/>
      </w:divBdr>
    </w:div>
    <w:div w:id="870219631">
      <w:bodyDiv w:val="1"/>
      <w:marLeft w:val="0"/>
      <w:marRight w:val="0"/>
      <w:marTop w:val="0"/>
      <w:marBottom w:val="0"/>
      <w:divBdr>
        <w:top w:val="none" w:sz="0" w:space="0" w:color="auto"/>
        <w:left w:val="none" w:sz="0" w:space="0" w:color="auto"/>
        <w:bottom w:val="none" w:sz="0" w:space="0" w:color="auto"/>
        <w:right w:val="none" w:sz="0" w:space="0" w:color="auto"/>
      </w:divBdr>
    </w:div>
    <w:div w:id="872229550">
      <w:bodyDiv w:val="1"/>
      <w:marLeft w:val="0"/>
      <w:marRight w:val="0"/>
      <w:marTop w:val="0"/>
      <w:marBottom w:val="0"/>
      <w:divBdr>
        <w:top w:val="none" w:sz="0" w:space="0" w:color="auto"/>
        <w:left w:val="none" w:sz="0" w:space="0" w:color="auto"/>
        <w:bottom w:val="none" w:sz="0" w:space="0" w:color="auto"/>
        <w:right w:val="none" w:sz="0" w:space="0" w:color="auto"/>
      </w:divBdr>
    </w:div>
    <w:div w:id="886380094">
      <w:bodyDiv w:val="1"/>
      <w:marLeft w:val="0"/>
      <w:marRight w:val="0"/>
      <w:marTop w:val="0"/>
      <w:marBottom w:val="0"/>
      <w:divBdr>
        <w:top w:val="none" w:sz="0" w:space="0" w:color="auto"/>
        <w:left w:val="none" w:sz="0" w:space="0" w:color="auto"/>
        <w:bottom w:val="none" w:sz="0" w:space="0" w:color="auto"/>
        <w:right w:val="none" w:sz="0" w:space="0" w:color="auto"/>
      </w:divBdr>
    </w:div>
    <w:div w:id="886993859">
      <w:bodyDiv w:val="1"/>
      <w:marLeft w:val="0"/>
      <w:marRight w:val="0"/>
      <w:marTop w:val="0"/>
      <w:marBottom w:val="0"/>
      <w:divBdr>
        <w:top w:val="none" w:sz="0" w:space="0" w:color="auto"/>
        <w:left w:val="none" w:sz="0" w:space="0" w:color="auto"/>
        <w:bottom w:val="none" w:sz="0" w:space="0" w:color="auto"/>
        <w:right w:val="none" w:sz="0" w:space="0" w:color="auto"/>
      </w:divBdr>
    </w:div>
    <w:div w:id="898445952">
      <w:bodyDiv w:val="1"/>
      <w:marLeft w:val="0"/>
      <w:marRight w:val="0"/>
      <w:marTop w:val="0"/>
      <w:marBottom w:val="0"/>
      <w:divBdr>
        <w:top w:val="none" w:sz="0" w:space="0" w:color="auto"/>
        <w:left w:val="none" w:sz="0" w:space="0" w:color="auto"/>
        <w:bottom w:val="none" w:sz="0" w:space="0" w:color="auto"/>
        <w:right w:val="none" w:sz="0" w:space="0" w:color="auto"/>
      </w:divBdr>
    </w:div>
    <w:div w:id="901209375">
      <w:bodyDiv w:val="1"/>
      <w:marLeft w:val="0"/>
      <w:marRight w:val="0"/>
      <w:marTop w:val="0"/>
      <w:marBottom w:val="0"/>
      <w:divBdr>
        <w:top w:val="none" w:sz="0" w:space="0" w:color="auto"/>
        <w:left w:val="none" w:sz="0" w:space="0" w:color="auto"/>
        <w:bottom w:val="none" w:sz="0" w:space="0" w:color="auto"/>
        <w:right w:val="none" w:sz="0" w:space="0" w:color="auto"/>
      </w:divBdr>
    </w:div>
    <w:div w:id="902789134">
      <w:bodyDiv w:val="1"/>
      <w:marLeft w:val="0"/>
      <w:marRight w:val="0"/>
      <w:marTop w:val="0"/>
      <w:marBottom w:val="0"/>
      <w:divBdr>
        <w:top w:val="none" w:sz="0" w:space="0" w:color="auto"/>
        <w:left w:val="none" w:sz="0" w:space="0" w:color="auto"/>
        <w:bottom w:val="none" w:sz="0" w:space="0" w:color="auto"/>
        <w:right w:val="none" w:sz="0" w:space="0" w:color="auto"/>
      </w:divBdr>
    </w:div>
    <w:div w:id="910773001">
      <w:bodyDiv w:val="1"/>
      <w:marLeft w:val="0"/>
      <w:marRight w:val="0"/>
      <w:marTop w:val="0"/>
      <w:marBottom w:val="0"/>
      <w:divBdr>
        <w:top w:val="none" w:sz="0" w:space="0" w:color="auto"/>
        <w:left w:val="none" w:sz="0" w:space="0" w:color="auto"/>
        <w:bottom w:val="none" w:sz="0" w:space="0" w:color="auto"/>
        <w:right w:val="none" w:sz="0" w:space="0" w:color="auto"/>
      </w:divBdr>
    </w:div>
    <w:div w:id="916523096">
      <w:bodyDiv w:val="1"/>
      <w:marLeft w:val="0"/>
      <w:marRight w:val="0"/>
      <w:marTop w:val="0"/>
      <w:marBottom w:val="0"/>
      <w:divBdr>
        <w:top w:val="none" w:sz="0" w:space="0" w:color="auto"/>
        <w:left w:val="none" w:sz="0" w:space="0" w:color="auto"/>
        <w:bottom w:val="none" w:sz="0" w:space="0" w:color="auto"/>
        <w:right w:val="none" w:sz="0" w:space="0" w:color="auto"/>
      </w:divBdr>
    </w:div>
    <w:div w:id="934216241">
      <w:bodyDiv w:val="1"/>
      <w:marLeft w:val="0"/>
      <w:marRight w:val="0"/>
      <w:marTop w:val="0"/>
      <w:marBottom w:val="0"/>
      <w:divBdr>
        <w:top w:val="none" w:sz="0" w:space="0" w:color="auto"/>
        <w:left w:val="none" w:sz="0" w:space="0" w:color="auto"/>
        <w:bottom w:val="none" w:sz="0" w:space="0" w:color="auto"/>
        <w:right w:val="none" w:sz="0" w:space="0" w:color="auto"/>
      </w:divBdr>
    </w:div>
    <w:div w:id="939603481">
      <w:bodyDiv w:val="1"/>
      <w:marLeft w:val="0"/>
      <w:marRight w:val="0"/>
      <w:marTop w:val="0"/>
      <w:marBottom w:val="0"/>
      <w:divBdr>
        <w:top w:val="none" w:sz="0" w:space="0" w:color="auto"/>
        <w:left w:val="none" w:sz="0" w:space="0" w:color="auto"/>
        <w:bottom w:val="none" w:sz="0" w:space="0" w:color="auto"/>
        <w:right w:val="none" w:sz="0" w:space="0" w:color="auto"/>
      </w:divBdr>
    </w:div>
    <w:div w:id="945964584">
      <w:bodyDiv w:val="1"/>
      <w:marLeft w:val="0"/>
      <w:marRight w:val="0"/>
      <w:marTop w:val="0"/>
      <w:marBottom w:val="0"/>
      <w:divBdr>
        <w:top w:val="none" w:sz="0" w:space="0" w:color="auto"/>
        <w:left w:val="none" w:sz="0" w:space="0" w:color="auto"/>
        <w:bottom w:val="none" w:sz="0" w:space="0" w:color="auto"/>
        <w:right w:val="none" w:sz="0" w:space="0" w:color="auto"/>
      </w:divBdr>
    </w:div>
    <w:div w:id="953944270">
      <w:bodyDiv w:val="1"/>
      <w:marLeft w:val="0"/>
      <w:marRight w:val="0"/>
      <w:marTop w:val="0"/>
      <w:marBottom w:val="0"/>
      <w:divBdr>
        <w:top w:val="none" w:sz="0" w:space="0" w:color="auto"/>
        <w:left w:val="none" w:sz="0" w:space="0" w:color="auto"/>
        <w:bottom w:val="none" w:sz="0" w:space="0" w:color="auto"/>
        <w:right w:val="none" w:sz="0" w:space="0" w:color="auto"/>
      </w:divBdr>
    </w:div>
    <w:div w:id="954022660">
      <w:bodyDiv w:val="1"/>
      <w:marLeft w:val="0"/>
      <w:marRight w:val="0"/>
      <w:marTop w:val="0"/>
      <w:marBottom w:val="0"/>
      <w:divBdr>
        <w:top w:val="none" w:sz="0" w:space="0" w:color="auto"/>
        <w:left w:val="none" w:sz="0" w:space="0" w:color="auto"/>
        <w:bottom w:val="none" w:sz="0" w:space="0" w:color="auto"/>
        <w:right w:val="none" w:sz="0" w:space="0" w:color="auto"/>
      </w:divBdr>
      <w:divsChild>
        <w:div w:id="1501702928">
          <w:marLeft w:val="0"/>
          <w:marRight w:val="0"/>
          <w:marTop w:val="0"/>
          <w:marBottom w:val="0"/>
          <w:divBdr>
            <w:top w:val="none" w:sz="0" w:space="0" w:color="auto"/>
            <w:left w:val="none" w:sz="0" w:space="0" w:color="auto"/>
            <w:bottom w:val="none" w:sz="0" w:space="0" w:color="auto"/>
            <w:right w:val="none" w:sz="0" w:space="0" w:color="auto"/>
          </w:divBdr>
          <w:divsChild>
            <w:div w:id="1515458610">
              <w:marLeft w:val="0"/>
              <w:marRight w:val="0"/>
              <w:marTop w:val="0"/>
              <w:marBottom w:val="0"/>
              <w:divBdr>
                <w:top w:val="none" w:sz="0" w:space="0" w:color="auto"/>
                <w:left w:val="none" w:sz="0" w:space="0" w:color="auto"/>
                <w:bottom w:val="none" w:sz="0" w:space="0" w:color="auto"/>
                <w:right w:val="none" w:sz="0" w:space="0" w:color="auto"/>
              </w:divBdr>
              <w:divsChild>
                <w:div w:id="913703705">
                  <w:marLeft w:val="0"/>
                  <w:marRight w:val="0"/>
                  <w:marTop w:val="0"/>
                  <w:marBottom w:val="0"/>
                  <w:divBdr>
                    <w:top w:val="none" w:sz="0" w:space="0" w:color="auto"/>
                    <w:left w:val="none" w:sz="0" w:space="0" w:color="auto"/>
                    <w:bottom w:val="none" w:sz="0" w:space="0" w:color="auto"/>
                    <w:right w:val="none" w:sz="0" w:space="0" w:color="auto"/>
                  </w:divBdr>
                  <w:divsChild>
                    <w:div w:id="1354266650">
                      <w:marLeft w:val="0"/>
                      <w:marRight w:val="0"/>
                      <w:marTop w:val="0"/>
                      <w:marBottom w:val="0"/>
                      <w:divBdr>
                        <w:top w:val="none" w:sz="0" w:space="0" w:color="auto"/>
                        <w:left w:val="none" w:sz="0" w:space="0" w:color="auto"/>
                        <w:bottom w:val="none" w:sz="0" w:space="0" w:color="auto"/>
                        <w:right w:val="none" w:sz="0" w:space="0" w:color="auto"/>
                      </w:divBdr>
                      <w:divsChild>
                        <w:div w:id="1677728251">
                          <w:marLeft w:val="0"/>
                          <w:marRight w:val="0"/>
                          <w:marTop w:val="0"/>
                          <w:marBottom w:val="0"/>
                          <w:divBdr>
                            <w:top w:val="none" w:sz="0" w:space="0" w:color="auto"/>
                            <w:left w:val="none" w:sz="0" w:space="0" w:color="auto"/>
                            <w:bottom w:val="none" w:sz="0" w:space="0" w:color="auto"/>
                            <w:right w:val="none" w:sz="0" w:space="0" w:color="auto"/>
                          </w:divBdr>
                          <w:divsChild>
                            <w:div w:id="1271010621">
                              <w:marLeft w:val="0"/>
                              <w:marRight w:val="0"/>
                              <w:marTop w:val="0"/>
                              <w:marBottom w:val="0"/>
                              <w:divBdr>
                                <w:top w:val="none" w:sz="0" w:space="0" w:color="auto"/>
                                <w:left w:val="none" w:sz="0" w:space="0" w:color="auto"/>
                                <w:bottom w:val="none" w:sz="0" w:space="0" w:color="auto"/>
                                <w:right w:val="none" w:sz="0" w:space="0" w:color="auto"/>
                              </w:divBdr>
                              <w:divsChild>
                                <w:div w:id="1584021510">
                                  <w:marLeft w:val="0"/>
                                  <w:marRight w:val="0"/>
                                  <w:marTop w:val="0"/>
                                  <w:marBottom w:val="0"/>
                                  <w:divBdr>
                                    <w:top w:val="none" w:sz="0" w:space="0" w:color="auto"/>
                                    <w:left w:val="none" w:sz="0" w:space="0" w:color="auto"/>
                                    <w:bottom w:val="none" w:sz="0" w:space="0" w:color="auto"/>
                                    <w:right w:val="none" w:sz="0" w:space="0" w:color="auto"/>
                                  </w:divBdr>
                                  <w:divsChild>
                                    <w:div w:id="1748108597">
                                      <w:marLeft w:val="0"/>
                                      <w:marRight w:val="0"/>
                                      <w:marTop w:val="0"/>
                                      <w:marBottom w:val="0"/>
                                      <w:divBdr>
                                        <w:top w:val="none" w:sz="0" w:space="0" w:color="auto"/>
                                        <w:left w:val="none" w:sz="0" w:space="0" w:color="auto"/>
                                        <w:bottom w:val="none" w:sz="0" w:space="0" w:color="auto"/>
                                        <w:right w:val="none" w:sz="0" w:space="0" w:color="auto"/>
                                      </w:divBdr>
                                      <w:divsChild>
                                        <w:div w:id="1333141876">
                                          <w:marLeft w:val="0"/>
                                          <w:marRight w:val="0"/>
                                          <w:marTop w:val="0"/>
                                          <w:marBottom w:val="0"/>
                                          <w:divBdr>
                                            <w:top w:val="none" w:sz="0" w:space="0" w:color="auto"/>
                                            <w:left w:val="none" w:sz="0" w:space="0" w:color="auto"/>
                                            <w:bottom w:val="none" w:sz="0" w:space="0" w:color="auto"/>
                                            <w:right w:val="none" w:sz="0" w:space="0" w:color="auto"/>
                                          </w:divBdr>
                                          <w:divsChild>
                                            <w:div w:id="1981644527">
                                              <w:marLeft w:val="0"/>
                                              <w:marRight w:val="0"/>
                                              <w:marTop w:val="0"/>
                                              <w:marBottom w:val="0"/>
                                              <w:divBdr>
                                                <w:top w:val="none" w:sz="0" w:space="0" w:color="auto"/>
                                                <w:left w:val="none" w:sz="0" w:space="0" w:color="auto"/>
                                                <w:bottom w:val="none" w:sz="0" w:space="0" w:color="auto"/>
                                                <w:right w:val="none" w:sz="0" w:space="0" w:color="auto"/>
                                              </w:divBdr>
                                              <w:divsChild>
                                                <w:div w:id="980768353">
                                                  <w:marLeft w:val="0"/>
                                                  <w:marRight w:val="0"/>
                                                  <w:marTop w:val="0"/>
                                                  <w:marBottom w:val="0"/>
                                                  <w:divBdr>
                                                    <w:top w:val="none" w:sz="0" w:space="0" w:color="auto"/>
                                                    <w:left w:val="none" w:sz="0" w:space="0" w:color="auto"/>
                                                    <w:bottom w:val="none" w:sz="0" w:space="0" w:color="auto"/>
                                                    <w:right w:val="none" w:sz="0" w:space="0" w:color="auto"/>
                                                  </w:divBdr>
                                                  <w:divsChild>
                                                    <w:div w:id="1203010043">
                                                      <w:marLeft w:val="0"/>
                                                      <w:marRight w:val="0"/>
                                                      <w:marTop w:val="0"/>
                                                      <w:marBottom w:val="0"/>
                                                      <w:divBdr>
                                                        <w:top w:val="none" w:sz="0" w:space="0" w:color="auto"/>
                                                        <w:left w:val="none" w:sz="0" w:space="0" w:color="auto"/>
                                                        <w:bottom w:val="none" w:sz="0" w:space="0" w:color="auto"/>
                                                        <w:right w:val="none" w:sz="0" w:space="0" w:color="auto"/>
                                                      </w:divBdr>
                                                      <w:divsChild>
                                                        <w:div w:id="38294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68627505">
          <w:marLeft w:val="0"/>
          <w:marRight w:val="0"/>
          <w:marTop w:val="0"/>
          <w:marBottom w:val="0"/>
          <w:divBdr>
            <w:top w:val="none" w:sz="0" w:space="0" w:color="auto"/>
            <w:left w:val="none" w:sz="0" w:space="0" w:color="auto"/>
            <w:bottom w:val="none" w:sz="0" w:space="0" w:color="auto"/>
            <w:right w:val="none" w:sz="0" w:space="0" w:color="auto"/>
          </w:divBdr>
          <w:divsChild>
            <w:div w:id="1601982582">
              <w:marLeft w:val="0"/>
              <w:marRight w:val="0"/>
              <w:marTop w:val="0"/>
              <w:marBottom w:val="0"/>
              <w:divBdr>
                <w:top w:val="none" w:sz="0" w:space="0" w:color="auto"/>
                <w:left w:val="none" w:sz="0" w:space="0" w:color="auto"/>
                <w:bottom w:val="none" w:sz="0" w:space="0" w:color="auto"/>
                <w:right w:val="none" w:sz="0" w:space="0" w:color="auto"/>
              </w:divBdr>
              <w:divsChild>
                <w:div w:id="1111585696">
                  <w:marLeft w:val="0"/>
                  <w:marRight w:val="0"/>
                  <w:marTop w:val="0"/>
                  <w:marBottom w:val="0"/>
                  <w:divBdr>
                    <w:top w:val="none" w:sz="0" w:space="0" w:color="auto"/>
                    <w:left w:val="none" w:sz="0" w:space="0" w:color="auto"/>
                    <w:bottom w:val="none" w:sz="0" w:space="0" w:color="auto"/>
                    <w:right w:val="none" w:sz="0" w:space="0" w:color="auto"/>
                  </w:divBdr>
                  <w:divsChild>
                    <w:div w:id="3416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059805">
      <w:bodyDiv w:val="1"/>
      <w:marLeft w:val="0"/>
      <w:marRight w:val="0"/>
      <w:marTop w:val="0"/>
      <w:marBottom w:val="0"/>
      <w:divBdr>
        <w:top w:val="none" w:sz="0" w:space="0" w:color="auto"/>
        <w:left w:val="none" w:sz="0" w:space="0" w:color="auto"/>
        <w:bottom w:val="none" w:sz="0" w:space="0" w:color="auto"/>
        <w:right w:val="none" w:sz="0" w:space="0" w:color="auto"/>
      </w:divBdr>
    </w:div>
    <w:div w:id="965961987">
      <w:bodyDiv w:val="1"/>
      <w:marLeft w:val="0"/>
      <w:marRight w:val="0"/>
      <w:marTop w:val="0"/>
      <w:marBottom w:val="0"/>
      <w:divBdr>
        <w:top w:val="none" w:sz="0" w:space="0" w:color="auto"/>
        <w:left w:val="none" w:sz="0" w:space="0" w:color="auto"/>
        <w:bottom w:val="none" w:sz="0" w:space="0" w:color="auto"/>
        <w:right w:val="none" w:sz="0" w:space="0" w:color="auto"/>
      </w:divBdr>
    </w:div>
    <w:div w:id="966275147">
      <w:bodyDiv w:val="1"/>
      <w:marLeft w:val="0"/>
      <w:marRight w:val="0"/>
      <w:marTop w:val="0"/>
      <w:marBottom w:val="0"/>
      <w:divBdr>
        <w:top w:val="none" w:sz="0" w:space="0" w:color="auto"/>
        <w:left w:val="none" w:sz="0" w:space="0" w:color="auto"/>
        <w:bottom w:val="none" w:sz="0" w:space="0" w:color="auto"/>
        <w:right w:val="none" w:sz="0" w:space="0" w:color="auto"/>
      </w:divBdr>
    </w:div>
    <w:div w:id="978219097">
      <w:bodyDiv w:val="1"/>
      <w:marLeft w:val="0"/>
      <w:marRight w:val="0"/>
      <w:marTop w:val="0"/>
      <w:marBottom w:val="0"/>
      <w:divBdr>
        <w:top w:val="none" w:sz="0" w:space="0" w:color="auto"/>
        <w:left w:val="none" w:sz="0" w:space="0" w:color="auto"/>
        <w:bottom w:val="none" w:sz="0" w:space="0" w:color="auto"/>
        <w:right w:val="none" w:sz="0" w:space="0" w:color="auto"/>
      </w:divBdr>
    </w:div>
    <w:div w:id="984436902">
      <w:bodyDiv w:val="1"/>
      <w:marLeft w:val="0"/>
      <w:marRight w:val="0"/>
      <w:marTop w:val="0"/>
      <w:marBottom w:val="0"/>
      <w:divBdr>
        <w:top w:val="none" w:sz="0" w:space="0" w:color="auto"/>
        <w:left w:val="none" w:sz="0" w:space="0" w:color="auto"/>
        <w:bottom w:val="none" w:sz="0" w:space="0" w:color="auto"/>
        <w:right w:val="none" w:sz="0" w:space="0" w:color="auto"/>
      </w:divBdr>
    </w:div>
    <w:div w:id="990673509">
      <w:bodyDiv w:val="1"/>
      <w:marLeft w:val="0"/>
      <w:marRight w:val="0"/>
      <w:marTop w:val="0"/>
      <w:marBottom w:val="0"/>
      <w:divBdr>
        <w:top w:val="none" w:sz="0" w:space="0" w:color="auto"/>
        <w:left w:val="none" w:sz="0" w:space="0" w:color="auto"/>
        <w:bottom w:val="none" w:sz="0" w:space="0" w:color="auto"/>
        <w:right w:val="none" w:sz="0" w:space="0" w:color="auto"/>
      </w:divBdr>
      <w:divsChild>
        <w:div w:id="390034668">
          <w:marLeft w:val="0"/>
          <w:marRight w:val="0"/>
          <w:marTop w:val="0"/>
          <w:marBottom w:val="0"/>
          <w:divBdr>
            <w:top w:val="none" w:sz="0" w:space="0" w:color="auto"/>
            <w:left w:val="none" w:sz="0" w:space="0" w:color="auto"/>
            <w:bottom w:val="none" w:sz="0" w:space="0" w:color="auto"/>
            <w:right w:val="none" w:sz="0" w:space="0" w:color="auto"/>
          </w:divBdr>
        </w:div>
      </w:divsChild>
    </w:div>
    <w:div w:id="1006177885">
      <w:bodyDiv w:val="1"/>
      <w:marLeft w:val="0"/>
      <w:marRight w:val="0"/>
      <w:marTop w:val="0"/>
      <w:marBottom w:val="0"/>
      <w:divBdr>
        <w:top w:val="none" w:sz="0" w:space="0" w:color="auto"/>
        <w:left w:val="none" w:sz="0" w:space="0" w:color="auto"/>
        <w:bottom w:val="none" w:sz="0" w:space="0" w:color="auto"/>
        <w:right w:val="none" w:sz="0" w:space="0" w:color="auto"/>
      </w:divBdr>
    </w:div>
    <w:div w:id="1008826690">
      <w:bodyDiv w:val="1"/>
      <w:marLeft w:val="0"/>
      <w:marRight w:val="0"/>
      <w:marTop w:val="0"/>
      <w:marBottom w:val="0"/>
      <w:divBdr>
        <w:top w:val="none" w:sz="0" w:space="0" w:color="auto"/>
        <w:left w:val="none" w:sz="0" w:space="0" w:color="auto"/>
        <w:bottom w:val="none" w:sz="0" w:space="0" w:color="auto"/>
        <w:right w:val="none" w:sz="0" w:space="0" w:color="auto"/>
      </w:divBdr>
    </w:div>
    <w:div w:id="1009209758">
      <w:bodyDiv w:val="1"/>
      <w:marLeft w:val="0"/>
      <w:marRight w:val="0"/>
      <w:marTop w:val="0"/>
      <w:marBottom w:val="0"/>
      <w:divBdr>
        <w:top w:val="none" w:sz="0" w:space="0" w:color="auto"/>
        <w:left w:val="none" w:sz="0" w:space="0" w:color="auto"/>
        <w:bottom w:val="none" w:sz="0" w:space="0" w:color="auto"/>
        <w:right w:val="none" w:sz="0" w:space="0" w:color="auto"/>
      </w:divBdr>
      <w:divsChild>
        <w:div w:id="1394816939">
          <w:marLeft w:val="0"/>
          <w:marRight w:val="0"/>
          <w:marTop w:val="0"/>
          <w:marBottom w:val="0"/>
          <w:divBdr>
            <w:top w:val="none" w:sz="0" w:space="0" w:color="auto"/>
            <w:left w:val="none" w:sz="0" w:space="0" w:color="auto"/>
            <w:bottom w:val="none" w:sz="0" w:space="0" w:color="auto"/>
            <w:right w:val="none" w:sz="0" w:space="0" w:color="auto"/>
          </w:divBdr>
        </w:div>
      </w:divsChild>
    </w:div>
    <w:div w:id="1010184011">
      <w:bodyDiv w:val="1"/>
      <w:marLeft w:val="0"/>
      <w:marRight w:val="0"/>
      <w:marTop w:val="0"/>
      <w:marBottom w:val="0"/>
      <w:divBdr>
        <w:top w:val="none" w:sz="0" w:space="0" w:color="auto"/>
        <w:left w:val="none" w:sz="0" w:space="0" w:color="auto"/>
        <w:bottom w:val="none" w:sz="0" w:space="0" w:color="auto"/>
        <w:right w:val="none" w:sz="0" w:space="0" w:color="auto"/>
      </w:divBdr>
    </w:div>
    <w:div w:id="1010448289">
      <w:bodyDiv w:val="1"/>
      <w:marLeft w:val="0"/>
      <w:marRight w:val="0"/>
      <w:marTop w:val="0"/>
      <w:marBottom w:val="0"/>
      <w:divBdr>
        <w:top w:val="none" w:sz="0" w:space="0" w:color="auto"/>
        <w:left w:val="none" w:sz="0" w:space="0" w:color="auto"/>
        <w:bottom w:val="none" w:sz="0" w:space="0" w:color="auto"/>
        <w:right w:val="none" w:sz="0" w:space="0" w:color="auto"/>
      </w:divBdr>
    </w:div>
    <w:div w:id="1019699623">
      <w:bodyDiv w:val="1"/>
      <w:marLeft w:val="0"/>
      <w:marRight w:val="0"/>
      <w:marTop w:val="0"/>
      <w:marBottom w:val="0"/>
      <w:divBdr>
        <w:top w:val="none" w:sz="0" w:space="0" w:color="auto"/>
        <w:left w:val="none" w:sz="0" w:space="0" w:color="auto"/>
        <w:bottom w:val="none" w:sz="0" w:space="0" w:color="auto"/>
        <w:right w:val="none" w:sz="0" w:space="0" w:color="auto"/>
      </w:divBdr>
    </w:div>
    <w:div w:id="1026643079">
      <w:bodyDiv w:val="1"/>
      <w:marLeft w:val="0"/>
      <w:marRight w:val="0"/>
      <w:marTop w:val="0"/>
      <w:marBottom w:val="0"/>
      <w:divBdr>
        <w:top w:val="none" w:sz="0" w:space="0" w:color="auto"/>
        <w:left w:val="none" w:sz="0" w:space="0" w:color="auto"/>
        <w:bottom w:val="none" w:sz="0" w:space="0" w:color="auto"/>
        <w:right w:val="none" w:sz="0" w:space="0" w:color="auto"/>
      </w:divBdr>
    </w:div>
    <w:div w:id="1029070141">
      <w:bodyDiv w:val="1"/>
      <w:marLeft w:val="0"/>
      <w:marRight w:val="0"/>
      <w:marTop w:val="0"/>
      <w:marBottom w:val="0"/>
      <w:divBdr>
        <w:top w:val="none" w:sz="0" w:space="0" w:color="auto"/>
        <w:left w:val="none" w:sz="0" w:space="0" w:color="auto"/>
        <w:bottom w:val="none" w:sz="0" w:space="0" w:color="auto"/>
        <w:right w:val="none" w:sz="0" w:space="0" w:color="auto"/>
      </w:divBdr>
    </w:div>
    <w:div w:id="1032074621">
      <w:bodyDiv w:val="1"/>
      <w:marLeft w:val="0"/>
      <w:marRight w:val="0"/>
      <w:marTop w:val="0"/>
      <w:marBottom w:val="0"/>
      <w:divBdr>
        <w:top w:val="none" w:sz="0" w:space="0" w:color="auto"/>
        <w:left w:val="none" w:sz="0" w:space="0" w:color="auto"/>
        <w:bottom w:val="none" w:sz="0" w:space="0" w:color="auto"/>
        <w:right w:val="none" w:sz="0" w:space="0" w:color="auto"/>
      </w:divBdr>
    </w:div>
    <w:div w:id="1051688589">
      <w:bodyDiv w:val="1"/>
      <w:marLeft w:val="0"/>
      <w:marRight w:val="0"/>
      <w:marTop w:val="0"/>
      <w:marBottom w:val="0"/>
      <w:divBdr>
        <w:top w:val="none" w:sz="0" w:space="0" w:color="auto"/>
        <w:left w:val="none" w:sz="0" w:space="0" w:color="auto"/>
        <w:bottom w:val="none" w:sz="0" w:space="0" w:color="auto"/>
        <w:right w:val="none" w:sz="0" w:space="0" w:color="auto"/>
      </w:divBdr>
    </w:div>
    <w:div w:id="1052000291">
      <w:bodyDiv w:val="1"/>
      <w:marLeft w:val="0"/>
      <w:marRight w:val="0"/>
      <w:marTop w:val="0"/>
      <w:marBottom w:val="0"/>
      <w:divBdr>
        <w:top w:val="none" w:sz="0" w:space="0" w:color="auto"/>
        <w:left w:val="none" w:sz="0" w:space="0" w:color="auto"/>
        <w:bottom w:val="none" w:sz="0" w:space="0" w:color="auto"/>
        <w:right w:val="none" w:sz="0" w:space="0" w:color="auto"/>
      </w:divBdr>
    </w:div>
    <w:div w:id="1071345400">
      <w:bodyDiv w:val="1"/>
      <w:marLeft w:val="0"/>
      <w:marRight w:val="0"/>
      <w:marTop w:val="0"/>
      <w:marBottom w:val="0"/>
      <w:divBdr>
        <w:top w:val="none" w:sz="0" w:space="0" w:color="auto"/>
        <w:left w:val="none" w:sz="0" w:space="0" w:color="auto"/>
        <w:bottom w:val="none" w:sz="0" w:space="0" w:color="auto"/>
        <w:right w:val="none" w:sz="0" w:space="0" w:color="auto"/>
      </w:divBdr>
    </w:div>
    <w:div w:id="1073891757">
      <w:bodyDiv w:val="1"/>
      <w:marLeft w:val="0"/>
      <w:marRight w:val="0"/>
      <w:marTop w:val="0"/>
      <w:marBottom w:val="0"/>
      <w:divBdr>
        <w:top w:val="none" w:sz="0" w:space="0" w:color="auto"/>
        <w:left w:val="none" w:sz="0" w:space="0" w:color="auto"/>
        <w:bottom w:val="none" w:sz="0" w:space="0" w:color="auto"/>
        <w:right w:val="none" w:sz="0" w:space="0" w:color="auto"/>
      </w:divBdr>
    </w:div>
    <w:div w:id="1094203977">
      <w:bodyDiv w:val="1"/>
      <w:marLeft w:val="0"/>
      <w:marRight w:val="0"/>
      <w:marTop w:val="0"/>
      <w:marBottom w:val="0"/>
      <w:divBdr>
        <w:top w:val="none" w:sz="0" w:space="0" w:color="auto"/>
        <w:left w:val="none" w:sz="0" w:space="0" w:color="auto"/>
        <w:bottom w:val="none" w:sz="0" w:space="0" w:color="auto"/>
        <w:right w:val="none" w:sz="0" w:space="0" w:color="auto"/>
      </w:divBdr>
    </w:div>
    <w:div w:id="1116414064">
      <w:bodyDiv w:val="1"/>
      <w:marLeft w:val="0"/>
      <w:marRight w:val="0"/>
      <w:marTop w:val="0"/>
      <w:marBottom w:val="0"/>
      <w:divBdr>
        <w:top w:val="none" w:sz="0" w:space="0" w:color="auto"/>
        <w:left w:val="none" w:sz="0" w:space="0" w:color="auto"/>
        <w:bottom w:val="none" w:sz="0" w:space="0" w:color="auto"/>
        <w:right w:val="none" w:sz="0" w:space="0" w:color="auto"/>
      </w:divBdr>
    </w:div>
    <w:div w:id="1122849412">
      <w:bodyDiv w:val="1"/>
      <w:marLeft w:val="0"/>
      <w:marRight w:val="0"/>
      <w:marTop w:val="0"/>
      <w:marBottom w:val="0"/>
      <w:divBdr>
        <w:top w:val="none" w:sz="0" w:space="0" w:color="auto"/>
        <w:left w:val="none" w:sz="0" w:space="0" w:color="auto"/>
        <w:bottom w:val="none" w:sz="0" w:space="0" w:color="auto"/>
        <w:right w:val="none" w:sz="0" w:space="0" w:color="auto"/>
      </w:divBdr>
    </w:div>
    <w:div w:id="1128163744">
      <w:bodyDiv w:val="1"/>
      <w:marLeft w:val="0"/>
      <w:marRight w:val="0"/>
      <w:marTop w:val="0"/>
      <w:marBottom w:val="0"/>
      <w:divBdr>
        <w:top w:val="none" w:sz="0" w:space="0" w:color="auto"/>
        <w:left w:val="none" w:sz="0" w:space="0" w:color="auto"/>
        <w:bottom w:val="none" w:sz="0" w:space="0" w:color="auto"/>
        <w:right w:val="none" w:sz="0" w:space="0" w:color="auto"/>
      </w:divBdr>
    </w:div>
    <w:div w:id="1140684966">
      <w:bodyDiv w:val="1"/>
      <w:marLeft w:val="0"/>
      <w:marRight w:val="0"/>
      <w:marTop w:val="0"/>
      <w:marBottom w:val="0"/>
      <w:divBdr>
        <w:top w:val="none" w:sz="0" w:space="0" w:color="auto"/>
        <w:left w:val="none" w:sz="0" w:space="0" w:color="auto"/>
        <w:bottom w:val="none" w:sz="0" w:space="0" w:color="auto"/>
        <w:right w:val="none" w:sz="0" w:space="0" w:color="auto"/>
      </w:divBdr>
    </w:div>
    <w:div w:id="1147747319">
      <w:bodyDiv w:val="1"/>
      <w:marLeft w:val="0"/>
      <w:marRight w:val="0"/>
      <w:marTop w:val="0"/>
      <w:marBottom w:val="0"/>
      <w:divBdr>
        <w:top w:val="none" w:sz="0" w:space="0" w:color="auto"/>
        <w:left w:val="none" w:sz="0" w:space="0" w:color="auto"/>
        <w:bottom w:val="none" w:sz="0" w:space="0" w:color="auto"/>
        <w:right w:val="none" w:sz="0" w:space="0" w:color="auto"/>
      </w:divBdr>
    </w:div>
    <w:div w:id="1149521192">
      <w:bodyDiv w:val="1"/>
      <w:marLeft w:val="0"/>
      <w:marRight w:val="0"/>
      <w:marTop w:val="0"/>
      <w:marBottom w:val="0"/>
      <w:divBdr>
        <w:top w:val="none" w:sz="0" w:space="0" w:color="auto"/>
        <w:left w:val="none" w:sz="0" w:space="0" w:color="auto"/>
        <w:bottom w:val="none" w:sz="0" w:space="0" w:color="auto"/>
        <w:right w:val="none" w:sz="0" w:space="0" w:color="auto"/>
      </w:divBdr>
    </w:div>
    <w:div w:id="1152135847">
      <w:bodyDiv w:val="1"/>
      <w:marLeft w:val="0"/>
      <w:marRight w:val="0"/>
      <w:marTop w:val="0"/>
      <w:marBottom w:val="0"/>
      <w:divBdr>
        <w:top w:val="none" w:sz="0" w:space="0" w:color="auto"/>
        <w:left w:val="none" w:sz="0" w:space="0" w:color="auto"/>
        <w:bottom w:val="none" w:sz="0" w:space="0" w:color="auto"/>
        <w:right w:val="none" w:sz="0" w:space="0" w:color="auto"/>
      </w:divBdr>
    </w:div>
    <w:div w:id="1153521345">
      <w:bodyDiv w:val="1"/>
      <w:marLeft w:val="0"/>
      <w:marRight w:val="0"/>
      <w:marTop w:val="0"/>
      <w:marBottom w:val="0"/>
      <w:divBdr>
        <w:top w:val="none" w:sz="0" w:space="0" w:color="auto"/>
        <w:left w:val="none" w:sz="0" w:space="0" w:color="auto"/>
        <w:bottom w:val="none" w:sz="0" w:space="0" w:color="auto"/>
        <w:right w:val="none" w:sz="0" w:space="0" w:color="auto"/>
      </w:divBdr>
    </w:div>
    <w:div w:id="1159615675">
      <w:bodyDiv w:val="1"/>
      <w:marLeft w:val="0"/>
      <w:marRight w:val="0"/>
      <w:marTop w:val="0"/>
      <w:marBottom w:val="0"/>
      <w:divBdr>
        <w:top w:val="none" w:sz="0" w:space="0" w:color="auto"/>
        <w:left w:val="none" w:sz="0" w:space="0" w:color="auto"/>
        <w:bottom w:val="none" w:sz="0" w:space="0" w:color="auto"/>
        <w:right w:val="none" w:sz="0" w:space="0" w:color="auto"/>
      </w:divBdr>
    </w:div>
    <w:div w:id="1160998308">
      <w:bodyDiv w:val="1"/>
      <w:marLeft w:val="0"/>
      <w:marRight w:val="0"/>
      <w:marTop w:val="0"/>
      <w:marBottom w:val="0"/>
      <w:divBdr>
        <w:top w:val="none" w:sz="0" w:space="0" w:color="auto"/>
        <w:left w:val="none" w:sz="0" w:space="0" w:color="auto"/>
        <w:bottom w:val="none" w:sz="0" w:space="0" w:color="auto"/>
        <w:right w:val="none" w:sz="0" w:space="0" w:color="auto"/>
      </w:divBdr>
    </w:div>
    <w:div w:id="1170875191">
      <w:bodyDiv w:val="1"/>
      <w:marLeft w:val="0"/>
      <w:marRight w:val="0"/>
      <w:marTop w:val="0"/>
      <w:marBottom w:val="0"/>
      <w:divBdr>
        <w:top w:val="none" w:sz="0" w:space="0" w:color="auto"/>
        <w:left w:val="none" w:sz="0" w:space="0" w:color="auto"/>
        <w:bottom w:val="none" w:sz="0" w:space="0" w:color="auto"/>
        <w:right w:val="none" w:sz="0" w:space="0" w:color="auto"/>
      </w:divBdr>
    </w:div>
    <w:div w:id="1181507365">
      <w:bodyDiv w:val="1"/>
      <w:marLeft w:val="0"/>
      <w:marRight w:val="0"/>
      <w:marTop w:val="0"/>
      <w:marBottom w:val="0"/>
      <w:divBdr>
        <w:top w:val="none" w:sz="0" w:space="0" w:color="auto"/>
        <w:left w:val="none" w:sz="0" w:space="0" w:color="auto"/>
        <w:bottom w:val="none" w:sz="0" w:space="0" w:color="auto"/>
        <w:right w:val="none" w:sz="0" w:space="0" w:color="auto"/>
      </w:divBdr>
    </w:div>
    <w:div w:id="1189024355">
      <w:bodyDiv w:val="1"/>
      <w:marLeft w:val="0"/>
      <w:marRight w:val="0"/>
      <w:marTop w:val="0"/>
      <w:marBottom w:val="0"/>
      <w:divBdr>
        <w:top w:val="none" w:sz="0" w:space="0" w:color="auto"/>
        <w:left w:val="none" w:sz="0" w:space="0" w:color="auto"/>
        <w:bottom w:val="none" w:sz="0" w:space="0" w:color="auto"/>
        <w:right w:val="none" w:sz="0" w:space="0" w:color="auto"/>
      </w:divBdr>
    </w:div>
    <w:div w:id="1191069405">
      <w:bodyDiv w:val="1"/>
      <w:marLeft w:val="0"/>
      <w:marRight w:val="0"/>
      <w:marTop w:val="0"/>
      <w:marBottom w:val="0"/>
      <w:divBdr>
        <w:top w:val="none" w:sz="0" w:space="0" w:color="auto"/>
        <w:left w:val="none" w:sz="0" w:space="0" w:color="auto"/>
        <w:bottom w:val="none" w:sz="0" w:space="0" w:color="auto"/>
        <w:right w:val="none" w:sz="0" w:space="0" w:color="auto"/>
      </w:divBdr>
    </w:div>
    <w:div w:id="1193959247">
      <w:bodyDiv w:val="1"/>
      <w:marLeft w:val="0"/>
      <w:marRight w:val="0"/>
      <w:marTop w:val="0"/>
      <w:marBottom w:val="0"/>
      <w:divBdr>
        <w:top w:val="none" w:sz="0" w:space="0" w:color="auto"/>
        <w:left w:val="none" w:sz="0" w:space="0" w:color="auto"/>
        <w:bottom w:val="none" w:sz="0" w:space="0" w:color="auto"/>
        <w:right w:val="none" w:sz="0" w:space="0" w:color="auto"/>
      </w:divBdr>
    </w:div>
    <w:div w:id="1201431594">
      <w:bodyDiv w:val="1"/>
      <w:marLeft w:val="0"/>
      <w:marRight w:val="0"/>
      <w:marTop w:val="0"/>
      <w:marBottom w:val="0"/>
      <w:divBdr>
        <w:top w:val="none" w:sz="0" w:space="0" w:color="auto"/>
        <w:left w:val="none" w:sz="0" w:space="0" w:color="auto"/>
        <w:bottom w:val="none" w:sz="0" w:space="0" w:color="auto"/>
        <w:right w:val="none" w:sz="0" w:space="0" w:color="auto"/>
      </w:divBdr>
    </w:div>
    <w:div w:id="1203791162">
      <w:bodyDiv w:val="1"/>
      <w:marLeft w:val="0"/>
      <w:marRight w:val="0"/>
      <w:marTop w:val="0"/>
      <w:marBottom w:val="0"/>
      <w:divBdr>
        <w:top w:val="none" w:sz="0" w:space="0" w:color="auto"/>
        <w:left w:val="none" w:sz="0" w:space="0" w:color="auto"/>
        <w:bottom w:val="none" w:sz="0" w:space="0" w:color="auto"/>
        <w:right w:val="none" w:sz="0" w:space="0" w:color="auto"/>
      </w:divBdr>
    </w:div>
    <w:div w:id="1210923912">
      <w:bodyDiv w:val="1"/>
      <w:marLeft w:val="0"/>
      <w:marRight w:val="0"/>
      <w:marTop w:val="0"/>
      <w:marBottom w:val="0"/>
      <w:divBdr>
        <w:top w:val="none" w:sz="0" w:space="0" w:color="auto"/>
        <w:left w:val="none" w:sz="0" w:space="0" w:color="auto"/>
        <w:bottom w:val="none" w:sz="0" w:space="0" w:color="auto"/>
        <w:right w:val="none" w:sz="0" w:space="0" w:color="auto"/>
      </w:divBdr>
    </w:div>
    <w:div w:id="1214775307">
      <w:bodyDiv w:val="1"/>
      <w:marLeft w:val="0"/>
      <w:marRight w:val="0"/>
      <w:marTop w:val="0"/>
      <w:marBottom w:val="0"/>
      <w:divBdr>
        <w:top w:val="none" w:sz="0" w:space="0" w:color="auto"/>
        <w:left w:val="none" w:sz="0" w:space="0" w:color="auto"/>
        <w:bottom w:val="none" w:sz="0" w:space="0" w:color="auto"/>
        <w:right w:val="none" w:sz="0" w:space="0" w:color="auto"/>
      </w:divBdr>
    </w:div>
    <w:div w:id="1242059801">
      <w:bodyDiv w:val="1"/>
      <w:marLeft w:val="0"/>
      <w:marRight w:val="0"/>
      <w:marTop w:val="0"/>
      <w:marBottom w:val="0"/>
      <w:divBdr>
        <w:top w:val="none" w:sz="0" w:space="0" w:color="auto"/>
        <w:left w:val="none" w:sz="0" w:space="0" w:color="auto"/>
        <w:bottom w:val="none" w:sz="0" w:space="0" w:color="auto"/>
        <w:right w:val="none" w:sz="0" w:space="0" w:color="auto"/>
      </w:divBdr>
      <w:divsChild>
        <w:div w:id="1271157514">
          <w:marLeft w:val="0"/>
          <w:marRight w:val="0"/>
          <w:marTop w:val="0"/>
          <w:marBottom w:val="0"/>
          <w:divBdr>
            <w:top w:val="single" w:sz="2" w:space="0" w:color="auto"/>
            <w:left w:val="single" w:sz="2" w:space="0" w:color="auto"/>
            <w:bottom w:val="single" w:sz="2" w:space="0" w:color="auto"/>
            <w:right w:val="single" w:sz="2" w:space="0" w:color="auto"/>
          </w:divBdr>
        </w:div>
      </w:divsChild>
    </w:div>
    <w:div w:id="1261570358">
      <w:bodyDiv w:val="1"/>
      <w:marLeft w:val="0"/>
      <w:marRight w:val="0"/>
      <w:marTop w:val="0"/>
      <w:marBottom w:val="0"/>
      <w:divBdr>
        <w:top w:val="none" w:sz="0" w:space="0" w:color="auto"/>
        <w:left w:val="none" w:sz="0" w:space="0" w:color="auto"/>
        <w:bottom w:val="none" w:sz="0" w:space="0" w:color="auto"/>
        <w:right w:val="none" w:sz="0" w:space="0" w:color="auto"/>
      </w:divBdr>
    </w:div>
    <w:div w:id="1267887829">
      <w:bodyDiv w:val="1"/>
      <w:marLeft w:val="0"/>
      <w:marRight w:val="0"/>
      <w:marTop w:val="0"/>
      <w:marBottom w:val="0"/>
      <w:divBdr>
        <w:top w:val="none" w:sz="0" w:space="0" w:color="auto"/>
        <w:left w:val="none" w:sz="0" w:space="0" w:color="auto"/>
        <w:bottom w:val="none" w:sz="0" w:space="0" w:color="auto"/>
        <w:right w:val="none" w:sz="0" w:space="0" w:color="auto"/>
      </w:divBdr>
    </w:div>
    <w:div w:id="1278410855">
      <w:bodyDiv w:val="1"/>
      <w:marLeft w:val="0"/>
      <w:marRight w:val="0"/>
      <w:marTop w:val="0"/>
      <w:marBottom w:val="0"/>
      <w:divBdr>
        <w:top w:val="none" w:sz="0" w:space="0" w:color="auto"/>
        <w:left w:val="none" w:sz="0" w:space="0" w:color="auto"/>
        <w:bottom w:val="none" w:sz="0" w:space="0" w:color="auto"/>
        <w:right w:val="none" w:sz="0" w:space="0" w:color="auto"/>
      </w:divBdr>
    </w:div>
    <w:div w:id="1284733406">
      <w:bodyDiv w:val="1"/>
      <w:marLeft w:val="0"/>
      <w:marRight w:val="0"/>
      <w:marTop w:val="0"/>
      <w:marBottom w:val="0"/>
      <w:divBdr>
        <w:top w:val="none" w:sz="0" w:space="0" w:color="auto"/>
        <w:left w:val="none" w:sz="0" w:space="0" w:color="auto"/>
        <w:bottom w:val="none" w:sz="0" w:space="0" w:color="auto"/>
        <w:right w:val="none" w:sz="0" w:space="0" w:color="auto"/>
      </w:divBdr>
    </w:div>
    <w:div w:id="1292858138">
      <w:bodyDiv w:val="1"/>
      <w:marLeft w:val="0"/>
      <w:marRight w:val="0"/>
      <w:marTop w:val="0"/>
      <w:marBottom w:val="0"/>
      <w:divBdr>
        <w:top w:val="none" w:sz="0" w:space="0" w:color="auto"/>
        <w:left w:val="none" w:sz="0" w:space="0" w:color="auto"/>
        <w:bottom w:val="none" w:sz="0" w:space="0" w:color="auto"/>
        <w:right w:val="none" w:sz="0" w:space="0" w:color="auto"/>
      </w:divBdr>
    </w:div>
    <w:div w:id="1293827776">
      <w:bodyDiv w:val="1"/>
      <w:marLeft w:val="0"/>
      <w:marRight w:val="0"/>
      <w:marTop w:val="0"/>
      <w:marBottom w:val="0"/>
      <w:divBdr>
        <w:top w:val="none" w:sz="0" w:space="0" w:color="auto"/>
        <w:left w:val="none" w:sz="0" w:space="0" w:color="auto"/>
        <w:bottom w:val="none" w:sz="0" w:space="0" w:color="auto"/>
        <w:right w:val="none" w:sz="0" w:space="0" w:color="auto"/>
      </w:divBdr>
    </w:div>
    <w:div w:id="1307278573">
      <w:bodyDiv w:val="1"/>
      <w:marLeft w:val="0"/>
      <w:marRight w:val="0"/>
      <w:marTop w:val="0"/>
      <w:marBottom w:val="0"/>
      <w:divBdr>
        <w:top w:val="none" w:sz="0" w:space="0" w:color="auto"/>
        <w:left w:val="none" w:sz="0" w:space="0" w:color="auto"/>
        <w:bottom w:val="none" w:sz="0" w:space="0" w:color="auto"/>
        <w:right w:val="none" w:sz="0" w:space="0" w:color="auto"/>
      </w:divBdr>
    </w:div>
    <w:div w:id="1317416561">
      <w:bodyDiv w:val="1"/>
      <w:marLeft w:val="0"/>
      <w:marRight w:val="0"/>
      <w:marTop w:val="0"/>
      <w:marBottom w:val="0"/>
      <w:divBdr>
        <w:top w:val="none" w:sz="0" w:space="0" w:color="auto"/>
        <w:left w:val="none" w:sz="0" w:space="0" w:color="auto"/>
        <w:bottom w:val="none" w:sz="0" w:space="0" w:color="auto"/>
        <w:right w:val="none" w:sz="0" w:space="0" w:color="auto"/>
      </w:divBdr>
    </w:div>
    <w:div w:id="1318535258">
      <w:bodyDiv w:val="1"/>
      <w:marLeft w:val="0"/>
      <w:marRight w:val="0"/>
      <w:marTop w:val="0"/>
      <w:marBottom w:val="0"/>
      <w:divBdr>
        <w:top w:val="none" w:sz="0" w:space="0" w:color="auto"/>
        <w:left w:val="none" w:sz="0" w:space="0" w:color="auto"/>
        <w:bottom w:val="none" w:sz="0" w:space="0" w:color="auto"/>
        <w:right w:val="none" w:sz="0" w:space="0" w:color="auto"/>
      </w:divBdr>
      <w:divsChild>
        <w:div w:id="239146014">
          <w:marLeft w:val="0"/>
          <w:marRight w:val="0"/>
          <w:marTop w:val="0"/>
          <w:marBottom w:val="0"/>
          <w:divBdr>
            <w:top w:val="single" w:sz="2" w:space="0" w:color="auto"/>
            <w:left w:val="single" w:sz="2" w:space="0" w:color="auto"/>
            <w:bottom w:val="single" w:sz="2" w:space="0" w:color="auto"/>
            <w:right w:val="single" w:sz="2" w:space="0" w:color="auto"/>
          </w:divBdr>
        </w:div>
      </w:divsChild>
    </w:div>
    <w:div w:id="1320965817">
      <w:bodyDiv w:val="1"/>
      <w:marLeft w:val="0"/>
      <w:marRight w:val="0"/>
      <w:marTop w:val="0"/>
      <w:marBottom w:val="0"/>
      <w:divBdr>
        <w:top w:val="none" w:sz="0" w:space="0" w:color="auto"/>
        <w:left w:val="none" w:sz="0" w:space="0" w:color="auto"/>
        <w:bottom w:val="none" w:sz="0" w:space="0" w:color="auto"/>
        <w:right w:val="none" w:sz="0" w:space="0" w:color="auto"/>
      </w:divBdr>
    </w:div>
    <w:div w:id="1329675113">
      <w:bodyDiv w:val="1"/>
      <w:marLeft w:val="0"/>
      <w:marRight w:val="0"/>
      <w:marTop w:val="0"/>
      <w:marBottom w:val="0"/>
      <w:divBdr>
        <w:top w:val="none" w:sz="0" w:space="0" w:color="auto"/>
        <w:left w:val="none" w:sz="0" w:space="0" w:color="auto"/>
        <w:bottom w:val="none" w:sz="0" w:space="0" w:color="auto"/>
        <w:right w:val="none" w:sz="0" w:space="0" w:color="auto"/>
      </w:divBdr>
    </w:div>
    <w:div w:id="1340087102">
      <w:bodyDiv w:val="1"/>
      <w:marLeft w:val="0"/>
      <w:marRight w:val="0"/>
      <w:marTop w:val="0"/>
      <w:marBottom w:val="0"/>
      <w:divBdr>
        <w:top w:val="none" w:sz="0" w:space="0" w:color="auto"/>
        <w:left w:val="none" w:sz="0" w:space="0" w:color="auto"/>
        <w:bottom w:val="none" w:sz="0" w:space="0" w:color="auto"/>
        <w:right w:val="none" w:sz="0" w:space="0" w:color="auto"/>
      </w:divBdr>
    </w:div>
    <w:div w:id="1342782673">
      <w:bodyDiv w:val="1"/>
      <w:marLeft w:val="0"/>
      <w:marRight w:val="0"/>
      <w:marTop w:val="0"/>
      <w:marBottom w:val="0"/>
      <w:divBdr>
        <w:top w:val="none" w:sz="0" w:space="0" w:color="auto"/>
        <w:left w:val="none" w:sz="0" w:space="0" w:color="auto"/>
        <w:bottom w:val="none" w:sz="0" w:space="0" w:color="auto"/>
        <w:right w:val="none" w:sz="0" w:space="0" w:color="auto"/>
      </w:divBdr>
      <w:divsChild>
        <w:div w:id="1112016608">
          <w:marLeft w:val="0"/>
          <w:marRight w:val="0"/>
          <w:marTop w:val="0"/>
          <w:marBottom w:val="0"/>
          <w:divBdr>
            <w:top w:val="none" w:sz="0" w:space="0" w:color="auto"/>
            <w:left w:val="none" w:sz="0" w:space="0" w:color="auto"/>
            <w:bottom w:val="none" w:sz="0" w:space="0" w:color="auto"/>
            <w:right w:val="none" w:sz="0" w:space="0" w:color="auto"/>
          </w:divBdr>
        </w:div>
      </w:divsChild>
    </w:div>
    <w:div w:id="1344624969">
      <w:bodyDiv w:val="1"/>
      <w:marLeft w:val="0"/>
      <w:marRight w:val="0"/>
      <w:marTop w:val="0"/>
      <w:marBottom w:val="0"/>
      <w:divBdr>
        <w:top w:val="none" w:sz="0" w:space="0" w:color="auto"/>
        <w:left w:val="none" w:sz="0" w:space="0" w:color="auto"/>
        <w:bottom w:val="none" w:sz="0" w:space="0" w:color="auto"/>
        <w:right w:val="none" w:sz="0" w:space="0" w:color="auto"/>
      </w:divBdr>
    </w:div>
    <w:div w:id="1351489573">
      <w:bodyDiv w:val="1"/>
      <w:marLeft w:val="0"/>
      <w:marRight w:val="0"/>
      <w:marTop w:val="0"/>
      <w:marBottom w:val="0"/>
      <w:divBdr>
        <w:top w:val="none" w:sz="0" w:space="0" w:color="auto"/>
        <w:left w:val="none" w:sz="0" w:space="0" w:color="auto"/>
        <w:bottom w:val="none" w:sz="0" w:space="0" w:color="auto"/>
        <w:right w:val="none" w:sz="0" w:space="0" w:color="auto"/>
      </w:divBdr>
    </w:div>
    <w:div w:id="1351834935">
      <w:bodyDiv w:val="1"/>
      <w:marLeft w:val="0"/>
      <w:marRight w:val="0"/>
      <w:marTop w:val="0"/>
      <w:marBottom w:val="0"/>
      <w:divBdr>
        <w:top w:val="none" w:sz="0" w:space="0" w:color="auto"/>
        <w:left w:val="none" w:sz="0" w:space="0" w:color="auto"/>
        <w:bottom w:val="none" w:sz="0" w:space="0" w:color="auto"/>
        <w:right w:val="none" w:sz="0" w:space="0" w:color="auto"/>
      </w:divBdr>
    </w:div>
    <w:div w:id="1351952679">
      <w:bodyDiv w:val="1"/>
      <w:marLeft w:val="0"/>
      <w:marRight w:val="0"/>
      <w:marTop w:val="0"/>
      <w:marBottom w:val="0"/>
      <w:divBdr>
        <w:top w:val="none" w:sz="0" w:space="0" w:color="auto"/>
        <w:left w:val="none" w:sz="0" w:space="0" w:color="auto"/>
        <w:bottom w:val="none" w:sz="0" w:space="0" w:color="auto"/>
        <w:right w:val="none" w:sz="0" w:space="0" w:color="auto"/>
      </w:divBdr>
    </w:div>
    <w:div w:id="1354841566">
      <w:bodyDiv w:val="1"/>
      <w:marLeft w:val="0"/>
      <w:marRight w:val="0"/>
      <w:marTop w:val="0"/>
      <w:marBottom w:val="0"/>
      <w:divBdr>
        <w:top w:val="none" w:sz="0" w:space="0" w:color="auto"/>
        <w:left w:val="none" w:sz="0" w:space="0" w:color="auto"/>
        <w:bottom w:val="none" w:sz="0" w:space="0" w:color="auto"/>
        <w:right w:val="none" w:sz="0" w:space="0" w:color="auto"/>
      </w:divBdr>
    </w:div>
    <w:div w:id="1368336515">
      <w:bodyDiv w:val="1"/>
      <w:marLeft w:val="0"/>
      <w:marRight w:val="0"/>
      <w:marTop w:val="0"/>
      <w:marBottom w:val="0"/>
      <w:divBdr>
        <w:top w:val="none" w:sz="0" w:space="0" w:color="auto"/>
        <w:left w:val="none" w:sz="0" w:space="0" w:color="auto"/>
        <w:bottom w:val="none" w:sz="0" w:space="0" w:color="auto"/>
        <w:right w:val="none" w:sz="0" w:space="0" w:color="auto"/>
      </w:divBdr>
    </w:div>
    <w:div w:id="1369184020">
      <w:bodyDiv w:val="1"/>
      <w:marLeft w:val="0"/>
      <w:marRight w:val="0"/>
      <w:marTop w:val="0"/>
      <w:marBottom w:val="0"/>
      <w:divBdr>
        <w:top w:val="none" w:sz="0" w:space="0" w:color="auto"/>
        <w:left w:val="none" w:sz="0" w:space="0" w:color="auto"/>
        <w:bottom w:val="none" w:sz="0" w:space="0" w:color="auto"/>
        <w:right w:val="none" w:sz="0" w:space="0" w:color="auto"/>
      </w:divBdr>
    </w:div>
    <w:div w:id="1374112465">
      <w:bodyDiv w:val="1"/>
      <w:marLeft w:val="0"/>
      <w:marRight w:val="0"/>
      <w:marTop w:val="0"/>
      <w:marBottom w:val="0"/>
      <w:divBdr>
        <w:top w:val="none" w:sz="0" w:space="0" w:color="auto"/>
        <w:left w:val="none" w:sz="0" w:space="0" w:color="auto"/>
        <w:bottom w:val="none" w:sz="0" w:space="0" w:color="auto"/>
        <w:right w:val="none" w:sz="0" w:space="0" w:color="auto"/>
      </w:divBdr>
    </w:div>
    <w:div w:id="1380596383">
      <w:bodyDiv w:val="1"/>
      <w:marLeft w:val="0"/>
      <w:marRight w:val="0"/>
      <w:marTop w:val="0"/>
      <w:marBottom w:val="0"/>
      <w:divBdr>
        <w:top w:val="none" w:sz="0" w:space="0" w:color="auto"/>
        <w:left w:val="none" w:sz="0" w:space="0" w:color="auto"/>
        <w:bottom w:val="none" w:sz="0" w:space="0" w:color="auto"/>
        <w:right w:val="none" w:sz="0" w:space="0" w:color="auto"/>
      </w:divBdr>
    </w:div>
    <w:div w:id="1405756181">
      <w:bodyDiv w:val="1"/>
      <w:marLeft w:val="0"/>
      <w:marRight w:val="0"/>
      <w:marTop w:val="0"/>
      <w:marBottom w:val="0"/>
      <w:divBdr>
        <w:top w:val="none" w:sz="0" w:space="0" w:color="auto"/>
        <w:left w:val="none" w:sz="0" w:space="0" w:color="auto"/>
        <w:bottom w:val="none" w:sz="0" w:space="0" w:color="auto"/>
        <w:right w:val="none" w:sz="0" w:space="0" w:color="auto"/>
      </w:divBdr>
    </w:div>
    <w:div w:id="1412318028">
      <w:bodyDiv w:val="1"/>
      <w:marLeft w:val="0"/>
      <w:marRight w:val="0"/>
      <w:marTop w:val="0"/>
      <w:marBottom w:val="0"/>
      <w:divBdr>
        <w:top w:val="none" w:sz="0" w:space="0" w:color="auto"/>
        <w:left w:val="none" w:sz="0" w:space="0" w:color="auto"/>
        <w:bottom w:val="none" w:sz="0" w:space="0" w:color="auto"/>
        <w:right w:val="none" w:sz="0" w:space="0" w:color="auto"/>
      </w:divBdr>
    </w:div>
    <w:div w:id="1428037935">
      <w:bodyDiv w:val="1"/>
      <w:marLeft w:val="0"/>
      <w:marRight w:val="0"/>
      <w:marTop w:val="0"/>
      <w:marBottom w:val="0"/>
      <w:divBdr>
        <w:top w:val="none" w:sz="0" w:space="0" w:color="auto"/>
        <w:left w:val="none" w:sz="0" w:space="0" w:color="auto"/>
        <w:bottom w:val="none" w:sz="0" w:space="0" w:color="auto"/>
        <w:right w:val="none" w:sz="0" w:space="0" w:color="auto"/>
      </w:divBdr>
    </w:div>
    <w:div w:id="1431584822">
      <w:bodyDiv w:val="1"/>
      <w:marLeft w:val="0"/>
      <w:marRight w:val="0"/>
      <w:marTop w:val="0"/>
      <w:marBottom w:val="0"/>
      <w:divBdr>
        <w:top w:val="none" w:sz="0" w:space="0" w:color="auto"/>
        <w:left w:val="none" w:sz="0" w:space="0" w:color="auto"/>
        <w:bottom w:val="none" w:sz="0" w:space="0" w:color="auto"/>
        <w:right w:val="none" w:sz="0" w:space="0" w:color="auto"/>
      </w:divBdr>
    </w:div>
    <w:div w:id="1435127482">
      <w:bodyDiv w:val="1"/>
      <w:marLeft w:val="0"/>
      <w:marRight w:val="0"/>
      <w:marTop w:val="0"/>
      <w:marBottom w:val="0"/>
      <w:divBdr>
        <w:top w:val="none" w:sz="0" w:space="0" w:color="auto"/>
        <w:left w:val="none" w:sz="0" w:space="0" w:color="auto"/>
        <w:bottom w:val="none" w:sz="0" w:space="0" w:color="auto"/>
        <w:right w:val="none" w:sz="0" w:space="0" w:color="auto"/>
      </w:divBdr>
    </w:div>
    <w:div w:id="1436487135">
      <w:bodyDiv w:val="1"/>
      <w:marLeft w:val="0"/>
      <w:marRight w:val="0"/>
      <w:marTop w:val="0"/>
      <w:marBottom w:val="0"/>
      <w:divBdr>
        <w:top w:val="none" w:sz="0" w:space="0" w:color="auto"/>
        <w:left w:val="none" w:sz="0" w:space="0" w:color="auto"/>
        <w:bottom w:val="none" w:sz="0" w:space="0" w:color="auto"/>
        <w:right w:val="none" w:sz="0" w:space="0" w:color="auto"/>
      </w:divBdr>
    </w:div>
    <w:div w:id="1440759135">
      <w:bodyDiv w:val="1"/>
      <w:marLeft w:val="0"/>
      <w:marRight w:val="0"/>
      <w:marTop w:val="0"/>
      <w:marBottom w:val="0"/>
      <w:divBdr>
        <w:top w:val="none" w:sz="0" w:space="0" w:color="auto"/>
        <w:left w:val="none" w:sz="0" w:space="0" w:color="auto"/>
        <w:bottom w:val="none" w:sz="0" w:space="0" w:color="auto"/>
        <w:right w:val="none" w:sz="0" w:space="0" w:color="auto"/>
      </w:divBdr>
    </w:div>
    <w:div w:id="1445074001">
      <w:bodyDiv w:val="1"/>
      <w:marLeft w:val="0"/>
      <w:marRight w:val="0"/>
      <w:marTop w:val="0"/>
      <w:marBottom w:val="0"/>
      <w:divBdr>
        <w:top w:val="none" w:sz="0" w:space="0" w:color="auto"/>
        <w:left w:val="none" w:sz="0" w:space="0" w:color="auto"/>
        <w:bottom w:val="none" w:sz="0" w:space="0" w:color="auto"/>
        <w:right w:val="none" w:sz="0" w:space="0" w:color="auto"/>
      </w:divBdr>
    </w:div>
    <w:div w:id="1453399345">
      <w:bodyDiv w:val="1"/>
      <w:marLeft w:val="0"/>
      <w:marRight w:val="0"/>
      <w:marTop w:val="0"/>
      <w:marBottom w:val="0"/>
      <w:divBdr>
        <w:top w:val="none" w:sz="0" w:space="0" w:color="auto"/>
        <w:left w:val="none" w:sz="0" w:space="0" w:color="auto"/>
        <w:bottom w:val="none" w:sz="0" w:space="0" w:color="auto"/>
        <w:right w:val="none" w:sz="0" w:space="0" w:color="auto"/>
      </w:divBdr>
    </w:div>
    <w:div w:id="1454861142">
      <w:bodyDiv w:val="1"/>
      <w:marLeft w:val="0"/>
      <w:marRight w:val="0"/>
      <w:marTop w:val="0"/>
      <w:marBottom w:val="0"/>
      <w:divBdr>
        <w:top w:val="none" w:sz="0" w:space="0" w:color="auto"/>
        <w:left w:val="none" w:sz="0" w:space="0" w:color="auto"/>
        <w:bottom w:val="none" w:sz="0" w:space="0" w:color="auto"/>
        <w:right w:val="none" w:sz="0" w:space="0" w:color="auto"/>
      </w:divBdr>
    </w:div>
    <w:div w:id="1456293590">
      <w:bodyDiv w:val="1"/>
      <w:marLeft w:val="0"/>
      <w:marRight w:val="0"/>
      <w:marTop w:val="0"/>
      <w:marBottom w:val="0"/>
      <w:divBdr>
        <w:top w:val="none" w:sz="0" w:space="0" w:color="auto"/>
        <w:left w:val="none" w:sz="0" w:space="0" w:color="auto"/>
        <w:bottom w:val="none" w:sz="0" w:space="0" w:color="auto"/>
        <w:right w:val="none" w:sz="0" w:space="0" w:color="auto"/>
      </w:divBdr>
    </w:div>
    <w:div w:id="1484813952">
      <w:bodyDiv w:val="1"/>
      <w:marLeft w:val="0"/>
      <w:marRight w:val="0"/>
      <w:marTop w:val="0"/>
      <w:marBottom w:val="0"/>
      <w:divBdr>
        <w:top w:val="none" w:sz="0" w:space="0" w:color="auto"/>
        <w:left w:val="none" w:sz="0" w:space="0" w:color="auto"/>
        <w:bottom w:val="none" w:sz="0" w:space="0" w:color="auto"/>
        <w:right w:val="none" w:sz="0" w:space="0" w:color="auto"/>
      </w:divBdr>
    </w:div>
    <w:div w:id="1489134512">
      <w:bodyDiv w:val="1"/>
      <w:marLeft w:val="0"/>
      <w:marRight w:val="0"/>
      <w:marTop w:val="0"/>
      <w:marBottom w:val="0"/>
      <w:divBdr>
        <w:top w:val="none" w:sz="0" w:space="0" w:color="auto"/>
        <w:left w:val="none" w:sz="0" w:space="0" w:color="auto"/>
        <w:bottom w:val="none" w:sz="0" w:space="0" w:color="auto"/>
        <w:right w:val="none" w:sz="0" w:space="0" w:color="auto"/>
      </w:divBdr>
    </w:div>
    <w:div w:id="1497726373">
      <w:bodyDiv w:val="1"/>
      <w:marLeft w:val="0"/>
      <w:marRight w:val="0"/>
      <w:marTop w:val="0"/>
      <w:marBottom w:val="0"/>
      <w:divBdr>
        <w:top w:val="none" w:sz="0" w:space="0" w:color="auto"/>
        <w:left w:val="none" w:sz="0" w:space="0" w:color="auto"/>
        <w:bottom w:val="none" w:sz="0" w:space="0" w:color="auto"/>
        <w:right w:val="none" w:sz="0" w:space="0" w:color="auto"/>
      </w:divBdr>
    </w:div>
    <w:div w:id="1500270738">
      <w:bodyDiv w:val="1"/>
      <w:marLeft w:val="0"/>
      <w:marRight w:val="0"/>
      <w:marTop w:val="0"/>
      <w:marBottom w:val="0"/>
      <w:divBdr>
        <w:top w:val="none" w:sz="0" w:space="0" w:color="auto"/>
        <w:left w:val="none" w:sz="0" w:space="0" w:color="auto"/>
        <w:bottom w:val="none" w:sz="0" w:space="0" w:color="auto"/>
        <w:right w:val="none" w:sz="0" w:space="0" w:color="auto"/>
      </w:divBdr>
      <w:divsChild>
        <w:div w:id="1304312809">
          <w:marLeft w:val="0"/>
          <w:marRight w:val="0"/>
          <w:marTop w:val="0"/>
          <w:marBottom w:val="0"/>
          <w:divBdr>
            <w:top w:val="none" w:sz="0" w:space="0" w:color="auto"/>
            <w:left w:val="none" w:sz="0" w:space="0" w:color="auto"/>
            <w:bottom w:val="none" w:sz="0" w:space="0" w:color="auto"/>
            <w:right w:val="none" w:sz="0" w:space="0" w:color="auto"/>
          </w:divBdr>
          <w:divsChild>
            <w:div w:id="1172453919">
              <w:marLeft w:val="0"/>
              <w:marRight w:val="0"/>
              <w:marTop w:val="0"/>
              <w:marBottom w:val="0"/>
              <w:divBdr>
                <w:top w:val="none" w:sz="0" w:space="0" w:color="auto"/>
                <w:left w:val="none" w:sz="0" w:space="0" w:color="auto"/>
                <w:bottom w:val="none" w:sz="0" w:space="0" w:color="auto"/>
                <w:right w:val="none" w:sz="0" w:space="0" w:color="auto"/>
              </w:divBdr>
              <w:divsChild>
                <w:div w:id="1072898092">
                  <w:marLeft w:val="0"/>
                  <w:marRight w:val="0"/>
                  <w:marTop w:val="0"/>
                  <w:marBottom w:val="0"/>
                  <w:divBdr>
                    <w:top w:val="none" w:sz="0" w:space="0" w:color="auto"/>
                    <w:left w:val="none" w:sz="0" w:space="0" w:color="auto"/>
                    <w:bottom w:val="none" w:sz="0" w:space="0" w:color="auto"/>
                    <w:right w:val="none" w:sz="0" w:space="0" w:color="auto"/>
                  </w:divBdr>
                  <w:divsChild>
                    <w:div w:id="1267082571">
                      <w:marLeft w:val="0"/>
                      <w:marRight w:val="0"/>
                      <w:marTop w:val="0"/>
                      <w:marBottom w:val="0"/>
                      <w:divBdr>
                        <w:top w:val="none" w:sz="0" w:space="0" w:color="auto"/>
                        <w:left w:val="none" w:sz="0" w:space="0" w:color="auto"/>
                        <w:bottom w:val="none" w:sz="0" w:space="0" w:color="auto"/>
                        <w:right w:val="none" w:sz="0" w:space="0" w:color="auto"/>
                      </w:divBdr>
                      <w:divsChild>
                        <w:div w:id="1249071956">
                          <w:marLeft w:val="0"/>
                          <w:marRight w:val="0"/>
                          <w:marTop w:val="0"/>
                          <w:marBottom w:val="0"/>
                          <w:divBdr>
                            <w:top w:val="none" w:sz="0" w:space="0" w:color="auto"/>
                            <w:left w:val="none" w:sz="0" w:space="0" w:color="auto"/>
                            <w:bottom w:val="none" w:sz="0" w:space="0" w:color="auto"/>
                            <w:right w:val="none" w:sz="0" w:space="0" w:color="auto"/>
                          </w:divBdr>
                          <w:divsChild>
                            <w:div w:id="723716459">
                              <w:marLeft w:val="0"/>
                              <w:marRight w:val="0"/>
                              <w:marTop w:val="0"/>
                              <w:marBottom w:val="0"/>
                              <w:divBdr>
                                <w:top w:val="none" w:sz="0" w:space="0" w:color="auto"/>
                                <w:left w:val="none" w:sz="0" w:space="0" w:color="auto"/>
                                <w:bottom w:val="none" w:sz="0" w:space="0" w:color="auto"/>
                                <w:right w:val="none" w:sz="0" w:space="0" w:color="auto"/>
                              </w:divBdr>
                              <w:divsChild>
                                <w:div w:id="1985237609">
                                  <w:marLeft w:val="0"/>
                                  <w:marRight w:val="0"/>
                                  <w:marTop w:val="0"/>
                                  <w:marBottom w:val="0"/>
                                  <w:divBdr>
                                    <w:top w:val="none" w:sz="0" w:space="0" w:color="auto"/>
                                    <w:left w:val="none" w:sz="0" w:space="0" w:color="auto"/>
                                    <w:bottom w:val="none" w:sz="0" w:space="0" w:color="auto"/>
                                    <w:right w:val="none" w:sz="0" w:space="0" w:color="auto"/>
                                  </w:divBdr>
                                  <w:divsChild>
                                    <w:div w:id="1483884679">
                                      <w:marLeft w:val="0"/>
                                      <w:marRight w:val="0"/>
                                      <w:marTop w:val="0"/>
                                      <w:marBottom w:val="0"/>
                                      <w:divBdr>
                                        <w:top w:val="none" w:sz="0" w:space="0" w:color="auto"/>
                                        <w:left w:val="none" w:sz="0" w:space="0" w:color="auto"/>
                                        <w:bottom w:val="none" w:sz="0" w:space="0" w:color="auto"/>
                                        <w:right w:val="none" w:sz="0" w:space="0" w:color="auto"/>
                                      </w:divBdr>
                                      <w:divsChild>
                                        <w:div w:id="1073577745">
                                          <w:marLeft w:val="0"/>
                                          <w:marRight w:val="0"/>
                                          <w:marTop w:val="0"/>
                                          <w:marBottom w:val="0"/>
                                          <w:divBdr>
                                            <w:top w:val="none" w:sz="0" w:space="0" w:color="auto"/>
                                            <w:left w:val="none" w:sz="0" w:space="0" w:color="auto"/>
                                            <w:bottom w:val="none" w:sz="0" w:space="0" w:color="auto"/>
                                            <w:right w:val="none" w:sz="0" w:space="0" w:color="auto"/>
                                          </w:divBdr>
                                          <w:divsChild>
                                            <w:div w:id="1992756483">
                                              <w:marLeft w:val="0"/>
                                              <w:marRight w:val="0"/>
                                              <w:marTop w:val="0"/>
                                              <w:marBottom w:val="0"/>
                                              <w:divBdr>
                                                <w:top w:val="none" w:sz="0" w:space="0" w:color="auto"/>
                                                <w:left w:val="none" w:sz="0" w:space="0" w:color="auto"/>
                                                <w:bottom w:val="none" w:sz="0" w:space="0" w:color="auto"/>
                                                <w:right w:val="none" w:sz="0" w:space="0" w:color="auto"/>
                                              </w:divBdr>
                                              <w:divsChild>
                                                <w:div w:id="716317254">
                                                  <w:marLeft w:val="0"/>
                                                  <w:marRight w:val="0"/>
                                                  <w:marTop w:val="0"/>
                                                  <w:marBottom w:val="0"/>
                                                  <w:divBdr>
                                                    <w:top w:val="none" w:sz="0" w:space="0" w:color="auto"/>
                                                    <w:left w:val="none" w:sz="0" w:space="0" w:color="auto"/>
                                                    <w:bottom w:val="none" w:sz="0" w:space="0" w:color="auto"/>
                                                    <w:right w:val="none" w:sz="0" w:space="0" w:color="auto"/>
                                                  </w:divBdr>
                                                  <w:divsChild>
                                                    <w:div w:id="943924151">
                                                      <w:marLeft w:val="0"/>
                                                      <w:marRight w:val="0"/>
                                                      <w:marTop w:val="0"/>
                                                      <w:marBottom w:val="0"/>
                                                      <w:divBdr>
                                                        <w:top w:val="none" w:sz="0" w:space="0" w:color="auto"/>
                                                        <w:left w:val="none" w:sz="0" w:space="0" w:color="auto"/>
                                                        <w:bottom w:val="none" w:sz="0" w:space="0" w:color="auto"/>
                                                        <w:right w:val="none" w:sz="0" w:space="0" w:color="auto"/>
                                                      </w:divBdr>
                                                      <w:divsChild>
                                                        <w:div w:id="43078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322602">
          <w:marLeft w:val="0"/>
          <w:marRight w:val="0"/>
          <w:marTop w:val="0"/>
          <w:marBottom w:val="0"/>
          <w:divBdr>
            <w:top w:val="none" w:sz="0" w:space="0" w:color="auto"/>
            <w:left w:val="none" w:sz="0" w:space="0" w:color="auto"/>
            <w:bottom w:val="none" w:sz="0" w:space="0" w:color="auto"/>
            <w:right w:val="none" w:sz="0" w:space="0" w:color="auto"/>
          </w:divBdr>
          <w:divsChild>
            <w:div w:id="494105151">
              <w:marLeft w:val="0"/>
              <w:marRight w:val="0"/>
              <w:marTop w:val="0"/>
              <w:marBottom w:val="0"/>
              <w:divBdr>
                <w:top w:val="none" w:sz="0" w:space="0" w:color="auto"/>
                <w:left w:val="none" w:sz="0" w:space="0" w:color="auto"/>
                <w:bottom w:val="none" w:sz="0" w:space="0" w:color="auto"/>
                <w:right w:val="none" w:sz="0" w:space="0" w:color="auto"/>
              </w:divBdr>
              <w:divsChild>
                <w:div w:id="898594308">
                  <w:marLeft w:val="0"/>
                  <w:marRight w:val="0"/>
                  <w:marTop w:val="0"/>
                  <w:marBottom w:val="0"/>
                  <w:divBdr>
                    <w:top w:val="none" w:sz="0" w:space="0" w:color="auto"/>
                    <w:left w:val="none" w:sz="0" w:space="0" w:color="auto"/>
                    <w:bottom w:val="none" w:sz="0" w:space="0" w:color="auto"/>
                    <w:right w:val="none" w:sz="0" w:space="0" w:color="auto"/>
                  </w:divBdr>
                  <w:divsChild>
                    <w:div w:id="174556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316493">
      <w:bodyDiv w:val="1"/>
      <w:marLeft w:val="0"/>
      <w:marRight w:val="0"/>
      <w:marTop w:val="0"/>
      <w:marBottom w:val="0"/>
      <w:divBdr>
        <w:top w:val="none" w:sz="0" w:space="0" w:color="auto"/>
        <w:left w:val="none" w:sz="0" w:space="0" w:color="auto"/>
        <w:bottom w:val="none" w:sz="0" w:space="0" w:color="auto"/>
        <w:right w:val="none" w:sz="0" w:space="0" w:color="auto"/>
      </w:divBdr>
    </w:div>
    <w:div w:id="1503349464">
      <w:bodyDiv w:val="1"/>
      <w:marLeft w:val="0"/>
      <w:marRight w:val="0"/>
      <w:marTop w:val="0"/>
      <w:marBottom w:val="0"/>
      <w:divBdr>
        <w:top w:val="none" w:sz="0" w:space="0" w:color="auto"/>
        <w:left w:val="none" w:sz="0" w:space="0" w:color="auto"/>
        <w:bottom w:val="none" w:sz="0" w:space="0" w:color="auto"/>
        <w:right w:val="none" w:sz="0" w:space="0" w:color="auto"/>
      </w:divBdr>
    </w:div>
    <w:div w:id="1508521635">
      <w:bodyDiv w:val="1"/>
      <w:marLeft w:val="0"/>
      <w:marRight w:val="0"/>
      <w:marTop w:val="0"/>
      <w:marBottom w:val="0"/>
      <w:divBdr>
        <w:top w:val="none" w:sz="0" w:space="0" w:color="auto"/>
        <w:left w:val="none" w:sz="0" w:space="0" w:color="auto"/>
        <w:bottom w:val="none" w:sz="0" w:space="0" w:color="auto"/>
        <w:right w:val="none" w:sz="0" w:space="0" w:color="auto"/>
      </w:divBdr>
    </w:div>
    <w:div w:id="1519999352">
      <w:bodyDiv w:val="1"/>
      <w:marLeft w:val="0"/>
      <w:marRight w:val="0"/>
      <w:marTop w:val="0"/>
      <w:marBottom w:val="0"/>
      <w:divBdr>
        <w:top w:val="none" w:sz="0" w:space="0" w:color="auto"/>
        <w:left w:val="none" w:sz="0" w:space="0" w:color="auto"/>
        <w:bottom w:val="none" w:sz="0" w:space="0" w:color="auto"/>
        <w:right w:val="none" w:sz="0" w:space="0" w:color="auto"/>
      </w:divBdr>
    </w:div>
    <w:div w:id="1524394901">
      <w:bodyDiv w:val="1"/>
      <w:marLeft w:val="0"/>
      <w:marRight w:val="0"/>
      <w:marTop w:val="0"/>
      <w:marBottom w:val="0"/>
      <w:divBdr>
        <w:top w:val="none" w:sz="0" w:space="0" w:color="auto"/>
        <w:left w:val="none" w:sz="0" w:space="0" w:color="auto"/>
        <w:bottom w:val="none" w:sz="0" w:space="0" w:color="auto"/>
        <w:right w:val="none" w:sz="0" w:space="0" w:color="auto"/>
      </w:divBdr>
      <w:divsChild>
        <w:div w:id="1162085252">
          <w:marLeft w:val="0"/>
          <w:marRight w:val="0"/>
          <w:marTop w:val="0"/>
          <w:marBottom w:val="0"/>
          <w:divBdr>
            <w:top w:val="none" w:sz="0" w:space="0" w:color="auto"/>
            <w:left w:val="none" w:sz="0" w:space="0" w:color="auto"/>
            <w:bottom w:val="none" w:sz="0" w:space="0" w:color="auto"/>
            <w:right w:val="none" w:sz="0" w:space="0" w:color="auto"/>
          </w:divBdr>
          <w:divsChild>
            <w:div w:id="865871973">
              <w:marLeft w:val="0"/>
              <w:marRight w:val="0"/>
              <w:marTop w:val="0"/>
              <w:marBottom w:val="0"/>
              <w:divBdr>
                <w:top w:val="none" w:sz="0" w:space="0" w:color="auto"/>
                <w:left w:val="none" w:sz="0" w:space="0" w:color="auto"/>
                <w:bottom w:val="none" w:sz="0" w:space="0" w:color="auto"/>
                <w:right w:val="none" w:sz="0" w:space="0" w:color="auto"/>
              </w:divBdr>
              <w:divsChild>
                <w:div w:id="539057280">
                  <w:marLeft w:val="0"/>
                  <w:marRight w:val="0"/>
                  <w:marTop w:val="0"/>
                  <w:marBottom w:val="0"/>
                  <w:divBdr>
                    <w:top w:val="none" w:sz="0" w:space="0" w:color="auto"/>
                    <w:left w:val="none" w:sz="0" w:space="0" w:color="auto"/>
                    <w:bottom w:val="none" w:sz="0" w:space="0" w:color="auto"/>
                    <w:right w:val="none" w:sz="0" w:space="0" w:color="auto"/>
                  </w:divBdr>
                  <w:divsChild>
                    <w:div w:id="1136987198">
                      <w:marLeft w:val="0"/>
                      <w:marRight w:val="0"/>
                      <w:marTop w:val="0"/>
                      <w:marBottom w:val="0"/>
                      <w:divBdr>
                        <w:top w:val="none" w:sz="0" w:space="0" w:color="auto"/>
                        <w:left w:val="none" w:sz="0" w:space="0" w:color="auto"/>
                        <w:bottom w:val="none" w:sz="0" w:space="0" w:color="auto"/>
                        <w:right w:val="none" w:sz="0" w:space="0" w:color="auto"/>
                      </w:divBdr>
                      <w:divsChild>
                        <w:div w:id="1965382757">
                          <w:marLeft w:val="0"/>
                          <w:marRight w:val="0"/>
                          <w:marTop w:val="0"/>
                          <w:marBottom w:val="0"/>
                          <w:divBdr>
                            <w:top w:val="none" w:sz="0" w:space="0" w:color="auto"/>
                            <w:left w:val="none" w:sz="0" w:space="0" w:color="auto"/>
                            <w:bottom w:val="none" w:sz="0" w:space="0" w:color="auto"/>
                            <w:right w:val="none" w:sz="0" w:space="0" w:color="auto"/>
                          </w:divBdr>
                          <w:divsChild>
                            <w:div w:id="1012608670">
                              <w:marLeft w:val="0"/>
                              <w:marRight w:val="0"/>
                              <w:marTop w:val="0"/>
                              <w:marBottom w:val="0"/>
                              <w:divBdr>
                                <w:top w:val="none" w:sz="0" w:space="0" w:color="auto"/>
                                <w:left w:val="none" w:sz="0" w:space="0" w:color="auto"/>
                                <w:bottom w:val="none" w:sz="0" w:space="0" w:color="auto"/>
                                <w:right w:val="none" w:sz="0" w:space="0" w:color="auto"/>
                              </w:divBdr>
                              <w:divsChild>
                                <w:div w:id="243419353">
                                  <w:marLeft w:val="0"/>
                                  <w:marRight w:val="0"/>
                                  <w:marTop w:val="0"/>
                                  <w:marBottom w:val="0"/>
                                  <w:divBdr>
                                    <w:top w:val="none" w:sz="0" w:space="0" w:color="auto"/>
                                    <w:left w:val="none" w:sz="0" w:space="0" w:color="auto"/>
                                    <w:bottom w:val="none" w:sz="0" w:space="0" w:color="auto"/>
                                    <w:right w:val="none" w:sz="0" w:space="0" w:color="auto"/>
                                  </w:divBdr>
                                  <w:divsChild>
                                    <w:div w:id="149950372">
                                      <w:marLeft w:val="0"/>
                                      <w:marRight w:val="0"/>
                                      <w:marTop w:val="0"/>
                                      <w:marBottom w:val="0"/>
                                      <w:divBdr>
                                        <w:top w:val="none" w:sz="0" w:space="0" w:color="auto"/>
                                        <w:left w:val="none" w:sz="0" w:space="0" w:color="auto"/>
                                        <w:bottom w:val="none" w:sz="0" w:space="0" w:color="auto"/>
                                        <w:right w:val="none" w:sz="0" w:space="0" w:color="auto"/>
                                      </w:divBdr>
                                      <w:divsChild>
                                        <w:div w:id="883756513">
                                          <w:marLeft w:val="0"/>
                                          <w:marRight w:val="0"/>
                                          <w:marTop w:val="0"/>
                                          <w:marBottom w:val="0"/>
                                          <w:divBdr>
                                            <w:top w:val="none" w:sz="0" w:space="0" w:color="auto"/>
                                            <w:left w:val="none" w:sz="0" w:space="0" w:color="auto"/>
                                            <w:bottom w:val="none" w:sz="0" w:space="0" w:color="auto"/>
                                            <w:right w:val="none" w:sz="0" w:space="0" w:color="auto"/>
                                          </w:divBdr>
                                          <w:divsChild>
                                            <w:div w:id="665788119">
                                              <w:marLeft w:val="0"/>
                                              <w:marRight w:val="0"/>
                                              <w:marTop w:val="0"/>
                                              <w:marBottom w:val="0"/>
                                              <w:divBdr>
                                                <w:top w:val="none" w:sz="0" w:space="0" w:color="auto"/>
                                                <w:left w:val="none" w:sz="0" w:space="0" w:color="auto"/>
                                                <w:bottom w:val="none" w:sz="0" w:space="0" w:color="auto"/>
                                                <w:right w:val="none" w:sz="0" w:space="0" w:color="auto"/>
                                              </w:divBdr>
                                              <w:divsChild>
                                                <w:div w:id="794637473">
                                                  <w:marLeft w:val="0"/>
                                                  <w:marRight w:val="0"/>
                                                  <w:marTop w:val="0"/>
                                                  <w:marBottom w:val="0"/>
                                                  <w:divBdr>
                                                    <w:top w:val="none" w:sz="0" w:space="0" w:color="auto"/>
                                                    <w:left w:val="none" w:sz="0" w:space="0" w:color="auto"/>
                                                    <w:bottom w:val="none" w:sz="0" w:space="0" w:color="auto"/>
                                                    <w:right w:val="none" w:sz="0" w:space="0" w:color="auto"/>
                                                  </w:divBdr>
                                                  <w:divsChild>
                                                    <w:div w:id="1572354103">
                                                      <w:marLeft w:val="0"/>
                                                      <w:marRight w:val="0"/>
                                                      <w:marTop w:val="0"/>
                                                      <w:marBottom w:val="0"/>
                                                      <w:divBdr>
                                                        <w:top w:val="none" w:sz="0" w:space="0" w:color="auto"/>
                                                        <w:left w:val="none" w:sz="0" w:space="0" w:color="auto"/>
                                                        <w:bottom w:val="none" w:sz="0" w:space="0" w:color="auto"/>
                                                        <w:right w:val="none" w:sz="0" w:space="0" w:color="auto"/>
                                                      </w:divBdr>
                                                      <w:divsChild>
                                                        <w:div w:id="153911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748394">
          <w:marLeft w:val="0"/>
          <w:marRight w:val="0"/>
          <w:marTop w:val="0"/>
          <w:marBottom w:val="0"/>
          <w:divBdr>
            <w:top w:val="none" w:sz="0" w:space="0" w:color="auto"/>
            <w:left w:val="none" w:sz="0" w:space="0" w:color="auto"/>
            <w:bottom w:val="none" w:sz="0" w:space="0" w:color="auto"/>
            <w:right w:val="none" w:sz="0" w:space="0" w:color="auto"/>
          </w:divBdr>
          <w:divsChild>
            <w:div w:id="756558267">
              <w:marLeft w:val="0"/>
              <w:marRight w:val="0"/>
              <w:marTop w:val="0"/>
              <w:marBottom w:val="0"/>
              <w:divBdr>
                <w:top w:val="none" w:sz="0" w:space="0" w:color="auto"/>
                <w:left w:val="none" w:sz="0" w:space="0" w:color="auto"/>
                <w:bottom w:val="none" w:sz="0" w:space="0" w:color="auto"/>
                <w:right w:val="none" w:sz="0" w:space="0" w:color="auto"/>
              </w:divBdr>
              <w:divsChild>
                <w:div w:id="902716987">
                  <w:marLeft w:val="0"/>
                  <w:marRight w:val="0"/>
                  <w:marTop w:val="0"/>
                  <w:marBottom w:val="0"/>
                  <w:divBdr>
                    <w:top w:val="none" w:sz="0" w:space="0" w:color="auto"/>
                    <w:left w:val="none" w:sz="0" w:space="0" w:color="auto"/>
                    <w:bottom w:val="none" w:sz="0" w:space="0" w:color="auto"/>
                    <w:right w:val="none" w:sz="0" w:space="0" w:color="auto"/>
                  </w:divBdr>
                  <w:divsChild>
                    <w:div w:id="160368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718808">
      <w:bodyDiv w:val="1"/>
      <w:marLeft w:val="0"/>
      <w:marRight w:val="0"/>
      <w:marTop w:val="0"/>
      <w:marBottom w:val="0"/>
      <w:divBdr>
        <w:top w:val="none" w:sz="0" w:space="0" w:color="auto"/>
        <w:left w:val="none" w:sz="0" w:space="0" w:color="auto"/>
        <w:bottom w:val="none" w:sz="0" w:space="0" w:color="auto"/>
        <w:right w:val="none" w:sz="0" w:space="0" w:color="auto"/>
      </w:divBdr>
    </w:div>
    <w:div w:id="1537085112">
      <w:bodyDiv w:val="1"/>
      <w:marLeft w:val="0"/>
      <w:marRight w:val="0"/>
      <w:marTop w:val="0"/>
      <w:marBottom w:val="0"/>
      <w:divBdr>
        <w:top w:val="none" w:sz="0" w:space="0" w:color="auto"/>
        <w:left w:val="none" w:sz="0" w:space="0" w:color="auto"/>
        <w:bottom w:val="none" w:sz="0" w:space="0" w:color="auto"/>
        <w:right w:val="none" w:sz="0" w:space="0" w:color="auto"/>
      </w:divBdr>
    </w:div>
    <w:div w:id="1552771395">
      <w:bodyDiv w:val="1"/>
      <w:marLeft w:val="0"/>
      <w:marRight w:val="0"/>
      <w:marTop w:val="0"/>
      <w:marBottom w:val="0"/>
      <w:divBdr>
        <w:top w:val="none" w:sz="0" w:space="0" w:color="auto"/>
        <w:left w:val="none" w:sz="0" w:space="0" w:color="auto"/>
        <w:bottom w:val="none" w:sz="0" w:space="0" w:color="auto"/>
        <w:right w:val="none" w:sz="0" w:space="0" w:color="auto"/>
      </w:divBdr>
      <w:divsChild>
        <w:div w:id="79329020">
          <w:marLeft w:val="0"/>
          <w:marRight w:val="0"/>
          <w:marTop w:val="0"/>
          <w:marBottom w:val="0"/>
          <w:divBdr>
            <w:top w:val="none" w:sz="0" w:space="0" w:color="auto"/>
            <w:left w:val="none" w:sz="0" w:space="0" w:color="auto"/>
            <w:bottom w:val="none" w:sz="0" w:space="0" w:color="auto"/>
            <w:right w:val="none" w:sz="0" w:space="0" w:color="auto"/>
          </w:divBdr>
        </w:div>
      </w:divsChild>
    </w:div>
    <w:div w:id="1554996979">
      <w:bodyDiv w:val="1"/>
      <w:marLeft w:val="0"/>
      <w:marRight w:val="0"/>
      <w:marTop w:val="0"/>
      <w:marBottom w:val="0"/>
      <w:divBdr>
        <w:top w:val="none" w:sz="0" w:space="0" w:color="auto"/>
        <w:left w:val="none" w:sz="0" w:space="0" w:color="auto"/>
        <w:bottom w:val="none" w:sz="0" w:space="0" w:color="auto"/>
        <w:right w:val="none" w:sz="0" w:space="0" w:color="auto"/>
      </w:divBdr>
    </w:div>
    <w:div w:id="1566408286">
      <w:bodyDiv w:val="1"/>
      <w:marLeft w:val="0"/>
      <w:marRight w:val="0"/>
      <w:marTop w:val="0"/>
      <w:marBottom w:val="0"/>
      <w:divBdr>
        <w:top w:val="none" w:sz="0" w:space="0" w:color="auto"/>
        <w:left w:val="none" w:sz="0" w:space="0" w:color="auto"/>
        <w:bottom w:val="none" w:sz="0" w:space="0" w:color="auto"/>
        <w:right w:val="none" w:sz="0" w:space="0" w:color="auto"/>
      </w:divBdr>
    </w:div>
    <w:div w:id="1573127527">
      <w:bodyDiv w:val="1"/>
      <w:marLeft w:val="0"/>
      <w:marRight w:val="0"/>
      <w:marTop w:val="0"/>
      <w:marBottom w:val="0"/>
      <w:divBdr>
        <w:top w:val="none" w:sz="0" w:space="0" w:color="auto"/>
        <w:left w:val="none" w:sz="0" w:space="0" w:color="auto"/>
        <w:bottom w:val="none" w:sz="0" w:space="0" w:color="auto"/>
        <w:right w:val="none" w:sz="0" w:space="0" w:color="auto"/>
      </w:divBdr>
    </w:div>
    <w:div w:id="1576011480">
      <w:bodyDiv w:val="1"/>
      <w:marLeft w:val="0"/>
      <w:marRight w:val="0"/>
      <w:marTop w:val="0"/>
      <w:marBottom w:val="0"/>
      <w:divBdr>
        <w:top w:val="none" w:sz="0" w:space="0" w:color="auto"/>
        <w:left w:val="none" w:sz="0" w:space="0" w:color="auto"/>
        <w:bottom w:val="none" w:sz="0" w:space="0" w:color="auto"/>
        <w:right w:val="none" w:sz="0" w:space="0" w:color="auto"/>
      </w:divBdr>
    </w:div>
    <w:div w:id="1576089741">
      <w:bodyDiv w:val="1"/>
      <w:marLeft w:val="0"/>
      <w:marRight w:val="0"/>
      <w:marTop w:val="0"/>
      <w:marBottom w:val="0"/>
      <w:divBdr>
        <w:top w:val="none" w:sz="0" w:space="0" w:color="auto"/>
        <w:left w:val="none" w:sz="0" w:space="0" w:color="auto"/>
        <w:bottom w:val="none" w:sz="0" w:space="0" w:color="auto"/>
        <w:right w:val="none" w:sz="0" w:space="0" w:color="auto"/>
      </w:divBdr>
    </w:div>
    <w:div w:id="1577745734">
      <w:bodyDiv w:val="1"/>
      <w:marLeft w:val="0"/>
      <w:marRight w:val="0"/>
      <w:marTop w:val="0"/>
      <w:marBottom w:val="0"/>
      <w:divBdr>
        <w:top w:val="none" w:sz="0" w:space="0" w:color="auto"/>
        <w:left w:val="none" w:sz="0" w:space="0" w:color="auto"/>
        <w:bottom w:val="none" w:sz="0" w:space="0" w:color="auto"/>
        <w:right w:val="none" w:sz="0" w:space="0" w:color="auto"/>
      </w:divBdr>
    </w:div>
    <w:div w:id="1579364506">
      <w:bodyDiv w:val="1"/>
      <w:marLeft w:val="0"/>
      <w:marRight w:val="0"/>
      <w:marTop w:val="0"/>
      <w:marBottom w:val="0"/>
      <w:divBdr>
        <w:top w:val="none" w:sz="0" w:space="0" w:color="auto"/>
        <w:left w:val="none" w:sz="0" w:space="0" w:color="auto"/>
        <w:bottom w:val="none" w:sz="0" w:space="0" w:color="auto"/>
        <w:right w:val="none" w:sz="0" w:space="0" w:color="auto"/>
      </w:divBdr>
      <w:divsChild>
        <w:div w:id="1699349786">
          <w:marLeft w:val="0"/>
          <w:marRight w:val="0"/>
          <w:marTop w:val="0"/>
          <w:marBottom w:val="0"/>
          <w:divBdr>
            <w:top w:val="none" w:sz="0" w:space="0" w:color="auto"/>
            <w:left w:val="none" w:sz="0" w:space="0" w:color="auto"/>
            <w:bottom w:val="none" w:sz="0" w:space="0" w:color="auto"/>
            <w:right w:val="none" w:sz="0" w:space="0" w:color="auto"/>
          </w:divBdr>
          <w:divsChild>
            <w:div w:id="1424379358">
              <w:marLeft w:val="0"/>
              <w:marRight w:val="0"/>
              <w:marTop w:val="0"/>
              <w:marBottom w:val="0"/>
              <w:divBdr>
                <w:top w:val="none" w:sz="0" w:space="0" w:color="auto"/>
                <w:left w:val="none" w:sz="0" w:space="0" w:color="auto"/>
                <w:bottom w:val="none" w:sz="0" w:space="0" w:color="auto"/>
                <w:right w:val="none" w:sz="0" w:space="0" w:color="auto"/>
              </w:divBdr>
              <w:divsChild>
                <w:div w:id="717434522">
                  <w:marLeft w:val="0"/>
                  <w:marRight w:val="0"/>
                  <w:marTop w:val="0"/>
                  <w:marBottom w:val="0"/>
                  <w:divBdr>
                    <w:top w:val="none" w:sz="0" w:space="0" w:color="auto"/>
                    <w:left w:val="none" w:sz="0" w:space="0" w:color="auto"/>
                    <w:bottom w:val="none" w:sz="0" w:space="0" w:color="auto"/>
                    <w:right w:val="none" w:sz="0" w:space="0" w:color="auto"/>
                  </w:divBdr>
                  <w:divsChild>
                    <w:div w:id="2135322496">
                      <w:marLeft w:val="0"/>
                      <w:marRight w:val="0"/>
                      <w:marTop w:val="0"/>
                      <w:marBottom w:val="0"/>
                      <w:divBdr>
                        <w:top w:val="none" w:sz="0" w:space="0" w:color="auto"/>
                        <w:left w:val="none" w:sz="0" w:space="0" w:color="auto"/>
                        <w:bottom w:val="none" w:sz="0" w:space="0" w:color="auto"/>
                        <w:right w:val="none" w:sz="0" w:space="0" w:color="auto"/>
                      </w:divBdr>
                      <w:divsChild>
                        <w:div w:id="142282029">
                          <w:marLeft w:val="0"/>
                          <w:marRight w:val="0"/>
                          <w:marTop w:val="0"/>
                          <w:marBottom w:val="0"/>
                          <w:divBdr>
                            <w:top w:val="none" w:sz="0" w:space="0" w:color="auto"/>
                            <w:left w:val="none" w:sz="0" w:space="0" w:color="auto"/>
                            <w:bottom w:val="none" w:sz="0" w:space="0" w:color="auto"/>
                            <w:right w:val="none" w:sz="0" w:space="0" w:color="auto"/>
                          </w:divBdr>
                          <w:divsChild>
                            <w:div w:id="1545022260">
                              <w:marLeft w:val="0"/>
                              <w:marRight w:val="0"/>
                              <w:marTop w:val="0"/>
                              <w:marBottom w:val="0"/>
                              <w:divBdr>
                                <w:top w:val="none" w:sz="0" w:space="0" w:color="auto"/>
                                <w:left w:val="none" w:sz="0" w:space="0" w:color="auto"/>
                                <w:bottom w:val="none" w:sz="0" w:space="0" w:color="auto"/>
                                <w:right w:val="none" w:sz="0" w:space="0" w:color="auto"/>
                              </w:divBdr>
                              <w:divsChild>
                                <w:div w:id="645932143">
                                  <w:marLeft w:val="0"/>
                                  <w:marRight w:val="0"/>
                                  <w:marTop w:val="0"/>
                                  <w:marBottom w:val="0"/>
                                  <w:divBdr>
                                    <w:top w:val="none" w:sz="0" w:space="0" w:color="auto"/>
                                    <w:left w:val="none" w:sz="0" w:space="0" w:color="auto"/>
                                    <w:bottom w:val="none" w:sz="0" w:space="0" w:color="auto"/>
                                    <w:right w:val="none" w:sz="0" w:space="0" w:color="auto"/>
                                  </w:divBdr>
                                  <w:divsChild>
                                    <w:div w:id="923611174">
                                      <w:marLeft w:val="0"/>
                                      <w:marRight w:val="0"/>
                                      <w:marTop w:val="0"/>
                                      <w:marBottom w:val="0"/>
                                      <w:divBdr>
                                        <w:top w:val="none" w:sz="0" w:space="0" w:color="auto"/>
                                        <w:left w:val="none" w:sz="0" w:space="0" w:color="auto"/>
                                        <w:bottom w:val="none" w:sz="0" w:space="0" w:color="auto"/>
                                        <w:right w:val="none" w:sz="0" w:space="0" w:color="auto"/>
                                      </w:divBdr>
                                      <w:divsChild>
                                        <w:div w:id="620839835">
                                          <w:marLeft w:val="0"/>
                                          <w:marRight w:val="0"/>
                                          <w:marTop w:val="0"/>
                                          <w:marBottom w:val="0"/>
                                          <w:divBdr>
                                            <w:top w:val="none" w:sz="0" w:space="0" w:color="auto"/>
                                            <w:left w:val="none" w:sz="0" w:space="0" w:color="auto"/>
                                            <w:bottom w:val="none" w:sz="0" w:space="0" w:color="auto"/>
                                            <w:right w:val="none" w:sz="0" w:space="0" w:color="auto"/>
                                          </w:divBdr>
                                          <w:divsChild>
                                            <w:div w:id="80571370">
                                              <w:marLeft w:val="0"/>
                                              <w:marRight w:val="0"/>
                                              <w:marTop w:val="0"/>
                                              <w:marBottom w:val="0"/>
                                              <w:divBdr>
                                                <w:top w:val="none" w:sz="0" w:space="0" w:color="auto"/>
                                                <w:left w:val="none" w:sz="0" w:space="0" w:color="auto"/>
                                                <w:bottom w:val="none" w:sz="0" w:space="0" w:color="auto"/>
                                                <w:right w:val="none" w:sz="0" w:space="0" w:color="auto"/>
                                              </w:divBdr>
                                              <w:divsChild>
                                                <w:div w:id="1791243444">
                                                  <w:marLeft w:val="0"/>
                                                  <w:marRight w:val="0"/>
                                                  <w:marTop w:val="0"/>
                                                  <w:marBottom w:val="0"/>
                                                  <w:divBdr>
                                                    <w:top w:val="none" w:sz="0" w:space="0" w:color="auto"/>
                                                    <w:left w:val="none" w:sz="0" w:space="0" w:color="auto"/>
                                                    <w:bottom w:val="none" w:sz="0" w:space="0" w:color="auto"/>
                                                    <w:right w:val="none" w:sz="0" w:space="0" w:color="auto"/>
                                                  </w:divBdr>
                                                  <w:divsChild>
                                                    <w:div w:id="314644701">
                                                      <w:marLeft w:val="0"/>
                                                      <w:marRight w:val="0"/>
                                                      <w:marTop w:val="0"/>
                                                      <w:marBottom w:val="0"/>
                                                      <w:divBdr>
                                                        <w:top w:val="none" w:sz="0" w:space="0" w:color="auto"/>
                                                        <w:left w:val="none" w:sz="0" w:space="0" w:color="auto"/>
                                                        <w:bottom w:val="none" w:sz="0" w:space="0" w:color="auto"/>
                                                        <w:right w:val="none" w:sz="0" w:space="0" w:color="auto"/>
                                                      </w:divBdr>
                                                      <w:divsChild>
                                                        <w:div w:id="40554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4603515">
          <w:marLeft w:val="0"/>
          <w:marRight w:val="0"/>
          <w:marTop w:val="0"/>
          <w:marBottom w:val="0"/>
          <w:divBdr>
            <w:top w:val="none" w:sz="0" w:space="0" w:color="auto"/>
            <w:left w:val="none" w:sz="0" w:space="0" w:color="auto"/>
            <w:bottom w:val="none" w:sz="0" w:space="0" w:color="auto"/>
            <w:right w:val="none" w:sz="0" w:space="0" w:color="auto"/>
          </w:divBdr>
          <w:divsChild>
            <w:div w:id="2037392058">
              <w:marLeft w:val="0"/>
              <w:marRight w:val="0"/>
              <w:marTop w:val="0"/>
              <w:marBottom w:val="0"/>
              <w:divBdr>
                <w:top w:val="none" w:sz="0" w:space="0" w:color="auto"/>
                <w:left w:val="none" w:sz="0" w:space="0" w:color="auto"/>
                <w:bottom w:val="none" w:sz="0" w:space="0" w:color="auto"/>
                <w:right w:val="none" w:sz="0" w:space="0" w:color="auto"/>
              </w:divBdr>
              <w:divsChild>
                <w:div w:id="1627273193">
                  <w:marLeft w:val="0"/>
                  <w:marRight w:val="0"/>
                  <w:marTop w:val="0"/>
                  <w:marBottom w:val="0"/>
                  <w:divBdr>
                    <w:top w:val="none" w:sz="0" w:space="0" w:color="auto"/>
                    <w:left w:val="none" w:sz="0" w:space="0" w:color="auto"/>
                    <w:bottom w:val="none" w:sz="0" w:space="0" w:color="auto"/>
                    <w:right w:val="none" w:sz="0" w:space="0" w:color="auto"/>
                  </w:divBdr>
                  <w:divsChild>
                    <w:div w:id="138347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643054">
      <w:bodyDiv w:val="1"/>
      <w:marLeft w:val="0"/>
      <w:marRight w:val="0"/>
      <w:marTop w:val="0"/>
      <w:marBottom w:val="0"/>
      <w:divBdr>
        <w:top w:val="none" w:sz="0" w:space="0" w:color="auto"/>
        <w:left w:val="none" w:sz="0" w:space="0" w:color="auto"/>
        <w:bottom w:val="none" w:sz="0" w:space="0" w:color="auto"/>
        <w:right w:val="none" w:sz="0" w:space="0" w:color="auto"/>
      </w:divBdr>
    </w:div>
    <w:div w:id="1598947887">
      <w:bodyDiv w:val="1"/>
      <w:marLeft w:val="0"/>
      <w:marRight w:val="0"/>
      <w:marTop w:val="0"/>
      <w:marBottom w:val="0"/>
      <w:divBdr>
        <w:top w:val="none" w:sz="0" w:space="0" w:color="auto"/>
        <w:left w:val="none" w:sz="0" w:space="0" w:color="auto"/>
        <w:bottom w:val="none" w:sz="0" w:space="0" w:color="auto"/>
        <w:right w:val="none" w:sz="0" w:space="0" w:color="auto"/>
      </w:divBdr>
    </w:div>
    <w:div w:id="1601990047">
      <w:bodyDiv w:val="1"/>
      <w:marLeft w:val="0"/>
      <w:marRight w:val="0"/>
      <w:marTop w:val="0"/>
      <w:marBottom w:val="0"/>
      <w:divBdr>
        <w:top w:val="none" w:sz="0" w:space="0" w:color="auto"/>
        <w:left w:val="none" w:sz="0" w:space="0" w:color="auto"/>
        <w:bottom w:val="none" w:sz="0" w:space="0" w:color="auto"/>
        <w:right w:val="none" w:sz="0" w:space="0" w:color="auto"/>
      </w:divBdr>
    </w:div>
    <w:div w:id="1605729125">
      <w:bodyDiv w:val="1"/>
      <w:marLeft w:val="0"/>
      <w:marRight w:val="0"/>
      <w:marTop w:val="0"/>
      <w:marBottom w:val="0"/>
      <w:divBdr>
        <w:top w:val="none" w:sz="0" w:space="0" w:color="auto"/>
        <w:left w:val="none" w:sz="0" w:space="0" w:color="auto"/>
        <w:bottom w:val="none" w:sz="0" w:space="0" w:color="auto"/>
        <w:right w:val="none" w:sz="0" w:space="0" w:color="auto"/>
      </w:divBdr>
    </w:div>
    <w:div w:id="1609000953">
      <w:bodyDiv w:val="1"/>
      <w:marLeft w:val="0"/>
      <w:marRight w:val="0"/>
      <w:marTop w:val="0"/>
      <w:marBottom w:val="0"/>
      <w:divBdr>
        <w:top w:val="none" w:sz="0" w:space="0" w:color="auto"/>
        <w:left w:val="none" w:sz="0" w:space="0" w:color="auto"/>
        <w:bottom w:val="none" w:sz="0" w:space="0" w:color="auto"/>
        <w:right w:val="none" w:sz="0" w:space="0" w:color="auto"/>
      </w:divBdr>
    </w:div>
    <w:div w:id="1610502065">
      <w:bodyDiv w:val="1"/>
      <w:marLeft w:val="0"/>
      <w:marRight w:val="0"/>
      <w:marTop w:val="0"/>
      <w:marBottom w:val="0"/>
      <w:divBdr>
        <w:top w:val="none" w:sz="0" w:space="0" w:color="auto"/>
        <w:left w:val="none" w:sz="0" w:space="0" w:color="auto"/>
        <w:bottom w:val="none" w:sz="0" w:space="0" w:color="auto"/>
        <w:right w:val="none" w:sz="0" w:space="0" w:color="auto"/>
      </w:divBdr>
    </w:div>
    <w:div w:id="1610770599">
      <w:bodyDiv w:val="1"/>
      <w:marLeft w:val="0"/>
      <w:marRight w:val="0"/>
      <w:marTop w:val="0"/>
      <w:marBottom w:val="0"/>
      <w:divBdr>
        <w:top w:val="none" w:sz="0" w:space="0" w:color="auto"/>
        <w:left w:val="none" w:sz="0" w:space="0" w:color="auto"/>
        <w:bottom w:val="none" w:sz="0" w:space="0" w:color="auto"/>
        <w:right w:val="none" w:sz="0" w:space="0" w:color="auto"/>
      </w:divBdr>
    </w:div>
    <w:div w:id="1614634818">
      <w:bodyDiv w:val="1"/>
      <w:marLeft w:val="0"/>
      <w:marRight w:val="0"/>
      <w:marTop w:val="0"/>
      <w:marBottom w:val="0"/>
      <w:divBdr>
        <w:top w:val="none" w:sz="0" w:space="0" w:color="auto"/>
        <w:left w:val="none" w:sz="0" w:space="0" w:color="auto"/>
        <w:bottom w:val="none" w:sz="0" w:space="0" w:color="auto"/>
        <w:right w:val="none" w:sz="0" w:space="0" w:color="auto"/>
      </w:divBdr>
    </w:div>
    <w:div w:id="1618178152">
      <w:bodyDiv w:val="1"/>
      <w:marLeft w:val="0"/>
      <w:marRight w:val="0"/>
      <w:marTop w:val="0"/>
      <w:marBottom w:val="0"/>
      <w:divBdr>
        <w:top w:val="none" w:sz="0" w:space="0" w:color="auto"/>
        <w:left w:val="none" w:sz="0" w:space="0" w:color="auto"/>
        <w:bottom w:val="none" w:sz="0" w:space="0" w:color="auto"/>
        <w:right w:val="none" w:sz="0" w:space="0" w:color="auto"/>
      </w:divBdr>
    </w:div>
    <w:div w:id="1620726337">
      <w:bodyDiv w:val="1"/>
      <w:marLeft w:val="0"/>
      <w:marRight w:val="0"/>
      <w:marTop w:val="0"/>
      <w:marBottom w:val="0"/>
      <w:divBdr>
        <w:top w:val="none" w:sz="0" w:space="0" w:color="auto"/>
        <w:left w:val="none" w:sz="0" w:space="0" w:color="auto"/>
        <w:bottom w:val="none" w:sz="0" w:space="0" w:color="auto"/>
        <w:right w:val="none" w:sz="0" w:space="0" w:color="auto"/>
      </w:divBdr>
      <w:divsChild>
        <w:div w:id="98991078">
          <w:marLeft w:val="0"/>
          <w:marRight w:val="0"/>
          <w:marTop w:val="0"/>
          <w:marBottom w:val="0"/>
          <w:divBdr>
            <w:top w:val="single" w:sz="2" w:space="0" w:color="auto"/>
            <w:left w:val="single" w:sz="2" w:space="0" w:color="auto"/>
            <w:bottom w:val="single" w:sz="2" w:space="0" w:color="auto"/>
            <w:right w:val="single" w:sz="2" w:space="0" w:color="auto"/>
          </w:divBdr>
        </w:div>
      </w:divsChild>
    </w:div>
    <w:div w:id="1622876925">
      <w:bodyDiv w:val="1"/>
      <w:marLeft w:val="0"/>
      <w:marRight w:val="0"/>
      <w:marTop w:val="0"/>
      <w:marBottom w:val="0"/>
      <w:divBdr>
        <w:top w:val="none" w:sz="0" w:space="0" w:color="auto"/>
        <w:left w:val="none" w:sz="0" w:space="0" w:color="auto"/>
        <w:bottom w:val="none" w:sz="0" w:space="0" w:color="auto"/>
        <w:right w:val="none" w:sz="0" w:space="0" w:color="auto"/>
      </w:divBdr>
    </w:div>
    <w:div w:id="1624729529">
      <w:bodyDiv w:val="1"/>
      <w:marLeft w:val="0"/>
      <w:marRight w:val="0"/>
      <w:marTop w:val="0"/>
      <w:marBottom w:val="0"/>
      <w:divBdr>
        <w:top w:val="none" w:sz="0" w:space="0" w:color="auto"/>
        <w:left w:val="none" w:sz="0" w:space="0" w:color="auto"/>
        <w:bottom w:val="none" w:sz="0" w:space="0" w:color="auto"/>
        <w:right w:val="none" w:sz="0" w:space="0" w:color="auto"/>
      </w:divBdr>
    </w:div>
    <w:div w:id="1636175048">
      <w:bodyDiv w:val="1"/>
      <w:marLeft w:val="0"/>
      <w:marRight w:val="0"/>
      <w:marTop w:val="0"/>
      <w:marBottom w:val="0"/>
      <w:divBdr>
        <w:top w:val="none" w:sz="0" w:space="0" w:color="auto"/>
        <w:left w:val="none" w:sz="0" w:space="0" w:color="auto"/>
        <w:bottom w:val="none" w:sz="0" w:space="0" w:color="auto"/>
        <w:right w:val="none" w:sz="0" w:space="0" w:color="auto"/>
      </w:divBdr>
    </w:div>
    <w:div w:id="1640500647">
      <w:bodyDiv w:val="1"/>
      <w:marLeft w:val="0"/>
      <w:marRight w:val="0"/>
      <w:marTop w:val="0"/>
      <w:marBottom w:val="0"/>
      <w:divBdr>
        <w:top w:val="none" w:sz="0" w:space="0" w:color="auto"/>
        <w:left w:val="none" w:sz="0" w:space="0" w:color="auto"/>
        <w:bottom w:val="none" w:sz="0" w:space="0" w:color="auto"/>
        <w:right w:val="none" w:sz="0" w:space="0" w:color="auto"/>
      </w:divBdr>
    </w:div>
    <w:div w:id="1651711958">
      <w:bodyDiv w:val="1"/>
      <w:marLeft w:val="0"/>
      <w:marRight w:val="0"/>
      <w:marTop w:val="0"/>
      <w:marBottom w:val="0"/>
      <w:divBdr>
        <w:top w:val="none" w:sz="0" w:space="0" w:color="auto"/>
        <w:left w:val="none" w:sz="0" w:space="0" w:color="auto"/>
        <w:bottom w:val="none" w:sz="0" w:space="0" w:color="auto"/>
        <w:right w:val="none" w:sz="0" w:space="0" w:color="auto"/>
      </w:divBdr>
    </w:div>
    <w:div w:id="1666936095">
      <w:bodyDiv w:val="1"/>
      <w:marLeft w:val="0"/>
      <w:marRight w:val="0"/>
      <w:marTop w:val="0"/>
      <w:marBottom w:val="0"/>
      <w:divBdr>
        <w:top w:val="none" w:sz="0" w:space="0" w:color="auto"/>
        <w:left w:val="none" w:sz="0" w:space="0" w:color="auto"/>
        <w:bottom w:val="none" w:sz="0" w:space="0" w:color="auto"/>
        <w:right w:val="none" w:sz="0" w:space="0" w:color="auto"/>
      </w:divBdr>
    </w:div>
    <w:div w:id="1676107483">
      <w:bodyDiv w:val="1"/>
      <w:marLeft w:val="0"/>
      <w:marRight w:val="0"/>
      <w:marTop w:val="0"/>
      <w:marBottom w:val="0"/>
      <w:divBdr>
        <w:top w:val="none" w:sz="0" w:space="0" w:color="auto"/>
        <w:left w:val="none" w:sz="0" w:space="0" w:color="auto"/>
        <w:bottom w:val="none" w:sz="0" w:space="0" w:color="auto"/>
        <w:right w:val="none" w:sz="0" w:space="0" w:color="auto"/>
      </w:divBdr>
    </w:div>
    <w:div w:id="1680082075">
      <w:bodyDiv w:val="1"/>
      <w:marLeft w:val="0"/>
      <w:marRight w:val="0"/>
      <w:marTop w:val="0"/>
      <w:marBottom w:val="0"/>
      <w:divBdr>
        <w:top w:val="none" w:sz="0" w:space="0" w:color="auto"/>
        <w:left w:val="none" w:sz="0" w:space="0" w:color="auto"/>
        <w:bottom w:val="none" w:sz="0" w:space="0" w:color="auto"/>
        <w:right w:val="none" w:sz="0" w:space="0" w:color="auto"/>
      </w:divBdr>
    </w:div>
    <w:div w:id="1686789320">
      <w:bodyDiv w:val="1"/>
      <w:marLeft w:val="0"/>
      <w:marRight w:val="0"/>
      <w:marTop w:val="0"/>
      <w:marBottom w:val="0"/>
      <w:divBdr>
        <w:top w:val="none" w:sz="0" w:space="0" w:color="auto"/>
        <w:left w:val="none" w:sz="0" w:space="0" w:color="auto"/>
        <w:bottom w:val="none" w:sz="0" w:space="0" w:color="auto"/>
        <w:right w:val="none" w:sz="0" w:space="0" w:color="auto"/>
      </w:divBdr>
    </w:div>
    <w:div w:id="1705207156">
      <w:bodyDiv w:val="1"/>
      <w:marLeft w:val="0"/>
      <w:marRight w:val="0"/>
      <w:marTop w:val="0"/>
      <w:marBottom w:val="0"/>
      <w:divBdr>
        <w:top w:val="none" w:sz="0" w:space="0" w:color="auto"/>
        <w:left w:val="none" w:sz="0" w:space="0" w:color="auto"/>
        <w:bottom w:val="none" w:sz="0" w:space="0" w:color="auto"/>
        <w:right w:val="none" w:sz="0" w:space="0" w:color="auto"/>
      </w:divBdr>
    </w:div>
    <w:div w:id="1708677550">
      <w:bodyDiv w:val="1"/>
      <w:marLeft w:val="0"/>
      <w:marRight w:val="0"/>
      <w:marTop w:val="0"/>
      <w:marBottom w:val="0"/>
      <w:divBdr>
        <w:top w:val="none" w:sz="0" w:space="0" w:color="auto"/>
        <w:left w:val="none" w:sz="0" w:space="0" w:color="auto"/>
        <w:bottom w:val="none" w:sz="0" w:space="0" w:color="auto"/>
        <w:right w:val="none" w:sz="0" w:space="0" w:color="auto"/>
      </w:divBdr>
    </w:div>
    <w:div w:id="1712145087">
      <w:bodyDiv w:val="1"/>
      <w:marLeft w:val="0"/>
      <w:marRight w:val="0"/>
      <w:marTop w:val="0"/>
      <w:marBottom w:val="0"/>
      <w:divBdr>
        <w:top w:val="none" w:sz="0" w:space="0" w:color="auto"/>
        <w:left w:val="none" w:sz="0" w:space="0" w:color="auto"/>
        <w:bottom w:val="none" w:sz="0" w:space="0" w:color="auto"/>
        <w:right w:val="none" w:sz="0" w:space="0" w:color="auto"/>
      </w:divBdr>
    </w:div>
    <w:div w:id="1712416552">
      <w:bodyDiv w:val="1"/>
      <w:marLeft w:val="0"/>
      <w:marRight w:val="0"/>
      <w:marTop w:val="0"/>
      <w:marBottom w:val="0"/>
      <w:divBdr>
        <w:top w:val="none" w:sz="0" w:space="0" w:color="auto"/>
        <w:left w:val="none" w:sz="0" w:space="0" w:color="auto"/>
        <w:bottom w:val="none" w:sz="0" w:space="0" w:color="auto"/>
        <w:right w:val="none" w:sz="0" w:space="0" w:color="auto"/>
      </w:divBdr>
    </w:div>
    <w:div w:id="1713192989">
      <w:bodyDiv w:val="1"/>
      <w:marLeft w:val="0"/>
      <w:marRight w:val="0"/>
      <w:marTop w:val="0"/>
      <w:marBottom w:val="0"/>
      <w:divBdr>
        <w:top w:val="none" w:sz="0" w:space="0" w:color="auto"/>
        <w:left w:val="none" w:sz="0" w:space="0" w:color="auto"/>
        <w:bottom w:val="none" w:sz="0" w:space="0" w:color="auto"/>
        <w:right w:val="none" w:sz="0" w:space="0" w:color="auto"/>
      </w:divBdr>
    </w:div>
    <w:div w:id="1720780302">
      <w:bodyDiv w:val="1"/>
      <w:marLeft w:val="0"/>
      <w:marRight w:val="0"/>
      <w:marTop w:val="0"/>
      <w:marBottom w:val="0"/>
      <w:divBdr>
        <w:top w:val="none" w:sz="0" w:space="0" w:color="auto"/>
        <w:left w:val="none" w:sz="0" w:space="0" w:color="auto"/>
        <w:bottom w:val="none" w:sz="0" w:space="0" w:color="auto"/>
        <w:right w:val="none" w:sz="0" w:space="0" w:color="auto"/>
      </w:divBdr>
    </w:div>
    <w:div w:id="1731462283">
      <w:bodyDiv w:val="1"/>
      <w:marLeft w:val="0"/>
      <w:marRight w:val="0"/>
      <w:marTop w:val="0"/>
      <w:marBottom w:val="0"/>
      <w:divBdr>
        <w:top w:val="none" w:sz="0" w:space="0" w:color="auto"/>
        <w:left w:val="none" w:sz="0" w:space="0" w:color="auto"/>
        <w:bottom w:val="none" w:sz="0" w:space="0" w:color="auto"/>
        <w:right w:val="none" w:sz="0" w:space="0" w:color="auto"/>
      </w:divBdr>
    </w:div>
    <w:div w:id="1735469139">
      <w:bodyDiv w:val="1"/>
      <w:marLeft w:val="0"/>
      <w:marRight w:val="0"/>
      <w:marTop w:val="0"/>
      <w:marBottom w:val="0"/>
      <w:divBdr>
        <w:top w:val="none" w:sz="0" w:space="0" w:color="auto"/>
        <w:left w:val="none" w:sz="0" w:space="0" w:color="auto"/>
        <w:bottom w:val="none" w:sz="0" w:space="0" w:color="auto"/>
        <w:right w:val="none" w:sz="0" w:space="0" w:color="auto"/>
      </w:divBdr>
    </w:div>
    <w:div w:id="1740054113">
      <w:bodyDiv w:val="1"/>
      <w:marLeft w:val="0"/>
      <w:marRight w:val="0"/>
      <w:marTop w:val="0"/>
      <w:marBottom w:val="0"/>
      <w:divBdr>
        <w:top w:val="none" w:sz="0" w:space="0" w:color="auto"/>
        <w:left w:val="none" w:sz="0" w:space="0" w:color="auto"/>
        <w:bottom w:val="none" w:sz="0" w:space="0" w:color="auto"/>
        <w:right w:val="none" w:sz="0" w:space="0" w:color="auto"/>
      </w:divBdr>
    </w:div>
    <w:div w:id="1744646525">
      <w:bodyDiv w:val="1"/>
      <w:marLeft w:val="0"/>
      <w:marRight w:val="0"/>
      <w:marTop w:val="0"/>
      <w:marBottom w:val="0"/>
      <w:divBdr>
        <w:top w:val="none" w:sz="0" w:space="0" w:color="auto"/>
        <w:left w:val="none" w:sz="0" w:space="0" w:color="auto"/>
        <w:bottom w:val="none" w:sz="0" w:space="0" w:color="auto"/>
        <w:right w:val="none" w:sz="0" w:space="0" w:color="auto"/>
      </w:divBdr>
    </w:div>
    <w:div w:id="1748572104">
      <w:bodyDiv w:val="1"/>
      <w:marLeft w:val="0"/>
      <w:marRight w:val="0"/>
      <w:marTop w:val="0"/>
      <w:marBottom w:val="0"/>
      <w:divBdr>
        <w:top w:val="none" w:sz="0" w:space="0" w:color="auto"/>
        <w:left w:val="none" w:sz="0" w:space="0" w:color="auto"/>
        <w:bottom w:val="none" w:sz="0" w:space="0" w:color="auto"/>
        <w:right w:val="none" w:sz="0" w:space="0" w:color="auto"/>
      </w:divBdr>
    </w:div>
    <w:div w:id="1748646867">
      <w:bodyDiv w:val="1"/>
      <w:marLeft w:val="0"/>
      <w:marRight w:val="0"/>
      <w:marTop w:val="0"/>
      <w:marBottom w:val="0"/>
      <w:divBdr>
        <w:top w:val="none" w:sz="0" w:space="0" w:color="auto"/>
        <w:left w:val="none" w:sz="0" w:space="0" w:color="auto"/>
        <w:bottom w:val="none" w:sz="0" w:space="0" w:color="auto"/>
        <w:right w:val="none" w:sz="0" w:space="0" w:color="auto"/>
      </w:divBdr>
    </w:div>
    <w:div w:id="1753696533">
      <w:bodyDiv w:val="1"/>
      <w:marLeft w:val="0"/>
      <w:marRight w:val="0"/>
      <w:marTop w:val="0"/>
      <w:marBottom w:val="0"/>
      <w:divBdr>
        <w:top w:val="none" w:sz="0" w:space="0" w:color="auto"/>
        <w:left w:val="none" w:sz="0" w:space="0" w:color="auto"/>
        <w:bottom w:val="none" w:sz="0" w:space="0" w:color="auto"/>
        <w:right w:val="none" w:sz="0" w:space="0" w:color="auto"/>
      </w:divBdr>
    </w:div>
    <w:div w:id="1754890188">
      <w:bodyDiv w:val="1"/>
      <w:marLeft w:val="0"/>
      <w:marRight w:val="0"/>
      <w:marTop w:val="0"/>
      <w:marBottom w:val="0"/>
      <w:divBdr>
        <w:top w:val="none" w:sz="0" w:space="0" w:color="auto"/>
        <w:left w:val="none" w:sz="0" w:space="0" w:color="auto"/>
        <w:bottom w:val="none" w:sz="0" w:space="0" w:color="auto"/>
        <w:right w:val="none" w:sz="0" w:space="0" w:color="auto"/>
      </w:divBdr>
    </w:div>
    <w:div w:id="1774090312">
      <w:bodyDiv w:val="1"/>
      <w:marLeft w:val="0"/>
      <w:marRight w:val="0"/>
      <w:marTop w:val="0"/>
      <w:marBottom w:val="0"/>
      <w:divBdr>
        <w:top w:val="none" w:sz="0" w:space="0" w:color="auto"/>
        <w:left w:val="none" w:sz="0" w:space="0" w:color="auto"/>
        <w:bottom w:val="none" w:sz="0" w:space="0" w:color="auto"/>
        <w:right w:val="none" w:sz="0" w:space="0" w:color="auto"/>
      </w:divBdr>
    </w:div>
    <w:div w:id="1777018085">
      <w:bodyDiv w:val="1"/>
      <w:marLeft w:val="0"/>
      <w:marRight w:val="0"/>
      <w:marTop w:val="0"/>
      <w:marBottom w:val="0"/>
      <w:divBdr>
        <w:top w:val="none" w:sz="0" w:space="0" w:color="auto"/>
        <w:left w:val="none" w:sz="0" w:space="0" w:color="auto"/>
        <w:bottom w:val="none" w:sz="0" w:space="0" w:color="auto"/>
        <w:right w:val="none" w:sz="0" w:space="0" w:color="auto"/>
      </w:divBdr>
    </w:div>
    <w:div w:id="1786391209">
      <w:bodyDiv w:val="1"/>
      <w:marLeft w:val="0"/>
      <w:marRight w:val="0"/>
      <w:marTop w:val="0"/>
      <w:marBottom w:val="0"/>
      <w:divBdr>
        <w:top w:val="none" w:sz="0" w:space="0" w:color="auto"/>
        <w:left w:val="none" w:sz="0" w:space="0" w:color="auto"/>
        <w:bottom w:val="none" w:sz="0" w:space="0" w:color="auto"/>
        <w:right w:val="none" w:sz="0" w:space="0" w:color="auto"/>
      </w:divBdr>
    </w:div>
    <w:div w:id="1790050451">
      <w:bodyDiv w:val="1"/>
      <w:marLeft w:val="0"/>
      <w:marRight w:val="0"/>
      <w:marTop w:val="0"/>
      <w:marBottom w:val="0"/>
      <w:divBdr>
        <w:top w:val="none" w:sz="0" w:space="0" w:color="auto"/>
        <w:left w:val="none" w:sz="0" w:space="0" w:color="auto"/>
        <w:bottom w:val="none" w:sz="0" w:space="0" w:color="auto"/>
        <w:right w:val="none" w:sz="0" w:space="0" w:color="auto"/>
      </w:divBdr>
    </w:div>
    <w:div w:id="1793210774">
      <w:bodyDiv w:val="1"/>
      <w:marLeft w:val="0"/>
      <w:marRight w:val="0"/>
      <w:marTop w:val="0"/>
      <w:marBottom w:val="0"/>
      <w:divBdr>
        <w:top w:val="none" w:sz="0" w:space="0" w:color="auto"/>
        <w:left w:val="none" w:sz="0" w:space="0" w:color="auto"/>
        <w:bottom w:val="none" w:sz="0" w:space="0" w:color="auto"/>
        <w:right w:val="none" w:sz="0" w:space="0" w:color="auto"/>
      </w:divBdr>
    </w:div>
    <w:div w:id="1795098039">
      <w:bodyDiv w:val="1"/>
      <w:marLeft w:val="0"/>
      <w:marRight w:val="0"/>
      <w:marTop w:val="0"/>
      <w:marBottom w:val="0"/>
      <w:divBdr>
        <w:top w:val="none" w:sz="0" w:space="0" w:color="auto"/>
        <w:left w:val="none" w:sz="0" w:space="0" w:color="auto"/>
        <w:bottom w:val="none" w:sz="0" w:space="0" w:color="auto"/>
        <w:right w:val="none" w:sz="0" w:space="0" w:color="auto"/>
      </w:divBdr>
      <w:divsChild>
        <w:div w:id="965550051">
          <w:marLeft w:val="0"/>
          <w:marRight w:val="0"/>
          <w:marTop w:val="0"/>
          <w:marBottom w:val="0"/>
          <w:divBdr>
            <w:top w:val="none" w:sz="0" w:space="0" w:color="auto"/>
            <w:left w:val="none" w:sz="0" w:space="0" w:color="auto"/>
            <w:bottom w:val="none" w:sz="0" w:space="0" w:color="auto"/>
            <w:right w:val="none" w:sz="0" w:space="0" w:color="auto"/>
          </w:divBdr>
        </w:div>
      </w:divsChild>
    </w:div>
    <w:div w:id="1825930986">
      <w:bodyDiv w:val="1"/>
      <w:marLeft w:val="0"/>
      <w:marRight w:val="0"/>
      <w:marTop w:val="0"/>
      <w:marBottom w:val="0"/>
      <w:divBdr>
        <w:top w:val="none" w:sz="0" w:space="0" w:color="auto"/>
        <w:left w:val="none" w:sz="0" w:space="0" w:color="auto"/>
        <w:bottom w:val="none" w:sz="0" w:space="0" w:color="auto"/>
        <w:right w:val="none" w:sz="0" w:space="0" w:color="auto"/>
      </w:divBdr>
    </w:div>
    <w:div w:id="1826580401">
      <w:bodyDiv w:val="1"/>
      <w:marLeft w:val="0"/>
      <w:marRight w:val="0"/>
      <w:marTop w:val="0"/>
      <w:marBottom w:val="0"/>
      <w:divBdr>
        <w:top w:val="none" w:sz="0" w:space="0" w:color="auto"/>
        <w:left w:val="none" w:sz="0" w:space="0" w:color="auto"/>
        <w:bottom w:val="none" w:sz="0" w:space="0" w:color="auto"/>
        <w:right w:val="none" w:sz="0" w:space="0" w:color="auto"/>
      </w:divBdr>
    </w:div>
    <w:div w:id="1830056171">
      <w:bodyDiv w:val="1"/>
      <w:marLeft w:val="0"/>
      <w:marRight w:val="0"/>
      <w:marTop w:val="0"/>
      <w:marBottom w:val="0"/>
      <w:divBdr>
        <w:top w:val="none" w:sz="0" w:space="0" w:color="auto"/>
        <w:left w:val="none" w:sz="0" w:space="0" w:color="auto"/>
        <w:bottom w:val="none" w:sz="0" w:space="0" w:color="auto"/>
        <w:right w:val="none" w:sz="0" w:space="0" w:color="auto"/>
      </w:divBdr>
    </w:div>
    <w:div w:id="1840925512">
      <w:bodyDiv w:val="1"/>
      <w:marLeft w:val="0"/>
      <w:marRight w:val="0"/>
      <w:marTop w:val="0"/>
      <w:marBottom w:val="0"/>
      <w:divBdr>
        <w:top w:val="none" w:sz="0" w:space="0" w:color="auto"/>
        <w:left w:val="none" w:sz="0" w:space="0" w:color="auto"/>
        <w:bottom w:val="none" w:sz="0" w:space="0" w:color="auto"/>
        <w:right w:val="none" w:sz="0" w:space="0" w:color="auto"/>
      </w:divBdr>
    </w:div>
    <w:div w:id="1841117488">
      <w:bodyDiv w:val="1"/>
      <w:marLeft w:val="0"/>
      <w:marRight w:val="0"/>
      <w:marTop w:val="0"/>
      <w:marBottom w:val="0"/>
      <w:divBdr>
        <w:top w:val="none" w:sz="0" w:space="0" w:color="auto"/>
        <w:left w:val="none" w:sz="0" w:space="0" w:color="auto"/>
        <w:bottom w:val="none" w:sz="0" w:space="0" w:color="auto"/>
        <w:right w:val="none" w:sz="0" w:space="0" w:color="auto"/>
      </w:divBdr>
    </w:div>
    <w:div w:id="1841895645">
      <w:bodyDiv w:val="1"/>
      <w:marLeft w:val="0"/>
      <w:marRight w:val="0"/>
      <w:marTop w:val="0"/>
      <w:marBottom w:val="0"/>
      <w:divBdr>
        <w:top w:val="none" w:sz="0" w:space="0" w:color="auto"/>
        <w:left w:val="none" w:sz="0" w:space="0" w:color="auto"/>
        <w:bottom w:val="none" w:sz="0" w:space="0" w:color="auto"/>
        <w:right w:val="none" w:sz="0" w:space="0" w:color="auto"/>
      </w:divBdr>
    </w:div>
    <w:div w:id="1844667342">
      <w:bodyDiv w:val="1"/>
      <w:marLeft w:val="0"/>
      <w:marRight w:val="0"/>
      <w:marTop w:val="0"/>
      <w:marBottom w:val="0"/>
      <w:divBdr>
        <w:top w:val="none" w:sz="0" w:space="0" w:color="auto"/>
        <w:left w:val="none" w:sz="0" w:space="0" w:color="auto"/>
        <w:bottom w:val="none" w:sz="0" w:space="0" w:color="auto"/>
        <w:right w:val="none" w:sz="0" w:space="0" w:color="auto"/>
      </w:divBdr>
    </w:div>
    <w:div w:id="1858428317">
      <w:bodyDiv w:val="1"/>
      <w:marLeft w:val="0"/>
      <w:marRight w:val="0"/>
      <w:marTop w:val="0"/>
      <w:marBottom w:val="0"/>
      <w:divBdr>
        <w:top w:val="none" w:sz="0" w:space="0" w:color="auto"/>
        <w:left w:val="none" w:sz="0" w:space="0" w:color="auto"/>
        <w:bottom w:val="none" w:sz="0" w:space="0" w:color="auto"/>
        <w:right w:val="none" w:sz="0" w:space="0" w:color="auto"/>
      </w:divBdr>
    </w:div>
    <w:div w:id="1861508008">
      <w:bodyDiv w:val="1"/>
      <w:marLeft w:val="0"/>
      <w:marRight w:val="0"/>
      <w:marTop w:val="0"/>
      <w:marBottom w:val="0"/>
      <w:divBdr>
        <w:top w:val="none" w:sz="0" w:space="0" w:color="auto"/>
        <w:left w:val="none" w:sz="0" w:space="0" w:color="auto"/>
        <w:bottom w:val="none" w:sz="0" w:space="0" w:color="auto"/>
        <w:right w:val="none" w:sz="0" w:space="0" w:color="auto"/>
      </w:divBdr>
    </w:div>
    <w:div w:id="1861890110">
      <w:bodyDiv w:val="1"/>
      <w:marLeft w:val="0"/>
      <w:marRight w:val="0"/>
      <w:marTop w:val="0"/>
      <w:marBottom w:val="0"/>
      <w:divBdr>
        <w:top w:val="none" w:sz="0" w:space="0" w:color="auto"/>
        <w:left w:val="none" w:sz="0" w:space="0" w:color="auto"/>
        <w:bottom w:val="none" w:sz="0" w:space="0" w:color="auto"/>
        <w:right w:val="none" w:sz="0" w:space="0" w:color="auto"/>
      </w:divBdr>
    </w:div>
    <w:div w:id="1862668280">
      <w:bodyDiv w:val="1"/>
      <w:marLeft w:val="0"/>
      <w:marRight w:val="0"/>
      <w:marTop w:val="0"/>
      <w:marBottom w:val="0"/>
      <w:divBdr>
        <w:top w:val="none" w:sz="0" w:space="0" w:color="auto"/>
        <w:left w:val="none" w:sz="0" w:space="0" w:color="auto"/>
        <w:bottom w:val="none" w:sz="0" w:space="0" w:color="auto"/>
        <w:right w:val="none" w:sz="0" w:space="0" w:color="auto"/>
      </w:divBdr>
    </w:div>
    <w:div w:id="1865317735">
      <w:bodyDiv w:val="1"/>
      <w:marLeft w:val="0"/>
      <w:marRight w:val="0"/>
      <w:marTop w:val="0"/>
      <w:marBottom w:val="0"/>
      <w:divBdr>
        <w:top w:val="none" w:sz="0" w:space="0" w:color="auto"/>
        <w:left w:val="none" w:sz="0" w:space="0" w:color="auto"/>
        <w:bottom w:val="none" w:sz="0" w:space="0" w:color="auto"/>
        <w:right w:val="none" w:sz="0" w:space="0" w:color="auto"/>
      </w:divBdr>
    </w:div>
    <w:div w:id="1872643629">
      <w:bodyDiv w:val="1"/>
      <w:marLeft w:val="0"/>
      <w:marRight w:val="0"/>
      <w:marTop w:val="0"/>
      <w:marBottom w:val="0"/>
      <w:divBdr>
        <w:top w:val="none" w:sz="0" w:space="0" w:color="auto"/>
        <w:left w:val="none" w:sz="0" w:space="0" w:color="auto"/>
        <w:bottom w:val="none" w:sz="0" w:space="0" w:color="auto"/>
        <w:right w:val="none" w:sz="0" w:space="0" w:color="auto"/>
      </w:divBdr>
    </w:div>
    <w:div w:id="1875187155">
      <w:bodyDiv w:val="1"/>
      <w:marLeft w:val="0"/>
      <w:marRight w:val="0"/>
      <w:marTop w:val="0"/>
      <w:marBottom w:val="0"/>
      <w:divBdr>
        <w:top w:val="none" w:sz="0" w:space="0" w:color="auto"/>
        <w:left w:val="none" w:sz="0" w:space="0" w:color="auto"/>
        <w:bottom w:val="none" w:sz="0" w:space="0" w:color="auto"/>
        <w:right w:val="none" w:sz="0" w:space="0" w:color="auto"/>
      </w:divBdr>
    </w:div>
    <w:div w:id="1877884608">
      <w:bodyDiv w:val="1"/>
      <w:marLeft w:val="0"/>
      <w:marRight w:val="0"/>
      <w:marTop w:val="0"/>
      <w:marBottom w:val="0"/>
      <w:divBdr>
        <w:top w:val="none" w:sz="0" w:space="0" w:color="auto"/>
        <w:left w:val="none" w:sz="0" w:space="0" w:color="auto"/>
        <w:bottom w:val="none" w:sz="0" w:space="0" w:color="auto"/>
        <w:right w:val="none" w:sz="0" w:space="0" w:color="auto"/>
      </w:divBdr>
    </w:div>
    <w:div w:id="1886790616">
      <w:bodyDiv w:val="1"/>
      <w:marLeft w:val="0"/>
      <w:marRight w:val="0"/>
      <w:marTop w:val="0"/>
      <w:marBottom w:val="0"/>
      <w:divBdr>
        <w:top w:val="none" w:sz="0" w:space="0" w:color="auto"/>
        <w:left w:val="none" w:sz="0" w:space="0" w:color="auto"/>
        <w:bottom w:val="none" w:sz="0" w:space="0" w:color="auto"/>
        <w:right w:val="none" w:sz="0" w:space="0" w:color="auto"/>
      </w:divBdr>
    </w:div>
    <w:div w:id="1895003707">
      <w:bodyDiv w:val="1"/>
      <w:marLeft w:val="0"/>
      <w:marRight w:val="0"/>
      <w:marTop w:val="0"/>
      <w:marBottom w:val="0"/>
      <w:divBdr>
        <w:top w:val="none" w:sz="0" w:space="0" w:color="auto"/>
        <w:left w:val="none" w:sz="0" w:space="0" w:color="auto"/>
        <w:bottom w:val="none" w:sz="0" w:space="0" w:color="auto"/>
        <w:right w:val="none" w:sz="0" w:space="0" w:color="auto"/>
      </w:divBdr>
    </w:div>
    <w:div w:id="1899827111">
      <w:bodyDiv w:val="1"/>
      <w:marLeft w:val="0"/>
      <w:marRight w:val="0"/>
      <w:marTop w:val="0"/>
      <w:marBottom w:val="0"/>
      <w:divBdr>
        <w:top w:val="none" w:sz="0" w:space="0" w:color="auto"/>
        <w:left w:val="none" w:sz="0" w:space="0" w:color="auto"/>
        <w:bottom w:val="none" w:sz="0" w:space="0" w:color="auto"/>
        <w:right w:val="none" w:sz="0" w:space="0" w:color="auto"/>
      </w:divBdr>
    </w:div>
    <w:div w:id="1911964878">
      <w:bodyDiv w:val="1"/>
      <w:marLeft w:val="0"/>
      <w:marRight w:val="0"/>
      <w:marTop w:val="0"/>
      <w:marBottom w:val="0"/>
      <w:divBdr>
        <w:top w:val="none" w:sz="0" w:space="0" w:color="auto"/>
        <w:left w:val="none" w:sz="0" w:space="0" w:color="auto"/>
        <w:bottom w:val="none" w:sz="0" w:space="0" w:color="auto"/>
        <w:right w:val="none" w:sz="0" w:space="0" w:color="auto"/>
      </w:divBdr>
      <w:divsChild>
        <w:div w:id="1894005673">
          <w:marLeft w:val="0"/>
          <w:marRight w:val="0"/>
          <w:marTop w:val="0"/>
          <w:marBottom w:val="0"/>
          <w:divBdr>
            <w:top w:val="none" w:sz="0" w:space="0" w:color="auto"/>
            <w:left w:val="none" w:sz="0" w:space="0" w:color="auto"/>
            <w:bottom w:val="none" w:sz="0" w:space="0" w:color="auto"/>
            <w:right w:val="none" w:sz="0" w:space="0" w:color="auto"/>
          </w:divBdr>
          <w:divsChild>
            <w:div w:id="741103735">
              <w:marLeft w:val="0"/>
              <w:marRight w:val="0"/>
              <w:marTop w:val="0"/>
              <w:marBottom w:val="0"/>
              <w:divBdr>
                <w:top w:val="none" w:sz="0" w:space="0" w:color="auto"/>
                <w:left w:val="none" w:sz="0" w:space="0" w:color="auto"/>
                <w:bottom w:val="none" w:sz="0" w:space="0" w:color="auto"/>
                <w:right w:val="none" w:sz="0" w:space="0" w:color="auto"/>
              </w:divBdr>
              <w:divsChild>
                <w:div w:id="1694381041">
                  <w:marLeft w:val="0"/>
                  <w:marRight w:val="0"/>
                  <w:marTop w:val="0"/>
                  <w:marBottom w:val="0"/>
                  <w:divBdr>
                    <w:top w:val="none" w:sz="0" w:space="0" w:color="auto"/>
                    <w:left w:val="none" w:sz="0" w:space="0" w:color="auto"/>
                    <w:bottom w:val="none" w:sz="0" w:space="0" w:color="auto"/>
                    <w:right w:val="none" w:sz="0" w:space="0" w:color="auto"/>
                  </w:divBdr>
                  <w:divsChild>
                    <w:div w:id="1091968328">
                      <w:marLeft w:val="0"/>
                      <w:marRight w:val="0"/>
                      <w:marTop w:val="0"/>
                      <w:marBottom w:val="0"/>
                      <w:divBdr>
                        <w:top w:val="none" w:sz="0" w:space="0" w:color="auto"/>
                        <w:left w:val="none" w:sz="0" w:space="0" w:color="auto"/>
                        <w:bottom w:val="none" w:sz="0" w:space="0" w:color="auto"/>
                        <w:right w:val="none" w:sz="0" w:space="0" w:color="auto"/>
                      </w:divBdr>
                      <w:divsChild>
                        <w:div w:id="815219672">
                          <w:marLeft w:val="0"/>
                          <w:marRight w:val="0"/>
                          <w:marTop w:val="0"/>
                          <w:marBottom w:val="0"/>
                          <w:divBdr>
                            <w:top w:val="none" w:sz="0" w:space="0" w:color="auto"/>
                            <w:left w:val="none" w:sz="0" w:space="0" w:color="auto"/>
                            <w:bottom w:val="none" w:sz="0" w:space="0" w:color="auto"/>
                            <w:right w:val="none" w:sz="0" w:space="0" w:color="auto"/>
                          </w:divBdr>
                          <w:divsChild>
                            <w:div w:id="1150050712">
                              <w:marLeft w:val="0"/>
                              <w:marRight w:val="0"/>
                              <w:marTop w:val="0"/>
                              <w:marBottom w:val="0"/>
                              <w:divBdr>
                                <w:top w:val="none" w:sz="0" w:space="0" w:color="auto"/>
                                <w:left w:val="none" w:sz="0" w:space="0" w:color="auto"/>
                                <w:bottom w:val="none" w:sz="0" w:space="0" w:color="auto"/>
                                <w:right w:val="none" w:sz="0" w:space="0" w:color="auto"/>
                              </w:divBdr>
                              <w:divsChild>
                                <w:div w:id="876162096">
                                  <w:marLeft w:val="0"/>
                                  <w:marRight w:val="0"/>
                                  <w:marTop w:val="0"/>
                                  <w:marBottom w:val="0"/>
                                  <w:divBdr>
                                    <w:top w:val="none" w:sz="0" w:space="0" w:color="auto"/>
                                    <w:left w:val="none" w:sz="0" w:space="0" w:color="auto"/>
                                    <w:bottom w:val="none" w:sz="0" w:space="0" w:color="auto"/>
                                    <w:right w:val="none" w:sz="0" w:space="0" w:color="auto"/>
                                  </w:divBdr>
                                  <w:divsChild>
                                    <w:div w:id="1418015549">
                                      <w:marLeft w:val="0"/>
                                      <w:marRight w:val="0"/>
                                      <w:marTop w:val="0"/>
                                      <w:marBottom w:val="0"/>
                                      <w:divBdr>
                                        <w:top w:val="none" w:sz="0" w:space="0" w:color="auto"/>
                                        <w:left w:val="none" w:sz="0" w:space="0" w:color="auto"/>
                                        <w:bottom w:val="none" w:sz="0" w:space="0" w:color="auto"/>
                                        <w:right w:val="none" w:sz="0" w:space="0" w:color="auto"/>
                                      </w:divBdr>
                                      <w:divsChild>
                                        <w:div w:id="877662528">
                                          <w:marLeft w:val="0"/>
                                          <w:marRight w:val="0"/>
                                          <w:marTop w:val="0"/>
                                          <w:marBottom w:val="0"/>
                                          <w:divBdr>
                                            <w:top w:val="none" w:sz="0" w:space="0" w:color="auto"/>
                                            <w:left w:val="none" w:sz="0" w:space="0" w:color="auto"/>
                                            <w:bottom w:val="none" w:sz="0" w:space="0" w:color="auto"/>
                                            <w:right w:val="none" w:sz="0" w:space="0" w:color="auto"/>
                                          </w:divBdr>
                                          <w:divsChild>
                                            <w:div w:id="981734763">
                                              <w:marLeft w:val="0"/>
                                              <w:marRight w:val="0"/>
                                              <w:marTop w:val="0"/>
                                              <w:marBottom w:val="0"/>
                                              <w:divBdr>
                                                <w:top w:val="none" w:sz="0" w:space="0" w:color="auto"/>
                                                <w:left w:val="none" w:sz="0" w:space="0" w:color="auto"/>
                                                <w:bottom w:val="none" w:sz="0" w:space="0" w:color="auto"/>
                                                <w:right w:val="none" w:sz="0" w:space="0" w:color="auto"/>
                                              </w:divBdr>
                                              <w:divsChild>
                                                <w:div w:id="1642153447">
                                                  <w:marLeft w:val="0"/>
                                                  <w:marRight w:val="0"/>
                                                  <w:marTop w:val="0"/>
                                                  <w:marBottom w:val="0"/>
                                                  <w:divBdr>
                                                    <w:top w:val="none" w:sz="0" w:space="0" w:color="auto"/>
                                                    <w:left w:val="none" w:sz="0" w:space="0" w:color="auto"/>
                                                    <w:bottom w:val="none" w:sz="0" w:space="0" w:color="auto"/>
                                                    <w:right w:val="none" w:sz="0" w:space="0" w:color="auto"/>
                                                  </w:divBdr>
                                                  <w:divsChild>
                                                    <w:div w:id="1518736381">
                                                      <w:marLeft w:val="0"/>
                                                      <w:marRight w:val="0"/>
                                                      <w:marTop w:val="0"/>
                                                      <w:marBottom w:val="0"/>
                                                      <w:divBdr>
                                                        <w:top w:val="none" w:sz="0" w:space="0" w:color="auto"/>
                                                        <w:left w:val="none" w:sz="0" w:space="0" w:color="auto"/>
                                                        <w:bottom w:val="none" w:sz="0" w:space="0" w:color="auto"/>
                                                        <w:right w:val="none" w:sz="0" w:space="0" w:color="auto"/>
                                                      </w:divBdr>
                                                      <w:divsChild>
                                                        <w:div w:id="26604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3944305">
          <w:marLeft w:val="0"/>
          <w:marRight w:val="0"/>
          <w:marTop w:val="0"/>
          <w:marBottom w:val="0"/>
          <w:divBdr>
            <w:top w:val="none" w:sz="0" w:space="0" w:color="auto"/>
            <w:left w:val="none" w:sz="0" w:space="0" w:color="auto"/>
            <w:bottom w:val="none" w:sz="0" w:space="0" w:color="auto"/>
            <w:right w:val="none" w:sz="0" w:space="0" w:color="auto"/>
          </w:divBdr>
          <w:divsChild>
            <w:div w:id="1608735413">
              <w:marLeft w:val="0"/>
              <w:marRight w:val="0"/>
              <w:marTop w:val="0"/>
              <w:marBottom w:val="0"/>
              <w:divBdr>
                <w:top w:val="none" w:sz="0" w:space="0" w:color="auto"/>
                <w:left w:val="none" w:sz="0" w:space="0" w:color="auto"/>
                <w:bottom w:val="none" w:sz="0" w:space="0" w:color="auto"/>
                <w:right w:val="none" w:sz="0" w:space="0" w:color="auto"/>
              </w:divBdr>
              <w:divsChild>
                <w:div w:id="737872072">
                  <w:marLeft w:val="0"/>
                  <w:marRight w:val="0"/>
                  <w:marTop w:val="0"/>
                  <w:marBottom w:val="0"/>
                  <w:divBdr>
                    <w:top w:val="none" w:sz="0" w:space="0" w:color="auto"/>
                    <w:left w:val="none" w:sz="0" w:space="0" w:color="auto"/>
                    <w:bottom w:val="none" w:sz="0" w:space="0" w:color="auto"/>
                    <w:right w:val="none" w:sz="0" w:space="0" w:color="auto"/>
                  </w:divBdr>
                  <w:divsChild>
                    <w:div w:id="124892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84559">
      <w:bodyDiv w:val="1"/>
      <w:marLeft w:val="0"/>
      <w:marRight w:val="0"/>
      <w:marTop w:val="0"/>
      <w:marBottom w:val="0"/>
      <w:divBdr>
        <w:top w:val="none" w:sz="0" w:space="0" w:color="auto"/>
        <w:left w:val="none" w:sz="0" w:space="0" w:color="auto"/>
        <w:bottom w:val="none" w:sz="0" w:space="0" w:color="auto"/>
        <w:right w:val="none" w:sz="0" w:space="0" w:color="auto"/>
      </w:divBdr>
    </w:div>
    <w:div w:id="1919555089">
      <w:bodyDiv w:val="1"/>
      <w:marLeft w:val="0"/>
      <w:marRight w:val="0"/>
      <w:marTop w:val="0"/>
      <w:marBottom w:val="0"/>
      <w:divBdr>
        <w:top w:val="none" w:sz="0" w:space="0" w:color="auto"/>
        <w:left w:val="none" w:sz="0" w:space="0" w:color="auto"/>
        <w:bottom w:val="none" w:sz="0" w:space="0" w:color="auto"/>
        <w:right w:val="none" w:sz="0" w:space="0" w:color="auto"/>
      </w:divBdr>
    </w:div>
    <w:div w:id="1926108930">
      <w:bodyDiv w:val="1"/>
      <w:marLeft w:val="0"/>
      <w:marRight w:val="0"/>
      <w:marTop w:val="0"/>
      <w:marBottom w:val="0"/>
      <w:divBdr>
        <w:top w:val="none" w:sz="0" w:space="0" w:color="auto"/>
        <w:left w:val="none" w:sz="0" w:space="0" w:color="auto"/>
        <w:bottom w:val="none" w:sz="0" w:space="0" w:color="auto"/>
        <w:right w:val="none" w:sz="0" w:space="0" w:color="auto"/>
      </w:divBdr>
      <w:divsChild>
        <w:div w:id="1734228869">
          <w:marLeft w:val="0"/>
          <w:marRight w:val="0"/>
          <w:marTop w:val="0"/>
          <w:marBottom w:val="0"/>
          <w:divBdr>
            <w:top w:val="none" w:sz="0" w:space="0" w:color="auto"/>
            <w:left w:val="none" w:sz="0" w:space="0" w:color="auto"/>
            <w:bottom w:val="none" w:sz="0" w:space="0" w:color="auto"/>
            <w:right w:val="none" w:sz="0" w:space="0" w:color="auto"/>
          </w:divBdr>
        </w:div>
      </w:divsChild>
    </w:div>
    <w:div w:id="1927572796">
      <w:bodyDiv w:val="1"/>
      <w:marLeft w:val="0"/>
      <w:marRight w:val="0"/>
      <w:marTop w:val="0"/>
      <w:marBottom w:val="0"/>
      <w:divBdr>
        <w:top w:val="none" w:sz="0" w:space="0" w:color="auto"/>
        <w:left w:val="none" w:sz="0" w:space="0" w:color="auto"/>
        <w:bottom w:val="none" w:sz="0" w:space="0" w:color="auto"/>
        <w:right w:val="none" w:sz="0" w:space="0" w:color="auto"/>
      </w:divBdr>
    </w:div>
    <w:div w:id="1932006075">
      <w:bodyDiv w:val="1"/>
      <w:marLeft w:val="0"/>
      <w:marRight w:val="0"/>
      <w:marTop w:val="0"/>
      <w:marBottom w:val="0"/>
      <w:divBdr>
        <w:top w:val="none" w:sz="0" w:space="0" w:color="auto"/>
        <w:left w:val="none" w:sz="0" w:space="0" w:color="auto"/>
        <w:bottom w:val="none" w:sz="0" w:space="0" w:color="auto"/>
        <w:right w:val="none" w:sz="0" w:space="0" w:color="auto"/>
      </w:divBdr>
    </w:div>
    <w:div w:id="1933973636">
      <w:bodyDiv w:val="1"/>
      <w:marLeft w:val="0"/>
      <w:marRight w:val="0"/>
      <w:marTop w:val="0"/>
      <w:marBottom w:val="0"/>
      <w:divBdr>
        <w:top w:val="none" w:sz="0" w:space="0" w:color="auto"/>
        <w:left w:val="none" w:sz="0" w:space="0" w:color="auto"/>
        <w:bottom w:val="none" w:sz="0" w:space="0" w:color="auto"/>
        <w:right w:val="none" w:sz="0" w:space="0" w:color="auto"/>
      </w:divBdr>
    </w:div>
    <w:div w:id="1933974432">
      <w:bodyDiv w:val="1"/>
      <w:marLeft w:val="0"/>
      <w:marRight w:val="0"/>
      <w:marTop w:val="0"/>
      <w:marBottom w:val="0"/>
      <w:divBdr>
        <w:top w:val="none" w:sz="0" w:space="0" w:color="auto"/>
        <w:left w:val="none" w:sz="0" w:space="0" w:color="auto"/>
        <w:bottom w:val="none" w:sz="0" w:space="0" w:color="auto"/>
        <w:right w:val="none" w:sz="0" w:space="0" w:color="auto"/>
      </w:divBdr>
    </w:div>
    <w:div w:id="1940675392">
      <w:bodyDiv w:val="1"/>
      <w:marLeft w:val="0"/>
      <w:marRight w:val="0"/>
      <w:marTop w:val="0"/>
      <w:marBottom w:val="0"/>
      <w:divBdr>
        <w:top w:val="none" w:sz="0" w:space="0" w:color="auto"/>
        <w:left w:val="none" w:sz="0" w:space="0" w:color="auto"/>
        <w:bottom w:val="none" w:sz="0" w:space="0" w:color="auto"/>
        <w:right w:val="none" w:sz="0" w:space="0" w:color="auto"/>
      </w:divBdr>
    </w:div>
    <w:div w:id="1944992522">
      <w:bodyDiv w:val="1"/>
      <w:marLeft w:val="0"/>
      <w:marRight w:val="0"/>
      <w:marTop w:val="0"/>
      <w:marBottom w:val="0"/>
      <w:divBdr>
        <w:top w:val="none" w:sz="0" w:space="0" w:color="auto"/>
        <w:left w:val="none" w:sz="0" w:space="0" w:color="auto"/>
        <w:bottom w:val="none" w:sz="0" w:space="0" w:color="auto"/>
        <w:right w:val="none" w:sz="0" w:space="0" w:color="auto"/>
      </w:divBdr>
    </w:div>
    <w:div w:id="1951278216">
      <w:bodyDiv w:val="1"/>
      <w:marLeft w:val="0"/>
      <w:marRight w:val="0"/>
      <w:marTop w:val="0"/>
      <w:marBottom w:val="0"/>
      <w:divBdr>
        <w:top w:val="none" w:sz="0" w:space="0" w:color="auto"/>
        <w:left w:val="none" w:sz="0" w:space="0" w:color="auto"/>
        <w:bottom w:val="none" w:sz="0" w:space="0" w:color="auto"/>
        <w:right w:val="none" w:sz="0" w:space="0" w:color="auto"/>
      </w:divBdr>
    </w:div>
    <w:div w:id="1951425419">
      <w:bodyDiv w:val="1"/>
      <w:marLeft w:val="0"/>
      <w:marRight w:val="0"/>
      <w:marTop w:val="0"/>
      <w:marBottom w:val="0"/>
      <w:divBdr>
        <w:top w:val="none" w:sz="0" w:space="0" w:color="auto"/>
        <w:left w:val="none" w:sz="0" w:space="0" w:color="auto"/>
        <w:bottom w:val="none" w:sz="0" w:space="0" w:color="auto"/>
        <w:right w:val="none" w:sz="0" w:space="0" w:color="auto"/>
      </w:divBdr>
    </w:div>
    <w:div w:id="1961296776">
      <w:bodyDiv w:val="1"/>
      <w:marLeft w:val="0"/>
      <w:marRight w:val="0"/>
      <w:marTop w:val="0"/>
      <w:marBottom w:val="0"/>
      <w:divBdr>
        <w:top w:val="none" w:sz="0" w:space="0" w:color="auto"/>
        <w:left w:val="none" w:sz="0" w:space="0" w:color="auto"/>
        <w:bottom w:val="none" w:sz="0" w:space="0" w:color="auto"/>
        <w:right w:val="none" w:sz="0" w:space="0" w:color="auto"/>
      </w:divBdr>
    </w:div>
    <w:div w:id="1972780578">
      <w:bodyDiv w:val="1"/>
      <w:marLeft w:val="0"/>
      <w:marRight w:val="0"/>
      <w:marTop w:val="0"/>
      <w:marBottom w:val="0"/>
      <w:divBdr>
        <w:top w:val="none" w:sz="0" w:space="0" w:color="auto"/>
        <w:left w:val="none" w:sz="0" w:space="0" w:color="auto"/>
        <w:bottom w:val="none" w:sz="0" w:space="0" w:color="auto"/>
        <w:right w:val="none" w:sz="0" w:space="0" w:color="auto"/>
      </w:divBdr>
    </w:div>
    <w:div w:id="1978994939">
      <w:bodyDiv w:val="1"/>
      <w:marLeft w:val="0"/>
      <w:marRight w:val="0"/>
      <w:marTop w:val="0"/>
      <w:marBottom w:val="0"/>
      <w:divBdr>
        <w:top w:val="none" w:sz="0" w:space="0" w:color="auto"/>
        <w:left w:val="none" w:sz="0" w:space="0" w:color="auto"/>
        <w:bottom w:val="none" w:sz="0" w:space="0" w:color="auto"/>
        <w:right w:val="none" w:sz="0" w:space="0" w:color="auto"/>
      </w:divBdr>
    </w:div>
    <w:div w:id="1988708331">
      <w:bodyDiv w:val="1"/>
      <w:marLeft w:val="0"/>
      <w:marRight w:val="0"/>
      <w:marTop w:val="0"/>
      <w:marBottom w:val="0"/>
      <w:divBdr>
        <w:top w:val="none" w:sz="0" w:space="0" w:color="auto"/>
        <w:left w:val="none" w:sz="0" w:space="0" w:color="auto"/>
        <w:bottom w:val="none" w:sz="0" w:space="0" w:color="auto"/>
        <w:right w:val="none" w:sz="0" w:space="0" w:color="auto"/>
      </w:divBdr>
    </w:div>
    <w:div w:id="1989942565">
      <w:bodyDiv w:val="1"/>
      <w:marLeft w:val="0"/>
      <w:marRight w:val="0"/>
      <w:marTop w:val="0"/>
      <w:marBottom w:val="0"/>
      <w:divBdr>
        <w:top w:val="none" w:sz="0" w:space="0" w:color="auto"/>
        <w:left w:val="none" w:sz="0" w:space="0" w:color="auto"/>
        <w:bottom w:val="none" w:sz="0" w:space="0" w:color="auto"/>
        <w:right w:val="none" w:sz="0" w:space="0" w:color="auto"/>
      </w:divBdr>
    </w:div>
    <w:div w:id="1993872125">
      <w:bodyDiv w:val="1"/>
      <w:marLeft w:val="0"/>
      <w:marRight w:val="0"/>
      <w:marTop w:val="0"/>
      <w:marBottom w:val="0"/>
      <w:divBdr>
        <w:top w:val="none" w:sz="0" w:space="0" w:color="auto"/>
        <w:left w:val="none" w:sz="0" w:space="0" w:color="auto"/>
        <w:bottom w:val="none" w:sz="0" w:space="0" w:color="auto"/>
        <w:right w:val="none" w:sz="0" w:space="0" w:color="auto"/>
      </w:divBdr>
    </w:div>
    <w:div w:id="1999728562">
      <w:bodyDiv w:val="1"/>
      <w:marLeft w:val="0"/>
      <w:marRight w:val="0"/>
      <w:marTop w:val="0"/>
      <w:marBottom w:val="0"/>
      <w:divBdr>
        <w:top w:val="none" w:sz="0" w:space="0" w:color="auto"/>
        <w:left w:val="none" w:sz="0" w:space="0" w:color="auto"/>
        <w:bottom w:val="none" w:sz="0" w:space="0" w:color="auto"/>
        <w:right w:val="none" w:sz="0" w:space="0" w:color="auto"/>
      </w:divBdr>
    </w:div>
    <w:div w:id="2010669061">
      <w:bodyDiv w:val="1"/>
      <w:marLeft w:val="0"/>
      <w:marRight w:val="0"/>
      <w:marTop w:val="0"/>
      <w:marBottom w:val="0"/>
      <w:divBdr>
        <w:top w:val="none" w:sz="0" w:space="0" w:color="auto"/>
        <w:left w:val="none" w:sz="0" w:space="0" w:color="auto"/>
        <w:bottom w:val="none" w:sz="0" w:space="0" w:color="auto"/>
        <w:right w:val="none" w:sz="0" w:space="0" w:color="auto"/>
      </w:divBdr>
    </w:div>
    <w:div w:id="2015839789">
      <w:bodyDiv w:val="1"/>
      <w:marLeft w:val="0"/>
      <w:marRight w:val="0"/>
      <w:marTop w:val="0"/>
      <w:marBottom w:val="0"/>
      <w:divBdr>
        <w:top w:val="none" w:sz="0" w:space="0" w:color="auto"/>
        <w:left w:val="none" w:sz="0" w:space="0" w:color="auto"/>
        <w:bottom w:val="none" w:sz="0" w:space="0" w:color="auto"/>
        <w:right w:val="none" w:sz="0" w:space="0" w:color="auto"/>
      </w:divBdr>
    </w:div>
    <w:div w:id="2024045280">
      <w:bodyDiv w:val="1"/>
      <w:marLeft w:val="0"/>
      <w:marRight w:val="0"/>
      <w:marTop w:val="0"/>
      <w:marBottom w:val="0"/>
      <w:divBdr>
        <w:top w:val="none" w:sz="0" w:space="0" w:color="auto"/>
        <w:left w:val="none" w:sz="0" w:space="0" w:color="auto"/>
        <w:bottom w:val="none" w:sz="0" w:space="0" w:color="auto"/>
        <w:right w:val="none" w:sz="0" w:space="0" w:color="auto"/>
      </w:divBdr>
    </w:div>
    <w:div w:id="2024672052">
      <w:bodyDiv w:val="1"/>
      <w:marLeft w:val="0"/>
      <w:marRight w:val="0"/>
      <w:marTop w:val="0"/>
      <w:marBottom w:val="0"/>
      <w:divBdr>
        <w:top w:val="none" w:sz="0" w:space="0" w:color="auto"/>
        <w:left w:val="none" w:sz="0" w:space="0" w:color="auto"/>
        <w:bottom w:val="none" w:sz="0" w:space="0" w:color="auto"/>
        <w:right w:val="none" w:sz="0" w:space="0" w:color="auto"/>
      </w:divBdr>
      <w:divsChild>
        <w:div w:id="1495953716">
          <w:marLeft w:val="0"/>
          <w:marRight w:val="0"/>
          <w:marTop w:val="0"/>
          <w:marBottom w:val="0"/>
          <w:divBdr>
            <w:top w:val="single" w:sz="2" w:space="0" w:color="auto"/>
            <w:left w:val="single" w:sz="2" w:space="0" w:color="auto"/>
            <w:bottom w:val="single" w:sz="2" w:space="0" w:color="auto"/>
            <w:right w:val="single" w:sz="2" w:space="0" w:color="auto"/>
          </w:divBdr>
        </w:div>
      </w:divsChild>
    </w:div>
    <w:div w:id="2032144792">
      <w:bodyDiv w:val="1"/>
      <w:marLeft w:val="0"/>
      <w:marRight w:val="0"/>
      <w:marTop w:val="0"/>
      <w:marBottom w:val="0"/>
      <w:divBdr>
        <w:top w:val="none" w:sz="0" w:space="0" w:color="auto"/>
        <w:left w:val="none" w:sz="0" w:space="0" w:color="auto"/>
        <w:bottom w:val="none" w:sz="0" w:space="0" w:color="auto"/>
        <w:right w:val="none" w:sz="0" w:space="0" w:color="auto"/>
      </w:divBdr>
    </w:div>
    <w:div w:id="2033067340">
      <w:bodyDiv w:val="1"/>
      <w:marLeft w:val="0"/>
      <w:marRight w:val="0"/>
      <w:marTop w:val="0"/>
      <w:marBottom w:val="0"/>
      <w:divBdr>
        <w:top w:val="none" w:sz="0" w:space="0" w:color="auto"/>
        <w:left w:val="none" w:sz="0" w:space="0" w:color="auto"/>
        <w:bottom w:val="none" w:sz="0" w:space="0" w:color="auto"/>
        <w:right w:val="none" w:sz="0" w:space="0" w:color="auto"/>
      </w:divBdr>
    </w:div>
    <w:div w:id="2033603554">
      <w:bodyDiv w:val="1"/>
      <w:marLeft w:val="0"/>
      <w:marRight w:val="0"/>
      <w:marTop w:val="0"/>
      <w:marBottom w:val="0"/>
      <w:divBdr>
        <w:top w:val="none" w:sz="0" w:space="0" w:color="auto"/>
        <w:left w:val="none" w:sz="0" w:space="0" w:color="auto"/>
        <w:bottom w:val="none" w:sz="0" w:space="0" w:color="auto"/>
        <w:right w:val="none" w:sz="0" w:space="0" w:color="auto"/>
      </w:divBdr>
    </w:div>
    <w:div w:id="2037196174">
      <w:bodyDiv w:val="1"/>
      <w:marLeft w:val="0"/>
      <w:marRight w:val="0"/>
      <w:marTop w:val="0"/>
      <w:marBottom w:val="0"/>
      <w:divBdr>
        <w:top w:val="none" w:sz="0" w:space="0" w:color="auto"/>
        <w:left w:val="none" w:sz="0" w:space="0" w:color="auto"/>
        <w:bottom w:val="none" w:sz="0" w:space="0" w:color="auto"/>
        <w:right w:val="none" w:sz="0" w:space="0" w:color="auto"/>
      </w:divBdr>
    </w:div>
    <w:div w:id="2046519839">
      <w:bodyDiv w:val="1"/>
      <w:marLeft w:val="0"/>
      <w:marRight w:val="0"/>
      <w:marTop w:val="0"/>
      <w:marBottom w:val="0"/>
      <w:divBdr>
        <w:top w:val="none" w:sz="0" w:space="0" w:color="auto"/>
        <w:left w:val="none" w:sz="0" w:space="0" w:color="auto"/>
        <w:bottom w:val="none" w:sz="0" w:space="0" w:color="auto"/>
        <w:right w:val="none" w:sz="0" w:space="0" w:color="auto"/>
      </w:divBdr>
    </w:div>
    <w:div w:id="2050451450">
      <w:bodyDiv w:val="1"/>
      <w:marLeft w:val="0"/>
      <w:marRight w:val="0"/>
      <w:marTop w:val="0"/>
      <w:marBottom w:val="0"/>
      <w:divBdr>
        <w:top w:val="none" w:sz="0" w:space="0" w:color="auto"/>
        <w:left w:val="none" w:sz="0" w:space="0" w:color="auto"/>
        <w:bottom w:val="none" w:sz="0" w:space="0" w:color="auto"/>
        <w:right w:val="none" w:sz="0" w:space="0" w:color="auto"/>
      </w:divBdr>
    </w:div>
    <w:div w:id="2053458460">
      <w:bodyDiv w:val="1"/>
      <w:marLeft w:val="0"/>
      <w:marRight w:val="0"/>
      <w:marTop w:val="0"/>
      <w:marBottom w:val="0"/>
      <w:divBdr>
        <w:top w:val="none" w:sz="0" w:space="0" w:color="auto"/>
        <w:left w:val="none" w:sz="0" w:space="0" w:color="auto"/>
        <w:bottom w:val="none" w:sz="0" w:space="0" w:color="auto"/>
        <w:right w:val="none" w:sz="0" w:space="0" w:color="auto"/>
      </w:divBdr>
    </w:div>
    <w:div w:id="2069641407">
      <w:bodyDiv w:val="1"/>
      <w:marLeft w:val="0"/>
      <w:marRight w:val="0"/>
      <w:marTop w:val="0"/>
      <w:marBottom w:val="0"/>
      <w:divBdr>
        <w:top w:val="none" w:sz="0" w:space="0" w:color="auto"/>
        <w:left w:val="none" w:sz="0" w:space="0" w:color="auto"/>
        <w:bottom w:val="none" w:sz="0" w:space="0" w:color="auto"/>
        <w:right w:val="none" w:sz="0" w:space="0" w:color="auto"/>
      </w:divBdr>
      <w:divsChild>
        <w:div w:id="252008958">
          <w:marLeft w:val="0"/>
          <w:marRight w:val="0"/>
          <w:marTop w:val="0"/>
          <w:marBottom w:val="0"/>
          <w:divBdr>
            <w:top w:val="none" w:sz="0" w:space="0" w:color="auto"/>
            <w:left w:val="none" w:sz="0" w:space="0" w:color="auto"/>
            <w:bottom w:val="none" w:sz="0" w:space="0" w:color="auto"/>
            <w:right w:val="none" w:sz="0" w:space="0" w:color="auto"/>
          </w:divBdr>
        </w:div>
      </w:divsChild>
    </w:div>
    <w:div w:id="2076472371">
      <w:bodyDiv w:val="1"/>
      <w:marLeft w:val="0"/>
      <w:marRight w:val="0"/>
      <w:marTop w:val="0"/>
      <w:marBottom w:val="0"/>
      <w:divBdr>
        <w:top w:val="none" w:sz="0" w:space="0" w:color="auto"/>
        <w:left w:val="none" w:sz="0" w:space="0" w:color="auto"/>
        <w:bottom w:val="none" w:sz="0" w:space="0" w:color="auto"/>
        <w:right w:val="none" w:sz="0" w:space="0" w:color="auto"/>
      </w:divBdr>
    </w:div>
    <w:div w:id="2077894044">
      <w:bodyDiv w:val="1"/>
      <w:marLeft w:val="0"/>
      <w:marRight w:val="0"/>
      <w:marTop w:val="0"/>
      <w:marBottom w:val="0"/>
      <w:divBdr>
        <w:top w:val="none" w:sz="0" w:space="0" w:color="auto"/>
        <w:left w:val="none" w:sz="0" w:space="0" w:color="auto"/>
        <w:bottom w:val="none" w:sz="0" w:space="0" w:color="auto"/>
        <w:right w:val="none" w:sz="0" w:space="0" w:color="auto"/>
      </w:divBdr>
    </w:div>
    <w:div w:id="2082557713">
      <w:bodyDiv w:val="1"/>
      <w:marLeft w:val="0"/>
      <w:marRight w:val="0"/>
      <w:marTop w:val="0"/>
      <w:marBottom w:val="0"/>
      <w:divBdr>
        <w:top w:val="none" w:sz="0" w:space="0" w:color="auto"/>
        <w:left w:val="none" w:sz="0" w:space="0" w:color="auto"/>
        <w:bottom w:val="none" w:sz="0" w:space="0" w:color="auto"/>
        <w:right w:val="none" w:sz="0" w:space="0" w:color="auto"/>
      </w:divBdr>
    </w:div>
    <w:div w:id="2088070158">
      <w:bodyDiv w:val="1"/>
      <w:marLeft w:val="0"/>
      <w:marRight w:val="0"/>
      <w:marTop w:val="0"/>
      <w:marBottom w:val="0"/>
      <w:divBdr>
        <w:top w:val="none" w:sz="0" w:space="0" w:color="auto"/>
        <w:left w:val="none" w:sz="0" w:space="0" w:color="auto"/>
        <w:bottom w:val="none" w:sz="0" w:space="0" w:color="auto"/>
        <w:right w:val="none" w:sz="0" w:space="0" w:color="auto"/>
      </w:divBdr>
      <w:divsChild>
        <w:div w:id="425880580">
          <w:marLeft w:val="0"/>
          <w:marRight w:val="0"/>
          <w:marTop w:val="0"/>
          <w:marBottom w:val="0"/>
          <w:divBdr>
            <w:top w:val="none" w:sz="0" w:space="0" w:color="auto"/>
            <w:left w:val="none" w:sz="0" w:space="0" w:color="auto"/>
            <w:bottom w:val="none" w:sz="0" w:space="0" w:color="auto"/>
            <w:right w:val="none" w:sz="0" w:space="0" w:color="auto"/>
          </w:divBdr>
        </w:div>
      </w:divsChild>
    </w:div>
    <w:div w:id="2097552349">
      <w:bodyDiv w:val="1"/>
      <w:marLeft w:val="0"/>
      <w:marRight w:val="0"/>
      <w:marTop w:val="0"/>
      <w:marBottom w:val="0"/>
      <w:divBdr>
        <w:top w:val="none" w:sz="0" w:space="0" w:color="auto"/>
        <w:left w:val="none" w:sz="0" w:space="0" w:color="auto"/>
        <w:bottom w:val="none" w:sz="0" w:space="0" w:color="auto"/>
        <w:right w:val="none" w:sz="0" w:space="0" w:color="auto"/>
      </w:divBdr>
      <w:divsChild>
        <w:div w:id="912201656">
          <w:marLeft w:val="0"/>
          <w:marRight w:val="0"/>
          <w:marTop w:val="0"/>
          <w:marBottom w:val="0"/>
          <w:divBdr>
            <w:top w:val="none" w:sz="0" w:space="0" w:color="auto"/>
            <w:left w:val="none" w:sz="0" w:space="0" w:color="auto"/>
            <w:bottom w:val="none" w:sz="0" w:space="0" w:color="auto"/>
            <w:right w:val="none" w:sz="0" w:space="0" w:color="auto"/>
          </w:divBdr>
        </w:div>
      </w:divsChild>
    </w:div>
    <w:div w:id="2100515755">
      <w:bodyDiv w:val="1"/>
      <w:marLeft w:val="0"/>
      <w:marRight w:val="0"/>
      <w:marTop w:val="0"/>
      <w:marBottom w:val="0"/>
      <w:divBdr>
        <w:top w:val="none" w:sz="0" w:space="0" w:color="auto"/>
        <w:left w:val="none" w:sz="0" w:space="0" w:color="auto"/>
        <w:bottom w:val="none" w:sz="0" w:space="0" w:color="auto"/>
        <w:right w:val="none" w:sz="0" w:space="0" w:color="auto"/>
      </w:divBdr>
    </w:div>
    <w:div w:id="2102944497">
      <w:bodyDiv w:val="1"/>
      <w:marLeft w:val="0"/>
      <w:marRight w:val="0"/>
      <w:marTop w:val="0"/>
      <w:marBottom w:val="0"/>
      <w:divBdr>
        <w:top w:val="none" w:sz="0" w:space="0" w:color="auto"/>
        <w:left w:val="none" w:sz="0" w:space="0" w:color="auto"/>
        <w:bottom w:val="none" w:sz="0" w:space="0" w:color="auto"/>
        <w:right w:val="none" w:sz="0" w:space="0" w:color="auto"/>
      </w:divBdr>
    </w:div>
    <w:div w:id="2106998844">
      <w:bodyDiv w:val="1"/>
      <w:marLeft w:val="0"/>
      <w:marRight w:val="0"/>
      <w:marTop w:val="0"/>
      <w:marBottom w:val="0"/>
      <w:divBdr>
        <w:top w:val="none" w:sz="0" w:space="0" w:color="auto"/>
        <w:left w:val="none" w:sz="0" w:space="0" w:color="auto"/>
        <w:bottom w:val="none" w:sz="0" w:space="0" w:color="auto"/>
        <w:right w:val="none" w:sz="0" w:space="0" w:color="auto"/>
      </w:divBdr>
    </w:div>
    <w:div w:id="2117752581">
      <w:bodyDiv w:val="1"/>
      <w:marLeft w:val="0"/>
      <w:marRight w:val="0"/>
      <w:marTop w:val="0"/>
      <w:marBottom w:val="0"/>
      <w:divBdr>
        <w:top w:val="none" w:sz="0" w:space="0" w:color="auto"/>
        <w:left w:val="none" w:sz="0" w:space="0" w:color="auto"/>
        <w:bottom w:val="none" w:sz="0" w:space="0" w:color="auto"/>
        <w:right w:val="none" w:sz="0" w:space="0" w:color="auto"/>
      </w:divBdr>
    </w:div>
    <w:div w:id="2120175196">
      <w:bodyDiv w:val="1"/>
      <w:marLeft w:val="0"/>
      <w:marRight w:val="0"/>
      <w:marTop w:val="0"/>
      <w:marBottom w:val="0"/>
      <w:divBdr>
        <w:top w:val="none" w:sz="0" w:space="0" w:color="auto"/>
        <w:left w:val="none" w:sz="0" w:space="0" w:color="auto"/>
        <w:bottom w:val="none" w:sz="0" w:space="0" w:color="auto"/>
        <w:right w:val="none" w:sz="0" w:space="0" w:color="auto"/>
      </w:divBdr>
    </w:div>
    <w:div w:id="2121021710">
      <w:bodyDiv w:val="1"/>
      <w:marLeft w:val="0"/>
      <w:marRight w:val="0"/>
      <w:marTop w:val="0"/>
      <w:marBottom w:val="0"/>
      <w:divBdr>
        <w:top w:val="none" w:sz="0" w:space="0" w:color="auto"/>
        <w:left w:val="none" w:sz="0" w:space="0" w:color="auto"/>
        <w:bottom w:val="none" w:sz="0" w:space="0" w:color="auto"/>
        <w:right w:val="none" w:sz="0" w:space="0" w:color="auto"/>
      </w:divBdr>
    </w:div>
    <w:div w:id="2132477786">
      <w:bodyDiv w:val="1"/>
      <w:marLeft w:val="0"/>
      <w:marRight w:val="0"/>
      <w:marTop w:val="0"/>
      <w:marBottom w:val="0"/>
      <w:divBdr>
        <w:top w:val="none" w:sz="0" w:space="0" w:color="auto"/>
        <w:left w:val="none" w:sz="0" w:space="0" w:color="auto"/>
        <w:bottom w:val="none" w:sz="0" w:space="0" w:color="auto"/>
        <w:right w:val="none" w:sz="0" w:space="0" w:color="auto"/>
      </w:divBdr>
    </w:div>
    <w:div w:id="2139377623">
      <w:bodyDiv w:val="1"/>
      <w:marLeft w:val="0"/>
      <w:marRight w:val="0"/>
      <w:marTop w:val="0"/>
      <w:marBottom w:val="0"/>
      <w:divBdr>
        <w:top w:val="none" w:sz="0" w:space="0" w:color="auto"/>
        <w:left w:val="none" w:sz="0" w:space="0" w:color="auto"/>
        <w:bottom w:val="none" w:sz="0" w:space="0" w:color="auto"/>
        <w:right w:val="none" w:sz="0" w:space="0" w:color="auto"/>
      </w:divBdr>
    </w:div>
    <w:div w:id="2143451196">
      <w:bodyDiv w:val="1"/>
      <w:marLeft w:val="0"/>
      <w:marRight w:val="0"/>
      <w:marTop w:val="0"/>
      <w:marBottom w:val="0"/>
      <w:divBdr>
        <w:top w:val="none" w:sz="0" w:space="0" w:color="auto"/>
        <w:left w:val="none" w:sz="0" w:space="0" w:color="auto"/>
        <w:bottom w:val="none" w:sz="0" w:space="0" w:color="auto"/>
        <w:right w:val="none" w:sz="0" w:space="0" w:color="auto"/>
      </w:divBdr>
    </w:div>
    <w:div w:id="214565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package" Target="embeddings/Microsoft_Excel_Worksheet.xlsx"/><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943867E-FB73-495A-A053-B8763F125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6927</TotalTime>
  <Pages>48</Pages>
  <Words>14684</Words>
  <Characters>93892</Characters>
  <Application>Microsoft Office Word</Application>
  <DocSecurity>0</DocSecurity>
  <Lines>1875</Lines>
  <Paragraphs>515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108199</CharactersWithSpaces>
  <SharedDoc>false</SharedDoc>
  <HLinks>
    <vt:vector size="96" baseType="variant">
      <vt:variant>
        <vt:i4>2031671</vt:i4>
      </vt:variant>
      <vt:variant>
        <vt:i4>98</vt:i4>
      </vt:variant>
      <vt:variant>
        <vt:i4>0</vt:i4>
      </vt:variant>
      <vt:variant>
        <vt:i4>5</vt:i4>
      </vt:variant>
      <vt:variant>
        <vt:lpwstr/>
      </vt:variant>
      <vt:variant>
        <vt:lpwstr>_Toc176452596</vt:lpwstr>
      </vt:variant>
      <vt:variant>
        <vt:i4>1114166</vt:i4>
      </vt:variant>
      <vt:variant>
        <vt:i4>89</vt:i4>
      </vt:variant>
      <vt:variant>
        <vt:i4>0</vt:i4>
      </vt:variant>
      <vt:variant>
        <vt:i4>5</vt:i4>
      </vt:variant>
      <vt:variant>
        <vt:lpwstr/>
      </vt:variant>
      <vt:variant>
        <vt:lpwstr>_Toc176452475</vt:lpwstr>
      </vt:variant>
      <vt:variant>
        <vt:i4>1114173</vt:i4>
      </vt:variant>
      <vt:variant>
        <vt:i4>80</vt:i4>
      </vt:variant>
      <vt:variant>
        <vt:i4>0</vt:i4>
      </vt:variant>
      <vt:variant>
        <vt:i4>5</vt:i4>
      </vt:variant>
      <vt:variant>
        <vt:lpwstr/>
      </vt:variant>
      <vt:variant>
        <vt:lpwstr>_Toc176291325</vt:lpwstr>
      </vt:variant>
      <vt:variant>
        <vt:i4>1114173</vt:i4>
      </vt:variant>
      <vt:variant>
        <vt:i4>74</vt:i4>
      </vt:variant>
      <vt:variant>
        <vt:i4>0</vt:i4>
      </vt:variant>
      <vt:variant>
        <vt:i4>5</vt:i4>
      </vt:variant>
      <vt:variant>
        <vt:lpwstr/>
      </vt:variant>
      <vt:variant>
        <vt:lpwstr>_Toc176291324</vt:lpwstr>
      </vt:variant>
      <vt:variant>
        <vt:i4>1114173</vt:i4>
      </vt:variant>
      <vt:variant>
        <vt:i4>68</vt:i4>
      </vt:variant>
      <vt:variant>
        <vt:i4>0</vt:i4>
      </vt:variant>
      <vt:variant>
        <vt:i4>5</vt:i4>
      </vt:variant>
      <vt:variant>
        <vt:lpwstr/>
      </vt:variant>
      <vt:variant>
        <vt:lpwstr>_Toc176291323</vt:lpwstr>
      </vt:variant>
      <vt:variant>
        <vt:i4>1114173</vt:i4>
      </vt:variant>
      <vt:variant>
        <vt:i4>62</vt:i4>
      </vt:variant>
      <vt:variant>
        <vt:i4>0</vt:i4>
      </vt:variant>
      <vt:variant>
        <vt:i4>5</vt:i4>
      </vt:variant>
      <vt:variant>
        <vt:lpwstr/>
      </vt:variant>
      <vt:variant>
        <vt:lpwstr>_Toc176291322</vt:lpwstr>
      </vt:variant>
      <vt:variant>
        <vt:i4>1114173</vt:i4>
      </vt:variant>
      <vt:variant>
        <vt:i4>56</vt:i4>
      </vt:variant>
      <vt:variant>
        <vt:i4>0</vt:i4>
      </vt:variant>
      <vt:variant>
        <vt:i4>5</vt:i4>
      </vt:variant>
      <vt:variant>
        <vt:lpwstr/>
      </vt:variant>
      <vt:variant>
        <vt:lpwstr>_Toc176291321</vt:lpwstr>
      </vt:variant>
      <vt:variant>
        <vt:i4>1114173</vt:i4>
      </vt:variant>
      <vt:variant>
        <vt:i4>50</vt:i4>
      </vt:variant>
      <vt:variant>
        <vt:i4>0</vt:i4>
      </vt:variant>
      <vt:variant>
        <vt:i4>5</vt:i4>
      </vt:variant>
      <vt:variant>
        <vt:lpwstr/>
      </vt:variant>
      <vt:variant>
        <vt:lpwstr>_Toc176291320</vt:lpwstr>
      </vt:variant>
      <vt:variant>
        <vt:i4>1179709</vt:i4>
      </vt:variant>
      <vt:variant>
        <vt:i4>44</vt:i4>
      </vt:variant>
      <vt:variant>
        <vt:i4>0</vt:i4>
      </vt:variant>
      <vt:variant>
        <vt:i4>5</vt:i4>
      </vt:variant>
      <vt:variant>
        <vt:lpwstr/>
      </vt:variant>
      <vt:variant>
        <vt:lpwstr>_Toc176291319</vt:lpwstr>
      </vt:variant>
      <vt:variant>
        <vt:i4>1179709</vt:i4>
      </vt:variant>
      <vt:variant>
        <vt:i4>38</vt:i4>
      </vt:variant>
      <vt:variant>
        <vt:i4>0</vt:i4>
      </vt:variant>
      <vt:variant>
        <vt:i4>5</vt:i4>
      </vt:variant>
      <vt:variant>
        <vt:lpwstr/>
      </vt:variant>
      <vt:variant>
        <vt:lpwstr>_Toc176291318</vt:lpwstr>
      </vt:variant>
      <vt:variant>
        <vt:i4>1179709</vt:i4>
      </vt:variant>
      <vt:variant>
        <vt:i4>32</vt:i4>
      </vt:variant>
      <vt:variant>
        <vt:i4>0</vt:i4>
      </vt:variant>
      <vt:variant>
        <vt:i4>5</vt:i4>
      </vt:variant>
      <vt:variant>
        <vt:lpwstr/>
      </vt:variant>
      <vt:variant>
        <vt:lpwstr>_Toc176291317</vt:lpwstr>
      </vt:variant>
      <vt:variant>
        <vt:i4>1179709</vt:i4>
      </vt:variant>
      <vt:variant>
        <vt:i4>26</vt:i4>
      </vt:variant>
      <vt:variant>
        <vt:i4>0</vt:i4>
      </vt:variant>
      <vt:variant>
        <vt:i4>5</vt:i4>
      </vt:variant>
      <vt:variant>
        <vt:lpwstr/>
      </vt:variant>
      <vt:variant>
        <vt:lpwstr>_Toc176291316</vt:lpwstr>
      </vt:variant>
      <vt:variant>
        <vt:i4>1179709</vt:i4>
      </vt:variant>
      <vt:variant>
        <vt:i4>20</vt:i4>
      </vt:variant>
      <vt:variant>
        <vt:i4>0</vt:i4>
      </vt:variant>
      <vt:variant>
        <vt:i4>5</vt:i4>
      </vt:variant>
      <vt:variant>
        <vt:lpwstr/>
      </vt:variant>
      <vt:variant>
        <vt:lpwstr>_Toc176291315</vt:lpwstr>
      </vt:variant>
      <vt:variant>
        <vt:i4>1179709</vt:i4>
      </vt:variant>
      <vt:variant>
        <vt:i4>14</vt:i4>
      </vt:variant>
      <vt:variant>
        <vt:i4>0</vt:i4>
      </vt:variant>
      <vt:variant>
        <vt:i4>5</vt:i4>
      </vt:variant>
      <vt:variant>
        <vt:lpwstr/>
      </vt:variant>
      <vt:variant>
        <vt:lpwstr>_Toc176291314</vt:lpwstr>
      </vt:variant>
      <vt:variant>
        <vt:i4>1179709</vt:i4>
      </vt:variant>
      <vt:variant>
        <vt:i4>8</vt:i4>
      </vt:variant>
      <vt:variant>
        <vt:i4>0</vt:i4>
      </vt:variant>
      <vt:variant>
        <vt:i4>5</vt:i4>
      </vt:variant>
      <vt:variant>
        <vt:lpwstr/>
      </vt:variant>
      <vt:variant>
        <vt:lpwstr>_Toc176291313</vt:lpwstr>
      </vt:variant>
      <vt:variant>
        <vt:i4>1179709</vt:i4>
      </vt:variant>
      <vt:variant>
        <vt:i4>2</vt:i4>
      </vt:variant>
      <vt:variant>
        <vt:i4>0</vt:i4>
      </vt:variant>
      <vt:variant>
        <vt:i4>5</vt:i4>
      </vt:variant>
      <vt:variant>
        <vt:lpwstr/>
      </vt:variant>
      <vt:variant>
        <vt:lpwstr>_Toc176291312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Meera shah</dc:creator>
  <cp:keywords/>
  <dc:description/>
  <cp:lastModifiedBy>Meera shah</cp:lastModifiedBy>
  <cp:revision>1119</cp:revision>
  <dcterms:created xsi:type="dcterms:W3CDTF">2024-08-09T13:19:00Z</dcterms:created>
  <dcterms:modified xsi:type="dcterms:W3CDTF">2024-10-13T14:14:00Z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28429928-a55c-46ae-9942-3fbc95ea3f48</vt:lpwstr>
  </property>
</Properties>
</file>