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tbl>
      <w:tblPr>
        <w:tblStyle w:val="Table1"/>
        <w:jc w:val="left"/>
        <w:tblBorders>
          <w:top w:color="000000" w:space="0" w:sz="6" w:val="single"/>
          <w:left w:color="000000" w:space="0" w:sz="6" w:val="single"/>
          <w:bottom w:color="000000" w:space="0" w:sz="6" w:val="single"/>
          <w:right w:color="000000" w:space="0" w:sz="6" w:val="single"/>
          <w:insideH w:color="000000" w:space="0" w:sz="6" w:val="single"/>
          <w:insideV w:color="000000" w:space="0" w:sz="6" w:val="single"/>
        </w:tblBorders>
        <w:tblLayout w:type="fixed"/>
        <w:tblLook w:val="0600"/>
      </w:tblPr>
      <w:tblGrid>
        <w:gridCol w:w="2340"/>
        <w:gridCol w:w="2340"/>
        <w:gridCol w:w="2340"/>
        <w:gridCol w:w="2340"/>
        <w:tblGridChange w:id="0">
          <w:tblGrid>
            <w:gridCol w:w="2340"/>
            <w:gridCol w:w="2340"/>
            <w:gridCol w:w="2340"/>
            <w:gridCol w:w="2340"/>
          </w:tblGrid>
        </w:tblGridChange>
      </w:tblGrid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02">
            <w:pPr>
              <w:spacing w:after="240" w:before="240" w:lineRule="auto"/>
              <w:jc w:val="center"/>
              <w:rPr>
                <w:b w:val="1"/>
                <w:bCs w:val="1"/>
              </w:rPr>
            </w:pPr>
            <w:r w:rsidDel="00000000" w:rsidR="00000000" w:rsidRPr="00000000">
              <w:rPr>
                <w:b w:val="1"/>
                <w:bCs w:val="1"/>
                <w:rtl w:val="0"/>
              </w:rPr>
              <w:t xml:space="preserve">Framework / Concept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03">
            <w:pPr>
              <w:spacing w:after="240" w:before="240" w:lineRule="auto"/>
              <w:jc w:val="center"/>
              <w:rPr>
                <w:b w:val="1"/>
                <w:bCs w:val="1"/>
              </w:rPr>
            </w:pPr>
            <w:r w:rsidDel="00000000" w:rsidR="00000000" w:rsidRPr="00000000">
              <w:rPr>
                <w:b w:val="1"/>
                <w:bCs w:val="1"/>
                <w:rtl w:val="0"/>
              </w:rPr>
              <w:t xml:space="preserve">Main Use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04">
            <w:pPr>
              <w:spacing w:after="240" w:before="240" w:lineRule="auto"/>
              <w:jc w:val="center"/>
              <w:rPr>
                <w:b w:val="1"/>
                <w:bCs w:val="1"/>
              </w:rPr>
            </w:pPr>
            <w:r w:rsidDel="00000000" w:rsidR="00000000" w:rsidRPr="00000000">
              <w:rPr>
                <w:b w:val="1"/>
                <w:bCs w:val="1"/>
                <w:rtl w:val="0"/>
              </w:rPr>
              <w:t xml:space="preserve">Best Business Examples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05">
            <w:pPr>
              <w:spacing w:after="240" w:before="240" w:lineRule="auto"/>
              <w:jc w:val="center"/>
              <w:rPr>
                <w:b w:val="1"/>
                <w:bCs w:val="1"/>
              </w:rPr>
            </w:pPr>
            <w:r w:rsidDel="00000000" w:rsidR="00000000" w:rsidRPr="00000000">
              <w:rPr>
                <w:b w:val="1"/>
                <w:bCs w:val="1"/>
                <w:rtl w:val="0"/>
              </w:rPr>
              <w:t xml:space="preserve">How To Apply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06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Porter’s Five Forces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07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External competition / industry analysis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08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Netflix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09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Rivalry, substitutes, buyer power, supplier power, new entrants in streaming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0A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PESTLE Analysis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0B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External environment 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0C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Netflix, Tesla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0D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Tech change, legal regulation, consumer trends, sustainability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0E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SWOT Analysis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0F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Internal + external overview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0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McDonald’s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1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Strengths = brand/systems, threats = changing consumer preferences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2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Ansoff Matrix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3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Growth/diversification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4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Netflix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5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Expansion into gaming/original content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6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Resource-Based View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7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Internal capabilities create advantage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8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McDonald’s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9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Brand, systems, culture, training, franchising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A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VRIO Framework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B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Evaluates sustainability of resources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C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McDonald’s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D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Valuable, Rare, Inimitable, Organised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E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Bowman’s Strategy Clock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1F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Pricing &amp; positioning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0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Chanel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1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Premium pricing, exclusivity, differentiation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2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Consumer Behaviour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3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Customer decision-making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4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Netflix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5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Algorithms, data analytics, personalisation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6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Customer Analytics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7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Understanding customers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8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Netflix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9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Viewing behaviour, recommendations, churn reduction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A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Innovation Strategy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B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Adaptation to market change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C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The Coca-Cola Company + Innocent Drinks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D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Health trends, acquisitions, diversification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E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Communication Strategy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2F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Brand engagement/customer loyalty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0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McDonald’s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1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Apps, social media, promotions, convenience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2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Digital Transformation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3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Tech adaptation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4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Netflix, McDonald’s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5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Apps, algorithms, gaming, digital engagement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6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Shareholder Theory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7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Profit maximisation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8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Amazon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9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Growth, reinvestment, efficiency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A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Stakeholder Theory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B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Wider stakeholder responsibilities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C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Patagonia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D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Employees, communities, environment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E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Corporate Social Responsibility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3F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Ethical/social responsibility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0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Patagonia, Ben &amp; Jerry’s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1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Sustainability, ethics, loyalty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2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Sustainability Strategy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3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Long-term ethical/environmental strategy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4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Unilever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5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Sustainability integrated into operations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6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Organisational Culture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7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Intangible capability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8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McDonald’s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9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Teamwork, consistency, discipline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A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Leadership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B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Strategic implementation/adaptability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C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McDonald’s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D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Coordination, standards, innovation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E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Human Capital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4F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Employee skills as resources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0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McDonald’s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1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Training, motivation, operational performance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2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Organisational Learning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3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Accumulated operational expertise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4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McDonald’s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5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Routines, systems, scalability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6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Greenwashing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7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Critical evaluation of CSR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8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Coca cola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9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Performative sustainability claims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A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Brand Equity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B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Intangible competitive advantage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C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Chanel, McDonald’s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D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Prestige, trust, loyalty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E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Economies of Scale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5F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Cost advantage through size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0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McDonald’s, Amazon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1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Global operations reduce costs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2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Differentiation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3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Unique market positioning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4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Netflix, Chanel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5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Original content / luxury exclusivity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6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Diversification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7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Expanding products/services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8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Netflix, Coca Cola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9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Gaming / acquisitions (innocent)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A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Strategic Adaptability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B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Responding to change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C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ALL examples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tcMar>
              <w:top w:w="120.0" w:type="dxa"/>
              <w:left w:w="180.0" w:type="dxa"/>
              <w:bottom w:w="120.0" w:type="dxa"/>
              <w:right w:w="180.0" w:type="dxa"/>
            </w:tcMar>
            <w:vAlign w:val="top"/>
          </w:tcPr>
          <w:p w:rsidR="00000000" w:rsidDel="00000000" w:rsidP="00000000" w:rsidRDefault="00000000" w:rsidRPr="00000000" w14:paraId="0000006D">
            <w:pPr>
              <w:spacing w:after="240" w:before="240" w:lineRule="auto"/>
              <w:rPr/>
            </w:pPr>
            <w:r w:rsidDel="00000000" w:rsidR="00000000" w:rsidRPr="00000000">
              <w:rPr>
                <w:rtl w:val="0"/>
              </w:rPr>
              <w:t xml:space="preserve">Continuous innovation &amp; consumer alignment</w:t>
            </w:r>
          </w:p>
        </w:tc>
      </w:tr>
    </w:tbl>
    <w:p w:rsidR="00000000" w:rsidDel="00000000" w:rsidP="00000000" w:rsidRDefault="00000000" w:rsidRPr="00000000" w14:paraId="0000006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F">
      <w:pPr>
        <w:rPr/>
      </w:pPr>
      <w:r w:rsidDel="00000000" w:rsidR="00000000" w:rsidRPr="00000000">
        <w:rPr>
          <w:rtl w:val="0"/>
        </w:rPr>
        <w:t xml:space="preserve">Reference list- </w:t>
      </w:r>
    </w:p>
    <w:p w:rsidR="00000000" w:rsidDel="00000000" w:rsidP="00000000" w:rsidRDefault="00000000" w:rsidRPr="00000000" w14:paraId="00000070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Innocent (2024).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rtl w:val="0"/>
        </w:rPr>
        <w:t xml:space="preserve">Innocent - our owner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[online] www.innocentdrinks.co.uk. Available at: </w:t>
      </w:r>
      <w:hyperlink r:id="rId6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u w:val="single"/>
            <w:rtl w:val="0"/>
          </w:rPr>
          <w:t xml:space="preserve">https://www.innocentdrinks.co.uk/our-owner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71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2">
      <w:pPr>
        <w:rPr>
          <w:rFonts w:ascii="Times New Roman" w:cs="Times New Roman" w:eastAsia="Times New Roman" w:hAnsi="Times New Roman"/>
          <w:sz w:val="27"/>
          <w:szCs w:val="27"/>
        </w:rPr>
      </w:pPr>
      <w:r w:rsidDel="00000000" w:rsidR="00000000" w:rsidRPr="00000000">
        <w:rPr>
          <w:rFonts w:ascii="Times New Roman" w:cs="Times New Roman" w:eastAsia="Times New Roman" w:hAnsi="Times New Roman"/>
          <w:sz w:val="27"/>
          <w:szCs w:val="27"/>
          <w:rtl w:val="0"/>
        </w:rPr>
        <w:t xml:space="preserve">Unilever (2025).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7"/>
          <w:szCs w:val="27"/>
          <w:rtl w:val="0"/>
        </w:rPr>
        <w:t xml:space="preserve">Leading in the next era of corporate sustainability</w:t>
      </w:r>
      <w:r w:rsidDel="00000000" w:rsidR="00000000" w:rsidRPr="00000000">
        <w:rPr>
          <w:rFonts w:ascii="Times New Roman" w:cs="Times New Roman" w:eastAsia="Times New Roman" w:hAnsi="Times New Roman"/>
          <w:sz w:val="27"/>
          <w:szCs w:val="27"/>
          <w:rtl w:val="0"/>
        </w:rPr>
        <w:t xml:space="preserve">. [online] Unilever. Available at: </w:t>
      </w:r>
      <w:hyperlink r:id="rId7">
        <w:r w:rsidDel="00000000" w:rsidR="00000000" w:rsidRPr="00000000">
          <w:rPr>
            <w:rFonts w:ascii="Times New Roman" w:cs="Times New Roman" w:eastAsia="Times New Roman" w:hAnsi="Times New Roman"/>
            <w:sz w:val="27"/>
            <w:szCs w:val="27"/>
            <w:u w:val="single"/>
            <w:rtl w:val="0"/>
          </w:rPr>
          <w:t xml:space="preserve">https://www.unilever.com/sustainability/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7"/>
          <w:szCs w:val="27"/>
          <w:rtl w:val="0"/>
        </w:rPr>
        <w:t xml:space="preserve">.</w:t>
      </w:r>
    </w:p>
    <w:p w:rsidR="00000000" w:rsidDel="00000000" w:rsidP="00000000" w:rsidRDefault="00000000" w:rsidRPr="00000000" w14:paraId="00000073">
      <w:pPr>
        <w:rPr>
          <w:rFonts w:ascii="Times New Roman" w:cs="Times New Roman" w:eastAsia="Times New Roman" w:hAnsi="Times New Roman"/>
          <w:sz w:val="27"/>
          <w:szCs w:val="27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4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European Commission (2024).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rtl w:val="0"/>
        </w:rPr>
        <w:t xml:space="preserve">Sustainable consumption actions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[online] European Commission. Available at: </w:t>
      </w:r>
      <w:hyperlink r:id="rId8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u w:val="single"/>
            <w:rtl w:val="0"/>
          </w:rPr>
          <w:t xml:space="preserve">https://commission.europa.eu/topics/consumers/consumer-rights-and-complaints/enforcement-consumer-protection/coordinated-actions/sustainable-consumption-actions_en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75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6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Chouinard, Y. (2022).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rtl w:val="0"/>
        </w:rPr>
        <w:t xml:space="preserve">Earth Is Now Our Only Shareholder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[online] www.patagonia.com. Available at: </w:t>
      </w:r>
      <w:hyperlink r:id="rId9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u w:val="single"/>
            <w:rtl w:val="0"/>
          </w:rPr>
          <w:t xml:space="preserve">https://www.patagonia.com/ownership/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</w:t>
      </w:r>
    </w:p>
    <w:p w:rsidR="00000000" w:rsidDel="00000000" w:rsidP="00000000" w:rsidRDefault="00000000" w:rsidRPr="00000000" w14:paraId="00000077">
      <w:pPr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8">
      <w:pPr>
        <w:spacing w:after="240" w:before="240" w:lineRule="auto"/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Porter, M. E. (1980).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highlight w:val="white"/>
          <w:rtl w:val="0"/>
        </w:rPr>
        <w:t xml:space="preserve">Competitive strategy: Techniques for analyzing industries and competitors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. Free Press.</w:t>
      </w:r>
    </w:p>
    <w:p w:rsidR="00000000" w:rsidDel="00000000" w:rsidP="00000000" w:rsidRDefault="00000000" w:rsidRPr="00000000" w14:paraId="00000079">
      <w:pPr>
        <w:spacing w:after="240" w:before="240" w:lineRule="auto"/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Friedman, M. (1970) ‘The social responsibility of business is to increase its profits’,</w:t>
      </w:r>
    </w:p>
    <w:p w:rsidR="00000000" w:rsidDel="00000000" w:rsidP="00000000" w:rsidRDefault="00000000" w:rsidRPr="00000000" w14:paraId="0000007A">
      <w:pPr>
        <w:spacing w:after="240" w:before="240" w:lineRule="auto"/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Freeman, R.E. (1984)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highlight w:val="white"/>
          <w:rtl w:val="0"/>
        </w:rPr>
        <w:t xml:space="preserve">Strategic Management: A Stakeholder Approach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. Boston: Pitman.</w:t>
      </w:r>
    </w:p>
    <w:p w:rsidR="00000000" w:rsidDel="00000000" w:rsidP="00000000" w:rsidRDefault="00000000" w:rsidRPr="00000000" w14:paraId="0000007B">
      <w:pPr>
        <w:spacing w:after="240" w:before="240" w:lineRule="auto"/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Barney, J. (1991) ‘Firm resources and sustained competitive advantage’,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highlight w:val="white"/>
          <w:rtl w:val="0"/>
        </w:rPr>
        <w:t xml:space="preserve">Journal of Management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, 17(1), pp. 99–120.</w:t>
      </w:r>
    </w:p>
    <w:p w:rsidR="00000000" w:rsidDel="00000000" w:rsidP="00000000" w:rsidRDefault="00000000" w:rsidRPr="00000000" w14:paraId="0000007C">
      <w:pPr>
        <w:spacing w:after="240" w:before="240" w:lineRule="auto"/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Barney, J.B. and Hesterly, W.S. (2019)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highlight w:val="white"/>
          <w:rtl w:val="0"/>
        </w:rPr>
        <w:t xml:space="preserve">Strategic Management and Competitive Advantage: Concepts and Cases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. 6th edn. Harlow: Pearson.</w:t>
      </w:r>
    </w:p>
    <w:p w:rsidR="00000000" w:rsidDel="00000000" w:rsidP="00000000" w:rsidRDefault="00000000" w:rsidRPr="00000000" w14:paraId="0000007D">
      <w:pPr>
        <w:spacing w:after="240" w:before="240" w:lineRule="auto"/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Bowman, C. and Faulkner, D. (1997)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highlight w:val="white"/>
          <w:rtl w:val="0"/>
        </w:rPr>
        <w:t xml:space="preserve">Competitive and Corporate Strategy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. Chicago: Irwin.</w:t>
      </w:r>
    </w:p>
    <w:p w:rsidR="00000000" w:rsidDel="00000000" w:rsidP="00000000" w:rsidRDefault="00000000" w:rsidRPr="00000000" w14:paraId="0000007E">
      <w:pPr>
        <w:spacing w:after="240" w:before="240" w:lineRule="auto"/>
        <w:rPr>
          <w:rFonts w:ascii="Times New Roman" w:cs="Times New Roman" w:eastAsia="Times New Roman" w:hAnsi="Times New Roman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Ben and Jerry's (2024).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highlight w:val="white"/>
          <w:rtl w:val="0"/>
        </w:rPr>
        <w:t xml:space="preserve">Values | Ben &amp; Jerry’s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highlight w:val="white"/>
          <w:rtl w:val="0"/>
        </w:rPr>
        <w:t xml:space="preserve">. [online] http://www.benjerry.co.uk. Available at: https://www.benjerry.co.uk/values</w:t>
      </w:r>
    </w:p>
    <w:p w:rsidR="00000000" w:rsidDel="00000000" w:rsidP="00000000" w:rsidRDefault="00000000" w:rsidRPr="00000000" w14:paraId="0000007F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/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patagonia.com/ownership/" TargetMode="External"/><Relationship Id="rId5" Type="http://schemas.openxmlformats.org/officeDocument/2006/relationships/styles" Target="styles.xml"/><Relationship Id="rId6" Type="http://schemas.openxmlformats.org/officeDocument/2006/relationships/hyperlink" Target="https://www.innocentdrinks.co.uk/our-owner" TargetMode="External"/><Relationship Id="rId7" Type="http://schemas.openxmlformats.org/officeDocument/2006/relationships/hyperlink" Target="https://www.unilever.com/sustainability/" TargetMode="External"/><Relationship Id="rId8" Type="http://schemas.openxmlformats.org/officeDocument/2006/relationships/hyperlink" Target="https://commission.europa.eu/topics/consumers/consumer-rights-and-complaints/enforcement-consumer-protection/coordinated-actions/sustainable-consumption-actions_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