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10A2C" w:rsidP="00210A2C" w:rsidRDefault="004D1718" w14:paraId="7C3981DB" w14:textId="315246C7">
      <w:pPr>
        <w:pStyle w:val="Heading1"/>
      </w:pPr>
      <w:r>
        <w:rPr>
          <w:noProof/>
        </w:rPr>
        <w:drawing>
          <wp:inline distT="0" distB="0" distL="0" distR="0" wp14:anchorId="611EC1D1" wp14:editId="4A1561B5">
            <wp:extent cx="3286125" cy="1353185"/>
            <wp:effectExtent l="0" t="0" r="9525" b="0"/>
            <wp:docPr id="512065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6125" cy="1353185"/>
                    </a:xfrm>
                    <a:prstGeom prst="rect">
                      <a:avLst/>
                    </a:prstGeom>
                    <a:noFill/>
                  </pic:spPr>
                </pic:pic>
              </a:graphicData>
            </a:graphic>
          </wp:inline>
        </w:drawing>
      </w:r>
    </w:p>
    <w:p w:rsidR="00210A2C" w:rsidP="00210A2C" w:rsidRDefault="00210A2C" w14:paraId="194A4713" w14:textId="77777777"/>
    <w:p w:rsidR="004D1718" w:rsidP="004D1718" w:rsidRDefault="004D1718" w14:paraId="176B4E4E" w14:textId="77777777">
      <w:pPr>
        <w:rPr>
          <w:bCs/>
          <w:sz w:val="40"/>
          <w:szCs w:val="40"/>
        </w:rPr>
      </w:pPr>
    </w:p>
    <w:p w:rsidRPr="00B635D2" w:rsidR="004D1718" w:rsidP="004D1718" w:rsidRDefault="004D1718" w14:paraId="62EBAB90" w14:textId="70520F65">
      <w:pPr>
        <w:pStyle w:val="Title"/>
        <w:jc w:val="center"/>
        <w:rPr>
          <w:rFonts w:ascii="Arial" w:hAnsi="Arial"/>
        </w:rPr>
      </w:pPr>
      <w:r>
        <w:t>The Essential Role of Controlling in Contemporary Organisations: Challenges and Mitigation Strategies</w:t>
      </w:r>
    </w:p>
    <w:p w:rsidRPr="00F13F33" w:rsidR="004D1718" w:rsidP="004D1718" w:rsidRDefault="004D1718" w14:paraId="0621AE80" w14:textId="77777777">
      <w:pPr>
        <w:rPr>
          <w:bCs/>
          <w:sz w:val="40"/>
          <w:szCs w:val="40"/>
        </w:rPr>
      </w:pPr>
    </w:p>
    <w:p w:rsidRPr="00F13F33" w:rsidR="004D1718" w:rsidP="004D1718" w:rsidRDefault="004D1718" w14:paraId="5530094A" w14:textId="77777777">
      <w:pPr>
        <w:spacing w:after="0" w:line="360" w:lineRule="auto"/>
        <w:jc w:val="center"/>
        <w:rPr>
          <w:rFonts w:cs="Arial"/>
          <w:bCs/>
          <w:color w:val="000000"/>
          <w:sz w:val="40"/>
          <w:szCs w:val="40"/>
        </w:rPr>
      </w:pPr>
      <w:r w:rsidRPr="00F13F33">
        <w:rPr>
          <w:rFonts w:cs="Arial"/>
          <w:bCs/>
          <w:color w:val="000000"/>
          <w:sz w:val="40"/>
          <w:szCs w:val="40"/>
        </w:rPr>
        <w:t>Student name: Cecile Abuzour</w:t>
      </w:r>
    </w:p>
    <w:p w:rsidR="004D1718" w:rsidP="004D1718" w:rsidRDefault="004D1718" w14:paraId="2EE13CD7" w14:textId="77777777">
      <w:pPr>
        <w:spacing w:after="0" w:line="360" w:lineRule="auto"/>
        <w:jc w:val="center"/>
        <w:rPr>
          <w:rFonts w:cs="Arial"/>
          <w:bCs/>
          <w:color w:val="000000"/>
          <w:sz w:val="40"/>
          <w:szCs w:val="40"/>
        </w:rPr>
      </w:pPr>
      <w:r w:rsidRPr="00F13F33">
        <w:rPr>
          <w:rFonts w:cs="Arial"/>
          <w:bCs/>
          <w:color w:val="000000"/>
          <w:sz w:val="40"/>
          <w:szCs w:val="40"/>
        </w:rPr>
        <w:t>Student ID: 2218610</w:t>
      </w:r>
    </w:p>
    <w:p w:rsidR="004D1718" w:rsidP="004D1718" w:rsidRDefault="004D1718" w14:paraId="11E7DF99" w14:textId="08C586F5">
      <w:pPr>
        <w:spacing w:after="0" w:line="360" w:lineRule="auto"/>
        <w:jc w:val="center"/>
        <w:rPr>
          <w:rFonts w:cs="Arial"/>
          <w:bCs/>
          <w:color w:val="000000"/>
          <w:sz w:val="40"/>
          <w:szCs w:val="40"/>
        </w:rPr>
      </w:pPr>
      <w:r w:rsidRPr="00F13F33">
        <w:rPr>
          <w:rFonts w:cs="Arial"/>
          <w:bCs/>
          <w:color w:val="000000"/>
          <w:sz w:val="40"/>
          <w:szCs w:val="40"/>
        </w:rPr>
        <w:t xml:space="preserve">Lecturer: </w:t>
      </w:r>
      <w:r w:rsidRPr="004D1718">
        <w:rPr>
          <w:rFonts w:cs="Arial"/>
          <w:bCs/>
          <w:color w:val="000000"/>
          <w:sz w:val="40"/>
          <w:szCs w:val="40"/>
        </w:rPr>
        <w:t xml:space="preserve">Dr </w:t>
      </w:r>
      <w:proofErr w:type="spellStart"/>
      <w:r w:rsidRPr="004D1718">
        <w:rPr>
          <w:rFonts w:cs="Arial"/>
          <w:bCs/>
          <w:color w:val="000000"/>
          <w:sz w:val="40"/>
          <w:szCs w:val="40"/>
        </w:rPr>
        <w:t>Piyumika</w:t>
      </w:r>
      <w:proofErr w:type="spellEnd"/>
      <w:r w:rsidRPr="004D1718">
        <w:rPr>
          <w:rFonts w:cs="Arial"/>
          <w:bCs/>
          <w:color w:val="000000"/>
          <w:sz w:val="40"/>
          <w:szCs w:val="40"/>
        </w:rPr>
        <w:t xml:space="preserve"> K. Gamage</w:t>
      </w:r>
    </w:p>
    <w:p w:rsidRPr="00F13F33" w:rsidR="004D1718" w:rsidP="004D1718" w:rsidRDefault="004D1718" w14:paraId="07799BBF" w14:textId="75C16279">
      <w:pPr>
        <w:spacing w:after="0" w:line="360" w:lineRule="auto"/>
        <w:jc w:val="center"/>
        <w:rPr>
          <w:rFonts w:cs="Arial"/>
          <w:bCs/>
          <w:color w:val="000000"/>
          <w:sz w:val="40"/>
          <w:szCs w:val="40"/>
        </w:rPr>
      </w:pPr>
      <w:r>
        <w:rPr>
          <w:rFonts w:cs="Arial"/>
          <w:bCs/>
          <w:color w:val="000000"/>
          <w:sz w:val="40"/>
          <w:szCs w:val="40"/>
        </w:rPr>
        <w:t xml:space="preserve">Module Name: </w:t>
      </w:r>
      <w:r w:rsidRPr="00696ACB" w:rsidR="00696ACB">
        <w:rPr>
          <w:rFonts w:cs="Arial"/>
          <w:bCs/>
          <w:color w:val="000000"/>
          <w:sz w:val="40"/>
          <w:szCs w:val="40"/>
        </w:rPr>
        <w:t>Leadership and Management Theory and Practice</w:t>
      </w:r>
    </w:p>
    <w:p w:rsidR="004D1718" w:rsidP="004D1718" w:rsidRDefault="004D1718" w14:paraId="5F58937A" w14:textId="4F4FAA3A">
      <w:pPr>
        <w:spacing w:after="0" w:line="360" w:lineRule="auto"/>
        <w:jc w:val="center"/>
        <w:rPr>
          <w:rFonts w:cs="Arial"/>
          <w:bCs/>
          <w:color w:val="000000"/>
          <w:sz w:val="40"/>
          <w:szCs w:val="40"/>
        </w:rPr>
      </w:pPr>
      <w:r w:rsidRPr="00F13F33">
        <w:rPr>
          <w:rFonts w:cs="Arial"/>
          <w:bCs/>
          <w:color w:val="000000"/>
          <w:sz w:val="40"/>
          <w:szCs w:val="40"/>
        </w:rPr>
        <w:t>Module code: LCBB</w:t>
      </w:r>
      <w:r>
        <w:rPr>
          <w:rFonts w:cs="Arial"/>
          <w:bCs/>
          <w:color w:val="000000"/>
          <w:sz w:val="40"/>
          <w:szCs w:val="40"/>
        </w:rPr>
        <w:t>60</w:t>
      </w:r>
      <w:r w:rsidR="00696ACB">
        <w:rPr>
          <w:rFonts w:cs="Arial"/>
          <w:bCs/>
          <w:color w:val="000000"/>
          <w:sz w:val="40"/>
          <w:szCs w:val="40"/>
        </w:rPr>
        <w:t>22</w:t>
      </w:r>
    </w:p>
    <w:p w:rsidR="004D1718" w:rsidP="004D1718" w:rsidRDefault="004D1718" w14:paraId="641E85C9" w14:textId="639FDA2C">
      <w:pPr>
        <w:spacing w:after="0" w:line="360" w:lineRule="auto"/>
        <w:jc w:val="center"/>
        <w:rPr>
          <w:rFonts w:cs="Arial"/>
          <w:bCs/>
          <w:color w:val="000000"/>
          <w:sz w:val="40"/>
          <w:szCs w:val="40"/>
        </w:rPr>
      </w:pPr>
      <w:r>
        <w:rPr>
          <w:rFonts w:cs="Arial"/>
          <w:bCs/>
          <w:color w:val="000000"/>
          <w:sz w:val="40"/>
          <w:szCs w:val="40"/>
        </w:rPr>
        <w:t xml:space="preserve">Component 2: </w:t>
      </w:r>
      <w:r w:rsidR="00696ACB">
        <w:rPr>
          <w:rFonts w:cs="Arial"/>
          <w:bCs/>
          <w:color w:val="000000"/>
          <w:sz w:val="40"/>
          <w:szCs w:val="40"/>
        </w:rPr>
        <w:t>Essay</w:t>
      </w:r>
    </w:p>
    <w:p w:rsidR="00210A2C" w:rsidP="004D1718" w:rsidRDefault="00210A2C" w14:paraId="68E15A6F" w14:textId="77777777">
      <w:pPr>
        <w:jc w:val="center"/>
      </w:pPr>
    </w:p>
    <w:p w:rsidR="00210A2C" w:rsidP="00210A2C" w:rsidRDefault="00210A2C" w14:paraId="2E759BE6" w14:textId="77777777"/>
    <w:p w:rsidRPr="00210A2C" w:rsidR="00696ACB" w:rsidP="00210A2C" w:rsidRDefault="00696ACB" w14:paraId="37D5578C" w14:textId="77777777"/>
    <w:p w:rsidR="00DB4FC1" w:rsidP="00210A2C" w:rsidRDefault="00DB4FC1" w14:paraId="7F84E1DE" w14:textId="20216CF3">
      <w:pPr>
        <w:pStyle w:val="Heading1"/>
      </w:pPr>
      <w:r>
        <w:lastRenderedPageBreak/>
        <w:t>Introduction</w:t>
      </w:r>
    </w:p>
    <w:p w:rsidRPr="00DB4FC1" w:rsidR="00DB4FC1" w:rsidP="00DB4FC1" w:rsidRDefault="00DB4FC1" w14:paraId="3D0246B8" w14:textId="40E89C11">
      <w:pPr>
        <w:spacing w:line="360" w:lineRule="auto"/>
        <w:jc w:val="both"/>
        <w:rPr>
          <w:rFonts w:cs="Arial"/>
          <w:szCs w:val="24"/>
        </w:rPr>
      </w:pPr>
      <w:r w:rsidRPr="00DB4FC1">
        <w:rPr>
          <w:rFonts w:cs="Arial"/>
          <w:szCs w:val="24"/>
        </w:rPr>
        <w:t>Management is the process of coordinating the activities of an organization to achieve its goals using available resources effectively and efficiently. According to R</w:t>
      </w:r>
      <w:r w:rsidR="001227EB">
        <w:rPr>
          <w:rFonts w:cs="Arial"/>
          <w:szCs w:val="24"/>
        </w:rPr>
        <w:t>offia</w:t>
      </w:r>
      <w:r w:rsidRPr="00DB4FC1">
        <w:rPr>
          <w:rFonts w:cs="Arial"/>
          <w:szCs w:val="24"/>
        </w:rPr>
        <w:t xml:space="preserve"> </w:t>
      </w:r>
      <w:r w:rsidR="001227EB">
        <w:rPr>
          <w:rFonts w:cs="Arial"/>
          <w:szCs w:val="24"/>
        </w:rPr>
        <w:t xml:space="preserve">and </w:t>
      </w:r>
      <w:proofErr w:type="spellStart"/>
      <w:r w:rsidR="001227EB">
        <w:rPr>
          <w:rFonts w:cs="Arial"/>
          <w:szCs w:val="24"/>
        </w:rPr>
        <w:t>Dabic</w:t>
      </w:r>
      <w:proofErr w:type="spellEnd"/>
      <w:r w:rsidRPr="00DB4FC1">
        <w:rPr>
          <w:rFonts w:cs="Arial"/>
          <w:szCs w:val="24"/>
        </w:rPr>
        <w:t xml:space="preserve"> (202</w:t>
      </w:r>
      <w:r w:rsidR="001227EB">
        <w:rPr>
          <w:rFonts w:cs="Arial"/>
          <w:szCs w:val="24"/>
        </w:rPr>
        <w:t>4</w:t>
      </w:r>
      <w:r w:rsidRPr="00DB4FC1">
        <w:rPr>
          <w:rFonts w:cs="Arial"/>
          <w:szCs w:val="24"/>
        </w:rPr>
        <w:t>), management is the process of working with or through people to achieve the objectives of an organization by planning, organizing, leading and controlling.</w:t>
      </w:r>
      <w:r w:rsidRPr="00DB4FC1">
        <w:rPr>
          <w:rFonts w:cs="Arial"/>
          <w:szCs w:val="24"/>
        </w:rPr>
        <w:t xml:space="preserve"> </w:t>
      </w:r>
      <w:r w:rsidRPr="00DB4FC1">
        <w:rPr>
          <w:rFonts w:cs="Arial"/>
          <w:szCs w:val="24"/>
        </w:rPr>
        <w:t>Given the changing and complex nature of today's business environment, characterised by rapid technological change, economic uncertainty and fluid human resources, management is more important than ever for the survival and success of organisations. The traditional model of management includes four interrelated functions - planning, organizing, leading and controlling, sometimes referred to as the POLC model. While planning sets the direction for the organisation and organizing allocates resources, controlling ensures that the organisation stays on track to achieve its strategic objectives.</w:t>
      </w:r>
    </w:p>
    <w:p w:rsidR="00DB4FC1" w:rsidP="00DB4FC1" w:rsidRDefault="00DB4FC1" w14:paraId="2757BD4B" w14:textId="23B1127E">
      <w:pPr>
        <w:spacing w:line="360" w:lineRule="auto"/>
        <w:jc w:val="both"/>
        <w:rPr>
          <w:rFonts w:cs="Arial"/>
          <w:szCs w:val="24"/>
        </w:rPr>
      </w:pPr>
      <w:r w:rsidRPr="00DB4FC1">
        <w:rPr>
          <w:rFonts w:cs="Arial"/>
          <w:szCs w:val="24"/>
        </w:rPr>
        <w:t>This essay critically evaluates the needed nature of the controlling function for organisations of all types. It begins by identifying and explaining the core managerial functions, before moving on to a critical analysis of why controlling is indispensable for organisational performance and resilience. Finally, it highlights some important challenges organisations face when implementing and maintaining effective management control systems MCSs, including resistance from employees and difficulties in integrating technology into the management control systems. Evidence-based strategies that managers can employ to mitigate these challenges are also offered, based on examples from contemporary businesses and recent management literature.</w:t>
      </w:r>
    </w:p>
    <w:p w:rsidR="00DB4FC1" w:rsidP="00DB4FC1" w:rsidRDefault="00DB4FC1" w14:paraId="7BFE9478" w14:textId="77777777">
      <w:pPr>
        <w:spacing w:line="360" w:lineRule="auto"/>
        <w:jc w:val="both"/>
        <w:rPr>
          <w:rFonts w:cs="Arial"/>
          <w:szCs w:val="24"/>
        </w:rPr>
      </w:pPr>
    </w:p>
    <w:p w:rsidR="00DB4FC1" w:rsidP="00210A2C" w:rsidRDefault="00DB4FC1" w14:paraId="4819EF56" w14:textId="45EAA7FA">
      <w:pPr>
        <w:pStyle w:val="Heading1"/>
      </w:pPr>
      <w:r>
        <w:t>Managerial Functions and the Essence of Controlling</w:t>
      </w:r>
    </w:p>
    <w:p w:rsidR="00702894" w:rsidP="00702894" w:rsidRDefault="00702894" w14:paraId="4E6EEE07" w14:textId="214CAFA9">
      <w:pPr>
        <w:spacing w:line="360" w:lineRule="auto"/>
        <w:jc w:val="both"/>
      </w:pPr>
      <w:r>
        <w:t xml:space="preserve">There are four basic management functions that are very interrelated and interdependent. These consist of Planning (which involves determining organizational goals and the actions necessary to achieve them), Organizing (which involves classifying tasks, grouping work and assigning responsibilities to different people or departments), Leading (which involves directing, influencing and motivating people and their activities to achieve the desired results) and Controlling (which involves </w:t>
      </w:r>
      <w:r>
        <w:lastRenderedPageBreak/>
        <w:t xml:space="preserve">monitoring and measuring actual performance against previously established goals or standards and taking corrective action if needed). It is needed to consider that the control function is not carried out at the end of the cycle; rather, as noted by </w:t>
      </w:r>
      <w:proofErr w:type="spellStart"/>
      <w:r w:rsidRPr="00DB4FC1" w:rsidR="00210A2C">
        <w:rPr>
          <w:rFonts w:cs="Arial"/>
          <w:szCs w:val="24"/>
        </w:rPr>
        <w:t>R</w:t>
      </w:r>
      <w:r w:rsidR="00210A2C">
        <w:rPr>
          <w:rFonts w:cs="Arial"/>
          <w:szCs w:val="24"/>
        </w:rPr>
        <w:t>offia</w:t>
      </w:r>
      <w:proofErr w:type="spellEnd"/>
      <w:r w:rsidRPr="00DB4FC1" w:rsidR="00210A2C">
        <w:rPr>
          <w:rFonts w:cs="Arial"/>
          <w:szCs w:val="24"/>
        </w:rPr>
        <w:t xml:space="preserve"> </w:t>
      </w:r>
      <w:r w:rsidR="00210A2C">
        <w:rPr>
          <w:rFonts w:cs="Arial"/>
          <w:szCs w:val="24"/>
        </w:rPr>
        <w:t xml:space="preserve">and </w:t>
      </w:r>
      <w:proofErr w:type="spellStart"/>
      <w:r w:rsidR="00210A2C">
        <w:rPr>
          <w:rFonts w:cs="Arial"/>
          <w:szCs w:val="24"/>
        </w:rPr>
        <w:t>Dabic</w:t>
      </w:r>
      <w:proofErr w:type="spellEnd"/>
      <w:r w:rsidR="00210A2C">
        <w:t xml:space="preserve"> </w:t>
      </w:r>
      <w:r>
        <w:t>(202</w:t>
      </w:r>
      <w:r w:rsidR="00210A2C">
        <w:t>4</w:t>
      </w:r>
      <w:r>
        <w:t xml:space="preserve">), management involves creating a cyclical and continuous process of improvement that facilitates the sustainability and success of the organization in the long term. </w:t>
      </w:r>
    </w:p>
    <w:p w:rsidR="00702894" w:rsidP="00702894" w:rsidRDefault="00702894" w14:paraId="10AE6454" w14:textId="77777777"/>
    <w:p w:rsidR="00702894" w:rsidP="00702894" w:rsidRDefault="00702894" w14:paraId="0D4B9F91" w14:textId="77777777">
      <w:pPr>
        <w:spacing w:line="360" w:lineRule="auto"/>
        <w:jc w:val="both"/>
      </w:pPr>
      <w:r>
        <w:t>Controlling includes the feedback link between strategic planning and day-to-day activity, ensuring the appropriate use of resources and the accomplishment of predetermined organizational goals. The manager cannot judge whether the organization is using its resources efficiently or if its goals are being met until after they evaluate the effects of its actions. The control function is even more needed nowadays, as empirical research on the effectiveness of various management control mechanisms has shown that the application of certain tools (e.g. cost accounting methods, budgetary control and the balanced scorecard) could be useful in helping managers to make better decisions and optimize the allocation and use of available resources within the organization (</w:t>
      </w:r>
      <w:proofErr w:type="spellStart"/>
      <w:r>
        <w:t>Hammouch</w:t>
      </w:r>
      <w:proofErr w:type="spellEnd"/>
      <w:r>
        <w:t xml:space="preserve"> et al., 2024). These tools are particularly needed in providing an accurate calculation of costs and contributing to strategic financial planning, which will lead to enhanced decision-making and improved firm performance within the industry; also, the ability to accurately plan financially, make timely and informed decisions and minimize the impact of external factors will contribute positively towards achieving the company's business objectives, increasing competitiveness and creating a sustainable future. </w:t>
      </w:r>
    </w:p>
    <w:p w:rsidR="00702894" w:rsidP="00702894" w:rsidRDefault="00702894" w14:paraId="2935483B" w14:textId="77777777"/>
    <w:p w:rsidR="00702894" w:rsidP="27CFAE59" w:rsidRDefault="00702894" w14:paraId="11B255D3" w14:textId="405E4996">
      <w:pPr>
        <w:spacing w:line="360" w:lineRule="auto"/>
        <w:jc w:val="both"/>
      </w:pPr>
      <w:r w:rsidR="00702894">
        <w:rPr/>
        <w:t xml:space="preserve">Organizational resilience in today's turbulent environment, following the COVID-19 pandemic, requires managers to create strong control systems. </w:t>
      </w:r>
      <w:r w:rsidR="00702894">
        <w:rPr/>
        <w:t>Bieńkowska</w:t>
      </w:r>
      <w:r w:rsidR="00702894">
        <w:rPr/>
        <w:t xml:space="preserve"> and Tworek (202</w:t>
      </w:r>
      <w:r w:rsidR="00AF1970">
        <w:rPr/>
        <w:t>1</w:t>
      </w:r>
      <w:r w:rsidR="00702894">
        <w:rPr/>
        <w:t xml:space="preserve">) stated, based on an analysis of 1,133 organizations operating in countries such as Poland, Italy and the USA, that good-quality control systems will be negatively correlated with the level of organizational disruptions, making them more effective in avoiding crises or ensuring the firm's survival in adversity. Other authors suggest that implementing resilience-oriented management control systems (MCSs) can help organizations to tackle adversity by strategically using control levers, </w:t>
      </w:r>
      <w:r w:rsidR="00702894">
        <w:rPr/>
        <w:t xml:space="preserve">developing changing capabilities and improving the likelihood of successful recovery and adaptation to environmental changes (Weber et al., 2024). </w:t>
      </w:r>
    </w:p>
    <w:p w:rsidR="00DB4FC1" w:rsidP="00702894" w:rsidRDefault="00702894" w14:paraId="4C9C6400" w14:textId="7C849A37">
      <w:pPr>
        <w:spacing w:line="360" w:lineRule="auto"/>
        <w:jc w:val="both"/>
      </w:pPr>
      <w:r w:rsidR="00702894">
        <w:rPr/>
        <w:t xml:space="preserve">Finally, it is </w:t>
      </w:r>
      <w:r w:rsidR="00702894">
        <w:rPr/>
        <w:t>also</w:t>
      </w:r>
      <w:r w:rsidR="00702894">
        <w:rPr/>
        <w:t xml:space="preserve"> important to note that the controlling function applies universally to </w:t>
      </w:r>
      <w:r w:rsidR="00702894">
        <w:rPr/>
        <w:t>various types</w:t>
      </w:r>
      <w:r w:rsidR="00702894">
        <w:rPr/>
        <w:t xml:space="preserve"> of organizations. For example, in the case of public sector organizations, management control plays </w:t>
      </w:r>
      <w:r w:rsidR="00702894">
        <w:rPr/>
        <w:t>a</w:t>
      </w:r>
      <w:r w:rsidR="00702894">
        <w:rPr/>
        <w:t xml:space="preserve"> important role in ensuring accountability and transparency, by doing this enhancing the value obtained from the public funding </w:t>
      </w:r>
      <w:r w:rsidR="00702894">
        <w:rPr/>
        <w:t>received</w:t>
      </w:r>
      <w:r w:rsidR="171CCE4C">
        <w:rPr/>
        <w:t xml:space="preserve"> </w:t>
      </w:r>
      <w:r w:rsidR="231B9752">
        <w:rPr/>
        <w:t>(</w:t>
      </w:r>
      <w:r w:rsidR="5DD2B54F">
        <w:rPr/>
        <w:t>Saputra</w:t>
      </w:r>
      <w:r w:rsidR="2E48FDFA">
        <w:rPr/>
        <w:t xml:space="preserve"> et al.,2024</w:t>
      </w:r>
      <w:r w:rsidR="231B9752">
        <w:rPr/>
        <w:t>)</w:t>
      </w:r>
      <w:r w:rsidR="00702894">
        <w:rPr/>
        <w:t>.</w:t>
      </w:r>
      <w:r w:rsidR="00702894">
        <w:rPr/>
        <w:t xml:space="preserve"> </w:t>
      </w:r>
      <w:r w:rsidR="00702894">
        <w:rPr/>
        <w:t>Also</w:t>
      </w:r>
      <w:r w:rsidR="00702894">
        <w:rPr/>
        <w:t xml:space="preserve">, non-profit organizations rely heavily on the control function as it enables them to </w:t>
      </w:r>
      <w:r w:rsidR="00702894">
        <w:rPr/>
        <w:t>accomplish</w:t>
      </w:r>
      <w:r w:rsidR="00702894">
        <w:rPr/>
        <w:t xml:space="preserve"> their social mission and satisfy their stakeholders. In terms of business, MNCs engage in different management strategies to manage geographical units and functional units within large organizations, especially when adopting a decentralization policy, meaning that the control function can play a basic role in connecting the expectations of top management to local operations in order to guarantee that daily actions meet the global strategic objectives (Saputra et al., 2024). So, the control function is not simply a reactive, </w:t>
      </w:r>
      <w:r w:rsidR="00702894">
        <w:rPr/>
        <w:t>administrative</w:t>
      </w:r>
      <w:r w:rsidR="00702894">
        <w:rPr/>
        <w:t xml:space="preserve"> or bureaucratic tool designed to enforce compliance but, rather, an innovative and proactive strategic mechanism that enhances business efficiency and effectiveness, enabling the company to face both internal and external threats and improve its resilience.</w:t>
      </w:r>
    </w:p>
    <w:p w:rsidR="00702894" w:rsidP="00702894" w:rsidRDefault="00702894" w14:paraId="7E1AF202" w14:textId="77777777">
      <w:pPr>
        <w:spacing w:line="360" w:lineRule="auto"/>
        <w:jc w:val="both"/>
      </w:pPr>
    </w:p>
    <w:p w:rsidR="00702894" w:rsidP="00210A2C" w:rsidRDefault="00702894" w14:paraId="5E80D5CF" w14:textId="25470C7F">
      <w:pPr>
        <w:pStyle w:val="Heading1"/>
      </w:pPr>
      <w:r>
        <w:t xml:space="preserve">Challenges Associated with Controlling </w:t>
      </w:r>
    </w:p>
    <w:p w:rsidR="00702894" w:rsidP="27CFAE59" w:rsidRDefault="00702894" w14:paraId="1F812580" w14:textId="19901FD2">
      <w:pPr>
        <w:pStyle w:val="Normal"/>
        <w:suppressLineNumbers w:val="0"/>
        <w:bidi w:val="0"/>
        <w:spacing w:before="0" w:beforeAutospacing="off" w:after="160" w:afterAutospacing="off" w:line="360" w:lineRule="auto"/>
        <w:ind w:left="0" w:right="0"/>
        <w:jc w:val="both"/>
      </w:pPr>
      <w:r w:rsidR="00702894">
        <w:rPr/>
        <w:t xml:space="preserve">Although this controlling function is important, it can be challenging to put into practice. </w:t>
      </w:r>
      <w:r w:rsidR="00702894">
        <w:rPr/>
        <w:t>Lambovska</w:t>
      </w:r>
      <w:r w:rsidR="00702894">
        <w:rPr/>
        <w:t xml:space="preserve"> and Angelova-</w:t>
      </w:r>
      <w:r w:rsidR="00702894">
        <w:rPr/>
        <w:t>Stanimirova</w:t>
      </w:r>
      <w:r w:rsidR="00702894">
        <w:rPr/>
        <w:t xml:space="preserve"> (2025) conducted a systematic review of the literature and found 48 different challenges to MCSs. They categorised these </w:t>
      </w:r>
      <w:r w:rsidR="00702894">
        <w:rPr/>
        <w:t>mainly as</w:t>
      </w:r>
      <w:r w:rsidR="00702894">
        <w:rPr/>
        <w:t xml:space="preserve"> related to human resources, management </w:t>
      </w:r>
      <w:r w:rsidR="00702894">
        <w:rPr/>
        <w:t>engagement</w:t>
      </w:r>
      <w:r w:rsidR="00702894">
        <w:rPr/>
        <w:t xml:space="preserve"> and technology integration. These challenges are not only 'lively' operational issues but also basic contradictions between the need to control and the need to stimulate employees' motivation, engagement, </w:t>
      </w:r>
      <w:r w:rsidR="00702894">
        <w:rPr/>
        <w:t>trust</w:t>
      </w:r>
      <w:r w:rsidR="00702894">
        <w:rPr/>
        <w:t xml:space="preserve"> and well-being. One of the main challenges concerns employees' </w:t>
      </w:r>
      <w:r w:rsidR="00702894">
        <w:rPr/>
        <w:t>resistance</w:t>
      </w:r>
      <w:r w:rsidR="00702894">
        <w:rPr/>
        <w:t xml:space="preserve"> to control mechanisms. Controlling implies, at least in part, assessing the performance of employees. While this can stimulate employees' motivation and effort, it may also generate resistance and stress. </w:t>
      </w:r>
    </w:p>
    <w:p w:rsidR="00702894" w:rsidP="27CFAE59" w:rsidRDefault="00702894" w14:paraId="7FC7674D" w14:textId="6ADEC875">
      <w:pPr>
        <w:pStyle w:val="Normal"/>
        <w:suppressLineNumbers w:val="0"/>
        <w:bidi w:val="0"/>
        <w:spacing w:before="0" w:beforeAutospacing="off" w:after="160" w:afterAutospacing="off" w:line="360" w:lineRule="auto"/>
        <w:ind w:left="0" w:right="0"/>
        <w:jc w:val="both"/>
      </w:pPr>
      <w:r w:rsidR="00702894">
        <w:rPr/>
        <w:t xml:space="preserve">Electronic performance monitoring (EPM) and digital surveillance tools have aggravated these issues. On the one hand, they </w:t>
      </w:r>
      <w:r w:rsidR="00702894">
        <w:rPr/>
        <w:t xml:space="preserve">have provided rich performance data. </w:t>
      </w:r>
      <w:r w:rsidR="370F193E">
        <w:rPr/>
        <w:t>However,</w:t>
      </w:r>
      <w:r w:rsidR="00702894">
        <w:rPr/>
        <w:t xml:space="preserve"> they can affect employees' well-being and productivity negatively and lead to counterproductive work behaviours (Valtonen, 2024). </w:t>
      </w:r>
      <w:r w:rsidR="486D12C8">
        <w:rPr/>
        <w:t xml:space="preserve">An example of this is Amazon's algorithmic management system, the subject of an important study by Vallas et al. (2022) about the experience of continuous algorithmic monitoring of warehouse workers and their own metrics, to avoid automated disciplinary action. These systems aimed at increasing efficiency and performance in the warehouses often have the paradoxical effect of decreasing them. </w:t>
      </w:r>
    </w:p>
    <w:p w:rsidR="00702894" w:rsidP="27CFAE59" w:rsidRDefault="00702894" w14:paraId="78E0BD56" w14:textId="744E4863">
      <w:pPr>
        <w:pStyle w:val="Normal"/>
        <w:bidi w:val="0"/>
        <w:spacing w:before="0" w:beforeAutospacing="off" w:after="160" w:afterAutospacing="off" w:line="360" w:lineRule="auto"/>
        <w:ind w:left="0" w:right="0"/>
        <w:jc w:val="both"/>
      </w:pPr>
      <w:r w:rsidR="486D12C8">
        <w:rPr/>
        <w:t>The study by Brinson et al. (2024) with 633 participants after the pandemic shows that privacy concerns related to EPM generate an important reactance effect, which in turn negatively correlates with job satisfaction.</w:t>
      </w:r>
      <w:r w:rsidR="00702894">
        <w:rPr/>
        <w:t xml:space="preserve"> This problem is particularly important in knowledge-intensive environments, which depend on creative thinking and independent decision-making. Another challenge involves the digital change of control systems, including the integration of technology. As organisations rely on big data analytics and AI for MCSs, they </w:t>
      </w:r>
      <w:r w:rsidR="00702894">
        <w:rPr/>
        <w:t>encounter</w:t>
      </w:r>
      <w:r w:rsidR="00702894">
        <w:rPr/>
        <w:t xml:space="preserve"> obstacles related to infrastructure, errors in the automation process and lack of IT-skilled staff (</w:t>
      </w:r>
      <w:r w:rsidR="00702894">
        <w:rPr/>
        <w:t>Lambovska</w:t>
      </w:r>
      <w:r w:rsidR="00702894">
        <w:rPr/>
        <w:t xml:space="preserve"> &amp; Angelova-</w:t>
      </w:r>
      <w:r w:rsidR="00702894">
        <w:rPr/>
        <w:t>Stanimirova</w:t>
      </w:r>
      <w:r w:rsidR="00702894">
        <w:rPr/>
        <w:t xml:space="preserve">, 2025). </w:t>
      </w:r>
    </w:p>
    <w:p w:rsidR="00702894" w:rsidP="27CFAE59" w:rsidRDefault="00702894" w14:paraId="299E92A7" w14:textId="0D563040">
      <w:pPr>
        <w:pStyle w:val="Normal"/>
        <w:suppressLineNumbers w:val="0"/>
        <w:bidi w:val="0"/>
        <w:spacing w:before="0" w:beforeAutospacing="off" w:after="160" w:afterAutospacing="off" w:line="360" w:lineRule="auto"/>
        <w:ind w:left="0" w:right="0"/>
        <w:jc w:val="both"/>
      </w:pPr>
      <w:r w:rsidR="00702894">
        <w:rPr/>
        <w:t xml:space="preserve">In the digital environment, </w:t>
      </w:r>
      <w:r w:rsidR="001227EB">
        <w:rPr/>
        <w:t>Sundstrom</w:t>
      </w:r>
      <w:r w:rsidR="00702894">
        <w:rPr/>
        <w:t xml:space="preserve"> (202</w:t>
      </w:r>
      <w:r w:rsidR="001227EB">
        <w:rPr/>
        <w:t>4</w:t>
      </w:r>
      <w:r w:rsidR="00702894">
        <w:rPr/>
        <w:t xml:space="preserve">) argues that the use of AI for MCSs requires proper data management, retraining and ethical guidelines to avoid algorithmic bias and ensure fair employee evaluations. Moving from traditional financial MCSs to future-oriented MCSs requires important investments and an organisational culture change. Also, the new control systems may cause an 'information overload' phenomenon, where managers have access to a huge amount of data but lack the </w:t>
      </w:r>
      <w:r w:rsidR="00702894">
        <w:rPr/>
        <w:t>appropriate skills</w:t>
      </w:r>
      <w:r w:rsidR="00702894">
        <w:rPr/>
        <w:t xml:space="preserve"> to generate valuable insights. In addition, some challenges are related to management engagement and organisational limits. Poor communication, conflicting </w:t>
      </w:r>
      <w:r w:rsidR="00702894">
        <w:rPr/>
        <w:t>priorities</w:t>
      </w:r>
      <w:r w:rsidR="00702894">
        <w:rPr/>
        <w:t xml:space="preserve"> and lack of support from top managers can undermine the MCS (</w:t>
      </w:r>
      <w:r w:rsidR="00702894">
        <w:rPr/>
        <w:t>Lambovska</w:t>
      </w:r>
      <w:r w:rsidR="00702894">
        <w:rPr/>
        <w:t xml:space="preserve"> &amp; Angelova-</w:t>
      </w:r>
      <w:r w:rsidR="00702894">
        <w:rPr/>
        <w:t>Stanimirova</w:t>
      </w:r>
      <w:r w:rsidR="00702894">
        <w:rPr/>
        <w:t xml:space="preserve">, 2025). If senior management does not engage with the MCS or if the MCS is not aligned with the organisation's strategic goals, it can lose its meaning and be perceived as a bureaucratic task rather than a tool for adding value to the organisation. For example, if an organisation is very committed to innovation, its MCS may only reward short-term financial performance. In this case, employees might abandon the innovation tasks to meet the financial performance requirements. This implies </w:t>
      </w:r>
      <w:r w:rsidR="00702894">
        <w:rPr/>
        <w:t>a</w:t>
      </w:r>
      <w:r w:rsidR="00702894">
        <w:rPr/>
        <w:t xml:space="preserve"> important mismatch between the organisation's strategy and the MCS. This issue is particularly relevant in the setting of sustainability, where MCSs should balance financial and ESG performance (Quesado, 2024).</w:t>
      </w:r>
    </w:p>
    <w:p w:rsidR="00702894" w:rsidP="00702894" w:rsidRDefault="00702894" w14:paraId="02FF7621" w14:textId="33C424A1">
      <w:pPr>
        <w:spacing w:line="360" w:lineRule="auto"/>
        <w:jc w:val="both"/>
      </w:pPr>
    </w:p>
    <w:p w:rsidRPr="004D1718" w:rsidR="004D1718" w:rsidP="004D1718" w:rsidRDefault="004D1718" w14:paraId="3083169F" w14:textId="05DB7157">
      <w:pPr>
        <w:spacing w:line="360" w:lineRule="auto"/>
        <w:ind w:firstLine="720"/>
        <w:jc w:val="both"/>
      </w:pPr>
      <w:r w:rsidRPr="004D1718">
        <w:lastRenderedPageBreak/>
        <w:drawing>
          <wp:inline distT="0" distB="0" distL="0" distR="0" wp14:anchorId="34BF789E" wp14:editId="3840E027">
            <wp:extent cx="5286375" cy="3707765"/>
            <wp:effectExtent l="0" t="0" r="9525" b="6985"/>
            <wp:docPr id="528313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89071" cy="3709656"/>
                    </a:xfrm>
                    <a:prstGeom prst="rect">
                      <a:avLst/>
                    </a:prstGeom>
                    <a:noFill/>
                    <a:ln>
                      <a:noFill/>
                    </a:ln>
                  </pic:spPr>
                </pic:pic>
              </a:graphicData>
            </a:graphic>
          </wp:inline>
        </w:drawing>
      </w:r>
    </w:p>
    <w:p w:rsidR="00210A2C" w:rsidP="004D1718" w:rsidRDefault="00210A2C" w14:paraId="2F8975F4" w14:textId="0DC2D259">
      <w:pPr>
        <w:spacing w:line="360" w:lineRule="auto"/>
        <w:ind w:firstLine="720"/>
      </w:pPr>
    </w:p>
    <w:p w:rsidR="00702894" w:rsidP="00210A2C" w:rsidRDefault="00702894" w14:paraId="0EBFB203" w14:textId="7415AA6D">
      <w:pPr>
        <w:pStyle w:val="Heading1"/>
      </w:pPr>
      <w:r>
        <w:t xml:space="preserve">Mitigating Controlling Challenges </w:t>
      </w:r>
    </w:p>
    <w:p w:rsidR="004C1CC7" w:rsidP="004C1CC7" w:rsidRDefault="004C1CC7" w14:paraId="186C4529" w14:textId="2F440BA0">
      <w:pPr>
        <w:spacing w:line="360" w:lineRule="auto"/>
        <w:jc w:val="both"/>
      </w:pPr>
      <w:r>
        <w:t xml:space="preserve">A more whole approach to address the issues of technological advancements and human-centric leadership strategies for management control is required. The use of technology in organisations should be linked to employee-centred leadership approaches to mitigate potential resistances. Involving employees in the goal-setting process can reduce resistances by having them buy-in to the goals and objectives. For instance, the research by </w:t>
      </w:r>
      <w:proofErr w:type="spellStart"/>
      <w:r w:rsidR="001227EB">
        <w:t>Knezovic</w:t>
      </w:r>
      <w:proofErr w:type="spellEnd"/>
      <w:r w:rsidR="001227EB">
        <w:t xml:space="preserve"> and Smajic</w:t>
      </w:r>
      <w:r>
        <w:t xml:space="preserve"> (2024) provides insights into whether the involvement of employees in the decision-making process affects their sense of control. Similarly, the principles of the Human Relations Movement of the early 20th century, as discussed in chapter one of </w:t>
      </w:r>
      <w:proofErr w:type="spellStart"/>
      <w:r w:rsidRPr="00DB4FC1" w:rsidR="00210A2C">
        <w:rPr>
          <w:rFonts w:cs="Arial"/>
          <w:szCs w:val="24"/>
        </w:rPr>
        <w:t>R</w:t>
      </w:r>
      <w:r w:rsidR="00210A2C">
        <w:rPr>
          <w:rFonts w:cs="Arial"/>
          <w:szCs w:val="24"/>
        </w:rPr>
        <w:t>offia</w:t>
      </w:r>
      <w:proofErr w:type="spellEnd"/>
      <w:r w:rsidRPr="00DB4FC1" w:rsidR="00210A2C">
        <w:rPr>
          <w:rFonts w:cs="Arial"/>
          <w:szCs w:val="24"/>
        </w:rPr>
        <w:t xml:space="preserve"> </w:t>
      </w:r>
      <w:r w:rsidR="00210A2C">
        <w:rPr>
          <w:rFonts w:cs="Arial"/>
          <w:szCs w:val="24"/>
        </w:rPr>
        <w:t xml:space="preserve">and </w:t>
      </w:r>
      <w:proofErr w:type="spellStart"/>
      <w:r w:rsidR="00210A2C">
        <w:rPr>
          <w:rFonts w:cs="Arial"/>
          <w:szCs w:val="24"/>
        </w:rPr>
        <w:t>Dabic</w:t>
      </w:r>
      <w:proofErr w:type="spellEnd"/>
      <w:r>
        <w:t xml:space="preserve"> (202</w:t>
      </w:r>
      <w:r w:rsidR="00210A2C">
        <w:t>4</w:t>
      </w:r>
      <w:r>
        <w:t xml:space="preserve">), hinge on an understanding of the fact that human beings are more likely to be happy and committed to their work when their needs and feelings are taken into consideration by their organisations. Also, </w:t>
      </w:r>
      <w:proofErr w:type="spellStart"/>
      <w:r>
        <w:t>Koeswayo</w:t>
      </w:r>
      <w:proofErr w:type="spellEnd"/>
      <w:r>
        <w:t xml:space="preserve"> and Haryanto (2024) argue that organisational outcomes are improved when employee engagement principles of employees are recognised and used to drive work. </w:t>
      </w:r>
    </w:p>
    <w:p w:rsidR="004C1CC7" w:rsidP="004C1CC7" w:rsidRDefault="004C1CC7" w14:paraId="240B206D" w14:textId="0A32AC37">
      <w:pPr>
        <w:spacing w:line="360" w:lineRule="auto"/>
        <w:jc w:val="both"/>
      </w:pPr>
      <w:r w:rsidR="004C1CC7">
        <w:rPr/>
        <w:t xml:space="preserve">The adoption of </w:t>
      </w:r>
      <w:r w:rsidR="004C1CC7">
        <w:rPr/>
        <w:t>new technologies</w:t>
      </w:r>
      <w:r w:rsidR="004C1CC7">
        <w:rPr/>
        <w:t xml:space="preserve"> should be linked to an organisation's human resources strategy. Managers should insist on complete training and change management initiatives to help employees understand the need for the </w:t>
      </w:r>
      <w:r w:rsidR="004C1CC7">
        <w:rPr/>
        <w:t>new technologies</w:t>
      </w:r>
      <w:r w:rsidR="004C1CC7">
        <w:rPr/>
        <w:t xml:space="preserve"> and the expected benefits. For example, Sims (2025) argues that the benefits of digital transformation can be maximised when employees feel engaged. </w:t>
      </w:r>
      <w:r w:rsidR="08FCFE63">
        <w:rPr/>
        <w:t xml:space="preserve">A more established example of this approach is Google's use of Objectives and Key Results (OKRs), which shift the focus from control of day-to-day activities to aligning individual autonomy and decision-making with higher-level goals. </w:t>
      </w:r>
    </w:p>
    <w:p w:rsidR="004C1CC7" w:rsidP="27CFAE59" w:rsidRDefault="004C1CC7" w14:paraId="0CA5E9E6" w14:textId="35866E7D">
      <w:pPr>
        <w:pStyle w:val="Normal"/>
        <w:spacing w:line="360" w:lineRule="auto"/>
        <w:jc w:val="both"/>
      </w:pPr>
      <w:r w:rsidR="08FCFE63">
        <w:rPr/>
        <w:t>The findings of a study of 22 organisations led by Wowerath et al (2026) show that the use of OKRs supports goal achievement through critical sensemaking, continuous feedback, power, while a review of OKR adoption by Silva and Santos (2024) highlights benefits in terms of communication, prioritisation and team alignment. The outcomes suggest that using management control systems as a means of direction, rather than coercion, can reduce resistance and maintain performance.</w:t>
      </w:r>
    </w:p>
    <w:p w:rsidR="004C1CC7" w:rsidP="004C1CC7" w:rsidRDefault="004C1CC7" w14:paraId="540AD247" w14:textId="77777777">
      <w:pPr>
        <w:spacing w:line="360" w:lineRule="auto"/>
        <w:jc w:val="both"/>
      </w:pPr>
      <w:r>
        <w:t xml:space="preserve">Measuring alignment to organisational objectives and key results should be regular and consistent. This is important to check if the Key Performance Indicators (KPIs) used in an organisation are aligned with its overall objectives and if they can drive work. This also includes other non-financial factors for a whole approach. For instance, Quesado (2024) explains how the Balanced Scorecard can be used to measure the alignment between an organisation's strategy and the KPIs of employees. Lastly, embracing adaptability and flexibility is key to management control. The fact that technological advancements are here to stay means that organisations should be prepared to adapt to new technologies. Also, the need for management control should be tailored to fit the setting of an organisation. There is no one-size-fits-all solution. the need for flexibility requires a very </w:t>
      </w:r>
      <w:proofErr w:type="spellStart"/>
      <w:r>
        <w:t>personalisable</w:t>
      </w:r>
      <w:proofErr w:type="spellEnd"/>
      <w:r>
        <w:t xml:space="preserve"> and flexible approach to management control. The central theme of this essay is to provide an integrated perspective on how managers should be able to embrace technological advancements while preserving some level of control. </w:t>
      </w:r>
    </w:p>
    <w:p w:rsidR="000B69E7" w:rsidP="004C1CC7" w:rsidRDefault="000B69E7" w14:paraId="63724D8F" w14:textId="1A5AEAA3">
      <w:pPr>
        <w:spacing w:line="360" w:lineRule="auto"/>
        <w:jc w:val="both"/>
      </w:pPr>
      <w:r w:rsidR="004C1CC7">
        <w:rPr/>
        <w:t xml:space="preserve">A balance between the use of </w:t>
      </w:r>
      <w:r w:rsidR="004C1CC7">
        <w:rPr/>
        <w:t>new technologies</w:t>
      </w:r>
      <w:r w:rsidR="004C1CC7">
        <w:rPr/>
        <w:t xml:space="preserve"> and employee-centric management strategies is important to drive work. Organisations should involve employees in the goal-setting process. Technologies should be used to help communication and collaboration. Managers need to invest in employees' learning and development so that they can understand how to harness </w:t>
      </w:r>
      <w:r w:rsidR="004C1CC7">
        <w:rPr/>
        <w:t>new technologies</w:t>
      </w:r>
      <w:r w:rsidR="004C1CC7">
        <w:rPr/>
        <w:t xml:space="preserve">. Lastly, measuring performance and the alignment of KPIs to the strategy of an organisation should be regular, consistent and should not be limited to financial indicators only. The need for management control should be tailored to the setting of an organisation. </w:t>
      </w:r>
      <w:r w:rsidR="004C1CC7">
        <w:rPr/>
        <w:t>New technologies</w:t>
      </w:r>
      <w:r w:rsidR="004C1CC7">
        <w:rPr/>
        <w:t xml:space="preserve"> </w:t>
      </w:r>
      <w:r w:rsidR="004C1CC7">
        <w:rPr/>
        <w:t>necessitate</w:t>
      </w:r>
      <w:r w:rsidR="004C1CC7">
        <w:rPr/>
        <w:t xml:space="preserve"> new and innovative management strategies. However, the role of management </w:t>
      </w:r>
      <w:r w:rsidR="004C1CC7">
        <w:rPr/>
        <w:t>remains</w:t>
      </w:r>
      <w:r w:rsidR="004C1CC7">
        <w:rPr/>
        <w:t xml:space="preserve"> the same - to achieve the goals and </w:t>
      </w:r>
      <w:r w:rsidR="004C1CC7">
        <w:rPr/>
        <w:t>objectives</w:t>
      </w:r>
      <w:r w:rsidR="004C1CC7">
        <w:rPr/>
        <w:t xml:space="preserve"> of the </w:t>
      </w:r>
      <w:r w:rsidR="004C1CC7">
        <w:rPr/>
        <w:t>organisation.</w:t>
      </w:r>
      <w:r w:rsidR="000B69E7">
        <w:rPr/>
        <w:t xml:space="preserve"> </w:t>
      </w:r>
      <w:r w:rsidR="000B69E7">
        <w:rPr/>
        <w:t xml:space="preserve">In turbulent environments, managers should implement adaptive MCSs to drive control by learning from the environment and responding to changes in the control environment (Weber et al., 2024). Cieslak (2025) </w:t>
      </w:r>
      <w:r w:rsidR="000B69E7">
        <w:rPr/>
        <w:t>demonstrated</w:t>
      </w:r>
      <w:r w:rsidR="000B69E7">
        <w:rPr/>
        <w:t xml:space="preserve"> that organisations that proactively </w:t>
      </w:r>
      <w:r w:rsidR="000B69E7">
        <w:rPr/>
        <w:t>identify</w:t>
      </w:r>
      <w:r w:rsidR="000B69E7">
        <w:rPr/>
        <w:t xml:space="preserve"> and address barriers to digitalisation, such as cultural inertia and skill deficits, through systematic change management are significantly more successful in implementing effective digital control systems. By combining strong technology infrastructure with empathetic and adaptive leadership, managers can turn controlling from a source of friction into an engine for organisational success.</w:t>
      </w:r>
    </w:p>
    <w:p w:rsidR="000B69E7" w:rsidP="00210A2C" w:rsidRDefault="000B69E7" w14:paraId="79F3BDB4" w14:textId="58BDB129">
      <w:pPr>
        <w:pStyle w:val="Heading1"/>
      </w:pPr>
      <w:r>
        <w:t>Conclusion</w:t>
      </w:r>
    </w:p>
    <w:p w:rsidR="000B69E7" w:rsidP="00AF1970" w:rsidRDefault="000B69E7" w14:paraId="0957C8DF" w14:textId="49419204">
      <w:pPr>
        <w:spacing w:line="360" w:lineRule="auto"/>
        <w:jc w:val="both"/>
      </w:pPr>
      <w:r>
        <w:t xml:space="preserve">To conclude, controlling is </w:t>
      </w:r>
      <w:r w:rsidR="001227EB">
        <w:t>a</w:t>
      </w:r>
      <w:r>
        <w:t xml:space="preserve"> needed managerial function to ensure that organizational activities are conducted properly to achieve strategic objectives. It is </w:t>
      </w:r>
      <w:r w:rsidR="001227EB">
        <w:t>an</w:t>
      </w:r>
      <w:r>
        <w:t xml:space="preserve"> important mechanism for utilizing resources effectively and as a feedback mechanism on performance and resilience in the face of environmental turbulence and crises.</w:t>
      </w:r>
      <w:r w:rsidR="001227EB">
        <w:t xml:space="preserve">  </w:t>
      </w:r>
      <w:r>
        <w:t>Evidence has demonstrated that management control systems can improve organizational performance in diverse sectors and geographies, from Moroccan industrial companies to global multinationals. Implementing effective MCSs is still confronted by numerous challenges, such as employee resistance to monitoring, the challenges of integrating new technologies and the risks of strategic misalignment. Therefore, managers should adopt participative and transparent approaches to control, invest in employee training and change management, ensure that control metrics are holistically aligned with long-term strategic goals, use balanced systems (such as the Balanced Scorecard or OKRs) combined with appropriate technological tools and adopt a human-centric leadership approach. Successful controlling does not aim to be a rigid surveillance mechanism but rather a guiding and empowering approach to aligning the whole organization toward sustained excellence.</w:t>
      </w:r>
    </w:p>
    <w:p w:rsidR="00AF1970" w:rsidP="00AF1970" w:rsidRDefault="00AF1970" w14:paraId="386A76D7" w14:textId="77777777">
      <w:pPr>
        <w:spacing w:line="360" w:lineRule="auto"/>
        <w:jc w:val="both"/>
      </w:pPr>
    </w:p>
    <w:p w:rsidR="00AF1970" w:rsidP="00AF1970" w:rsidRDefault="00AF1970" w14:paraId="1843FA2D" w14:textId="77777777">
      <w:pPr>
        <w:spacing w:line="360" w:lineRule="auto"/>
        <w:jc w:val="both"/>
      </w:pPr>
    </w:p>
    <w:p w:rsidR="00AF1970" w:rsidP="00AF1970" w:rsidRDefault="00AF1970" w14:paraId="1A635FC1" w14:textId="77777777">
      <w:pPr>
        <w:spacing w:line="360" w:lineRule="auto"/>
        <w:jc w:val="both"/>
      </w:pPr>
    </w:p>
    <w:p w:rsidRPr="00BF26DA" w:rsidR="00BF26DA" w:rsidP="00210A2C" w:rsidRDefault="00AF1970" w14:paraId="2D1CB469" w14:textId="327991FD">
      <w:pPr>
        <w:pStyle w:val="Heading1"/>
      </w:pPr>
      <w:r>
        <w:lastRenderedPageBreak/>
        <w:t>References</w:t>
      </w:r>
      <w:r w:rsidR="006E12E0">
        <w:t xml:space="preserve">  </w:t>
      </w:r>
    </w:p>
    <w:p w:rsidRPr="00BF26DA" w:rsidR="00AF1970" w:rsidP="00AF1970" w:rsidRDefault="00AF1970" w14:paraId="0DA338AF" w14:textId="551E7241">
      <w:pPr>
        <w:spacing w:after="0" w:line="240" w:lineRule="auto"/>
        <w:rPr>
          <w:rFonts w:eastAsia="Times New Roman" w:cs="Arial"/>
          <w:kern w:val="0"/>
          <w:szCs w:val="24"/>
          <w:lang w:eastAsia="en-GB"/>
          <w14:ligatures w14:val="none"/>
        </w:rPr>
      </w:pPr>
      <w:r w:rsidRPr="00BF26DA">
        <w:rPr>
          <w:rFonts w:eastAsia="Times New Roman" w:cs="Arial"/>
          <w:kern w:val="0"/>
          <w:szCs w:val="24"/>
          <w:lang w:eastAsia="en-GB"/>
          <w14:ligatures w14:val="none"/>
        </w:rPr>
        <w:t>Bienkowska, A., Tworek, K. and Zablocka-</w:t>
      </w:r>
      <w:proofErr w:type="spellStart"/>
      <w:r w:rsidRPr="00BF26DA">
        <w:rPr>
          <w:rFonts w:eastAsia="Times New Roman" w:cs="Arial"/>
          <w:kern w:val="0"/>
          <w:szCs w:val="24"/>
          <w:lang w:eastAsia="en-GB"/>
          <w14:ligatures w14:val="none"/>
        </w:rPr>
        <w:t>Kluczka</w:t>
      </w:r>
      <w:proofErr w:type="spellEnd"/>
      <w:r w:rsidRPr="00BF26DA">
        <w:rPr>
          <w:rFonts w:eastAsia="Times New Roman" w:cs="Arial"/>
          <w:kern w:val="0"/>
          <w:szCs w:val="24"/>
          <w:lang w:eastAsia="en-GB"/>
          <w14:ligatures w14:val="none"/>
        </w:rPr>
        <w:t xml:space="preserve">, A. (2021) “MODERATING ROLE OF USER EXPERIENCE AND IT RELIABILITY IN CONTROLLING INFLUENCE ON JOB PERFORMANCE AND ORGANIZATIONAL PERFORMANCE,” </w:t>
      </w:r>
      <w:r w:rsidRPr="00BF26DA">
        <w:rPr>
          <w:rFonts w:eastAsia="Times New Roman" w:cs="Arial"/>
          <w:i/>
          <w:iCs/>
          <w:kern w:val="0"/>
          <w:szCs w:val="24"/>
          <w:lang w:eastAsia="en-GB"/>
          <w14:ligatures w14:val="none"/>
        </w:rPr>
        <w:t xml:space="preserve">E+M </w:t>
      </w:r>
      <w:proofErr w:type="spellStart"/>
      <w:r w:rsidRPr="00BF26DA">
        <w:rPr>
          <w:rFonts w:eastAsia="Times New Roman" w:cs="Arial"/>
          <w:i/>
          <w:iCs/>
          <w:kern w:val="0"/>
          <w:szCs w:val="24"/>
          <w:lang w:eastAsia="en-GB"/>
          <w14:ligatures w14:val="none"/>
        </w:rPr>
        <w:t>ekonomie</w:t>
      </w:r>
      <w:proofErr w:type="spellEnd"/>
      <w:r w:rsidRPr="00BF26DA">
        <w:rPr>
          <w:rFonts w:eastAsia="Times New Roman" w:cs="Arial"/>
          <w:i/>
          <w:iCs/>
          <w:kern w:val="0"/>
          <w:szCs w:val="24"/>
          <w:lang w:eastAsia="en-GB"/>
          <w14:ligatures w14:val="none"/>
        </w:rPr>
        <w:t xml:space="preserve"> a management</w:t>
      </w:r>
      <w:r w:rsidRPr="00BF26DA">
        <w:rPr>
          <w:rFonts w:eastAsia="Times New Roman" w:cs="Arial"/>
          <w:kern w:val="0"/>
          <w:szCs w:val="24"/>
          <w:lang w:eastAsia="en-GB"/>
          <w14:ligatures w14:val="none"/>
        </w:rPr>
        <w:t xml:space="preserve">, 24(1), pp. 66–83. Available at: </w:t>
      </w:r>
      <w:hyperlink w:history="1" r:id="rId7">
        <w:r w:rsidRPr="00BF26DA">
          <w:rPr>
            <w:rStyle w:val="Hyperlink"/>
            <w:rFonts w:eastAsia="Times New Roman" w:cs="Arial"/>
            <w:kern w:val="0"/>
            <w:szCs w:val="24"/>
            <w:lang w:eastAsia="en-GB"/>
            <w14:ligatures w14:val="none"/>
          </w:rPr>
          <w:t>https://doi.org/10.15240/tul/2021-1-005</w:t>
        </w:r>
      </w:hyperlink>
      <w:r w:rsidRPr="00BF26DA">
        <w:rPr>
          <w:rFonts w:eastAsia="Times New Roman" w:cs="Arial"/>
          <w:kern w:val="0"/>
          <w:szCs w:val="24"/>
          <w:lang w:eastAsia="en-GB"/>
          <w14:ligatures w14:val="none"/>
        </w:rPr>
        <w:t>.</w:t>
      </w:r>
    </w:p>
    <w:p w:rsidR="00AF1970" w:rsidP="00AF1970" w:rsidRDefault="00AF1970" w14:paraId="6CD42F24" w14:textId="77777777">
      <w:pPr>
        <w:spacing w:after="0" w:line="240" w:lineRule="auto"/>
        <w:rPr>
          <w:rFonts w:ascii="Times New Roman" w:hAnsi="Times New Roman" w:eastAsia="Times New Roman" w:cs="Times New Roman"/>
          <w:kern w:val="0"/>
          <w:szCs w:val="24"/>
          <w:lang w:eastAsia="en-GB"/>
          <w14:ligatures w14:val="none"/>
        </w:rPr>
      </w:pPr>
    </w:p>
    <w:p w:rsidR="00AF1970" w:rsidP="00AF1970" w:rsidRDefault="00AF1970" w14:paraId="7D65333E" w14:textId="764273AF">
      <w:pPr>
        <w:spacing w:after="0" w:line="240" w:lineRule="auto"/>
        <w:rPr>
          <w:rFonts w:eastAsia="Times New Roman" w:cs="Arial"/>
          <w:kern w:val="0"/>
          <w:szCs w:val="24"/>
          <w:lang w:eastAsia="en-GB"/>
          <w14:ligatures w14:val="none"/>
        </w:rPr>
      </w:pPr>
      <w:r w:rsidRPr="00BF26DA">
        <w:rPr>
          <w:rFonts w:eastAsia="Times New Roman" w:cs="Arial"/>
          <w:kern w:val="0"/>
          <w:szCs w:val="24"/>
          <w:lang w:eastAsia="en-GB"/>
          <w14:ligatures w14:val="none"/>
        </w:rPr>
        <w:t xml:space="preserve">Cieslak, V. and Valor, C. (2025) “Moving beyond conventional resistance and resistors: an integrative review of employee resistance to digital transformation,” </w:t>
      </w:r>
      <w:r w:rsidRPr="00BF26DA">
        <w:rPr>
          <w:rFonts w:eastAsia="Times New Roman" w:cs="Arial"/>
          <w:i/>
          <w:iCs/>
          <w:kern w:val="0"/>
          <w:szCs w:val="24"/>
          <w:lang w:eastAsia="en-GB"/>
          <w14:ligatures w14:val="none"/>
        </w:rPr>
        <w:t>Cogent business &amp; management</w:t>
      </w:r>
      <w:r w:rsidRPr="00BF26DA">
        <w:rPr>
          <w:rFonts w:eastAsia="Times New Roman" w:cs="Arial"/>
          <w:kern w:val="0"/>
          <w:szCs w:val="24"/>
          <w:lang w:eastAsia="en-GB"/>
          <w14:ligatures w14:val="none"/>
        </w:rPr>
        <w:t xml:space="preserve">. Abingdon: Cogent. Available at: </w:t>
      </w:r>
      <w:hyperlink w:history="1" r:id="rId8">
        <w:r w:rsidRPr="00BF26DA">
          <w:rPr>
            <w:rStyle w:val="Hyperlink"/>
            <w:rFonts w:eastAsia="Times New Roman" w:cs="Arial"/>
            <w:kern w:val="0"/>
            <w:szCs w:val="24"/>
            <w:lang w:eastAsia="en-GB"/>
            <w14:ligatures w14:val="none"/>
          </w:rPr>
          <w:t>https://doi.org/10.1080/23311975.2024.2442550</w:t>
        </w:r>
      </w:hyperlink>
      <w:r w:rsidRPr="00BF26DA">
        <w:rPr>
          <w:rFonts w:eastAsia="Times New Roman" w:cs="Arial"/>
          <w:kern w:val="0"/>
          <w:szCs w:val="24"/>
          <w:lang w:eastAsia="en-GB"/>
          <w14:ligatures w14:val="none"/>
        </w:rPr>
        <w:t>.</w:t>
      </w:r>
    </w:p>
    <w:p w:rsidR="00A04585" w:rsidP="00AF1970" w:rsidRDefault="00A04585" w14:paraId="3ABB21E9" w14:textId="77777777">
      <w:pPr>
        <w:spacing w:after="0" w:line="240" w:lineRule="auto"/>
        <w:rPr>
          <w:rFonts w:eastAsia="Times New Roman" w:cs="Arial"/>
          <w:kern w:val="0"/>
          <w:szCs w:val="24"/>
          <w:lang w:eastAsia="en-GB"/>
          <w14:ligatures w14:val="none"/>
        </w:rPr>
      </w:pPr>
    </w:p>
    <w:p w:rsidR="00AB44A1" w:rsidP="00AF1970" w:rsidRDefault="00AB44A1" w14:paraId="53BE66B2" w14:textId="77777777">
      <w:pPr>
        <w:spacing w:after="0" w:line="240" w:lineRule="auto"/>
        <w:rPr>
          <w:rFonts w:eastAsia="Times New Roman" w:cs="Arial"/>
          <w:kern w:val="0"/>
          <w:szCs w:val="24"/>
          <w:lang w:eastAsia="en-GB"/>
          <w14:ligatures w14:val="none"/>
        </w:rPr>
      </w:pPr>
    </w:p>
    <w:p w:rsidR="00AB44A1" w:rsidP="00AB44A1" w:rsidRDefault="00AB44A1" w14:paraId="7323ACFE" w14:textId="1FBEE17D">
      <w:pPr>
        <w:spacing w:after="0" w:line="240" w:lineRule="auto"/>
        <w:rPr>
          <w:rFonts w:eastAsia="Times New Roman" w:cs="Arial"/>
          <w:kern w:val="0"/>
          <w:szCs w:val="24"/>
          <w:lang w:eastAsia="en-GB"/>
          <w14:ligatures w14:val="none"/>
        </w:rPr>
      </w:pPr>
      <w:r w:rsidRPr="00AB44A1">
        <w:rPr>
          <w:rFonts w:eastAsia="Times New Roman" w:cs="Arial"/>
          <w:kern w:val="0"/>
          <w:szCs w:val="24"/>
          <w:lang w:eastAsia="en-GB"/>
          <w14:ligatures w14:val="none"/>
        </w:rPr>
        <w:t xml:space="preserve">Knezović, E. and Smajić, H. (2022) “Employee Participation in the Decision-Making Process and Organizational Citizenship </w:t>
      </w:r>
      <w:proofErr w:type="spellStart"/>
      <w:r w:rsidRPr="00AB44A1">
        <w:rPr>
          <w:rFonts w:eastAsia="Times New Roman" w:cs="Arial"/>
          <w:kern w:val="0"/>
          <w:szCs w:val="24"/>
          <w:lang w:eastAsia="en-GB"/>
          <w14:ligatures w14:val="none"/>
        </w:rPr>
        <w:t>Behavior</w:t>
      </w:r>
      <w:proofErr w:type="spellEnd"/>
      <w:r w:rsidRPr="00AB44A1">
        <w:rPr>
          <w:rFonts w:eastAsia="Times New Roman" w:cs="Arial"/>
          <w:kern w:val="0"/>
          <w:szCs w:val="24"/>
          <w:lang w:eastAsia="en-GB"/>
          <w14:ligatures w14:val="none"/>
        </w:rPr>
        <w:t xml:space="preserve">: The Mediating Role of Affective Commitment,” </w:t>
      </w:r>
      <w:proofErr w:type="spellStart"/>
      <w:r w:rsidRPr="00AB44A1">
        <w:rPr>
          <w:rFonts w:eastAsia="Times New Roman" w:cs="Arial"/>
          <w:i/>
          <w:iCs/>
          <w:kern w:val="0"/>
          <w:szCs w:val="24"/>
          <w:lang w:eastAsia="en-GB"/>
          <w14:ligatures w14:val="none"/>
        </w:rPr>
        <w:t>Organizacija</w:t>
      </w:r>
      <w:proofErr w:type="spellEnd"/>
      <w:r w:rsidRPr="00AB44A1">
        <w:rPr>
          <w:rFonts w:eastAsia="Times New Roman" w:cs="Arial"/>
          <w:kern w:val="0"/>
          <w:szCs w:val="24"/>
          <w:lang w:eastAsia="en-GB"/>
          <w14:ligatures w14:val="none"/>
        </w:rPr>
        <w:t xml:space="preserve">, 55(1), pp. 64–76. Available at: </w:t>
      </w:r>
      <w:hyperlink w:history="1" r:id="rId9">
        <w:r w:rsidRPr="003008F7">
          <w:rPr>
            <w:rStyle w:val="Hyperlink"/>
            <w:rFonts w:eastAsia="Times New Roman" w:cs="Arial"/>
            <w:kern w:val="0"/>
            <w:szCs w:val="24"/>
            <w:lang w:eastAsia="en-GB"/>
            <w14:ligatures w14:val="none"/>
          </w:rPr>
          <w:t>https://doi.org/10.2478/orga-2022-0005</w:t>
        </w:r>
      </w:hyperlink>
      <w:r w:rsidRPr="00AB44A1">
        <w:rPr>
          <w:rFonts w:eastAsia="Times New Roman" w:cs="Arial"/>
          <w:kern w:val="0"/>
          <w:szCs w:val="24"/>
          <w:lang w:eastAsia="en-GB"/>
          <w14:ligatures w14:val="none"/>
        </w:rPr>
        <w:t>.</w:t>
      </w:r>
    </w:p>
    <w:p w:rsidR="00AF1970" w:rsidP="00AF1970" w:rsidRDefault="00AF1970" w14:paraId="37DC0B1A" w14:textId="77777777">
      <w:pPr>
        <w:spacing w:after="0" w:line="240" w:lineRule="auto"/>
        <w:rPr>
          <w:rFonts w:ascii="Times New Roman" w:hAnsi="Times New Roman" w:eastAsia="Times New Roman" w:cs="Times New Roman"/>
          <w:kern w:val="0"/>
          <w:szCs w:val="24"/>
          <w:lang w:eastAsia="en-GB"/>
          <w14:ligatures w14:val="none"/>
        </w:rPr>
      </w:pPr>
    </w:p>
    <w:p w:rsidRPr="00BF26DA" w:rsidR="006F6248" w:rsidP="00AF1970" w:rsidRDefault="006F6248" w14:paraId="1153DE7D" w14:textId="48716BA3">
      <w:pPr>
        <w:spacing w:after="0" w:line="240" w:lineRule="auto"/>
        <w:rPr>
          <w:rFonts w:eastAsia="Times New Roman" w:cs="Arial"/>
          <w:kern w:val="0"/>
          <w:szCs w:val="24"/>
          <w:lang w:eastAsia="en-GB"/>
          <w14:ligatures w14:val="none"/>
        </w:rPr>
      </w:pPr>
      <w:proofErr w:type="spellStart"/>
      <w:r w:rsidRPr="00BF26DA">
        <w:rPr>
          <w:rFonts w:eastAsia="Times New Roman" w:cs="Arial"/>
          <w:kern w:val="0"/>
          <w:szCs w:val="24"/>
          <w:lang w:eastAsia="en-GB"/>
          <w14:ligatures w14:val="none"/>
        </w:rPr>
        <w:t>Koeswayo</w:t>
      </w:r>
      <w:proofErr w:type="spellEnd"/>
      <w:r w:rsidRPr="00BF26DA">
        <w:rPr>
          <w:rFonts w:eastAsia="Times New Roman" w:cs="Arial"/>
          <w:kern w:val="0"/>
          <w:szCs w:val="24"/>
          <w:lang w:eastAsia="en-GB"/>
          <w14:ligatures w14:val="none"/>
        </w:rPr>
        <w:t xml:space="preserve">, P.S., Haryanto, H. and </w:t>
      </w:r>
      <w:proofErr w:type="spellStart"/>
      <w:r w:rsidRPr="00BF26DA">
        <w:rPr>
          <w:rFonts w:eastAsia="Times New Roman" w:cs="Arial"/>
          <w:kern w:val="0"/>
          <w:szCs w:val="24"/>
          <w:lang w:eastAsia="en-GB"/>
          <w14:ligatures w14:val="none"/>
        </w:rPr>
        <w:t>Handoyo</w:t>
      </w:r>
      <w:proofErr w:type="spellEnd"/>
      <w:r w:rsidRPr="00BF26DA">
        <w:rPr>
          <w:rFonts w:eastAsia="Times New Roman" w:cs="Arial"/>
          <w:kern w:val="0"/>
          <w:szCs w:val="24"/>
          <w:lang w:eastAsia="en-GB"/>
          <w14:ligatures w14:val="none"/>
        </w:rPr>
        <w:t xml:space="preserve">, S. (2024) “The impact of corporate governance, internal control and corporate reputation on employee engagement: a moderating role of leadership style,” </w:t>
      </w:r>
      <w:r w:rsidRPr="00BF26DA">
        <w:rPr>
          <w:rFonts w:eastAsia="Times New Roman" w:cs="Arial"/>
          <w:i/>
          <w:iCs/>
          <w:kern w:val="0"/>
          <w:szCs w:val="24"/>
          <w:lang w:eastAsia="en-GB"/>
          <w14:ligatures w14:val="none"/>
        </w:rPr>
        <w:t>Cogent business &amp; management</w:t>
      </w:r>
      <w:r w:rsidRPr="00BF26DA">
        <w:rPr>
          <w:rFonts w:eastAsia="Times New Roman" w:cs="Arial"/>
          <w:kern w:val="0"/>
          <w:szCs w:val="24"/>
          <w:lang w:eastAsia="en-GB"/>
          <w14:ligatures w14:val="none"/>
        </w:rPr>
        <w:t xml:space="preserve">, 11(1), pp. 1–34. Available at: </w:t>
      </w:r>
      <w:hyperlink w:history="1" r:id="rId10">
        <w:r w:rsidRPr="00BF26DA">
          <w:rPr>
            <w:rStyle w:val="Hyperlink"/>
            <w:rFonts w:eastAsia="Times New Roman" w:cs="Arial"/>
            <w:kern w:val="0"/>
            <w:szCs w:val="24"/>
            <w:lang w:eastAsia="en-GB"/>
            <w14:ligatures w14:val="none"/>
          </w:rPr>
          <w:t>https://doi.org/10.1080/23311975.2023.2296698</w:t>
        </w:r>
      </w:hyperlink>
      <w:r w:rsidRPr="00BF26DA">
        <w:rPr>
          <w:rFonts w:eastAsia="Times New Roman" w:cs="Arial"/>
          <w:kern w:val="0"/>
          <w:szCs w:val="24"/>
          <w:lang w:eastAsia="en-GB"/>
          <w14:ligatures w14:val="none"/>
        </w:rPr>
        <w:t>.</w:t>
      </w:r>
    </w:p>
    <w:p w:rsidR="006F6248" w:rsidP="00AF1970" w:rsidRDefault="006F6248" w14:paraId="0C62E02C" w14:textId="77777777">
      <w:pPr>
        <w:spacing w:after="0" w:line="240" w:lineRule="auto"/>
        <w:rPr>
          <w:rFonts w:ascii="Times New Roman" w:hAnsi="Times New Roman" w:eastAsia="Times New Roman" w:cs="Times New Roman"/>
          <w:kern w:val="0"/>
          <w:szCs w:val="24"/>
          <w:lang w:eastAsia="en-GB"/>
          <w14:ligatures w14:val="none"/>
        </w:rPr>
      </w:pPr>
    </w:p>
    <w:p w:rsidRPr="00BF26DA" w:rsidR="006F6248" w:rsidP="00AF1970" w:rsidRDefault="006F6248" w14:paraId="7C656B6D" w14:textId="1AD350C7">
      <w:pPr>
        <w:spacing w:after="0" w:line="240" w:lineRule="auto"/>
      </w:pPr>
      <w:r w:rsidRPr="27CFAE59" w:rsidR="006F6248">
        <w:rPr>
          <w:rFonts w:eastAsia="Times New Roman" w:cs="Arial"/>
          <w:kern w:val="0"/>
          <w:lang w:eastAsia="en-GB"/>
          <w14:ligatures w14:val="none"/>
        </w:rPr>
        <w:t>Lambovska</w:t>
      </w:r>
      <w:r w:rsidRPr="27CFAE59" w:rsidR="006F6248">
        <w:rPr>
          <w:rFonts w:eastAsia="Times New Roman" w:cs="Arial"/>
          <w:kern w:val="0"/>
          <w:lang w:eastAsia="en-GB"/>
          <w14:ligatures w14:val="none"/>
        </w:rPr>
        <w:t>, M. and Angelova-</w:t>
      </w:r>
      <w:r w:rsidRPr="27CFAE59" w:rsidR="006F6248">
        <w:rPr>
          <w:rFonts w:eastAsia="Times New Roman" w:cs="Arial"/>
          <w:kern w:val="0"/>
          <w:lang w:eastAsia="en-GB"/>
          <w14:ligatures w14:val="none"/>
        </w:rPr>
        <w:t>Stanimirova</w:t>
      </w:r>
      <w:r w:rsidRPr="27CFAE59" w:rsidR="006F6248">
        <w:rPr>
          <w:rFonts w:eastAsia="Times New Roman" w:cs="Arial"/>
          <w:kern w:val="0"/>
          <w:lang w:eastAsia="en-GB"/>
          <w14:ligatures w14:val="none"/>
        </w:rPr>
        <w:t xml:space="preserve">, A. (2025) “Unveiling Challenges to Management Control Systems in Higher Education: A Systematic Literature Review,” </w:t>
      </w:r>
      <w:r w:rsidRPr="27CFAE59" w:rsidR="006F6248">
        <w:rPr>
          <w:rFonts w:eastAsia="Times New Roman" w:cs="Arial"/>
          <w:i w:val="1"/>
          <w:iCs w:val="1"/>
          <w:kern w:val="0"/>
          <w:lang w:eastAsia="en-GB"/>
          <w14:ligatures w14:val="none"/>
        </w:rPr>
        <w:t>World</w:t>
      </w:r>
      <w:r w:rsidRPr="27CFAE59" w:rsidR="006F6248">
        <w:rPr>
          <w:rFonts w:eastAsia="Times New Roman" w:cs="Arial"/>
          <w:kern w:val="0"/>
          <w:lang w:eastAsia="en-GB"/>
          <w14:ligatures w14:val="none"/>
        </w:rPr>
        <w:t xml:space="preserve">. Basel: MDPI AG, p. 100. Available at: </w:t>
      </w:r>
      <w:r>
        <w:fldChar w:fldCharType="begin"/>
      </w:r>
      <w:r>
        <w:instrText xml:space="preserve">HYPERLINK "https://doi.org/10.3390/world6030100"</w:instrText>
      </w:r>
      <w:r>
        <w:fldChar w:fldCharType="separate"/>
      </w:r>
      <w:r w:rsidRPr="27CFAE59" w:rsidR="006F6248">
        <w:rPr>
          <w:rStyle w:val="Hyperlink"/>
          <w:rFonts w:eastAsia="Times New Roman" w:cs="Arial"/>
          <w:kern w:val="0"/>
          <w:lang w:eastAsia="en-GB"/>
          <w14:ligatures w14:val="none"/>
        </w:rPr>
        <w:t>https://doi.org/10.3390/world6030100</w:t>
      </w:r>
      <w:r>
        <w:fldChar w:fldCharType="end"/>
      </w:r>
      <w:r w:rsidRPr="27CFAE59" w:rsidR="006F6248">
        <w:rPr>
          <w:rFonts w:eastAsia="Times New Roman" w:cs="Arial"/>
          <w:kern w:val="0"/>
          <w:lang w:eastAsia="en-GB"/>
          <w14:ligatures w14:val="none"/>
        </w:rPr>
        <w:t>.</w:t>
      </w:r>
    </w:p>
    <w:p w:rsidR="27CFAE59" w:rsidP="27CFAE59" w:rsidRDefault="27CFAE59" w14:paraId="618E71E3" w14:textId="0AAD8DB4">
      <w:pPr>
        <w:spacing w:after="0" w:line="240" w:lineRule="auto"/>
        <w:rPr>
          <w:rFonts w:eastAsia="Times New Roman" w:cs="Arial"/>
          <w:lang w:eastAsia="en-GB"/>
        </w:rPr>
      </w:pPr>
    </w:p>
    <w:p w:rsidR="2AB535BE" w:rsidP="27CFAE59" w:rsidRDefault="2AB535BE" w14:paraId="2AC01378" w14:textId="6F7EE2B2">
      <w:pPr>
        <w:spacing w:before="0" w:beforeAutospacing="off" w:after="0" w:afterAutospacing="off"/>
      </w:pPr>
      <w:r w:rsidRPr="27CFAE59" w:rsidR="2AB535BE">
        <w:rPr>
          <w:rFonts w:ascii="Arial" w:hAnsi="Arial" w:eastAsia="Arial" w:cs="Arial"/>
          <w:noProof w:val="0"/>
          <w:sz w:val="24"/>
          <w:szCs w:val="24"/>
          <w:lang w:val="en-GB"/>
        </w:rPr>
        <w:t xml:space="preserve">Nancy Brinson </w:t>
      </w:r>
      <w:r w:rsidRPr="27CFAE59" w:rsidR="2AB535BE">
        <w:rPr>
          <w:rFonts w:ascii="Arial" w:hAnsi="Arial" w:eastAsia="Arial" w:cs="Arial"/>
          <w:i w:val="1"/>
          <w:iCs w:val="1"/>
          <w:noProof w:val="0"/>
          <w:sz w:val="24"/>
          <w:szCs w:val="24"/>
          <w:lang w:val="en-GB"/>
        </w:rPr>
        <w:t>et al.</w:t>
      </w:r>
      <w:r w:rsidRPr="27CFAE59" w:rsidR="2AB535BE">
        <w:rPr>
          <w:rFonts w:ascii="Arial" w:hAnsi="Arial" w:eastAsia="Arial" w:cs="Arial"/>
          <w:noProof w:val="0"/>
          <w:sz w:val="24"/>
          <w:szCs w:val="24"/>
          <w:lang w:val="en-GB"/>
        </w:rPr>
        <w:t xml:space="preserve"> (2024) “Electronic performance monitoring: The role of reactance, trust, and privacy concerns in predicting job satisfaction in the post-pandemic workplace,” </w:t>
      </w:r>
      <w:r w:rsidRPr="27CFAE59" w:rsidR="2AB535BE">
        <w:rPr>
          <w:rFonts w:ascii="Arial" w:hAnsi="Arial" w:eastAsia="Arial" w:cs="Arial"/>
          <w:i w:val="1"/>
          <w:iCs w:val="1"/>
          <w:noProof w:val="0"/>
          <w:sz w:val="24"/>
          <w:szCs w:val="24"/>
          <w:lang w:val="en-GB"/>
        </w:rPr>
        <w:t>Cyberpsychology</w:t>
      </w:r>
      <w:r w:rsidRPr="27CFAE59" w:rsidR="2AB535BE">
        <w:rPr>
          <w:rFonts w:ascii="Arial" w:hAnsi="Arial" w:eastAsia="Arial" w:cs="Arial"/>
          <w:noProof w:val="0"/>
          <w:sz w:val="24"/>
          <w:szCs w:val="24"/>
          <w:lang w:val="en-GB"/>
        </w:rPr>
        <w:t xml:space="preserve">, 18(5). Available at: </w:t>
      </w:r>
      <w:hyperlink r:id="R857d18adc5ea44c9">
        <w:r w:rsidRPr="27CFAE59" w:rsidR="2AB535BE">
          <w:rPr>
            <w:rStyle w:val="Hyperlink"/>
            <w:rFonts w:ascii="Arial" w:hAnsi="Arial" w:eastAsia="Arial" w:cs="Arial"/>
            <w:noProof w:val="0"/>
            <w:sz w:val="24"/>
            <w:szCs w:val="24"/>
            <w:lang w:val="en-GB"/>
          </w:rPr>
          <w:t>https://doi.org/10.5817/CP2024-5-10</w:t>
        </w:r>
      </w:hyperlink>
      <w:r w:rsidRPr="27CFAE59" w:rsidR="2AB535BE">
        <w:rPr>
          <w:rFonts w:ascii="Arial" w:hAnsi="Arial" w:eastAsia="Arial" w:cs="Arial"/>
          <w:noProof w:val="0"/>
          <w:sz w:val="24"/>
          <w:szCs w:val="24"/>
          <w:lang w:val="en-GB"/>
        </w:rPr>
        <w:t>.</w:t>
      </w:r>
    </w:p>
    <w:p w:rsidR="006F6248" w:rsidP="00AF1970" w:rsidRDefault="006F6248" w14:paraId="52545E88" w14:textId="77777777">
      <w:pPr>
        <w:spacing w:after="0" w:line="240" w:lineRule="auto"/>
        <w:rPr>
          <w:rFonts w:ascii="Times New Roman" w:hAnsi="Times New Roman" w:eastAsia="Times New Roman" w:cs="Times New Roman"/>
          <w:kern w:val="0"/>
          <w:szCs w:val="24"/>
          <w:lang w:eastAsia="en-GB"/>
          <w14:ligatures w14:val="none"/>
        </w:rPr>
      </w:pPr>
    </w:p>
    <w:p w:rsidRPr="00BF26DA" w:rsidR="001A1971" w:rsidP="001A1971" w:rsidRDefault="001A1971" w14:paraId="12395204" w14:textId="77777777">
      <w:pPr>
        <w:spacing w:after="0" w:line="240" w:lineRule="auto"/>
        <w:rPr>
          <w:rFonts w:eastAsia="Times New Roman" w:cs="Arial"/>
          <w:kern w:val="0"/>
          <w:szCs w:val="24"/>
          <w:lang w:eastAsia="en-GB"/>
          <w14:ligatures w14:val="none"/>
        </w:rPr>
      </w:pPr>
      <w:proofErr w:type="spellStart"/>
      <w:r w:rsidRPr="00BF26DA">
        <w:rPr>
          <w:rFonts w:eastAsia="Times New Roman" w:cs="Arial"/>
          <w:kern w:val="0"/>
          <w:szCs w:val="24"/>
          <w:lang w:eastAsia="en-GB"/>
          <w14:ligatures w14:val="none"/>
        </w:rPr>
        <w:t>Pissardini</w:t>
      </w:r>
      <w:proofErr w:type="spellEnd"/>
      <w:r w:rsidRPr="00BF26DA">
        <w:rPr>
          <w:rFonts w:eastAsia="Times New Roman" w:cs="Arial"/>
          <w:kern w:val="0"/>
          <w:szCs w:val="24"/>
          <w:lang w:eastAsia="en-GB"/>
          <w14:ligatures w14:val="none"/>
        </w:rPr>
        <w:t xml:space="preserve">, P.E. </w:t>
      </w:r>
      <w:r w:rsidRPr="00BF26DA">
        <w:rPr>
          <w:rFonts w:eastAsia="Times New Roman" w:cs="Arial"/>
          <w:i/>
          <w:iCs/>
          <w:kern w:val="0"/>
          <w:szCs w:val="24"/>
          <w:lang w:eastAsia="en-GB"/>
          <w14:ligatures w14:val="none"/>
        </w:rPr>
        <w:t>et al.</w:t>
      </w:r>
      <w:r w:rsidRPr="00BF26DA">
        <w:rPr>
          <w:rFonts w:eastAsia="Times New Roman" w:cs="Arial"/>
          <w:kern w:val="0"/>
          <w:szCs w:val="24"/>
          <w:lang w:eastAsia="en-GB"/>
          <w14:ligatures w14:val="none"/>
        </w:rPr>
        <w:t xml:space="preserve"> (2024) “Smart-enhanced organisational functions: A framework comprising capabilities, barriers, and evolutional path,” </w:t>
      </w:r>
      <w:r w:rsidRPr="00BF26DA">
        <w:rPr>
          <w:rFonts w:eastAsia="Times New Roman" w:cs="Arial"/>
          <w:i/>
          <w:iCs/>
          <w:kern w:val="0"/>
          <w:szCs w:val="24"/>
          <w:lang w:eastAsia="en-GB"/>
          <w14:ligatures w14:val="none"/>
        </w:rPr>
        <w:t>Expert systems with applications</w:t>
      </w:r>
      <w:r w:rsidRPr="00BF26DA">
        <w:rPr>
          <w:rFonts w:eastAsia="Times New Roman" w:cs="Arial"/>
          <w:kern w:val="0"/>
          <w:szCs w:val="24"/>
          <w:lang w:eastAsia="en-GB"/>
          <w14:ligatures w14:val="none"/>
        </w:rPr>
        <w:t>, 255. Available at: https://doi.org/10.1016/j.eswa.2024.124530.</w:t>
      </w:r>
    </w:p>
    <w:p w:rsidR="001A1971" w:rsidP="00AF1970" w:rsidRDefault="001A1971" w14:paraId="30A7DE85" w14:textId="77777777">
      <w:pPr>
        <w:spacing w:after="0" w:line="240" w:lineRule="auto"/>
        <w:rPr>
          <w:rFonts w:ascii="Times New Roman" w:hAnsi="Times New Roman" w:eastAsia="Times New Roman" w:cs="Times New Roman"/>
          <w:kern w:val="0"/>
          <w:szCs w:val="24"/>
          <w:lang w:eastAsia="en-GB"/>
          <w14:ligatures w14:val="none"/>
        </w:rPr>
      </w:pPr>
    </w:p>
    <w:p w:rsidR="001A1971" w:rsidP="00AF1970" w:rsidRDefault="001A1971" w14:paraId="600CA5CB" w14:textId="57CEEABC">
      <w:pPr>
        <w:spacing w:after="0" w:line="240" w:lineRule="auto"/>
        <w:rPr>
          <w:rFonts w:ascii="Times New Roman" w:hAnsi="Times New Roman" w:eastAsia="Times New Roman" w:cs="Times New Roman"/>
          <w:kern w:val="0"/>
          <w:szCs w:val="24"/>
          <w:lang w:eastAsia="en-GB"/>
          <w14:ligatures w14:val="none"/>
        </w:rPr>
      </w:pPr>
      <w:r w:rsidRPr="001A1971">
        <w:rPr>
          <w:rFonts w:ascii="Times New Roman" w:hAnsi="Times New Roman" w:eastAsia="Times New Roman" w:cs="Times New Roman"/>
          <w:kern w:val="0"/>
          <w:szCs w:val="24"/>
          <w:lang w:eastAsia="en-GB"/>
          <w14:ligatures w14:val="none"/>
        </w:rPr>
        <w:t xml:space="preserve">Quesado, P., Silva, R. and Oliveira, H.C. (2024) “Management Control Systems and Sustainability: A Bibliometric Analysis,” </w:t>
      </w:r>
      <w:r w:rsidRPr="001A1971">
        <w:rPr>
          <w:rFonts w:ascii="Times New Roman" w:hAnsi="Times New Roman" w:eastAsia="Times New Roman" w:cs="Times New Roman"/>
          <w:i/>
          <w:iCs/>
          <w:kern w:val="0"/>
          <w:szCs w:val="24"/>
          <w:lang w:eastAsia="en-GB"/>
          <w14:ligatures w14:val="none"/>
        </w:rPr>
        <w:t>Sustainability</w:t>
      </w:r>
      <w:r w:rsidRPr="001A1971">
        <w:rPr>
          <w:rFonts w:ascii="Times New Roman" w:hAnsi="Times New Roman" w:eastAsia="Times New Roman" w:cs="Times New Roman"/>
          <w:kern w:val="0"/>
          <w:szCs w:val="24"/>
          <w:lang w:eastAsia="en-GB"/>
          <w14:ligatures w14:val="none"/>
        </w:rPr>
        <w:t xml:space="preserve">, 16(12), p. 5067. Available at: </w:t>
      </w:r>
      <w:hyperlink w:history="1" r:id="rId12">
        <w:r w:rsidRPr="003008F7">
          <w:rPr>
            <w:rStyle w:val="Hyperlink"/>
            <w:rFonts w:ascii="Times New Roman" w:hAnsi="Times New Roman" w:eastAsia="Times New Roman" w:cs="Times New Roman"/>
            <w:kern w:val="0"/>
            <w:szCs w:val="24"/>
            <w:lang w:eastAsia="en-GB"/>
            <w14:ligatures w14:val="none"/>
          </w:rPr>
          <w:t>https://doi.org/10.3390/su16125067</w:t>
        </w:r>
      </w:hyperlink>
      <w:r w:rsidRPr="001A1971">
        <w:rPr>
          <w:rFonts w:ascii="Times New Roman" w:hAnsi="Times New Roman" w:eastAsia="Times New Roman" w:cs="Times New Roman"/>
          <w:kern w:val="0"/>
          <w:szCs w:val="24"/>
          <w:lang w:eastAsia="en-GB"/>
          <w14:ligatures w14:val="none"/>
        </w:rPr>
        <w:t>.</w:t>
      </w:r>
    </w:p>
    <w:p w:rsidR="001227EB" w:rsidP="00AF1970" w:rsidRDefault="001227EB" w14:paraId="7488C4AE" w14:textId="77777777">
      <w:pPr>
        <w:spacing w:after="0" w:line="240" w:lineRule="auto"/>
        <w:rPr>
          <w:rFonts w:ascii="Times New Roman" w:hAnsi="Times New Roman" w:eastAsia="Times New Roman" w:cs="Times New Roman"/>
          <w:kern w:val="0"/>
          <w:szCs w:val="24"/>
          <w:lang w:eastAsia="en-GB"/>
          <w14:ligatures w14:val="none"/>
        </w:rPr>
      </w:pPr>
    </w:p>
    <w:p w:rsidRPr="001227EB" w:rsidR="001227EB" w:rsidP="001227EB" w:rsidRDefault="001227EB" w14:paraId="1EEC5372" w14:textId="77777777">
      <w:pPr>
        <w:spacing w:after="0" w:line="240" w:lineRule="auto"/>
        <w:rPr>
          <w:rFonts w:eastAsia="Times New Roman" w:cs="Arial"/>
          <w:kern w:val="0"/>
          <w:szCs w:val="24"/>
          <w:lang w:eastAsia="en-GB"/>
          <w14:ligatures w14:val="none"/>
        </w:rPr>
      </w:pPr>
      <w:r w:rsidRPr="001227EB">
        <w:rPr>
          <w:rFonts w:eastAsia="Times New Roman" w:cs="Arial"/>
          <w:kern w:val="0"/>
          <w:szCs w:val="24"/>
          <w:lang w:eastAsia="en-GB"/>
          <w14:ligatures w14:val="none"/>
        </w:rPr>
        <w:t xml:space="preserve">Roffia, P. and Dabić, M. (2024) “The role of management control and integrated information systems for the resilience of SMEs,” </w:t>
      </w:r>
      <w:r w:rsidRPr="001227EB">
        <w:rPr>
          <w:rFonts w:eastAsia="Times New Roman" w:cs="Arial"/>
          <w:i/>
          <w:iCs/>
          <w:kern w:val="0"/>
          <w:szCs w:val="24"/>
          <w:lang w:eastAsia="en-GB"/>
          <w14:ligatures w14:val="none"/>
        </w:rPr>
        <w:t>Review of managerial science</w:t>
      </w:r>
      <w:r w:rsidRPr="001227EB">
        <w:rPr>
          <w:rFonts w:eastAsia="Times New Roman" w:cs="Arial"/>
          <w:kern w:val="0"/>
          <w:szCs w:val="24"/>
          <w:lang w:eastAsia="en-GB"/>
          <w14:ligatures w14:val="none"/>
        </w:rPr>
        <w:t>, 18(5), pp. 1353–1375. Available at: https://doi.org/10.1007/s11846-023-00657-6.</w:t>
      </w:r>
    </w:p>
    <w:p w:rsidR="001A1971" w:rsidP="00AF1970" w:rsidRDefault="001A1971" w14:paraId="7FF8542C" w14:textId="77777777">
      <w:pPr>
        <w:spacing w:after="0" w:line="240" w:lineRule="auto"/>
        <w:rPr>
          <w:rFonts w:ascii="Times New Roman" w:hAnsi="Times New Roman" w:eastAsia="Times New Roman" w:cs="Times New Roman"/>
          <w:kern w:val="0"/>
          <w:szCs w:val="24"/>
          <w:lang w:eastAsia="en-GB"/>
          <w14:ligatures w14:val="none"/>
        </w:rPr>
      </w:pPr>
    </w:p>
    <w:p w:rsidRPr="00BF26DA" w:rsidR="00FA1B50" w:rsidP="00FA1B50" w:rsidRDefault="00FA1B50" w14:paraId="7C71F941" w14:textId="1AADCEE8">
      <w:pPr>
        <w:spacing w:after="0" w:line="240" w:lineRule="auto"/>
        <w:rPr>
          <w:rFonts w:eastAsia="Times New Roman" w:cs="Arial"/>
          <w:kern w:val="0"/>
          <w:szCs w:val="24"/>
          <w:lang w:eastAsia="en-GB"/>
          <w14:ligatures w14:val="none"/>
        </w:rPr>
      </w:pPr>
      <w:r w:rsidRPr="00BF26DA">
        <w:rPr>
          <w:rFonts w:eastAsia="Times New Roman" w:cs="Arial"/>
          <w:kern w:val="0"/>
          <w:szCs w:val="24"/>
          <w:lang w:eastAsia="en-GB"/>
          <w14:ligatures w14:val="none"/>
        </w:rPr>
        <w:t xml:space="preserve">Saputra, N. </w:t>
      </w:r>
      <w:r w:rsidRPr="00BF26DA">
        <w:rPr>
          <w:rFonts w:eastAsia="Times New Roman" w:cs="Arial"/>
          <w:i/>
          <w:iCs/>
          <w:kern w:val="0"/>
          <w:szCs w:val="24"/>
          <w:lang w:eastAsia="en-GB"/>
          <w14:ligatures w14:val="none"/>
        </w:rPr>
        <w:t>et al.</w:t>
      </w:r>
      <w:r w:rsidRPr="00BF26DA">
        <w:rPr>
          <w:rFonts w:eastAsia="Times New Roman" w:cs="Arial"/>
          <w:kern w:val="0"/>
          <w:szCs w:val="24"/>
          <w:lang w:eastAsia="en-GB"/>
          <w14:ligatures w14:val="none"/>
        </w:rPr>
        <w:t xml:space="preserve"> (2024) “Capacity building for organizational performance: a systematic review, conceptual framework, and future research directions,” </w:t>
      </w:r>
      <w:r w:rsidRPr="00BF26DA">
        <w:rPr>
          <w:rFonts w:eastAsia="Times New Roman" w:cs="Arial"/>
          <w:i/>
          <w:iCs/>
          <w:kern w:val="0"/>
          <w:szCs w:val="24"/>
          <w:lang w:eastAsia="en-GB"/>
          <w14:ligatures w14:val="none"/>
        </w:rPr>
        <w:t>Cogent business &amp; management</w:t>
      </w:r>
      <w:r w:rsidRPr="00BF26DA">
        <w:rPr>
          <w:rFonts w:eastAsia="Times New Roman" w:cs="Arial"/>
          <w:kern w:val="0"/>
          <w:szCs w:val="24"/>
          <w:lang w:eastAsia="en-GB"/>
          <w14:ligatures w14:val="none"/>
        </w:rPr>
        <w:t xml:space="preserve">, 11(1), pp. 1–39. Available at: </w:t>
      </w:r>
      <w:hyperlink w:history="1" r:id="rId13">
        <w:r w:rsidRPr="00BF26DA">
          <w:rPr>
            <w:rStyle w:val="Hyperlink"/>
            <w:rFonts w:eastAsia="Times New Roman" w:cs="Arial"/>
            <w:kern w:val="0"/>
            <w:szCs w:val="24"/>
            <w:lang w:eastAsia="en-GB"/>
            <w14:ligatures w14:val="none"/>
          </w:rPr>
          <w:t>https://doi.org/10.1080/23311975.2024.2434966</w:t>
        </w:r>
      </w:hyperlink>
      <w:r w:rsidRPr="00BF26DA">
        <w:rPr>
          <w:rFonts w:eastAsia="Times New Roman" w:cs="Arial"/>
          <w:kern w:val="0"/>
          <w:szCs w:val="24"/>
          <w:lang w:eastAsia="en-GB"/>
          <w14:ligatures w14:val="none"/>
        </w:rPr>
        <w:t>.</w:t>
      </w:r>
    </w:p>
    <w:p w:rsidR="00FA1B50" w:rsidP="00FA1B50" w:rsidRDefault="00FA1B50" w14:paraId="0E1F554B" w14:textId="77777777">
      <w:pPr>
        <w:spacing w:after="0" w:line="240" w:lineRule="auto"/>
        <w:rPr>
          <w:rFonts w:ascii="Times New Roman" w:hAnsi="Times New Roman" w:eastAsia="Times New Roman" w:cs="Times New Roman"/>
          <w:kern w:val="0"/>
          <w:szCs w:val="24"/>
          <w:lang w:eastAsia="en-GB"/>
          <w14:ligatures w14:val="none"/>
        </w:rPr>
      </w:pPr>
    </w:p>
    <w:p w:rsidR="00FA1B50" w:rsidP="00FA1B50" w:rsidRDefault="00FA1B50" w14:paraId="765F3A06" w14:textId="77777777">
      <w:pPr>
        <w:spacing w:after="0" w:line="240" w:lineRule="auto"/>
      </w:pPr>
      <w:r w:rsidRPr="27CFAE59" w:rsidR="00FA1B50">
        <w:rPr>
          <w:rFonts w:eastAsia="Times New Roman" w:cs="Arial"/>
          <w:kern w:val="0"/>
          <w:lang w:eastAsia="en-GB"/>
          <w14:ligatures w14:val="none"/>
        </w:rPr>
        <w:t xml:space="preserve">Sims, W. (2025) </w:t>
      </w:r>
      <w:r w:rsidRPr="27CFAE59" w:rsidR="00FA1B50">
        <w:rPr>
          <w:rFonts w:eastAsia="Times New Roman" w:cs="Arial"/>
          <w:i w:val="1"/>
          <w:iCs w:val="1"/>
          <w:kern w:val="0"/>
          <w:lang w:eastAsia="en-GB"/>
          <w14:ligatures w14:val="none"/>
        </w:rPr>
        <w:t>Improving Employee Engagement Through Effective Change Management</w:t>
      </w:r>
      <w:r w:rsidRPr="27CFAE59" w:rsidR="00FA1B50">
        <w:rPr>
          <w:rFonts w:eastAsia="Times New Roman" w:cs="Arial"/>
          <w:kern w:val="0"/>
          <w:lang w:eastAsia="en-GB"/>
          <w14:ligatures w14:val="none"/>
        </w:rPr>
        <w:t>. ProQuest Dissertations &amp; Theses.</w:t>
      </w:r>
    </w:p>
    <w:p w:rsidR="27CFAE59" w:rsidP="27CFAE59" w:rsidRDefault="27CFAE59" w14:paraId="0CBA36A0" w14:textId="0D58CBB4">
      <w:pPr>
        <w:spacing w:after="0" w:line="240" w:lineRule="auto"/>
        <w:rPr>
          <w:rFonts w:eastAsia="Times New Roman" w:cs="Arial"/>
          <w:lang w:eastAsia="en-GB"/>
        </w:rPr>
      </w:pPr>
    </w:p>
    <w:p w:rsidR="64C5DF32" w:rsidP="27CFAE59" w:rsidRDefault="64C5DF32" w14:paraId="4DA1A897" w14:textId="1B3148AE">
      <w:pPr>
        <w:spacing w:before="0" w:beforeAutospacing="off" w:after="0" w:afterAutospacing="off"/>
      </w:pPr>
      <w:r w:rsidRPr="27CFAE59" w:rsidR="64C5DF32">
        <w:rPr>
          <w:rFonts w:ascii="Arial" w:hAnsi="Arial" w:eastAsia="Arial" w:cs="Arial"/>
          <w:noProof w:val="0"/>
          <w:sz w:val="24"/>
          <w:szCs w:val="24"/>
          <w:lang w:val="en-GB"/>
        </w:rPr>
        <w:t xml:space="preserve">Silva, R.V. and Souza, G.D.S. (2024) “Surveying the Academic Literature on the Use of OKR (Objective and Key Results),” in M.F. de Souza Júnior et al. (eds.) </w:t>
      </w:r>
      <w:r w:rsidRPr="27CFAE59" w:rsidR="64C5DF32">
        <w:rPr>
          <w:rFonts w:ascii="Arial" w:hAnsi="Arial" w:eastAsia="Arial" w:cs="Arial"/>
          <w:i w:val="1"/>
          <w:iCs w:val="1"/>
          <w:noProof w:val="0"/>
          <w:sz w:val="24"/>
          <w:szCs w:val="24"/>
          <w:lang w:val="en-GB"/>
        </w:rPr>
        <w:t>Proceedings of the XIX Brazilian Symposium on Information Systems</w:t>
      </w:r>
      <w:r w:rsidRPr="27CFAE59" w:rsidR="64C5DF32">
        <w:rPr>
          <w:rFonts w:ascii="Arial" w:hAnsi="Arial" w:eastAsia="Arial" w:cs="Arial"/>
          <w:noProof w:val="0"/>
          <w:sz w:val="24"/>
          <w:szCs w:val="24"/>
          <w:lang w:val="en-GB"/>
        </w:rPr>
        <w:t xml:space="preserve">. New York, NY, USA: ACM, pp. 427–434. Available at: </w:t>
      </w:r>
      <w:hyperlink r:id="Rba2b65746ad446b9">
        <w:r w:rsidRPr="27CFAE59" w:rsidR="64C5DF32">
          <w:rPr>
            <w:rStyle w:val="Hyperlink"/>
            <w:rFonts w:ascii="Arial" w:hAnsi="Arial" w:eastAsia="Arial" w:cs="Arial"/>
            <w:noProof w:val="0"/>
            <w:sz w:val="24"/>
            <w:szCs w:val="24"/>
            <w:lang w:val="en-GB"/>
          </w:rPr>
          <w:t>https://doi.org/10.1145/3592813.3592934</w:t>
        </w:r>
      </w:hyperlink>
      <w:r w:rsidRPr="27CFAE59" w:rsidR="64C5DF32">
        <w:rPr>
          <w:rFonts w:ascii="Arial" w:hAnsi="Arial" w:eastAsia="Arial" w:cs="Arial"/>
          <w:noProof w:val="0"/>
          <w:sz w:val="24"/>
          <w:szCs w:val="24"/>
          <w:lang w:val="en-GB"/>
        </w:rPr>
        <w:t>.</w:t>
      </w:r>
    </w:p>
    <w:p w:rsidR="27CFAE59" w:rsidP="27CFAE59" w:rsidRDefault="27CFAE59" w14:paraId="593FFDC6" w14:textId="4864447D">
      <w:pPr>
        <w:spacing w:after="0" w:line="240" w:lineRule="auto"/>
        <w:rPr>
          <w:rFonts w:eastAsia="Times New Roman" w:cs="Arial"/>
          <w:lang w:eastAsia="en-GB"/>
        </w:rPr>
      </w:pPr>
    </w:p>
    <w:p w:rsidR="001227EB" w:rsidP="00FA1B50" w:rsidRDefault="001227EB" w14:paraId="61A511B1" w14:textId="77777777">
      <w:pPr>
        <w:spacing w:after="0" w:line="240" w:lineRule="auto"/>
        <w:rPr>
          <w:rFonts w:eastAsia="Times New Roman" w:cs="Arial"/>
          <w:kern w:val="0"/>
          <w:szCs w:val="24"/>
          <w:lang w:eastAsia="en-GB"/>
          <w14:ligatures w14:val="none"/>
        </w:rPr>
      </w:pPr>
    </w:p>
    <w:p w:rsidR="001227EB" w:rsidP="00FA1B50" w:rsidRDefault="001227EB" w14:paraId="0C7F9D22" w14:textId="119F3A29">
      <w:pPr>
        <w:spacing w:after="0" w:line="240" w:lineRule="auto"/>
        <w:rPr>
          <w:rFonts w:eastAsia="Times New Roman" w:cs="Arial"/>
          <w:kern w:val="0"/>
          <w:szCs w:val="24"/>
          <w:lang w:eastAsia="en-GB"/>
          <w14:ligatures w14:val="none"/>
        </w:rPr>
      </w:pPr>
      <w:r w:rsidRPr="001227EB">
        <w:rPr>
          <w:rFonts w:eastAsia="Times New Roman" w:cs="Arial"/>
          <w:kern w:val="0"/>
          <w:szCs w:val="24"/>
          <w:lang w:eastAsia="en-GB"/>
          <w14:ligatures w14:val="none"/>
        </w:rPr>
        <w:lastRenderedPageBreak/>
        <w:t xml:space="preserve">Sundström, A. (2024) “AI in management control: Emergent forms, practices, and infrastructures,” </w:t>
      </w:r>
      <w:r w:rsidRPr="001227EB">
        <w:rPr>
          <w:rFonts w:eastAsia="Times New Roman" w:cs="Arial"/>
          <w:i/>
          <w:iCs/>
          <w:kern w:val="0"/>
          <w:szCs w:val="24"/>
          <w:lang w:eastAsia="en-GB"/>
          <w14:ligatures w14:val="none"/>
        </w:rPr>
        <w:t>Critical perspectives on accounting</w:t>
      </w:r>
      <w:r w:rsidRPr="001227EB">
        <w:rPr>
          <w:rFonts w:eastAsia="Times New Roman" w:cs="Arial"/>
          <w:kern w:val="0"/>
          <w:szCs w:val="24"/>
          <w:lang w:eastAsia="en-GB"/>
          <w14:ligatures w14:val="none"/>
        </w:rPr>
        <w:t xml:space="preserve">, 99. Available at: </w:t>
      </w:r>
      <w:hyperlink w:history="1" r:id="rId14">
        <w:r w:rsidRPr="003008F7">
          <w:rPr>
            <w:rStyle w:val="Hyperlink"/>
            <w:rFonts w:eastAsia="Times New Roman" w:cs="Arial"/>
            <w:kern w:val="0"/>
            <w:szCs w:val="24"/>
            <w:lang w:eastAsia="en-GB"/>
            <w14:ligatures w14:val="none"/>
          </w:rPr>
          <w:t>https://doi.org/10.1016/j.cpa.2023.102701</w:t>
        </w:r>
      </w:hyperlink>
      <w:r w:rsidRPr="001227EB">
        <w:rPr>
          <w:rFonts w:eastAsia="Times New Roman" w:cs="Arial"/>
          <w:kern w:val="0"/>
          <w:szCs w:val="24"/>
          <w:lang w:eastAsia="en-GB"/>
          <w14:ligatures w14:val="none"/>
        </w:rPr>
        <w:t>.</w:t>
      </w:r>
    </w:p>
    <w:p w:rsidR="00D83D82" w:rsidP="00FA1B50" w:rsidRDefault="00D83D82" w14:paraId="6FE3160C" w14:textId="77777777">
      <w:pPr>
        <w:spacing w:after="0" w:line="240" w:lineRule="auto"/>
        <w:rPr>
          <w:rFonts w:eastAsia="Times New Roman" w:cs="Arial"/>
          <w:kern w:val="0"/>
          <w:szCs w:val="24"/>
          <w:lang w:eastAsia="en-GB"/>
          <w14:ligatures w14:val="none"/>
        </w:rPr>
      </w:pPr>
    </w:p>
    <w:p w:rsidRPr="001227EB" w:rsidR="001227EB" w:rsidP="00FA1B50" w:rsidRDefault="00BF26DA" w14:paraId="0BBC568C" w14:textId="5350F806">
      <w:pPr>
        <w:spacing w:after="0" w:line="240" w:lineRule="auto"/>
      </w:pPr>
      <w:r w:rsidRPr="27CFAE59" w:rsidR="00BF26DA">
        <w:rPr>
          <w:rFonts w:cs="Arial"/>
          <w:color w:val="222222"/>
          <w:shd w:val="clear" w:color="auto" w:fill="FFFFFF"/>
        </w:rPr>
        <w:t xml:space="preserve">Ussher-Eke, D., Emmanuel, I.O., </w:t>
      </w:r>
      <w:r w:rsidRPr="27CFAE59" w:rsidR="00BF26DA">
        <w:rPr>
          <w:rFonts w:cs="Arial"/>
          <w:color w:val="222222"/>
          <w:shd w:val="clear" w:color="auto" w:fill="FFFFFF"/>
        </w:rPr>
        <w:t>Ijiga</w:t>
      </w:r>
      <w:r w:rsidRPr="27CFAE59" w:rsidR="00BF26DA">
        <w:rPr>
          <w:rFonts w:cs="Arial"/>
          <w:color w:val="222222"/>
          <w:shd w:val="clear" w:color="auto" w:fill="FFFFFF"/>
        </w:rPr>
        <w:t xml:space="preserve">, O.M. and </w:t>
      </w:r>
      <w:r w:rsidRPr="27CFAE59" w:rsidR="00BF26DA">
        <w:rPr>
          <w:rFonts w:cs="Arial"/>
          <w:color w:val="222222"/>
          <w:shd w:val="clear" w:color="auto" w:fill="FFFFFF"/>
        </w:rPr>
        <w:t>Enyejo</w:t>
      </w:r>
      <w:r w:rsidRPr="27CFAE59" w:rsidR="00BF26DA">
        <w:rPr>
          <w:rFonts w:cs="Arial"/>
          <w:color w:val="222222"/>
          <w:shd w:val="clear" w:color="auto" w:fill="FFFFFF"/>
        </w:rPr>
        <w:t xml:space="preserve">, J.O., 2025. Improving employee engagement and safety </w:t>
      </w:r>
      <w:r w:rsidRPr="27CFAE59" w:rsidR="00BF26DA">
        <w:rPr>
          <w:rFonts w:cs="Arial"/>
          <w:color w:val="222222"/>
          <w:shd w:val="clear" w:color="auto" w:fill="FFFFFF"/>
        </w:rPr>
        <w:t>through the use of</w:t>
      </w:r>
      <w:r w:rsidRPr="27CFAE59" w:rsidR="00BF26DA">
        <w:rPr>
          <w:rFonts w:cs="Arial"/>
          <w:color w:val="222222"/>
          <w:shd w:val="clear" w:color="auto" w:fill="FFFFFF"/>
        </w:rPr>
        <w:t xml:space="preserve"> IoT-enabled monitoring tools in human resource practices. </w:t>
      </w:r>
      <w:r w:rsidRPr="27CFAE59" w:rsidR="00BF26DA">
        <w:rPr>
          <w:rFonts w:cs="Arial"/>
          <w:i w:val="1"/>
          <w:iCs w:val="1"/>
          <w:color w:val="222222"/>
          <w:shd w:val="clear" w:color="auto" w:fill="FFFFFF"/>
        </w:rPr>
        <w:t>Journal of Technology &amp; Innovation, Zibeline International Publishing</w:t>
      </w:r>
      <w:r w:rsidRPr="27CFAE59" w:rsidR="00BF26DA">
        <w:rPr>
          <w:rFonts w:cs="Arial"/>
          <w:color w:val="222222"/>
          <w:shd w:val="clear" w:color="auto" w:fill="FFFFFF"/>
        </w:rPr>
        <w:t>, </w:t>
      </w:r>
      <w:r w:rsidRPr="27CFAE59" w:rsidR="00BF26DA">
        <w:rPr>
          <w:rFonts w:cs="Arial"/>
          <w:i w:val="1"/>
          <w:iCs w:val="1"/>
          <w:color w:val="222222"/>
          <w:shd w:val="clear" w:color="auto" w:fill="FFFFFF"/>
        </w:rPr>
        <w:t>5</w:t>
      </w:r>
      <w:r w:rsidRPr="27CFAE59" w:rsidR="00BF26DA">
        <w:rPr>
          <w:rFonts w:cs="Arial"/>
          <w:color w:val="222222"/>
          <w:shd w:val="clear" w:color="auto" w:fill="FFFFFF"/>
        </w:rPr>
        <w:t>(2), pp.48-55.</w:t>
      </w:r>
    </w:p>
    <w:p w:rsidR="27CFAE59" w:rsidP="27CFAE59" w:rsidRDefault="27CFAE59" w14:paraId="5F958E27" w14:textId="6DCA637F">
      <w:pPr>
        <w:spacing w:after="0" w:line="240" w:lineRule="auto"/>
        <w:rPr>
          <w:rFonts w:cs="Arial"/>
          <w:color w:val="222222"/>
        </w:rPr>
      </w:pPr>
    </w:p>
    <w:p w:rsidR="13E065A3" w:rsidP="27CFAE59" w:rsidRDefault="13E065A3" w14:paraId="58B984EF" w14:textId="152A9AB2">
      <w:pPr>
        <w:spacing w:before="0" w:beforeAutospacing="off" w:after="0" w:afterAutospacing="off"/>
      </w:pPr>
      <w:r w:rsidRPr="27CFAE59" w:rsidR="13E065A3">
        <w:rPr>
          <w:rFonts w:ascii="Arial" w:hAnsi="Arial" w:eastAsia="Arial" w:cs="Arial"/>
          <w:noProof w:val="0"/>
          <w:sz w:val="24"/>
          <w:szCs w:val="24"/>
          <w:lang w:val="en-GB"/>
        </w:rPr>
        <w:t xml:space="preserve">Vallas, S.P., Johnston, H. and Mommadova, Y. (2022) “Prime Suspect: Mechanisms of Labor Control at Amazon’s Warehouses,” </w:t>
      </w:r>
      <w:r w:rsidRPr="27CFAE59" w:rsidR="13E065A3">
        <w:rPr>
          <w:rFonts w:ascii="Arial" w:hAnsi="Arial" w:eastAsia="Arial" w:cs="Arial"/>
          <w:i w:val="1"/>
          <w:iCs w:val="1"/>
          <w:noProof w:val="0"/>
          <w:sz w:val="24"/>
          <w:szCs w:val="24"/>
          <w:lang w:val="en-GB"/>
        </w:rPr>
        <w:t>Work and occupations</w:t>
      </w:r>
      <w:r w:rsidRPr="27CFAE59" w:rsidR="13E065A3">
        <w:rPr>
          <w:rFonts w:ascii="Arial" w:hAnsi="Arial" w:eastAsia="Arial" w:cs="Arial"/>
          <w:noProof w:val="0"/>
          <w:sz w:val="24"/>
          <w:szCs w:val="24"/>
          <w:lang w:val="en-GB"/>
        </w:rPr>
        <w:t xml:space="preserve">, 49(4), pp. 421–456. Available at: </w:t>
      </w:r>
      <w:hyperlink r:id="R491eee52d4484362">
        <w:r w:rsidRPr="27CFAE59" w:rsidR="13E065A3">
          <w:rPr>
            <w:rStyle w:val="Hyperlink"/>
            <w:rFonts w:ascii="Arial" w:hAnsi="Arial" w:eastAsia="Arial" w:cs="Arial"/>
            <w:noProof w:val="0"/>
            <w:sz w:val="24"/>
            <w:szCs w:val="24"/>
            <w:lang w:val="en-GB"/>
          </w:rPr>
          <w:t>https://doi.org/10.1177/07308884221106922</w:t>
        </w:r>
      </w:hyperlink>
      <w:r w:rsidRPr="27CFAE59" w:rsidR="13E065A3">
        <w:rPr>
          <w:rFonts w:ascii="Arial" w:hAnsi="Arial" w:eastAsia="Arial" w:cs="Arial"/>
          <w:noProof w:val="0"/>
          <w:sz w:val="24"/>
          <w:szCs w:val="24"/>
          <w:lang w:val="en-GB"/>
        </w:rPr>
        <w:t>.</w:t>
      </w:r>
    </w:p>
    <w:p w:rsidR="27CFAE59" w:rsidP="27CFAE59" w:rsidRDefault="27CFAE59" w14:paraId="52E6AB8E" w14:textId="4F35C344">
      <w:pPr>
        <w:spacing w:after="0" w:line="240" w:lineRule="auto"/>
        <w:rPr>
          <w:rFonts w:cs="Arial"/>
          <w:color w:val="222222"/>
        </w:rPr>
      </w:pPr>
    </w:p>
    <w:p w:rsidR="00BF26DA" w:rsidP="00FA1B50" w:rsidRDefault="00BF26DA" w14:paraId="590FFAFD" w14:textId="77777777">
      <w:pPr>
        <w:spacing w:after="0" w:line="240" w:lineRule="auto"/>
        <w:rPr>
          <w:rFonts w:cs="Arial"/>
          <w:color w:val="222222"/>
          <w:szCs w:val="24"/>
          <w:shd w:val="clear" w:color="auto" w:fill="FFFFFF"/>
        </w:rPr>
      </w:pPr>
    </w:p>
    <w:p w:rsidR="00BF26DA" w:rsidP="00BF26DA" w:rsidRDefault="00BF26DA" w14:paraId="3DA79392" w14:textId="738A2976">
      <w:pPr>
        <w:spacing w:after="0" w:line="240" w:lineRule="auto"/>
        <w:rPr>
          <w:rFonts w:eastAsia="Times New Roman" w:cs="Arial"/>
          <w:kern w:val="0"/>
          <w:szCs w:val="24"/>
          <w:lang w:eastAsia="en-GB"/>
          <w14:ligatures w14:val="none"/>
        </w:rPr>
      </w:pPr>
      <w:r w:rsidRPr="00BF26DA">
        <w:rPr>
          <w:rFonts w:eastAsia="Times New Roman" w:cs="Arial"/>
          <w:kern w:val="0"/>
          <w:szCs w:val="24"/>
          <w:lang w:eastAsia="en-GB"/>
          <w14:ligatures w14:val="none"/>
        </w:rPr>
        <w:t xml:space="preserve">Valtonen, A. and Holopainen, M. (2025) “Mitigating employee resistance and achieving well-being in digital transformation,” </w:t>
      </w:r>
      <w:r w:rsidRPr="00BF26DA">
        <w:rPr>
          <w:rFonts w:eastAsia="Times New Roman" w:cs="Arial"/>
          <w:i/>
          <w:iCs/>
          <w:kern w:val="0"/>
          <w:szCs w:val="24"/>
          <w:lang w:eastAsia="en-GB"/>
          <w14:ligatures w14:val="none"/>
        </w:rPr>
        <w:t>Information technology &amp; people (West Linn, Or.)</w:t>
      </w:r>
      <w:r w:rsidRPr="00BF26DA">
        <w:rPr>
          <w:rFonts w:eastAsia="Times New Roman" w:cs="Arial"/>
          <w:kern w:val="0"/>
          <w:szCs w:val="24"/>
          <w:lang w:eastAsia="en-GB"/>
          <w14:ligatures w14:val="none"/>
        </w:rPr>
        <w:t xml:space="preserve">, 38(8), pp. 42–72. Available at: </w:t>
      </w:r>
      <w:hyperlink w:history="1" r:id="rId15">
        <w:r w:rsidRPr="003008F7">
          <w:rPr>
            <w:rStyle w:val="Hyperlink"/>
            <w:rFonts w:eastAsia="Times New Roman" w:cs="Arial"/>
            <w:kern w:val="0"/>
            <w:szCs w:val="24"/>
            <w:lang w:eastAsia="en-GB"/>
            <w14:ligatures w14:val="none"/>
          </w:rPr>
          <w:t>https://doi.org/10.1108/ITP-05-2024-0701</w:t>
        </w:r>
      </w:hyperlink>
      <w:r w:rsidRPr="00BF26DA">
        <w:rPr>
          <w:rFonts w:eastAsia="Times New Roman" w:cs="Arial"/>
          <w:kern w:val="0"/>
          <w:szCs w:val="24"/>
          <w:lang w:eastAsia="en-GB"/>
          <w14:ligatures w14:val="none"/>
        </w:rPr>
        <w:t>.</w:t>
      </w:r>
    </w:p>
    <w:p w:rsidR="00BF26DA" w:rsidP="00BF26DA" w:rsidRDefault="00BF26DA" w14:paraId="58F33697" w14:textId="77777777">
      <w:pPr>
        <w:spacing w:after="0" w:line="240" w:lineRule="auto"/>
        <w:rPr>
          <w:rFonts w:eastAsia="Times New Roman" w:cs="Arial"/>
          <w:kern w:val="0"/>
          <w:szCs w:val="24"/>
          <w:lang w:eastAsia="en-GB"/>
          <w14:ligatures w14:val="none"/>
        </w:rPr>
      </w:pPr>
    </w:p>
    <w:p w:rsidR="00BF26DA" w:rsidP="00BF26DA" w:rsidRDefault="00BF26DA" w14:paraId="13E35E07" w14:textId="7E082579">
      <w:pPr>
        <w:spacing w:after="0" w:line="240" w:lineRule="auto"/>
        <w:rPr>
          <w:rFonts w:eastAsia="Times New Roman" w:cs="Arial"/>
          <w:kern w:val="0"/>
          <w:szCs w:val="24"/>
          <w:lang w:eastAsia="en-GB"/>
          <w14:ligatures w14:val="none"/>
        </w:rPr>
      </w:pPr>
      <w:r w:rsidRPr="00BF26DA">
        <w:rPr>
          <w:rFonts w:eastAsia="Times New Roman" w:cs="Arial"/>
          <w:kern w:val="0"/>
          <w:szCs w:val="24"/>
          <w:lang w:eastAsia="en-GB"/>
          <w14:ligatures w14:val="none"/>
        </w:rPr>
        <w:t xml:space="preserve">Weber, M.M., Pedell, B. and </w:t>
      </w:r>
      <w:proofErr w:type="spellStart"/>
      <w:r w:rsidRPr="00BF26DA">
        <w:rPr>
          <w:rFonts w:eastAsia="Times New Roman" w:cs="Arial"/>
          <w:kern w:val="0"/>
          <w:szCs w:val="24"/>
          <w:lang w:eastAsia="en-GB"/>
          <w14:ligatures w14:val="none"/>
        </w:rPr>
        <w:t>Rötzel</w:t>
      </w:r>
      <w:proofErr w:type="spellEnd"/>
      <w:r w:rsidRPr="00BF26DA">
        <w:rPr>
          <w:rFonts w:eastAsia="Times New Roman" w:cs="Arial"/>
          <w:kern w:val="0"/>
          <w:szCs w:val="24"/>
          <w:lang w:eastAsia="en-GB"/>
          <w14:ligatures w14:val="none"/>
        </w:rPr>
        <w:t xml:space="preserve">, P.G. (2024) “Resilience-oriented management control systems: a systematic review of the relationships between organizational resilience and management control systems,” </w:t>
      </w:r>
      <w:r w:rsidRPr="00BF26DA">
        <w:rPr>
          <w:rFonts w:eastAsia="Times New Roman" w:cs="Arial"/>
          <w:i/>
          <w:iCs/>
          <w:kern w:val="0"/>
          <w:szCs w:val="24"/>
          <w:lang w:eastAsia="en-GB"/>
          <w14:ligatures w14:val="none"/>
        </w:rPr>
        <w:t>Journal of management control</w:t>
      </w:r>
      <w:r w:rsidRPr="00BF26DA">
        <w:rPr>
          <w:rFonts w:eastAsia="Times New Roman" w:cs="Arial"/>
          <w:kern w:val="0"/>
          <w:szCs w:val="24"/>
          <w:lang w:eastAsia="en-GB"/>
          <w14:ligatures w14:val="none"/>
        </w:rPr>
        <w:t xml:space="preserve">, 35(4), pp. 563–620. Available at: </w:t>
      </w:r>
      <w:hyperlink w:history="1" r:id="rId16">
        <w:r w:rsidRPr="003008F7">
          <w:rPr>
            <w:rStyle w:val="Hyperlink"/>
            <w:rFonts w:eastAsia="Times New Roman" w:cs="Arial"/>
            <w:kern w:val="0"/>
            <w:szCs w:val="24"/>
            <w:lang w:eastAsia="en-GB"/>
            <w14:ligatures w14:val="none"/>
          </w:rPr>
          <w:t>https://doi.org/10.1007/s00187-024-00385-2</w:t>
        </w:r>
      </w:hyperlink>
      <w:r w:rsidRPr="00BF26DA">
        <w:rPr>
          <w:rFonts w:eastAsia="Times New Roman" w:cs="Arial"/>
          <w:kern w:val="0"/>
          <w:szCs w:val="24"/>
          <w:lang w:eastAsia="en-GB"/>
          <w14:ligatures w14:val="none"/>
        </w:rPr>
        <w:t>.</w:t>
      </w:r>
    </w:p>
    <w:p w:rsidR="00BF26DA" w:rsidP="00BF26DA" w:rsidRDefault="00BF26DA" w14:paraId="106C3CCF" w14:textId="77777777">
      <w:pPr>
        <w:spacing w:after="0" w:line="240" w:lineRule="auto"/>
        <w:rPr>
          <w:rFonts w:eastAsia="Times New Roman" w:cs="Arial"/>
          <w:kern w:val="0"/>
          <w:szCs w:val="24"/>
          <w:lang w:eastAsia="en-GB"/>
          <w14:ligatures w14:val="none"/>
        </w:rPr>
      </w:pPr>
    </w:p>
    <w:p w:rsidR="00BF26DA" w:rsidP="00BF26DA" w:rsidRDefault="00BF26DA" w14:paraId="6E73EB39" w14:textId="6165DE0F">
      <w:pPr>
        <w:spacing w:after="0" w:line="240" w:lineRule="auto"/>
        <w:rPr>
          <w:rFonts w:eastAsia="Times New Roman" w:cs="Arial"/>
          <w:kern w:val="0"/>
          <w:szCs w:val="24"/>
          <w:lang w:eastAsia="en-GB"/>
          <w14:ligatures w14:val="none"/>
        </w:rPr>
      </w:pPr>
      <w:proofErr w:type="spellStart"/>
      <w:r w:rsidRPr="00BF26DA">
        <w:rPr>
          <w:rFonts w:eastAsia="Times New Roman" w:cs="Arial"/>
          <w:kern w:val="0"/>
          <w:szCs w:val="24"/>
          <w:lang w:eastAsia="en-GB"/>
          <w14:ligatures w14:val="none"/>
        </w:rPr>
        <w:t>Wowerath</w:t>
      </w:r>
      <w:proofErr w:type="spellEnd"/>
      <w:r w:rsidRPr="00BF26DA">
        <w:rPr>
          <w:rFonts w:eastAsia="Times New Roman" w:cs="Arial"/>
          <w:kern w:val="0"/>
          <w:szCs w:val="24"/>
          <w:lang w:eastAsia="en-GB"/>
          <w14:ligatures w14:val="none"/>
        </w:rPr>
        <w:t xml:space="preserve">, C. (2026) “Objectives and key results as a tool for middle managers to enhance the process of strategy implementation,” </w:t>
      </w:r>
      <w:r w:rsidRPr="00BF26DA">
        <w:rPr>
          <w:rFonts w:eastAsia="Times New Roman" w:cs="Arial"/>
          <w:i/>
          <w:iCs/>
          <w:kern w:val="0"/>
          <w:szCs w:val="24"/>
          <w:lang w:eastAsia="en-GB"/>
          <w14:ligatures w14:val="none"/>
        </w:rPr>
        <w:t>Journal of business research</w:t>
      </w:r>
      <w:r w:rsidRPr="00BF26DA">
        <w:rPr>
          <w:rFonts w:eastAsia="Times New Roman" w:cs="Arial"/>
          <w:kern w:val="0"/>
          <w:szCs w:val="24"/>
          <w:lang w:eastAsia="en-GB"/>
          <w14:ligatures w14:val="none"/>
        </w:rPr>
        <w:t xml:space="preserve">, 202. Available at: </w:t>
      </w:r>
      <w:hyperlink w:history="1" r:id="rId17">
        <w:r w:rsidRPr="003008F7" w:rsidR="001227EB">
          <w:rPr>
            <w:rStyle w:val="Hyperlink"/>
            <w:rFonts w:eastAsia="Times New Roman" w:cs="Arial"/>
            <w:kern w:val="0"/>
            <w:szCs w:val="24"/>
            <w:lang w:eastAsia="en-GB"/>
            <w14:ligatures w14:val="none"/>
          </w:rPr>
          <w:t>https://doi.org/10.1016/j.jbusres.2025.115774</w:t>
        </w:r>
      </w:hyperlink>
      <w:r w:rsidRPr="00BF26DA">
        <w:rPr>
          <w:rFonts w:eastAsia="Times New Roman" w:cs="Arial"/>
          <w:kern w:val="0"/>
          <w:szCs w:val="24"/>
          <w:lang w:eastAsia="en-GB"/>
          <w14:ligatures w14:val="none"/>
        </w:rPr>
        <w:t>.</w:t>
      </w:r>
    </w:p>
    <w:p w:rsidRPr="00BF26DA" w:rsidR="001227EB" w:rsidP="00BF26DA" w:rsidRDefault="001227EB" w14:paraId="33EC2157" w14:textId="77777777">
      <w:pPr>
        <w:spacing w:after="0" w:line="240" w:lineRule="auto"/>
        <w:rPr>
          <w:rFonts w:eastAsia="Times New Roman" w:cs="Arial"/>
          <w:kern w:val="0"/>
          <w:szCs w:val="24"/>
          <w:lang w:eastAsia="en-GB"/>
          <w14:ligatures w14:val="none"/>
        </w:rPr>
      </w:pPr>
    </w:p>
    <w:p w:rsidRPr="00BF26DA" w:rsidR="00BF26DA" w:rsidP="00BF26DA" w:rsidRDefault="00BF26DA" w14:paraId="49CAC4D4" w14:textId="77777777">
      <w:pPr>
        <w:spacing w:after="0" w:line="240" w:lineRule="auto"/>
        <w:rPr>
          <w:rFonts w:eastAsia="Times New Roman" w:cs="Arial"/>
          <w:kern w:val="0"/>
          <w:szCs w:val="24"/>
          <w:lang w:eastAsia="en-GB"/>
          <w14:ligatures w14:val="none"/>
        </w:rPr>
      </w:pPr>
    </w:p>
    <w:p w:rsidRPr="00BF26DA" w:rsidR="00BF26DA" w:rsidP="00BF26DA" w:rsidRDefault="00BF26DA" w14:paraId="0B4E0EF2" w14:textId="77777777">
      <w:pPr>
        <w:spacing w:after="0" w:line="240" w:lineRule="auto"/>
        <w:rPr>
          <w:rFonts w:eastAsia="Times New Roman" w:cs="Arial"/>
          <w:kern w:val="0"/>
          <w:szCs w:val="24"/>
          <w:lang w:eastAsia="en-GB"/>
          <w14:ligatures w14:val="none"/>
        </w:rPr>
      </w:pPr>
    </w:p>
    <w:p w:rsidRPr="00BF26DA" w:rsidR="00BF26DA" w:rsidP="00FA1B50" w:rsidRDefault="00BF26DA" w14:paraId="45984DB0" w14:textId="77777777">
      <w:pPr>
        <w:spacing w:after="0" w:line="240" w:lineRule="auto"/>
        <w:rPr>
          <w:rFonts w:ascii="Times New Roman" w:hAnsi="Times New Roman" w:eastAsia="Times New Roman" w:cs="Times New Roman"/>
          <w:kern w:val="0"/>
          <w:szCs w:val="24"/>
          <w:lang w:eastAsia="en-GB"/>
          <w14:ligatures w14:val="none"/>
        </w:rPr>
      </w:pPr>
    </w:p>
    <w:p w:rsidR="001A1971" w:rsidP="00AF1970" w:rsidRDefault="001A1971" w14:paraId="7B6E4854" w14:textId="77777777">
      <w:pPr>
        <w:spacing w:after="0" w:line="240" w:lineRule="auto"/>
        <w:rPr>
          <w:rFonts w:ascii="Times New Roman" w:hAnsi="Times New Roman" w:eastAsia="Times New Roman" w:cs="Times New Roman"/>
          <w:kern w:val="0"/>
          <w:szCs w:val="24"/>
          <w:lang w:eastAsia="en-GB"/>
          <w14:ligatures w14:val="none"/>
        </w:rPr>
      </w:pPr>
    </w:p>
    <w:p w:rsidRPr="00AF1970" w:rsidR="006F6248" w:rsidP="00AF1970" w:rsidRDefault="006F6248" w14:paraId="2316736D" w14:textId="77777777">
      <w:pPr>
        <w:spacing w:after="0" w:line="240" w:lineRule="auto"/>
        <w:rPr>
          <w:rFonts w:ascii="Times New Roman" w:hAnsi="Times New Roman" w:eastAsia="Times New Roman" w:cs="Times New Roman"/>
          <w:kern w:val="0"/>
          <w:szCs w:val="24"/>
          <w:lang w:eastAsia="en-GB"/>
          <w14:ligatures w14:val="none"/>
        </w:rPr>
      </w:pPr>
    </w:p>
    <w:p w:rsidRPr="00AF1970" w:rsidR="00AF1970" w:rsidP="00AF1970" w:rsidRDefault="00AF1970" w14:paraId="1D2B6145" w14:textId="77777777">
      <w:pPr>
        <w:spacing w:after="0" w:line="240" w:lineRule="auto"/>
        <w:rPr>
          <w:rFonts w:ascii="Times New Roman" w:hAnsi="Times New Roman" w:eastAsia="Times New Roman" w:cs="Times New Roman"/>
          <w:kern w:val="0"/>
          <w:szCs w:val="24"/>
          <w:lang w:eastAsia="en-GB"/>
          <w14:ligatures w14:val="none"/>
        </w:rPr>
      </w:pPr>
    </w:p>
    <w:p w:rsidRPr="00AF1970" w:rsidR="00AF1970" w:rsidP="00AF1970" w:rsidRDefault="00AF1970" w14:paraId="4C82BC20" w14:textId="77777777"/>
    <w:p w:rsidRPr="00702894" w:rsidR="000B69E7" w:rsidP="004C1CC7" w:rsidRDefault="000B69E7" w14:paraId="6BB83B36" w14:textId="77777777">
      <w:pPr>
        <w:spacing w:line="360" w:lineRule="auto"/>
        <w:jc w:val="both"/>
      </w:pPr>
    </w:p>
    <w:sectPr w:rsidRPr="00702894" w:rsidR="000B69E7">
      <w:pgSz w:w="11906" w:h="16838" w:orient="portrait"/>
      <w:pgMar w:top="1440" w:right="1440" w:bottom="1440" w:left="1440" w:header="708" w:footer="708" w:gutter="0"/>
      <w:cols w:space="708"/>
      <w:docGrid w:linePitch="360"/>
      <w:headerReference w:type="default" r:id="Re8a0e76110d14e23"/>
      <w:footerReference w:type="default" r:id="R4bf257ead5b94c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CFAE59" w:rsidTr="27CFAE59" w14:paraId="60DF6226">
      <w:trPr>
        <w:trHeight w:val="300"/>
      </w:trPr>
      <w:tc>
        <w:tcPr>
          <w:tcW w:w="3005" w:type="dxa"/>
          <w:tcMar/>
        </w:tcPr>
        <w:p w:rsidR="27CFAE59" w:rsidP="27CFAE59" w:rsidRDefault="27CFAE59" w14:paraId="1CFBB757" w14:textId="567AEB11">
          <w:pPr>
            <w:pStyle w:val="Header"/>
            <w:bidi w:val="0"/>
            <w:ind w:left="-115"/>
            <w:jc w:val="left"/>
          </w:pPr>
        </w:p>
      </w:tc>
      <w:tc>
        <w:tcPr>
          <w:tcW w:w="3005" w:type="dxa"/>
          <w:tcMar/>
        </w:tcPr>
        <w:p w:rsidR="27CFAE59" w:rsidP="27CFAE59" w:rsidRDefault="27CFAE59" w14:paraId="4D6FF42B" w14:textId="6C0BC80D">
          <w:pPr>
            <w:pStyle w:val="Header"/>
            <w:bidi w:val="0"/>
            <w:jc w:val="center"/>
          </w:pPr>
        </w:p>
      </w:tc>
      <w:tc>
        <w:tcPr>
          <w:tcW w:w="3005" w:type="dxa"/>
          <w:tcMar/>
        </w:tcPr>
        <w:p w:rsidR="27CFAE59" w:rsidP="27CFAE59" w:rsidRDefault="27CFAE59" w14:paraId="760172E5" w14:textId="48B7E7FD">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CFAE59" w:rsidTr="27CFAE59" w14:paraId="382E8221">
      <w:trPr>
        <w:trHeight w:val="300"/>
      </w:trPr>
      <w:tc>
        <w:tcPr>
          <w:tcW w:w="3005" w:type="dxa"/>
          <w:tcMar/>
        </w:tcPr>
        <w:p w:rsidR="27CFAE59" w:rsidP="27CFAE59" w:rsidRDefault="27CFAE59" w14:paraId="41FF8CD8" w14:textId="4221386F">
          <w:pPr>
            <w:pStyle w:val="Header"/>
            <w:bidi w:val="0"/>
            <w:ind w:left="-115"/>
            <w:jc w:val="left"/>
          </w:pPr>
        </w:p>
      </w:tc>
      <w:tc>
        <w:tcPr>
          <w:tcW w:w="3005" w:type="dxa"/>
          <w:tcMar/>
        </w:tcPr>
        <w:p w:rsidR="27CFAE59" w:rsidP="27CFAE59" w:rsidRDefault="27CFAE59" w14:paraId="552C081D" w14:textId="49FEF9FF">
          <w:pPr>
            <w:pStyle w:val="Header"/>
            <w:bidi w:val="0"/>
            <w:jc w:val="center"/>
          </w:pPr>
        </w:p>
      </w:tc>
      <w:tc>
        <w:tcPr>
          <w:tcW w:w="3005" w:type="dxa"/>
          <w:tcMar/>
        </w:tcPr>
        <w:p w:rsidR="27CFAE59" w:rsidP="27CFAE59" w:rsidRDefault="27CFAE59" w14:paraId="30AED740" w14:textId="45C174E4">
          <w:pPr>
            <w:pStyle w:val="Header"/>
            <w:bidi w:val="0"/>
            <w:ind w:right="-115"/>
            <w:jc w:val="right"/>
          </w:pPr>
        </w:p>
      </w:tc>
    </w:tr>
  </w:tbl>
  <w:p w:rsidR="27CFAE59" w:rsidP="27CFAE59" w:rsidRDefault="27CFAE59" w14:paraId="722FF4DF" w14:textId="05A4013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C6B6C"/>
    <w:multiLevelType w:val="multilevel"/>
    <w:tmpl w:val="0809001F"/>
    <w:styleLink w:val="Style1"/>
    <w:lvl w:ilvl="0">
      <w:start w:val="2"/>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9C63B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01C5CAB"/>
    <w:multiLevelType w:val="multilevel"/>
    <w:tmpl w:val="0809001F"/>
    <w:numStyleLink w:val="Style1"/>
  </w:abstractNum>
  <w:num w:numId="1" w16cid:durableId="992635264">
    <w:abstractNumId w:val="1"/>
  </w:num>
  <w:num w:numId="2" w16cid:durableId="1550146594">
    <w:abstractNumId w:val="2"/>
  </w:num>
  <w:num w:numId="3" w16cid:durableId="1739279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FC1"/>
    <w:rsid w:val="000B69E7"/>
    <w:rsid w:val="001227EB"/>
    <w:rsid w:val="001A1971"/>
    <w:rsid w:val="00210A2C"/>
    <w:rsid w:val="00395B45"/>
    <w:rsid w:val="004C1CC7"/>
    <w:rsid w:val="004C4FE8"/>
    <w:rsid w:val="004D1718"/>
    <w:rsid w:val="005E7E09"/>
    <w:rsid w:val="00696ACB"/>
    <w:rsid w:val="006E12E0"/>
    <w:rsid w:val="006F6248"/>
    <w:rsid w:val="00702894"/>
    <w:rsid w:val="00A04585"/>
    <w:rsid w:val="00AB44A1"/>
    <w:rsid w:val="00AF1970"/>
    <w:rsid w:val="00BF26DA"/>
    <w:rsid w:val="00D83D82"/>
    <w:rsid w:val="00DB4FC1"/>
    <w:rsid w:val="00FA04E7"/>
    <w:rsid w:val="00FA1B50"/>
    <w:rsid w:val="00FB6E3F"/>
    <w:rsid w:val="08FCFE63"/>
    <w:rsid w:val="101AD262"/>
    <w:rsid w:val="13E065A3"/>
    <w:rsid w:val="15511AC2"/>
    <w:rsid w:val="171CCE4C"/>
    <w:rsid w:val="1828B131"/>
    <w:rsid w:val="1BFE1A31"/>
    <w:rsid w:val="1CEBD6E0"/>
    <w:rsid w:val="231B9752"/>
    <w:rsid w:val="27CFAE59"/>
    <w:rsid w:val="2AB535BE"/>
    <w:rsid w:val="2E48FDFA"/>
    <w:rsid w:val="3600B3F1"/>
    <w:rsid w:val="370F193E"/>
    <w:rsid w:val="46DF9DED"/>
    <w:rsid w:val="486D12C8"/>
    <w:rsid w:val="553FB773"/>
    <w:rsid w:val="5B173A17"/>
    <w:rsid w:val="5DD2B54F"/>
    <w:rsid w:val="6340F888"/>
    <w:rsid w:val="64C5DF32"/>
    <w:rsid w:val="6B1EA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9E09D"/>
  <w15:chartTrackingRefBased/>
  <w15:docId w15:val="{F8736A71-5282-492C-9CCB-9997BF402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B4FC1"/>
    <w:rPr>
      <w:rFonts w:ascii="Arial" w:hAnsi="Arial"/>
      <w:sz w:val="24"/>
    </w:rPr>
  </w:style>
  <w:style w:type="paragraph" w:styleId="Heading1">
    <w:name w:val="heading 1"/>
    <w:basedOn w:val="Normal"/>
    <w:next w:val="Normal"/>
    <w:link w:val="Heading1Char"/>
    <w:uiPriority w:val="9"/>
    <w:qFormat/>
    <w:rsid w:val="00DB4FC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FC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F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F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F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F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F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F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FC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B4FC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B4FC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B4FC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B4FC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B4FC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B4FC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B4FC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B4FC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B4FC1"/>
    <w:rPr>
      <w:rFonts w:eastAsiaTheme="majorEastAsia" w:cstheme="majorBidi"/>
      <w:color w:val="272727" w:themeColor="text1" w:themeTint="D8"/>
    </w:rPr>
  </w:style>
  <w:style w:type="paragraph" w:styleId="Title">
    <w:name w:val="Title"/>
    <w:basedOn w:val="Normal"/>
    <w:next w:val="Normal"/>
    <w:link w:val="TitleChar"/>
    <w:uiPriority w:val="10"/>
    <w:qFormat/>
    <w:rsid w:val="00DB4FC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B4FC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B4FC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B4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FC1"/>
    <w:pPr>
      <w:spacing w:before="160"/>
      <w:jc w:val="center"/>
    </w:pPr>
    <w:rPr>
      <w:i/>
      <w:iCs/>
      <w:color w:val="404040" w:themeColor="text1" w:themeTint="BF"/>
    </w:rPr>
  </w:style>
  <w:style w:type="character" w:styleId="QuoteChar" w:customStyle="1">
    <w:name w:val="Quote Char"/>
    <w:basedOn w:val="DefaultParagraphFont"/>
    <w:link w:val="Quote"/>
    <w:uiPriority w:val="29"/>
    <w:rsid w:val="00DB4FC1"/>
    <w:rPr>
      <w:i/>
      <w:iCs/>
      <w:color w:val="404040" w:themeColor="text1" w:themeTint="BF"/>
    </w:rPr>
  </w:style>
  <w:style w:type="paragraph" w:styleId="ListParagraph">
    <w:name w:val="List Paragraph"/>
    <w:basedOn w:val="Normal"/>
    <w:uiPriority w:val="34"/>
    <w:qFormat/>
    <w:rsid w:val="00DB4FC1"/>
    <w:pPr>
      <w:ind w:left="720"/>
      <w:contextualSpacing/>
    </w:pPr>
  </w:style>
  <w:style w:type="character" w:styleId="IntenseEmphasis">
    <w:name w:val="Intense Emphasis"/>
    <w:basedOn w:val="DefaultParagraphFont"/>
    <w:uiPriority w:val="21"/>
    <w:qFormat/>
    <w:rsid w:val="00DB4FC1"/>
    <w:rPr>
      <w:i/>
      <w:iCs/>
      <w:color w:val="0F4761" w:themeColor="accent1" w:themeShade="BF"/>
    </w:rPr>
  </w:style>
  <w:style w:type="paragraph" w:styleId="IntenseQuote">
    <w:name w:val="Intense Quote"/>
    <w:basedOn w:val="Normal"/>
    <w:next w:val="Normal"/>
    <w:link w:val="IntenseQuoteChar"/>
    <w:uiPriority w:val="30"/>
    <w:qFormat/>
    <w:rsid w:val="00DB4FC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B4FC1"/>
    <w:rPr>
      <w:i/>
      <w:iCs/>
      <w:color w:val="0F4761" w:themeColor="accent1" w:themeShade="BF"/>
    </w:rPr>
  </w:style>
  <w:style w:type="character" w:styleId="IntenseReference">
    <w:name w:val="Intense Reference"/>
    <w:basedOn w:val="DefaultParagraphFont"/>
    <w:uiPriority w:val="32"/>
    <w:qFormat/>
    <w:rsid w:val="00DB4FC1"/>
    <w:rPr>
      <w:b/>
      <w:bCs/>
      <w:smallCaps/>
      <w:color w:val="0F4761" w:themeColor="accent1" w:themeShade="BF"/>
      <w:spacing w:val="5"/>
    </w:rPr>
  </w:style>
  <w:style w:type="paragraph" w:styleId="MdHeading2" w:customStyle="1">
    <w:name w:val="MdHeading2"/>
    <w:qFormat/>
    <w:rsid w:val="00DB4FC1"/>
    <w:pPr>
      <w:keepNext/>
      <w:spacing w:before="400" w:after="200" w:line="240" w:lineRule="auto"/>
      <w:outlineLvl w:val="1"/>
    </w:pPr>
    <w:rPr>
      <w:rFonts w:ascii="Times New Roman" w:hAnsi="Times New Roman" w:eastAsia="Times New Roman" w:cs="Times New Roman"/>
      <w:b/>
      <w:bCs/>
      <w:kern w:val="0"/>
      <w:sz w:val="32"/>
      <w:szCs w:val="32"/>
      <w:lang w:eastAsia="en-GB"/>
      <w14:ligatures w14:val="none"/>
    </w:rPr>
  </w:style>
  <w:style w:type="numbering" w:styleId="Style1" w:customStyle="1">
    <w:name w:val="Style1"/>
    <w:uiPriority w:val="99"/>
    <w:rsid w:val="00DB4FC1"/>
    <w:pPr>
      <w:numPr>
        <w:numId w:val="3"/>
      </w:numPr>
    </w:pPr>
  </w:style>
  <w:style w:type="character" w:styleId="Hyperlink">
    <w:name w:val="Hyperlink"/>
    <w:basedOn w:val="DefaultParagraphFont"/>
    <w:uiPriority w:val="99"/>
    <w:unhideWhenUsed/>
    <w:rsid w:val="00AF1970"/>
    <w:rPr>
      <w:color w:val="467886" w:themeColor="hyperlink"/>
      <w:u w:val="single"/>
    </w:rPr>
  </w:style>
  <w:style w:type="character" w:styleId="UnresolvedMention">
    <w:name w:val="Unresolved Mention"/>
    <w:basedOn w:val="DefaultParagraphFont"/>
    <w:uiPriority w:val="99"/>
    <w:semiHidden/>
    <w:unhideWhenUsed/>
    <w:rsid w:val="00AF1970"/>
    <w:rPr>
      <w:color w:val="605E5C"/>
      <w:shd w:val="clear" w:color="auto" w:fill="E1DFDD"/>
    </w:rPr>
  </w:style>
  <w:style w:type="paragraph" w:styleId="Header">
    <w:uiPriority w:val="99"/>
    <w:name w:val="header"/>
    <w:basedOn w:val="Normal"/>
    <w:unhideWhenUsed/>
    <w:rsid w:val="27CFAE5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23311975.2024.2442550" TargetMode="External" Id="rId8" /><Relationship Type="http://schemas.openxmlformats.org/officeDocument/2006/relationships/hyperlink" Target="https://doi.org/10.1080/23311975.2024.2434966"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doi.org/10.15240/tul/2021-1-005" TargetMode="External" Id="rId7" /><Relationship Type="http://schemas.openxmlformats.org/officeDocument/2006/relationships/hyperlink" Target="https://doi.org/10.3390/su16125067" TargetMode="External" Id="rId12" /><Relationship Type="http://schemas.openxmlformats.org/officeDocument/2006/relationships/hyperlink" Target="https://doi.org/10.1016/j.jbusres.2025.115774" TargetMode="External" Id="rId17" /><Relationship Type="http://schemas.openxmlformats.org/officeDocument/2006/relationships/styles" Target="styles.xml" Id="rId2" /><Relationship Type="http://schemas.openxmlformats.org/officeDocument/2006/relationships/hyperlink" Target="https://doi.org/10.1007/s00187-024-00385-2" TargetMode="Externa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hyperlink" Target="https://doi.org/10.1108/ITP-05-2024-0701" TargetMode="External" Id="rId15" /><Relationship Type="http://schemas.openxmlformats.org/officeDocument/2006/relationships/hyperlink" Target="https://doi.org/10.1080/23311975.2023.2296698" TargetMode="Externa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doi.org/10.2478/orga-2022-0005" TargetMode="External" Id="rId9" /><Relationship Type="http://schemas.openxmlformats.org/officeDocument/2006/relationships/hyperlink" Target="https://doi.org/10.1016/j.cpa.2023.102701" TargetMode="External" Id="rId14" /><Relationship Type="http://schemas.openxmlformats.org/officeDocument/2006/relationships/hyperlink" Target="https://doi.org/10.5817/CP2024-5-10" TargetMode="External" Id="R857d18adc5ea44c9" /><Relationship Type="http://schemas.openxmlformats.org/officeDocument/2006/relationships/hyperlink" Target="https://doi.org/10.1145/3592813.3592934" TargetMode="External" Id="Rba2b65746ad446b9" /><Relationship Type="http://schemas.openxmlformats.org/officeDocument/2006/relationships/hyperlink" Target="https://doi.org/10.1177/07308884221106922" TargetMode="External" Id="R491eee52d4484362" /><Relationship Type="http://schemas.openxmlformats.org/officeDocument/2006/relationships/header" Target="header.xml" Id="Re8a0e76110d14e23" /><Relationship Type="http://schemas.openxmlformats.org/officeDocument/2006/relationships/footer" Target="footer.xml" Id="R4bf257ead5b94cd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cecile Abuzour</dc:creator>
  <keywords/>
  <dc:description/>
  <lastModifiedBy>Cecile Abuzour (2218610)</lastModifiedBy>
  <revision>3</revision>
  <dcterms:created xsi:type="dcterms:W3CDTF">2026-04-24T18:12:00.0000000Z</dcterms:created>
  <dcterms:modified xsi:type="dcterms:W3CDTF">2026-04-27T00:41:13.4901133Z</dcterms:modified>
</coreProperties>
</file>