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2FD9A" w14:textId="083894C0" w:rsidR="007A32B9" w:rsidRPr="007A32B9" w:rsidRDefault="007A32B9" w:rsidP="007A32B9">
      <w:pPr>
        <w:spacing w:line="360" w:lineRule="auto"/>
        <w:rPr>
          <w:rFonts w:ascii="Times New Roman Regular" w:hAnsi="Times New Roman Regular" w:cs="Times New Roman Regular" w:hint="eastAsia"/>
          <w:sz w:val="24"/>
        </w:rPr>
      </w:pPr>
      <w:r>
        <w:rPr>
          <w:rFonts w:ascii="Times New Roman Regular" w:hAnsi="Times New Roman Regular" w:cs="Times New Roman Regular"/>
          <w:b/>
          <w:bCs/>
          <w:sz w:val="32"/>
          <w:szCs w:val="32"/>
        </w:rPr>
        <w:t>What effect will bilingualism have on child’s intelligence?</w:t>
      </w:r>
      <w:r>
        <w:rPr>
          <w:rFonts w:ascii="Times New Roman Regular" w:hAnsi="Times New Roman Regular" w:cs="Times New Roman Regular"/>
          <w:b/>
          <w:bCs/>
          <w:sz w:val="24"/>
        </w:rPr>
        <w:br w:type="page"/>
      </w:r>
      <w:r>
        <w:rPr>
          <w:rFonts w:ascii="Times New Roman Regular" w:hAnsi="Times New Roman Regular" w:cs="Times New Roman Regular"/>
          <w:b/>
          <w:bCs/>
          <w:sz w:val="24"/>
        </w:rPr>
        <w:lastRenderedPageBreak/>
        <w:t xml:space="preserve">Introduction </w:t>
      </w:r>
    </w:p>
    <w:p w14:paraId="4F87B9C9" w14:textId="77777777" w:rsidR="007A32B9" w:rsidRDefault="007A32B9" w:rsidP="007A32B9">
      <w:pPr>
        <w:spacing w:line="360" w:lineRule="auto"/>
        <w:rPr>
          <w:rFonts w:ascii="Times New Roman Regular" w:hAnsi="Times New Roman Regular" w:cs="Times New Roman Regular" w:hint="eastAsia"/>
          <w:sz w:val="24"/>
        </w:rPr>
      </w:pPr>
      <w:r>
        <w:rPr>
          <w:rFonts w:ascii="Times New Roman Regular" w:hAnsi="Times New Roman Regular"/>
          <w:sz w:val="24"/>
        </w:rPr>
        <w:t xml:space="preserve">In our increasingly interconnected world, where more than half of the population is proficient in two languages, the ability to communicate in multiple languages brings numerous personal and professional benefits (Hummel, 2013). The impact of bilingualism on cognitive processes has been extensively studied, with recent years seeing a growing debate over whether bilingualism indeed confers cognitive advantages (e.g., Bialystok, 2005; Tao et al., 2021). Some research findings suggest that bilingual individuals, regardless of their linguistic backgrounds and throughout their lives, exhibit faster response times and better performance on tasks measuring executive functions compared to monolinguals (e.g., Grundy, 2020; </w:t>
      </w:r>
      <w:proofErr w:type="spellStart"/>
      <w:r>
        <w:rPr>
          <w:rFonts w:ascii="Times New Roman Regular" w:hAnsi="Times New Roman Regular"/>
          <w:sz w:val="24"/>
        </w:rPr>
        <w:t>Kousaie</w:t>
      </w:r>
      <w:proofErr w:type="spellEnd"/>
      <w:r>
        <w:rPr>
          <w:rFonts w:ascii="Times New Roman Regular" w:hAnsi="Times New Roman Regular"/>
          <w:sz w:val="24"/>
        </w:rPr>
        <w:t xml:space="preserve"> et al., 2014). However, it's worth noting that claims of a bilingual advantage are met with skepticism, as the observed benefits are often marginal and statistically inconclusive, particularly when considering the tendency for studies to selectively report positive results (</w:t>
      </w:r>
      <w:proofErr w:type="spellStart"/>
      <w:r>
        <w:rPr>
          <w:rFonts w:ascii="Times New Roman Regular" w:hAnsi="Times New Roman Regular"/>
          <w:sz w:val="24"/>
        </w:rPr>
        <w:t>Ouzia</w:t>
      </w:r>
      <w:proofErr w:type="spellEnd"/>
      <w:r>
        <w:rPr>
          <w:rFonts w:ascii="Times New Roman Regular" w:hAnsi="Times New Roman Regular"/>
          <w:sz w:val="24"/>
        </w:rPr>
        <w:t xml:space="preserve"> et al., 2019). </w:t>
      </w:r>
      <w:r>
        <w:rPr>
          <w:rFonts w:ascii="Times New Roman Regular" w:hAnsi="Times New Roman Regular" w:cs="Times New Roman Regular"/>
          <w:sz w:val="24"/>
        </w:rPr>
        <w:t xml:space="preserve">For teachers and parents, recognizing the potential influence of bilingualism on children, including children’s intelligence, is one important factor determining their confidence and decision of sending kids to learn a second language or not. On the debate of whether bilingualism could benefit or harm kids’ intelligence, in this essay, I argue that bilingualism may bring more benefits than harms on kids’ intelligence. I will discuss within the framework of inhibitory control theory, and with key arguments by Baker (2014). </w:t>
      </w:r>
    </w:p>
    <w:p w14:paraId="24EF40BE" w14:textId="77777777" w:rsidR="007A32B9" w:rsidRDefault="007A32B9" w:rsidP="007A32B9">
      <w:pPr>
        <w:spacing w:line="360" w:lineRule="auto"/>
        <w:rPr>
          <w:rFonts w:ascii="Times New Roman Regular" w:hAnsi="Times New Roman Regular" w:cs="Times New Roman Regular" w:hint="eastAsia"/>
          <w:sz w:val="24"/>
        </w:rPr>
      </w:pPr>
    </w:p>
    <w:p w14:paraId="09938202" w14:textId="77777777" w:rsidR="007A32B9" w:rsidRDefault="007A32B9" w:rsidP="007A32B9">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 xml:space="preserve">Inhibitory Control Theory and Bilingualism </w:t>
      </w:r>
    </w:p>
    <w:p w14:paraId="7AEF370D"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 xml:space="preserve">To understand the impacts of bilingualism on kids’ intelligence, inhibitory control theory (ICT) will work. Based on the ICM, cognitive control mechanisms are necessary to manage the competition between two languages (Hartanto and Yang, 2019). The increased cognitive effort needed to process multiple languages is believed to result in improvements in executive function. ICM proposes that the specific control mechanisms employed during bilingual speech production adjust based on the requirements of an individual's daily interactional environment (Martin-Rhee and Bialystok, 2008). Increased demand for language switching between two languages is associated with a wider array of cognitive control benefits (Martin-Rhee and Bialystok, 2008). In the framework presented by Miyake and Friedman (2004), along with </w:t>
      </w:r>
      <w:r>
        <w:rPr>
          <w:rFonts w:ascii="Times New Roman Regular" w:hAnsi="Times New Roman Regular"/>
          <w:sz w:val="24"/>
        </w:rPr>
        <w:lastRenderedPageBreak/>
        <w:t xml:space="preserve">updating and shifting, inhibition was proposed as one of the three unique components of executive functions. But inhibition could not be a distinct subcomponent after all; rather, Miyake and Friedman (2012) argue that inhibition is fully consistent with a "common executive function." Maintaining and using task goals and pertinent information is the definition of this typical executive function. </w:t>
      </w:r>
    </w:p>
    <w:p w14:paraId="461FF3FE" w14:textId="77777777" w:rsidR="007A32B9" w:rsidRDefault="007A32B9" w:rsidP="007A32B9">
      <w:pPr>
        <w:spacing w:line="360" w:lineRule="auto"/>
        <w:rPr>
          <w:rFonts w:ascii="Times New Roman Regular" w:hAnsi="Times New Roman Regular" w:hint="eastAsia"/>
          <w:sz w:val="24"/>
        </w:rPr>
      </w:pPr>
    </w:p>
    <w:p w14:paraId="52E0444B"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 xml:space="preserve">Green (1998) extensively explored the potential role of inhibition as a link between bilingual language proficiency and cognitive effects. He suggested in his Inhibitory Control model that the supervisory attentional system modulates conceptual concepts and task objectives to activate linguistic task schemas at a lower level. Subsequently, these activated schemas form "functional circuits," which control verbal outputs by selectively activating and suppressing pertinent lexical-semantic representations. This idea was then developed further by Green and </w:t>
      </w:r>
      <w:proofErr w:type="spellStart"/>
      <w:r>
        <w:rPr>
          <w:rFonts w:ascii="Times New Roman Regular" w:hAnsi="Times New Roman Regular"/>
          <w:sz w:val="24"/>
        </w:rPr>
        <w:t>Abutalebi</w:t>
      </w:r>
      <w:proofErr w:type="spellEnd"/>
      <w:r>
        <w:rPr>
          <w:rFonts w:ascii="Times New Roman Regular" w:hAnsi="Times New Roman Regular"/>
          <w:sz w:val="24"/>
        </w:rPr>
        <w:t xml:space="preserve"> (2013) in their Adaptive Control Model, which showed that the need for inhibition differs depending on the language context that speakers and listeners share. They distinguish between three interactional situations for the use of bilingual languages, each with unique consequences for the outcomes of the brain and cognition because of the differences in the ways in which the two languages are used and the cognitive control mechanisms they need. These talks in the ICT point to the possible benefits of bilingualism for children's cognitive development and intellect. </w:t>
      </w:r>
    </w:p>
    <w:p w14:paraId="00A8D61B" w14:textId="77777777" w:rsidR="007A32B9" w:rsidRDefault="007A32B9" w:rsidP="007A32B9">
      <w:pPr>
        <w:spacing w:line="360" w:lineRule="auto"/>
        <w:rPr>
          <w:rFonts w:ascii="Times New Roman Regular" w:hAnsi="Times New Roman Regular" w:hint="eastAsia"/>
          <w:sz w:val="24"/>
        </w:rPr>
      </w:pPr>
    </w:p>
    <w:p w14:paraId="682A69A7"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ICT framework offers theoretical basis to explore the beneficial impacts of bilingualism on kids’ intelligence from aspects of suppress stimuli and behavioral responses that are irrelevant to current goals, which is thus rather relevant to the exploration of the impacts of bilingualism on kids’ cognitive intelligence. Baker’s (2014) points echoes these insights, and he offers further clarified perspectives of the benefits of bilingualism on children’s intelligence. In the following, the essay will critically discuss the suggestive insights offered by Baker (2014) and assess whether they align with the author's personal experience regarding appropriateness.</w:t>
      </w:r>
    </w:p>
    <w:p w14:paraId="3E240D14" w14:textId="77777777" w:rsidR="007A32B9" w:rsidRDefault="007A32B9" w:rsidP="007A32B9">
      <w:pPr>
        <w:spacing w:line="360" w:lineRule="auto"/>
        <w:rPr>
          <w:rFonts w:ascii="Times New Roman Regular" w:hAnsi="Times New Roman Regular" w:hint="eastAsia"/>
          <w:sz w:val="24"/>
        </w:rPr>
      </w:pPr>
    </w:p>
    <w:p w14:paraId="61AB6D1D" w14:textId="77777777" w:rsidR="007A32B9" w:rsidRDefault="007A32B9" w:rsidP="007A32B9">
      <w:pPr>
        <w:spacing w:line="360" w:lineRule="auto"/>
        <w:rPr>
          <w:rFonts w:ascii="Times New Roman Regular" w:hAnsi="Times New Roman Regular" w:hint="eastAsia"/>
          <w:b/>
          <w:bCs/>
          <w:sz w:val="24"/>
        </w:rPr>
      </w:pPr>
      <w:r>
        <w:rPr>
          <w:rFonts w:ascii="Times New Roman Regular" w:hAnsi="Times New Roman Regular"/>
          <w:b/>
          <w:bCs/>
          <w:sz w:val="24"/>
        </w:rPr>
        <w:t xml:space="preserve">Benefits of Bilingualism on Kids’ Intelligence: Baker’s Perspectives </w:t>
      </w:r>
    </w:p>
    <w:p w14:paraId="0885D4E5"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lastRenderedPageBreak/>
        <w:t xml:space="preserve">Baker (2014) provides his answers to the question of the impacts of bilingualism on kids’ intelligence. He states many benefits that can be offered by bilingualism on kids’ intelligence. For example, he argues that bilingual individuals often display increased fluency, adaptability, originality, and expansiveness in their responses to open-ended questions of this nature. Those who can generate only a few answers are typically labeled as convergent thinkers, as they tend to converge on a limited set of acceptable conventional responses. Conversely, individuals who can generate numerous uses for unconventional objects, such as a brick, tin can, or cardboard box, are referred to as divergent thinkers. Baker (2014) further states that divergent thinkers enjoy exploring a variety of answers to a question and demonstrate imaginative and fluent thinking. While many monolinguals exhibit divergent thinking, bilinguals often outperform monolinguals on tests assessing creativity and divergent thinking. To my personal experience, I agree with such statement. As I am affluent in both my mother tongue and English, when I encounter with real-world practical problems such as interpersonal conflicts, I tend to think out of box by incorporating diverse points of view. For example, I can follow English-way of thinking to understand how western culture may shape the people’s behavior, and then compare with those under the influence of eastern culture. Thus, as a bilingual language learner, I can think of one issue from difference angles. This is definitely the positive side of my intelligence enhancement via bilingual learning. </w:t>
      </w:r>
    </w:p>
    <w:p w14:paraId="11450320" w14:textId="77777777" w:rsidR="007A32B9" w:rsidRDefault="007A32B9" w:rsidP="007A32B9">
      <w:pPr>
        <w:spacing w:line="360" w:lineRule="auto"/>
        <w:rPr>
          <w:rFonts w:ascii="Times New Roman Regular" w:hAnsi="Times New Roman Regular" w:hint="eastAsia"/>
          <w:sz w:val="24"/>
        </w:rPr>
      </w:pPr>
    </w:p>
    <w:p w14:paraId="1F95A35E"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 xml:space="preserve">Besides, Baker (2014) mentioned the benefit that bilinguals may enjoy the advantage over monolinguals because of their improved sensitivity to communication signs. Baker (2014) illustrates this point by stating the example of “cat” “cap” and “hat”, stating that bilinguals tend to make clearer and quicker distinguishes between these words, which proves to be an advantage over monolinguals. As further explained by Baker (2014), relatively balanced bilinguals demonstrate enhanced abilities in tasks requiring selective attention within the brain's executive control system. This advantage may offer an initial advantage in both learning to read and developing critical thinking skills. Such also indicates that bilingual individuals tend to possess a cognitive system capable of effectively attending to pertinent information while disregarding less relevant details (Baker, 2014; </w:t>
      </w:r>
      <w:proofErr w:type="spellStart"/>
      <w:r>
        <w:rPr>
          <w:rFonts w:ascii="Times New Roman Regular" w:hAnsi="Times New Roman Regular"/>
          <w:sz w:val="24"/>
        </w:rPr>
        <w:t>Adescope</w:t>
      </w:r>
      <w:proofErr w:type="spellEnd"/>
      <w:r>
        <w:rPr>
          <w:rFonts w:ascii="Times New Roman Regular" w:hAnsi="Times New Roman Regular"/>
          <w:sz w:val="24"/>
        </w:rPr>
        <w:t xml:space="preserve"> et al., 2010). They exhibit </w:t>
      </w:r>
      <w:r>
        <w:rPr>
          <w:rFonts w:ascii="Times New Roman Regular" w:hAnsi="Times New Roman Regular"/>
          <w:sz w:val="24"/>
        </w:rPr>
        <w:lastRenderedPageBreak/>
        <w:t>proficiency in thinking about and switching between two distinct concepts, focusing on what is pertinent while disregarding extraneous information (Baker, 2014; Bialystok, 2005</w:t>
      </w:r>
      <w:proofErr w:type="gramStart"/>
      <w:r>
        <w:rPr>
          <w:rFonts w:ascii="Times New Roman Regular" w:hAnsi="Times New Roman Regular"/>
          <w:sz w:val="24"/>
        </w:rPr>
        <w:t>).We</w:t>
      </w:r>
      <w:proofErr w:type="gramEnd"/>
      <w:r>
        <w:rPr>
          <w:rFonts w:ascii="Times New Roman Regular" w:hAnsi="Times New Roman Regular"/>
          <w:sz w:val="24"/>
        </w:rPr>
        <w:t xml:space="preserve"> can imagine the work done by interpreters who need to transform information quickly and accurately from one language to another. The interpreter has to switch between two language systems. In the process, the interpreter has to deal with information by sorting out important signs to avoid incorrect translations (</w:t>
      </w:r>
      <w:proofErr w:type="spellStart"/>
      <w:r>
        <w:rPr>
          <w:rFonts w:ascii="Times New Roman Regular" w:hAnsi="Times New Roman Regular"/>
          <w:sz w:val="24"/>
        </w:rPr>
        <w:t>Schwieter</w:t>
      </w:r>
      <w:proofErr w:type="spellEnd"/>
      <w:r>
        <w:rPr>
          <w:rFonts w:ascii="Times New Roman Regular" w:hAnsi="Times New Roman Regular"/>
          <w:sz w:val="24"/>
        </w:rPr>
        <w:t xml:space="preserve"> and </w:t>
      </w:r>
      <w:proofErr w:type="spellStart"/>
      <w:r>
        <w:rPr>
          <w:rFonts w:ascii="Times New Roman Regular" w:hAnsi="Times New Roman Regular"/>
          <w:sz w:val="24"/>
        </w:rPr>
        <w:t>Feerreira</w:t>
      </w:r>
      <w:proofErr w:type="spellEnd"/>
      <w:r>
        <w:rPr>
          <w:rFonts w:ascii="Times New Roman Regular" w:hAnsi="Times New Roman Regular"/>
          <w:sz w:val="24"/>
        </w:rPr>
        <w:t>, 2017). For those less important, the interpreter will tend to disregard them to leave more room for dealing with the important message for greater accuracy and transparency, considering cultural appropriateness. This is similar to what happens in the bilingual brain when it uses two languages; both languages are available and active at the same time, but the brain knows just which language is appropriate in a particular situation. Consequently, bilinguals benefit cognitively while processing language.</w:t>
      </w:r>
    </w:p>
    <w:p w14:paraId="4AA8FE3A" w14:textId="77777777" w:rsidR="007A32B9" w:rsidRDefault="007A32B9" w:rsidP="007A32B9">
      <w:pPr>
        <w:spacing w:line="360" w:lineRule="auto"/>
        <w:rPr>
          <w:rFonts w:ascii="Times New Roman Regular" w:hAnsi="Times New Roman Regular" w:hint="eastAsia"/>
          <w:sz w:val="24"/>
        </w:rPr>
      </w:pPr>
    </w:p>
    <w:p w14:paraId="502DCFEF"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 xml:space="preserve">Another beneficial impact brought by bilingual learning process is that bilingual individuals tend to excel at multitasking compared to monolinguals (Baker, 2014). In an experiment conducted using a driving simulator, both monolinguals and bilinguals were instructed to perform additional tasks through headphones while driving (De La Cruz, 2016; Baker, 2014). The outcome revealed that, on average, bilinguals demonstrated a lesser decline in their driving performance compared to monolinguals. Despite the added task, bilinguals exhibited a greater ability to utilize their brain's executive control system to focus on driving. This exemplifies the heightened selective attention observed in bilinguals due to their management of two languages in the brain. The similar results were supported by </w:t>
      </w:r>
      <w:proofErr w:type="spellStart"/>
      <w:r>
        <w:rPr>
          <w:rFonts w:ascii="Times New Roman Regular" w:hAnsi="Times New Roman Regular"/>
          <w:sz w:val="24"/>
        </w:rPr>
        <w:t>Ouzia</w:t>
      </w:r>
      <w:proofErr w:type="spellEnd"/>
      <w:r>
        <w:rPr>
          <w:rFonts w:ascii="Times New Roman Regular" w:hAnsi="Times New Roman Regular"/>
          <w:sz w:val="24"/>
        </w:rPr>
        <w:t xml:space="preserve"> and Filippi (2016) who conducted an experiment, where participants were instructed to concentrate on either the left or right ear while wearing professional-grade headphones. Their task was to identify the agent responsible for each auditory cue. They found that bilingual individuals demonstrate quicker response times compared to monolinguals in tasks involving visual, non-verbal stimuli. Such process was explained by Baker (2014) that bilingual individuals exhibit improved language analysis skills and heightened attentional control during internal language processing. This advantage may stem from the necessity for bilinguals to distinguish between their two languages. </w:t>
      </w:r>
    </w:p>
    <w:p w14:paraId="088EEE00" w14:textId="77777777" w:rsidR="007A32B9" w:rsidRDefault="007A32B9" w:rsidP="007A32B9">
      <w:pPr>
        <w:spacing w:line="360" w:lineRule="auto"/>
        <w:rPr>
          <w:rFonts w:ascii="Times New Roman Regular" w:hAnsi="Times New Roman Regular" w:hint="eastAsia"/>
          <w:sz w:val="24"/>
        </w:rPr>
      </w:pPr>
    </w:p>
    <w:p w14:paraId="6E4D383C"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 xml:space="preserve">The adaptive control hypothesis as contained by ICT, as discussed above, indicate that individuals with bilingual learning capabilities tend to show high adaptative capabilities in daily interactive modes. Such is further explained by Baker (2014) regarding their critical and innovative thinking capabilities when faced up with one issue. The more effective and efficient transition from one language to another also improves individuals’ performance in daily activities marked by their greater flexibility and efficiency in responding to many spontaneous situations. Bilingual learners, during their learning process, have practiced many times of controlling their brains and cognitive patterns, which enhances their capability as well. </w:t>
      </w:r>
      <w:proofErr w:type="gramStart"/>
      <w:r>
        <w:rPr>
          <w:rFonts w:ascii="Times New Roman Regular" w:hAnsi="Times New Roman Regular"/>
          <w:sz w:val="24"/>
        </w:rPr>
        <w:t>So</w:t>
      </w:r>
      <w:proofErr w:type="gramEnd"/>
      <w:r>
        <w:rPr>
          <w:rFonts w:ascii="Times New Roman Regular" w:hAnsi="Times New Roman Regular"/>
          <w:sz w:val="24"/>
        </w:rPr>
        <w:t xml:space="preserve"> to a great extent, I agree with Baker’s standpoints, and think that these benefits are generally aligned with my personal experience. However, there are other researches posing the opposite side of the impacts of bilingualism on kids’ intelligence, indicating the irrelevance or even negative sides of bilingualism. I shall discuss it in the following part. </w:t>
      </w:r>
    </w:p>
    <w:p w14:paraId="23734584" w14:textId="77777777" w:rsidR="007A32B9" w:rsidRDefault="007A32B9" w:rsidP="007A32B9">
      <w:pPr>
        <w:spacing w:line="360" w:lineRule="auto"/>
        <w:rPr>
          <w:rFonts w:ascii="Times New Roman Regular" w:hAnsi="Times New Roman Regular" w:hint="eastAsia"/>
          <w:sz w:val="24"/>
        </w:rPr>
      </w:pPr>
    </w:p>
    <w:p w14:paraId="183EAC34" w14:textId="77777777" w:rsidR="007A32B9" w:rsidRDefault="007A32B9" w:rsidP="007A32B9">
      <w:pPr>
        <w:spacing w:line="360" w:lineRule="auto"/>
        <w:rPr>
          <w:rFonts w:ascii="Times New Roman Regular" w:hAnsi="Times New Roman Regular" w:hint="eastAsia"/>
          <w:b/>
          <w:bCs/>
          <w:sz w:val="24"/>
        </w:rPr>
      </w:pPr>
      <w:r>
        <w:rPr>
          <w:rFonts w:ascii="Times New Roman Regular" w:hAnsi="Times New Roman Regular"/>
          <w:b/>
          <w:bCs/>
          <w:sz w:val="24"/>
        </w:rPr>
        <w:t xml:space="preserve">Critical Insights and Counter Arguments </w:t>
      </w:r>
    </w:p>
    <w:p w14:paraId="3760F2CD"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 xml:space="preserve">There are some researches indicating the negative results of the correlation between bilingualism and learners’ intelligence. For example, Laborda et al. (2023) conducted an assessment with a sample of the Mexican population, comprises children aged 5 to 12 (n = 4644), including 671 bilingual children proficient in both Spanish and an indigenous language, 3970 monolingual Spanish-speaking children, and 78 monolingual indigenous language-speaking children. They aimed to explore the bilingualism and monolingualism impacts on students’ intelligence-based tests results. The findings indicate significant quantitative disparities, with bilingual children demonstrating lower overall performance on the Raven's test compared to their monolingual (Spanish only) counterparts (Laborda et al., 2023). Another research by Bialystok et al. (2022) was carried in order to examining data gathered from verbal and nonverbal intelligence assessments with a sample size 6,077 participants. This research encompassed individuals across various age groups. The results revealed that, while monolingual individuals demonstrated superior performance on standardized verbal tests compared to bilinguals, there were no discernible differences between the two language groups </w:t>
      </w:r>
      <w:r>
        <w:rPr>
          <w:rFonts w:ascii="Times New Roman Regular" w:hAnsi="Times New Roman Regular"/>
          <w:sz w:val="24"/>
        </w:rPr>
        <w:lastRenderedPageBreak/>
        <w:t xml:space="preserve">on nonverbal intelligence measures (Bialystok et al., 2022). These empirical study results serve as the evidence that bilingualism may not serve as a positive factor in association with the intelligence enhancement among learners as compared with monolingual learning. </w:t>
      </w:r>
    </w:p>
    <w:p w14:paraId="1D4F66E2" w14:textId="77777777" w:rsidR="007A32B9" w:rsidRDefault="007A32B9" w:rsidP="007A32B9">
      <w:pPr>
        <w:spacing w:line="360" w:lineRule="auto"/>
        <w:rPr>
          <w:rFonts w:ascii="Times New Roman Regular" w:hAnsi="Times New Roman Regular" w:hint="eastAsia"/>
          <w:sz w:val="24"/>
        </w:rPr>
      </w:pPr>
    </w:p>
    <w:p w14:paraId="0A2ABFBA"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 xml:space="preserve">However, what is worthwhile to notice that in Laborda et al.’s (2023) study, their sample was mainly the children in regions of poverty. The children in these areas may suffer from shortage of learning resources and opportunities to real emerge themselves in the bilingual learning environments. For example, they are unable to fully grasp second language, which may lead to chaos in their minds. Such may represent the learning situation of this group of people, but may not represent the whole population. </w:t>
      </w:r>
      <w:proofErr w:type="gramStart"/>
      <w:r>
        <w:rPr>
          <w:rFonts w:ascii="Times New Roman Regular" w:hAnsi="Times New Roman Regular"/>
          <w:sz w:val="24"/>
        </w:rPr>
        <w:t>So</w:t>
      </w:r>
      <w:proofErr w:type="gramEnd"/>
      <w:r>
        <w:rPr>
          <w:rFonts w:ascii="Times New Roman Regular" w:hAnsi="Times New Roman Regular"/>
          <w:sz w:val="24"/>
        </w:rPr>
        <w:t xml:space="preserve"> the sample of Laborda et al. (2015) did not cover wider range of population who enjoy much better bilingualism learning resources. Besides, I agree with Baker’s (2014) statement that normally, the intelligence tests adopted by some researchers may not truly and fully represent one’s intelligence. The test itself may lack of validity, which is unable to contribute to highly reliable research results. From my personal experience, I feel that bilingualism learners can indeed be beneficial from the greater adaptability because of the </w:t>
      </w:r>
      <w:proofErr w:type="gramStart"/>
      <w:r>
        <w:rPr>
          <w:rFonts w:ascii="Times New Roman Regular" w:hAnsi="Times New Roman Regular"/>
          <w:sz w:val="24"/>
        </w:rPr>
        <w:t>well trained</w:t>
      </w:r>
      <w:proofErr w:type="gramEnd"/>
      <w:r>
        <w:rPr>
          <w:rFonts w:ascii="Times New Roman Regular" w:hAnsi="Times New Roman Regular"/>
          <w:sz w:val="24"/>
        </w:rPr>
        <w:t xml:space="preserve"> cognitive transition between two languages, and two cultural patterns. These equip learners, including myself, the enhanced ability to make quick distinguishes between important and less important message. It is also much more effective to make adaptations between different interactive contexts across cultural norms. Therefore, I support that bilingualism can bring more positive impacts on kids’ intelligence. </w:t>
      </w:r>
    </w:p>
    <w:p w14:paraId="2509EAF5" w14:textId="77777777" w:rsidR="007A32B9" w:rsidRDefault="007A32B9" w:rsidP="007A32B9">
      <w:pPr>
        <w:spacing w:line="360" w:lineRule="auto"/>
        <w:rPr>
          <w:rFonts w:ascii="Times New Roman Regular" w:hAnsi="Times New Roman Regular" w:hint="eastAsia"/>
          <w:sz w:val="24"/>
        </w:rPr>
      </w:pPr>
    </w:p>
    <w:p w14:paraId="08878F2D" w14:textId="77777777" w:rsidR="007A32B9" w:rsidRDefault="007A32B9" w:rsidP="007A32B9">
      <w:pPr>
        <w:spacing w:line="360" w:lineRule="auto"/>
        <w:rPr>
          <w:rFonts w:ascii="Times New Roman Regular" w:hAnsi="Times New Roman Regular" w:hint="eastAsia"/>
          <w:sz w:val="24"/>
        </w:rPr>
      </w:pPr>
      <w:r>
        <w:rPr>
          <w:rFonts w:ascii="Times New Roman Regular" w:hAnsi="Times New Roman Regular"/>
          <w:sz w:val="24"/>
        </w:rPr>
        <w:t xml:space="preserve">Extending on Baker’s (2014) insights, recent research has shifted towards viewing bilingualism as a continuum, ranging from monolingual to bilingual experiences, rather than a simple dichotomy. Studies have demonstrated a significant positive correlation between the extent of language experience and cognitive and brain outcomes (Sulpizio et al., 2020). Building upon this notion, simultaneous interpreters are often regarded as "super bilinguals" due to their continuous management of two languages during real-time processing. Research has indicated superior cognitive and brain outcomes in this group compared to other multilingual individuals (Kang et al., 2023). The nuanced findings from these studies challenge the simplistic approach </w:t>
      </w:r>
      <w:r>
        <w:rPr>
          <w:rFonts w:ascii="Times New Roman Regular" w:hAnsi="Times New Roman Regular"/>
          <w:sz w:val="24"/>
        </w:rPr>
        <w:lastRenderedPageBreak/>
        <w:t xml:space="preserve">of categorizing participants based solely on the number of languages they speak (Nichols et al., 2020). These new methodologies have enhanced our understanding of the relationship between bilingualism and cognition by identifying pertinent moderating factors. Therefore, more accurate research processes concerning the relationship between bilingualism and cognitive intelligence can be conducted, and I hope that bilingualism’s benefits can be investigated to a greater extent. </w:t>
      </w:r>
    </w:p>
    <w:p w14:paraId="538C607A" w14:textId="77777777" w:rsidR="007A32B9" w:rsidRDefault="007A32B9" w:rsidP="007A32B9">
      <w:pPr>
        <w:spacing w:line="360" w:lineRule="auto"/>
        <w:rPr>
          <w:rFonts w:ascii="Times New Roman Regular" w:hAnsi="Times New Roman Regular" w:hint="eastAsia"/>
          <w:sz w:val="24"/>
        </w:rPr>
      </w:pPr>
    </w:p>
    <w:p w14:paraId="4B5E0BD3" w14:textId="77777777" w:rsidR="007A32B9" w:rsidRDefault="007A32B9" w:rsidP="007A32B9">
      <w:pPr>
        <w:spacing w:line="360" w:lineRule="auto"/>
        <w:rPr>
          <w:rFonts w:ascii="Times New Roman Regular" w:hAnsi="Times New Roman Regular" w:hint="eastAsia"/>
          <w:b/>
          <w:bCs/>
          <w:sz w:val="24"/>
        </w:rPr>
      </w:pPr>
      <w:r>
        <w:rPr>
          <w:rFonts w:ascii="Times New Roman Regular" w:hAnsi="Times New Roman Regular"/>
          <w:b/>
          <w:bCs/>
          <w:sz w:val="24"/>
        </w:rPr>
        <w:t xml:space="preserve">Conclusions </w:t>
      </w:r>
    </w:p>
    <w:p w14:paraId="71F87FE1" w14:textId="77777777" w:rsidR="007A32B9" w:rsidRDefault="007A32B9" w:rsidP="007A32B9">
      <w:pPr>
        <w:spacing w:line="360" w:lineRule="auto"/>
        <w:rPr>
          <w:rFonts w:ascii="Times New Roman Regular" w:hAnsi="Times New Roman Regular" w:cs="Times New Roman Regular" w:hint="eastAsia"/>
          <w:sz w:val="24"/>
        </w:rPr>
      </w:pPr>
      <w:r>
        <w:rPr>
          <w:rFonts w:ascii="Times New Roman Regular" w:hAnsi="Times New Roman Regular"/>
          <w:sz w:val="24"/>
        </w:rPr>
        <w:t xml:space="preserve">In conclusion, the debate surrounding the impact of bilingualism on children's intelligence is multifaceted and complex. While some argue that bilingualism offers cognitive advantages, others question the validity of such claims. Through the lens of inhibitory control theory (ICT) and insights from Baker (2014), this essay has explored the potential benefits of bilingualism on children's intelligence. ICT provides a theoretical framework to understand how bilingualism may enhance cognitive capabilities, particularly through the management of competing language systems and the adaptive control of cognitive mechanisms. Baker's perspectives further emphasize the cognitive advantages of bilingualism, including increased fluency, adaptability, and enhanced multitasking abilities. Personal experiences also corroborate the notion that bilingualism can foster critical and innovative thinking skills, as individuals navigate diverse linguistic and cultural contexts. However, counterarguments based on empirical studies suggest that the relationship between bilingualism and intelligence may not always be straightforward, with some studies indicating no significant differences between monolingual and bilingual individuals on certain intelligence measures. Recent research trends have shifted towards viewing bilingualism as a continuum rather than a dichotomy, highlighting the need for more nuanced approaches to studying its effects. By considering moderating factors and employing rigorous research methodologies, we can better understand the relationship between bilingualism and cognitive intelligence. Therefore, </w:t>
      </w:r>
      <w:r>
        <w:rPr>
          <w:rFonts w:ascii="Times New Roman Regular" w:hAnsi="Times New Roman Regular" w:cs="Times New Roman Regular"/>
          <w:sz w:val="24"/>
        </w:rPr>
        <w:t xml:space="preserve">while bilingualism may not universally guarantee cognitive advantages, its potential benefits, especially when viewed in conjunction with individual experiences and contextual factors, warrant further investigation. </w:t>
      </w:r>
    </w:p>
    <w:p w14:paraId="1DF2B8B6" w14:textId="4845EBD6" w:rsidR="007A32B9" w:rsidRDefault="007A32B9" w:rsidP="007A32B9">
      <w:pPr>
        <w:rPr>
          <w:rFonts w:ascii="Times New Roman Regular" w:hAnsi="Times New Roman Regular" w:cs="Times New Roman Regular" w:hint="eastAsia"/>
          <w:b/>
          <w:bCs/>
          <w:sz w:val="24"/>
        </w:rPr>
      </w:pPr>
      <w:r>
        <w:rPr>
          <w:rFonts w:ascii="Times New Roman Regular" w:hAnsi="Times New Roman Regular" w:cs="Times New Roman Regular"/>
          <w:b/>
          <w:bCs/>
          <w:sz w:val="24"/>
        </w:rPr>
        <w:br w:type="page"/>
      </w:r>
      <w:r>
        <w:rPr>
          <w:rFonts w:ascii="Times New Roman Regular" w:hAnsi="Times New Roman Regular" w:cs="Times New Roman Regular"/>
          <w:b/>
          <w:bCs/>
          <w:sz w:val="24"/>
        </w:rPr>
        <w:lastRenderedPageBreak/>
        <w:t xml:space="preserve">References </w:t>
      </w:r>
    </w:p>
    <w:p w14:paraId="03A4D784" w14:textId="77777777" w:rsidR="007A32B9" w:rsidRDefault="007A32B9" w:rsidP="007A32B9">
      <w:pPr>
        <w:spacing w:line="360" w:lineRule="auto"/>
        <w:rPr>
          <w:rFonts w:ascii="Times New Roman Regular" w:hAnsi="Times New Roman Regular" w:cs="Times New Roman Regular" w:hint="eastAsia"/>
          <w:b/>
          <w:bCs/>
          <w:sz w:val="24"/>
        </w:rPr>
      </w:pPr>
    </w:p>
    <w:p w14:paraId="65EC9BAC" w14:textId="77777777" w:rsidR="007A32B9" w:rsidRDefault="007A32B9" w:rsidP="007A32B9">
      <w:pPr>
        <w:widowControl/>
        <w:spacing w:line="360" w:lineRule="auto"/>
        <w:jc w:val="left"/>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Adesope</w:t>
      </w:r>
      <w:proofErr w:type="spellEnd"/>
      <w:r>
        <w:rPr>
          <w:rFonts w:ascii="Times New Roman Regular" w:eastAsia="宋体" w:hAnsi="Times New Roman Regular" w:cs="Times New Roman Regular"/>
          <w:kern w:val="0"/>
          <w:sz w:val="24"/>
          <w:shd w:val="clear" w:color="auto" w:fill="FFFFFF"/>
          <w:lang w:bidi="ar"/>
        </w:rPr>
        <w:t>, O. O., Lavin, T., Thompson, T., and Ungerleider, C. (2010). A systematic review and meta-analysis of the cognitive correlates of bilingualism. </w:t>
      </w:r>
      <w:r>
        <w:rPr>
          <w:rFonts w:ascii="Times New Roman Regular" w:eastAsia="宋体" w:hAnsi="Times New Roman Regular" w:cs="Times New Roman Regular"/>
          <w:i/>
          <w:iCs/>
          <w:kern w:val="0"/>
          <w:sz w:val="24"/>
          <w:lang w:bidi="ar"/>
        </w:rPr>
        <w:t>Review of educational research</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80</w:t>
      </w:r>
      <w:r>
        <w:rPr>
          <w:rFonts w:ascii="Times New Roman Regular" w:eastAsia="宋体" w:hAnsi="Times New Roman Regular" w:cs="Times New Roman Regular"/>
          <w:kern w:val="0"/>
          <w:sz w:val="24"/>
          <w:shd w:val="clear" w:color="auto" w:fill="FFFFFF"/>
          <w:lang w:bidi="ar"/>
        </w:rPr>
        <w:t>(2), pp.207-245.</w:t>
      </w:r>
    </w:p>
    <w:p w14:paraId="411D0295" w14:textId="77777777" w:rsidR="007A32B9" w:rsidRDefault="007A32B9" w:rsidP="007A32B9">
      <w:pPr>
        <w:spacing w:line="360" w:lineRule="auto"/>
        <w:rPr>
          <w:rFonts w:ascii="Times New Roman Regular" w:hAnsi="Times New Roman Regular" w:cs="Times New Roman Regular" w:hint="eastAsia"/>
          <w:sz w:val="24"/>
        </w:rPr>
      </w:pPr>
    </w:p>
    <w:p w14:paraId="10F8D397" w14:textId="77777777" w:rsidR="007A32B9" w:rsidRDefault="007A32B9" w:rsidP="007A32B9">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Baker, C. (2014). </w:t>
      </w:r>
      <w:r>
        <w:rPr>
          <w:rFonts w:ascii="Times New Roman Regular" w:hAnsi="Times New Roman Regular" w:cs="Times New Roman Regular"/>
          <w:i/>
          <w:iCs/>
          <w:sz w:val="24"/>
        </w:rPr>
        <w:t>A Parents’ and Teachers’ Guide to Bilingualism, Multilingual Matters.</w:t>
      </w:r>
      <w:r>
        <w:rPr>
          <w:rFonts w:ascii="Times New Roman Regular" w:hAnsi="Times New Roman Regular" w:cs="Times New Roman Regular"/>
          <w:sz w:val="24"/>
        </w:rPr>
        <w:t xml:space="preserve"> Clevedon.</w:t>
      </w:r>
    </w:p>
    <w:p w14:paraId="34DA09F1" w14:textId="77777777" w:rsidR="007A32B9" w:rsidRDefault="007A32B9" w:rsidP="007A32B9">
      <w:pPr>
        <w:spacing w:line="360" w:lineRule="auto"/>
        <w:rPr>
          <w:rFonts w:ascii="Times New Roman Regular" w:hAnsi="Times New Roman Regular" w:cs="Times New Roman Regular" w:hint="eastAsia"/>
          <w:sz w:val="24"/>
        </w:rPr>
      </w:pPr>
    </w:p>
    <w:p w14:paraId="2BBC4455" w14:textId="77777777" w:rsidR="007A32B9" w:rsidRDefault="007A32B9" w:rsidP="007A32B9">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r>
        <w:rPr>
          <w:rFonts w:ascii="Times New Roman Regular" w:eastAsia="宋体" w:hAnsi="Times New Roman Regular" w:cs="Times New Roman Regular"/>
          <w:kern w:val="0"/>
          <w:sz w:val="24"/>
          <w:shd w:val="clear" w:color="auto" w:fill="FFFFFF"/>
          <w:lang w:bidi="ar"/>
        </w:rPr>
        <w:t>Bialystok, E. (2005). Consequences of bilingualism for cognitive development. </w:t>
      </w:r>
      <w:r>
        <w:rPr>
          <w:rFonts w:ascii="Times New Roman Regular" w:eastAsia="宋体" w:hAnsi="Times New Roman Regular" w:cs="Times New Roman Regular"/>
          <w:i/>
          <w:iCs/>
          <w:kern w:val="0"/>
          <w:sz w:val="24"/>
          <w:lang w:bidi="ar"/>
        </w:rPr>
        <w:t>Handbook of bilingualism: Psycholinguistic approaches</w:t>
      </w:r>
      <w:r>
        <w:rPr>
          <w:rFonts w:ascii="Times New Roman Regular" w:eastAsia="宋体" w:hAnsi="Times New Roman Regular" w:cs="Times New Roman Regular"/>
          <w:kern w:val="0"/>
          <w:sz w:val="24"/>
          <w:shd w:val="clear" w:color="auto" w:fill="FFFFFF"/>
          <w:lang w:bidi="ar"/>
        </w:rPr>
        <w:t>, pp.417-432.</w:t>
      </w:r>
    </w:p>
    <w:p w14:paraId="70964C4A" w14:textId="77777777" w:rsidR="007A32B9" w:rsidRDefault="007A32B9" w:rsidP="007A32B9">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50F9A3CD"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De La Cruz, I. A. C. (2016). </w:t>
      </w:r>
      <w:r>
        <w:rPr>
          <w:rFonts w:ascii="Times New Roman Regular" w:eastAsia="宋体" w:hAnsi="Times New Roman Regular" w:cs="Times New Roman Regular"/>
          <w:i/>
          <w:iCs/>
          <w:kern w:val="0"/>
          <w:sz w:val="24"/>
          <w:lang w:bidi="ar"/>
        </w:rPr>
        <w:t>The role of language profiles in complex driving environments</w:t>
      </w:r>
      <w:r>
        <w:rPr>
          <w:rFonts w:ascii="Times New Roman Regular" w:eastAsia="宋体" w:hAnsi="Times New Roman Regular" w:cs="Times New Roman Regular"/>
          <w:kern w:val="0"/>
          <w:sz w:val="24"/>
          <w:shd w:val="clear" w:color="auto" w:fill="FFFFFF"/>
          <w:lang w:bidi="ar"/>
        </w:rPr>
        <w:t>. California State University, Long Beach.</w:t>
      </w:r>
    </w:p>
    <w:p w14:paraId="140DBF20" w14:textId="77777777" w:rsidR="007A32B9" w:rsidRDefault="007A32B9" w:rsidP="007A32B9">
      <w:pPr>
        <w:spacing w:line="360" w:lineRule="auto"/>
        <w:rPr>
          <w:rFonts w:ascii="Times New Roman Regular" w:hAnsi="Times New Roman Regular" w:cs="Times New Roman Regular" w:hint="eastAsia"/>
          <w:sz w:val="24"/>
        </w:rPr>
      </w:pPr>
    </w:p>
    <w:p w14:paraId="6E69E552"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 xml:space="preserve">Green, D. W. (1998). Mental control of the bilingual </w:t>
      </w:r>
      <w:proofErr w:type="spellStart"/>
      <w:r>
        <w:rPr>
          <w:rFonts w:ascii="Times New Roman Regular" w:eastAsia="宋体" w:hAnsi="Times New Roman Regular" w:cs="Times New Roman Regular"/>
          <w:kern w:val="0"/>
          <w:sz w:val="24"/>
          <w:shd w:val="clear" w:color="auto" w:fill="FFFFFF"/>
          <w:lang w:bidi="ar"/>
        </w:rPr>
        <w:t>lexico</w:t>
      </w:r>
      <w:proofErr w:type="spellEnd"/>
      <w:r>
        <w:rPr>
          <w:rFonts w:ascii="Times New Roman Regular" w:eastAsia="宋体" w:hAnsi="Times New Roman Regular" w:cs="Times New Roman Regular"/>
          <w:kern w:val="0"/>
          <w:sz w:val="24"/>
          <w:shd w:val="clear" w:color="auto" w:fill="FFFFFF"/>
          <w:lang w:bidi="ar"/>
        </w:rPr>
        <w:t>-semantic system. </w:t>
      </w:r>
      <w:r>
        <w:rPr>
          <w:rFonts w:ascii="Times New Roman Regular" w:eastAsia="宋体" w:hAnsi="Times New Roman Regular" w:cs="Times New Roman Regular"/>
          <w:i/>
          <w:iCs/>
          <w:kern w:val="0"/>
          <w:sz w:val="24"/>
          <w:lang w:bidi="ar"/>
        </w:rPr>
        <w:t>Bilingualism: Language and cognition</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w:t>
      </w:r>
      <w:r>
        <w:rPr>
          <w:rFonts w:ascii="Times New Roman Regular" w:eastAsia="宋体" w:hAnsi="Times New Roman Regular" w:cs="Times New Roman Regular"/>
          <w:kern w:val="0"/>
          <w:sz w:val="24"/>
          <w:shd w:val="clear" w:color="auto" w:fill="FFFFFF"/>
          <w:lang w:bidi="ar"/>
        </w:rPr>
        <w:t>(2), pp.67-81.</w:t>
      </w:r>
    </w:p>
    <w:p w14:paraId="6F8F6B8E" w14:textId="77777777" w:rsidR="007A32B9" w:rsidRDefault="007A32B9" w:rsidP="007A32B9">
      <w:pPr>
        <w:spacing w:line="360" w:lineRule="auto"/>
        <w:rPr>
          <w:rFonts w:ascii="Times New Roman Regular" w:hAnsi="Times New Roman Regular" w:cs="Times New Roman Regular" w:hint="eastAsia"/>
          <w:sz w:val="24"/>
        </w:rPr>
      </w:pPr>
    </w:p>
    <w:p w14:paraId="6C1E0EA9"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 xml:space="preserve">Green, D. W., and </w:t>
      </w:r>
      <w:proofErr w:type="spellStart"/>
      <w:r>
        <w:rPr>
          <w:rFonts w:ascii="Times New Roman Regular" w:eastAsia="宋体" w:hAnsi="Times New Roman Regular" w:cs="Times New Roman Regular"/>
          <w:kern w:val="0"/>
          <w:sz w:val="24"/>
          <w:shd w:val="clear" w:color="auto" w:fill="FFFFFF"/>
          <w:lang w:bidi="ar"/>
        </w:rPr>
        <w:t>Abutalebi</w:t>
      </w:r>
      <w:proofErr w:type="spellEnd"/>
      <w:r>
        <w:rPr>
          <w:rFonts w:ascii="Times New Roman Regular" w:eastAsia="宋体" w:hAnsi="Times New Roman Regular" w:cs="Times New Roman Regular"/>
          <w:kern w:val="0"/>
          <w:sz w:val="24"/>
          <w:shd w:val="clear" w:color="auto" w:fill="FFFFFF"/>
          <w:lang w:bidi="ar"/>
        </w:rPr>
        <w:t>, J. (2013). Language control in bilinguals: The adaptive control hypothesis. </w:t>
      </w:r>
      <w:r>
        <w:rPr>
          <w:rFonts w:ascii="Times New Roman Regular" w:eastAsia="宋体" w:hAnsi="Times New Roman Regular" w:cs="Times New Roman Regular"/>
          <w:i/>
          <w:iCs/>
          <w:kern w:val="0"/>
          <w:sz w:val="24"/>
          <w:lang w:bidi="ar"/>
        </w:rPr>
        <w:t>Journal of cognitive psychology</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25</w:t>
      </w:r>
      <w:r>
        <w:rPr>
          <w:rFonts w:ascii="Times New Roman Regular" w:eastAsia="宋体" w:hAnsi="Times New Roman Regular" w:cs="Times New Roman Regular"/>
          <w:kern w:val="0"/>
          <w:sz w:val="24"/>
          <w:shd w:val="clear" w:color="auto" w:fill="FFFFFF"/>
          <w:lang w:bidi="ar"/>
        </w:rPr>
        <w:t>(5), pp.515-530.</w:t>
      </w:r>
    </w:p>
    <w:p w14:paraId="58254EC5" w14:textId="77777777" w:rsidR="007A32B9" w:rsidRDefault="007A32B9" w:rsidP="007A32B9">
      <w:pPr>
        <w:spacing w:line="360" w:lineRule="auto"/>
        <w:rPr>
          <w:rFonts w:ascii="Times New Roman Regular" w:hAnsi="Times New Roman Regular" w:cs="Times New Roman Regular" w:hint="eastAsia"/>
          <w:sz w:val="24"/>
        </w:rPr>
      </w:pPr>
    </w:p>
    <w:p w14:paraId="2A4BD2A1"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Grundy, J. G. (2020). The effects of bilingualism on executive functions: An updated quantitative analysis. </w:t>
      </w:r>
      <w:r>
        <w:rPr>
          <w:rFonts w:ascii="Times New Roman Regular" w:eastAsia="宋体" w:hAnsi="Times New Roman Regular" w:cs="Times New Roman Regular"/>
          <w:i/>
          <w:iCs/>
          <w:kern w:val="0"/>
          <w:sz w:val="24"/>
          <w:lang w:bidi="ar"/>
        </w:rPr>
        <w:t>Journal of Cultural Cognitive Science</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4</w:t>
      </w:r>
      <w:r>
        <w:rPr>
          <w:rFonts w:ascii="Times New Roman Regular" w:eastAsia="宋体" w:hAnsi="Times New Roman Regular" w:cs="Times New Roman Regular"/>
          <w:kern w:val="0"/>
          <w:sz w:val="24"/>
          <w:shd w:val="clear" w:color="auto" w:fill="FFFFFF"/>
          <w:lang w:bidi="ar"/>
        </w:rPr>
        <w:t>(2), pp.177-199.</w:t>
      </w:r>
    </w:p>
    <w:p w14:paraId="39DC3604" w14:textId="77777777" w:rsidR="007A32B9" w:rsidRDefault="007A32B9" w:rsidP="007A32B9">
      <w:pPr>
        <w:spacing w:line="360" w:lineRule="auto"/>
        <w:rPr>
          <w:rFonts w:ascii="Times New Roman Regular" w:hAnsi="Times New Roman Regular" w:cs="Times New Roman Regular" w:hint="eastAsia"/>
          <w:sz w:val="24"/>
        </w:rPr>
      </w:pPr>
    </w:p>
    <w:p w14:paraId="501114E3" w14:textId="77777777" w:rsidR="007A32B9" w:rsidRDefault="007A32B9" w:rsidP="007A32B9">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r>
        <w:rPr>
          <w:rFonts w:ascii="Times New Roman Regular" w:eastAsia="宋体" w:hAnsi="Times New Roman Regular" w:cs="Times New Roman Regular"/>
          <w:kern w:val="0"/>
          <w:sz w:val="24"/>
          <w:shd w:val="clear" w:color="auto" w:fill="FFFFFF"/>
          <w:lang w:bidi="ar"/>
        </w:rPr>
        <w:t>Hartanto, A., and Yang, H. (2019). Does early active bilingualism enhance inhibitory control and monitoring? A propensity-matching analysis. </w:t>
      </w:r>
      <w:r>
        <w:rPr>
          <w:rFonts w:ascii="Times New Roman Regular" w:eastAsia="宋体" w:hAnsi="Times New Roman Regular" w:cs="Times New Roman Regular"/>
          <w:i/>
          <w:iCs/>
          <w:kern w:val="0"/>
          <w:sz w:val="24"/>
          <w:lang w:bidi="ar"/>
        </w:rPr>
        <w:t>Journal of Experimental Psychology: Learning, Memory, and Cognition</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45</w:t>
      </w:r>
      <w:r>
        <w:rPr>
          <w:rFonts w:ascii="Times New Roman Regular" w:eastAsia="宋体" w:hAnsi="Times New Roman Regular" w:cs="Times New Roman Regular"/>
          <w:kern w:val="0"/>
          <w:sz w:val="24"/>
          <w:shd w:val="clear" w:color="auto" w:fill="FFFFFF"/>
          <w:lang w:bidi="ar"/>
        </w:rPr>
        <w:t>(2), pp.360.</w:t>
      </w:r>
    </w:p>
    <w:p w14:paraId="3A5B35B6" w14:textId="77777777" w:rsidR="007A32B9" w:rsidRDefault="007A32B9" w:rsidP="007A32B9">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58285A83"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lastRenderedPageBreak/>
        <w:t>Hummel, K. M. (2013). Target-language community involvement: Second-language linguistic self-confidence and other perceived benefits. </w:t>
      </w:r>
      <w:r>
        <w:rPr>
          <w:rFonts w:ascii="Times New Roman Regular" w:eastAsia="宋体" w:hAnsi="Times New Roman Regular" w:cs="Times New Roman Regular"/>
          <w:i/>
          <w:iCs/>
          <w:kern w:val="0"/>
          <w:sz w:val="24"/>
          <w:lang w:bidi="ar"/>
        </w:rPr>
        <w:t>Canadian Modern Language Review</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69</w:t>
      </w:r>
      <w:r>
        <w:rPr>
          <w:rFonts w:ascii="Times New Roman Regular" w:eastAsia="宋体" w:hAnsi="Times New Roman Regular" w:cs="Times New Roman Regular"/>
          <w:kern w:val="0"/>
          <w:sz w:val="24"/>
          <w:shd w:val="clear" w:color="auto" w:fill="FFFFFF"/>
          <w:lang w:bidi="ar"/>
        </w:rPr>
        <w:t>(1), pp.65-90.</w:t>
      </w:r>
    </w:p>
    <w:p w14:paraId="1F2533CD" w14:textId="77777777" w:rsidR="007A32B9" w:rsidRDefault="007A32B9" w:rsidP="007A32B9">
      <w:pPr>
        <w:spacing w:line="360" w:lineRule="auto"/>
        <w:rPr>
          <w:rFonts w:ascii="Times New Roman Regular" w:hAnsi="Times New Roman Regular" w:cs="Times New Roman Regular" w:hint="eastAsia"/>
          <w:sz w:val="24"/>
        </w:rPr>
      </w:pPr>
    </w:p>
    <w:p w14:paraId="7140FBA3"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color w:val="222222"/>
          <w:kern w:val="0"/>
          <w:sz w:val="24"/>
          <w:shd w:val="clear" w:color="auto" w:fill="FFFFFF"/>
          <w:lang w:bidi="ar"/>
        </w:rPr>
        <w:t>Kang, K., Xiao, Y., Yu, H., Diaz, M. T., and Zhang, H. (2023). Multilingual Language Diversity Protects Native Language Production under Different Control Demands. </w:t>
      </w:r>
      <w:r>
        <w:rPr>
          <w:rFonts w:ascii="Times New Roman Regular" w:eastAsia="宋体" w:hAnsi="Times New Roman Regular" w:cs="Times New Roman Regular"/>
          <w:i/>
          <w:iCs/>
          <w:color w:val="222222"/>
          <w:kern w:val="0"/>
          <w:sz w:val="24"/>
          <w:lang w:bidi="ar"/>
        </w:rPr>
        <w:t>Brain Sciences</w:t>
      </w:r>
      <w:r>
        <w:rPr>
          <w:rFonts w:ascii="Times New Roman Regular" w:eastAsia="宋体" w:hAnsi="Times New Roman Regular" w:cs="Times New Roman Regular"/>
          <w:color w:val="222222"/>
          <w:kern w:val="0"/>
          <w:sz w:val="24"/>
          <w:shd w:val="clear" w:color="auto" w:fill="FFFFFF"/>
          <w:lang w:bidi="ar"/>
        </w:rPr>
        <w:t>, </w:t>
      </w:r>
      <w:r>
        <w:rPr>
          <w:rFonts w:ascii="Times New Roman Regular" w:eastAsia="宋体" w:hAnsi="Times New Roman Regular" w:cs="Times New Roman Regular"/>
          <w:color w:val="222222"/>
          <w:kern w:val="0"/>
          <w:sz w:val="24"/>
          <w:lang w:bidi="ar"/>
        </w:rPr>
        <w:t>13</w:t>
      </w:r>
      <w:r>
        <w:rPr>
          <w:rFonts w:ascii="Times New Roman Regular" w:eastAsia="宋体" w:hAnsi="Times New Roman Regular" w:cs="Times New Roman Regular"/>
          <w:color w:val="222222"/>
          <w:kern w:val="0"/>
          <w:sz w:val="24"/>
          <w:shd w:val="clear" w:color="auto" w:fill="FFFFFF"/>
          <w:lang w:bidi="ar"/>
        </w:rPr>
        <w:t>(11), pp.1587.</w:t>
      </w:r>
    </w:p>
    <w:p w14:paraId="650296F2" w14:textId="77777777" w:rsidR="007A32B9" w:rsidRDefault="007A32B9" w:rsidP="007A32B9">
      <w:pPr>
        <w:spacing w:line="360" w:lineRule="auto"/>
        <w:rPr>
          <w:rFonts w:ascii="Times New Roman Regular" w:hAnsi="Times New Roman Regular" w:cs="Times New Roman Regular" w:hint="eastAsia"/>
          <w:sz w:val="24"/>
        </w:rPr>
      </w:pPr>
    </w:p>
    <w:p w14:paraId="2F65B023" w14:textId="77777777" w:rsidR="007A32B9" w:rsidRDefault="007A32B9" w:rsidP="007A32B9">
      <w:pPr>
        <w:widowControl/>
        <w:spacing w:line="360" w:lineRule="auto"/>
        <w:jc w:val="left"/>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Kousaie</w:t>
      </w:r>
      <w:proofErr w:type="spellEnd"/>
      <w:r>
        <w:rPr>
          <w:rFonts w:ascii="Times New Roman Regular" w:eastAsia="宋体" w:hAnsi="Times New Roman Regular" w:cs="Times New Roman Regular"/>
          <w:kern w:val="0"/>
          <w:sz w:val="24"/>
          <w:shd w:val="clear" w:color="auto" w:fill="FFFFFF"/>
          <w:lang w:bidi="ar"/>
        </w:rPr>
        <w:t>, S., Sheppard, C., Lemieux, M., Monetta, L., and Taler, V. (2014). Executive function and bilingualism in young and older adults. </w:t>
      </w:r>
      <w:r>
        <w:rPr>
          <w:rFonts w:ascii="Times New Roman Regular" w:eastAsia="宋体" w:hAnsi="Times New Roman Regular" w:cs="Times New Roman Regular"/>
          <w:i/>
          <w:iCs/>
          <w:kern w:val="0"/>
          <w:sz w:val="24"/>
          <w:lang w:bidi="ar"/>
        </w:rPr>
        <w:t>Frontiers in Behavioral Neuroscience</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8</w:t>
      </w:r>
      <w:r>
        <w:rPr>
          <w:rFonts w:ascii="Times New Roman Regular" w:eastAsia="宋体" w:hAnsi="Times New Roman Regular" w:cs="Times New Roman Regular"/>
          <w:kern w:val="0"/>
          <w:sz w:val="24"/>
          <w:shd w:val="clear" w:color="auto" w:fill="FFFFFF"/>
          <w:lang w:bidi="ar"/>
        </w:rPr>
        <w:t>, pp.250.</w:t>
      </w:r>
    </w:p>
    <w:p w14:paraId="6B22E99B" w14:textId="77777777" w:rsidR="007A32B9" w:rsidRDefault="007A32B9" w:rsidP="007A32B9">
      <w:pPr>
        <w:spacing w:line="360" w:lineRule="auto"/>
        <w:rPr>
          <w:rFonts w:ascii="Times New Roman Regular" w:hAnsi="Times New Roman Regular" w:cs="Times New Roman Regular" w:hint="eastAsia"/>
          <w:sz w:val="24"/>
        </w:rPr>
      </w:pPr>
    </w:p>
    <w:p w14:paraId="3568D6AC"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 xml:space="preserve">Laborda, L., </w:t>
      </w:r>
      <w:proofErr w:type="spellStart"/>
      <w:r>
        <w:rPr>
          <w:rFonts w:ascii="Times New Roman Regular" w:eastAsia="宋体" w:hAnsi="Times New Roman Regular" w:cs="Times New Roman Regular"/>
          <w:kern w:val="0"/>
          <w:sz w:val="24"/>
          <w:shd w:val="clear" w:color="auto" w:fill="FFFFFF"/>
          <w:lang w:bidi="ar"/>
        </w:rPr>
        <w:t>Mejalenko</w:t>
      </w:r>
      <w:proofErr w:type="spellEnd"/>
      <w:r>
        <w:rPr>
          <w:rFonts w:ascii="Times New Roman Regular" w:eastAsia="宋体" w:hAnsi="Times New Roman Regular" w:cs="Times New Roman Regular"/>
          <w:kern w:val="0"/>
          <w:sz w:val="24"/>
          <w:shd w:val="clear" w:color="auto" w:fill="FFFFFF"/>
          <w:lang w:bidi="ar"/>
        </w:rPr>
        <w:t>, J., and Gómez-Veiga, I. (2023). Bilingualism and intelligence in children exposed to poverty environments: A Raven's error pattern analysis using a generalized propensity score method. </w:t>
      </w:r>
      <w:r>
        <w:rPr>
          <w:rFonts w:ascii="Times New Roman Regular" w:eastAsia="宋体" w:hAnsi="Times New Roman Regular" w:cs="Times New Roman Regular"/>
          <w:i/>
          <w:iCs/>
          <w:kern w:val="0"/>
          <w:sz w:val="24"/>
          <w:lang w:bidi="ar"/>
        </w:rPr>
        <w:t>Intelligence</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i/>
          <w:iCs/>
          <w:kern w:val="0"/>
          <w:sz w:val="24"/>
          <w:lang w:bidi="ar"/>
        </w:rPr>
        <w:t>98</w:t>
      </w:r>
      <w:r>
        <w:rPr>
          <w:rFonts w:ascii="Times New Roman Regular" w:eastAsia="宋体" w:hAnsi="Times New Roman Regular" w:cs="Times New Roman Regular"/>
          <w:kern w:val="0"/>
          <w:sz w:val="24"/>
          <w:shd w:val="clear" w:color="auto" w:fill="FFFFFF"/>
          <w:lang w:bidi="ar"/>
        </w:rPr>
        <w:t>, 101758.</w:t>
      </w:r>
    </w:p>
    <w:p w14:paraId="1200459A" w14:textId="77777777" w:rsidR="007A32B9" w:rsidRDefault="007A32B9" w:rsidP="007A32B9">
      <w:pPr>
        <w:spacing w:line="360" w:lineRule="auto"/>
        <w:rPr>
          <w:rFonts w:ascii="Times New Roman Regular" w:hAnsi="Times New Roman Regular" w:cs="Times New Roman Regular" w:hint="eastAsia"/>
          <w:sz w:val="24"/>
        </w:rPr>
      </w:pPr>
    </w:p>
    <w:p w14:paraId="2F7AD281"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Martin-Rhee, M. M., and Bialystok, E. (2008). The development of two types of inhibitory control in monolingual and bilingual children. </w:t>
      </w:r>
      <w:r>
        <w:rPr>
          <w:rFonts w:ascii="Times New Roman Regular" w:eastAsia="宋体" w:hAnsi="Times New Roman Regular" w:cs="Times New Roman Regular"/>
          <w:i/>
          <w:iCs/>
          <w:kern w:val="0"/>
          <w:sz w:val="24"/>
          <w:lang w:bidi="ar"/>
        </w:rPr>
        <w:t>Bilingualism: language and cognition</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11</w:t>
      </w:r>
      <w:r>
        <w:rPr>
          <w:rFonts w:ascii="Times New Roman Regular" w:eastAsia="宋体" w:hAnsi="Times New Roman Regular" w:cs="Times New Roman Regular"/>
          <w:kern w:val="0"/>
          <w:sz w:val="24"/>
          <w:shd w:val="clear" w:color="auto" w:fill="FFFFFF"/>
          <w:lang w:bidi="ar"/>
        </w:rPr>
        <w:t>(1), pp.81-93.</w:t>
      </w:r>
    </w:p>
    <w:p w14:paraId="15EA6320" w14:textId="77777777" w:rsidR="007A32B9" w:rsidRDefault="007A32B9" w:rsidP="007A32B9">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5BE9884F"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Miyake, A., and Friedman, N. P. (2004). The relations among inhibition and interference control functions: a latent-variable analysis. </w:t>
      </w:r>
      <w:r>
        <w:rPr>
          <w:rFonts w:ascii="Times New Roman Regular" w:eastAsia="宋体" w:hAnsi="Times New Roman Regular" w:cs="Times New Roman Regular"/>
          <w:i/>
          <w:iCs/>
          <w:kern w:val="0"/>
          <w:sz w:val="24"/>
          <w:lang w:bidi="ar"/>
        </w:rPr>
        <w:t>Journal of experimental psychology: General</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133</w:t>
      </w:r>
      <w:r>
        <w:rPr>
          <w:rFonts w:ascii="Times New Roman Regular" w:eastAsia="宋体" w:hAnsi="Times New Roman Regular" w:cs="Times New Roman Regular"/>
          <w:kern w:val="0"/>
          <w:sz w:val="24"/>
          <w:shd w:val="clear" w:color="auto" w:fill="FFFFFF"/>
          <w:lang w:bidi="ar"/>
        </w:rPr>
        <w:t>(1), pp.101.</w:t>
      </w:r>
    </w:p>
    <w:p w14:paraId="291F15B1" w14:textId="77777777" w:rsidR="007A32B9" w:rsidRDefault="007A32B9" w:rsidP="007A32B9">
      <w:pPr>
        <w:spacing w:line="360" w:lineRule="auto"/>
        <w:rPr>
          <w:rFonts w:ascii="Times New Roman Regular" w:hAnsi="Times New Roman Regular" w:cs="Times New Roman Regular" w:hint="eastAsia"/>
          <w:sz w:val="24"/>
        </w:rPr>
      </w:pPr>
    </w:p>
    <w:p w14:paraId="288FFCB9" w14:textId="77777777" w:rsidR="007A32B9" w:rsidRDefault="007A32B9" w:rsidP="007A32B9">
      <w:pPr>
        <w:spacing w:line="360" w:lineRule="auto"/>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Ouzia</w:t>
      </w:r>
      <w:proofErr w:type="spellEnd"/>
      <w:r>
        <w:rPr>
          <w:rFonts w:ascii="Times New Roman Regular" w:hAnsi="Times New Roman Regular" w:cs="Times New Roman Regular"/>
          <w:sz w:val="24"/>
        </w:rPr>
        <w:t xml:space="preserve">, J., Bright, P., and Filippi, R. (2019). Attentional control in bilingualism: an exploration of the effects of trait anxiety and rumination on inhibition. </w:t>
      </w:r>
      <w:r>
        <w:rPr>
          <w:rFonts w:ascii="Times New Roman Regular" w:hAnsi="Times New Roman Regular" w:cs="Times New Roman Regular"/>
          <w:i/>
          <w:iCs/>
          <w:sz w:val="24"/>
        </w:rPr>
        <w:t>Behavioral Sciences</w:t>
      </w:r>
      <w:r>
        <w:rPr>
          <w:rFonts w:ascii="Times New Roman Regular" w:hAnsi="Times New Roman Regular" w:cs="Times New Roman Regular"/>
          <w:sz w:val="24"/>
        </w:rPr>
        <w:t xml:space="preserve">, 9(8), 89. </w:t>
      </w:r>
    </w:p>
    <w:p w14:paraId="36DEFB62" w14:textId="77777777" w:rsidR="007A32B9" w:rsidRDefault="007A32B9" w:rsidP="007A32B9">
      <w:pPr>
        <w:spacing w:line="360" w:lineRule="auto"/>
        <w:rPr>
          <w:rFonts w:ascii="Times New Roman Regular" w:hAnsi="Times New Roman Regular" w:cs="Times New Roman Regular" w:hint="eastAsia"/>
          <w:sz w:val="24"/>
        </w:rPr>
      </w:pPr>
    </w:p>
    <w:p w14:paraId="235E9E98" w14:textId="77777777" w:rsidR="007A32B9" w:rsidRDefault="007A32B9" w:rsidP="007A32B9">
      <w:pPr>
        <w:widowControl/>
        <w:spacing w:line="360" w:lineRule="auto"/>
        <w:jc w:val="left"/>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Schwieter</w:t>
      </w:r>
      <w:proofErr w:type="spellEnd"/>
      <w:r>
        <w:rPr>
          <w:rFonts w:ascii="Times New Roman Regular" w:eastAsia="宋体" w:hAnsi="Times New Roman Regular" w:cs="Times New Roman Regular"/>
          <w:kern w:val="0"/>
          <w:sz w:val="24"/>
          <w:shd w:val="clear" w:color="auto" w:fill="FFFFFF"/>
          <w:lang w:bidi="ar"/>
        </w:rPr>
        <w:t>, J. W., and Ferreira, A. (2017). Bilingualism in cognitive translation and interpreting studies. </w:t>
      </w:r>
      <w:r>
        <w:rPr>
          <w:rFonts w:ascii="Times New Roman Regular" w:eastAsia="宋体" w:hAnsi="Times New Roman Regular" w:cs="Times New Roman Regular"/>
          <w:i/>
          <w:iCs/>
          <w:kern w:val="0"/>
          <w:sz w:val="24"/>
          <w:lang w:bidi="ar"/>
        </w:rPr>
        <w:t>The handbook of translation and cognition</w:t>
      </w:r>
      <w:r>
        <w:rPr>
          <w:rFonts w:ascii="Times New Roman Regular" w:eastAsia="宋体" w:hAnsi="Times New Roman Regular" w:cs="Times New Roman Regular"/>
          <w:kern w:val="0"/>
          <w:sz w:val="24"/>
          <w:shd w:val="clear" w:color="auto" w:fill="FFFFFF"/>
          <w:lang w:bidi="ar"/>
        </w:rPr>
        <w:t>, pp.144-164.</w:t>
      </w:r>
    </w:p>
    <w:p w14:paraId="7FF6E556" w14:textId="77777777" w:rsidR="007A32B9" w:rsidRDefault="007A32B9" w:rsidP="007A32B9">
      <w:pPr>
        <w:spacing w:line="360" w:lineRule="auto"/>
        <w:rPr>
          <w:rFonts w:ascii="Times New Roman Regular" w:hAnsi="Times New Roman Regular" w:cs="Times New Roman Regular" w:hint="eastAsia"/>
          <w:sz w:val="24"/>
        </w:rPr>
      </w:pPr>
    </w:p>
    <w:p w14:paraId="3DC91651" w14:textId="77777777" w:rsidR="007A32B9" w:rsidRDefault="007A32B9" w:rsidP="007A32B9">
      <w:pPr>
        <w:widowControl/>
        <w:spacing w:line="360" w:lineRule="auto"/>
        <w:jc w:val="left"/>
        <w:rPr>
          <w:rFonts w:ascii="Times New Roman Regular" w:hAnsi="Times New Roman Regular" w:cs="Times New Roman Regular" w:hint="eastAsia"/>
        </w:rPr>
      </w:pPr>
      <w:r>
        <w:rPr>
          <w:rFonts w:ascii="Times New Roman Regular" w:eastAsia="宋体" w:hAnsi="Times New Roman Regular" w:cs="Times New Roman Regular"/>
          <w:color w:val="222222"/>
          <w:kern w:val="0"/>
          <w:sz w:val="26"/>
          <w:szCs w:val="26"/>
          <w:shd w:val="clear" w:color="auto" w:fill="FFFFFF"/>
          <w:lang w:bidi="ar"/>
        </w:rPr>
        <w:t xml:space="preserve">Sulpizio, S., Del Maschio, N., Fedeli, D., and </w:t>
      </w:r>
      <w:proofErr w:type="spellStart"/>
      <w:r>
        <w:rPr>
          <w:rFonts w:ascii="Times New Roman Regular" w:eastAsia="宋体" w:hAnsi="Times New Roman Regular" w:cs="Times New Roman Regular"/>
          <w:color w:val="222222"/>
          <w:kern w:val="0"/>
          <w:sz w:val="26"/>
          <w:szCs w:val="26"/>
          <w:shd w:val="clear" w:color="auto" w:fill="FFFFFF"/>
          <w:lang w:bidi="ar"/>
        </w:rPr>
        <w:t>Abutalebi</w:t>
      </w:r>
      <w:proofErr w:type="spellEnd"/>
      <w:r>
        <w:rPr>
          <w:rFonts w:ascii="Times New Roman Regular" w:eastAsia="宋体" w:hAnsi="Times New Roman Regular" w:cs="Times New Roman Regular"/>
          <w:color w:val="222222"/>
          <w:kern w:val="0"/>
          <w:sz w:val="26"/>
          <w:szCs w:val="26"/>
          <w:shd w:val="clear" w:color="auto" w:fill="FFFFFF"/>
          <w:lang w:bidi="ar"/>
        </w:rPr>
        <w:t>, J. (2020). Bilingual language processing: A meta-analysis of functional neuroimaging studies. </w:t>
      </w:r>
      <w:r>
        <w:rPr>
          <w:rFonts w:ascii="Times New Roman Regular" w:eastAsia="宋体" w:hAnsi="Times New Roman Regular" w:cs="Times New Roman Regular"/>
          <w:i/>
          <w:iCs/>
          <w:color w:val="222222"/>
          <w:kern w:val="0"/>
          <w:sz w:val="26"/>
          <w:szCs w:val="26"/>
          <w:lang w:bidi="ar"/>
        </w:rPr>
        <w:t>Neuroscience &amp; Biobehavioral Reviews</w:t>
      </w:r>
      <w:r>
        <w:rPr>
          <w:rFonts w:ascii="Times New Roman Regular" w:eastAsia="宋体" w:hAnsi="Times New Roman Regular" w:cs="Times New Roman Regular"/>
          <w:color w:val="222222"/>
          <w:kern w:val="0"/>
          <w:sz w:val="26"/>
          <w:szCs w:val="26"/>
          <w:shd w:val="clear" w:color="auto" w:fill="FFFFFF"/>
          <w:lang w:bidi="ar"/>
        </w:rPr>
        <w:t>, </w:t>
      </w:r>
      <w:r>
        <w:rPr>
          <w:rFonts w:ascii="Times New Roman Regular" w:eastAsia="宋体" w:hAnsi="Times New Roman Regular" w:cs="Times New Roman Regular"/>
          <w:color w:val="222222"/>
          <w:kern w:val="0"/>
          <w:sz w:val="26"/>
          <w:szCs w:val="26"/>
          <w:lang w:bidi="ar"/>
        </w:rPr>
        <w:t>108</w:t>
      </w:r>
      <w:r>
        <w:rPr>
          <w:rFonts w:ascii="Times New Roman Regular" w:eastAsia="宋体" w:hAnsi="Times New Roman Regular" w:cs="Times New Roman Regular"/>
          <w:color w:val="222222"/>
          <w:kern w:val="0"/>
          <w:sz w:val="26"/>
          <w:szCs w:val="26"/>
          <w:shd w:val="clear" w:color="auto" w:fill="FFFFFF"/>
          <w:lang w:bidi="ar"/>
        </w:rPr>
        <w:t>, pp.834-853.</w:t>
      </w:r>
    </w:p>
    <w:p w14:paraId="666A07DA" w14:textId="77777777" w:rsidR="007A32B9" w:rsidRDefault="007A32B9" w:rsidP="007A32B9">
      <w:pPr>
        <w:spacing w:line="360" w:lineRule="auto"/>
        <w:rPr>
          <w:rFonts w:ascii="Times New Roman Regular" w:hAnsi="Times New Roman Regular" w:cs="Times New Roman Regular" w:hint="eastAsia"/>
          <w:sz w:val="24"/>
        </w:rPr>
      </w:pPr>
    </w:p>
    <w:p w14:paraId="0CBC1BA7" w14:textId="77777777" w:rsidR="007A32B9" w:rsidRDefault="007A32B9" w:rsidP="007A32B9">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Tao, L., Wang, G., Zhu, M., and Cai, Q. (2021). Bilingualism and domain-general cognitive functions from a neural perspective: A systematic review. </w:t>
      </w:r>
      <w:r>
        <w:rPr>
          <w:rFonts w:ascii="Times New Roman Regular" w:eastAsia="宋体" w:hAnsi="Times New Roman Regular" w:cs="Times New Roman Regular"/>
          <w:i/>
          <w:iCs/>
          <w:kern w:val="0"/>
          <w:sz w:val="24"/>
          <w:lang w:bidi="ar"/>
        </w:rPr>
        <w:t>Neuroscience and Biobehavioral Reviews</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125</w:t>
      </w:r>
      <w:r>
        <w:rPr>
          <w:rFonts w:ascii="Times New Roman Regular" w:eastAsia="宋体" w:hAnsi="Times New Roman Regular" w:cs="Times New Roman Regular"/>
          <w:kern w:val="0"/>
          <w:sz w:val="24"/>
          <w:shd w:val="clear" w:color="auto" w:fill="FFFFFF"/>
          <w:lang w:bidi="ar"/>
        </w:rPr>
        <w:t>, pp.264-295.</w:t>
      </w:r>
    </w:p>
    <w:p w14:paraId="277D86E6" w14:textId="77777777" w:rsidR="007A32B9" w:rsidRDefault="007A32B9" w:rsidP="007A32B9">
      <w:pPr>
        <w:spacing w:line="360" w:lineRule="auto"/>
        <w:rPr>
          <w:rFonts w:ascii="Times New Roman Regular" w:hAnsi="Times New Roman Regular" w:cs="Times New Roman Regular" w:hint="eastAsia"/>
          <w:sz w:val="24"/>
        </w:rPr>
      </w:pPr>
    </w:p>
    <w:p w14:paraId="15ACE5FF" w14:textId="77777777" w:rsidR="007A32B9" w:rsidRDefault="007A32B9" w:rsidP="007A32B9">
      <w:pPr>
        <w:spacing w:line="360" w:lineRule="auto"/>
        <w:rPr>
          <w:rFonts w:ascii="Times New Roman Regular" w:hAnsi="Times New Roman Regular" w:cs="Times New Roman Regular" w:hint="eastAsia"/>
          <w:sz w:val="24"/>
        </w:rPr>
      </w:pPr>
    </w:p>
    <w:p w14:paraId="25002335" w14:textId="77777777" w:rsidR="007A32B9" w:rsidRDefault="007A32B9" w:rsidP="007A32B9">
      <w:pPr>
        <w:rPr>
          <w:sz w:val="24"/>
        </w:rPr>
      </w:pPr>
    </w:p>
    <w:p w14:paraId="503D6D5D" w14:textId="77777777" w:rsidR="007A32B9" w:rsidRDefault="007A32B9"/>
    <w:sectPr w:rsidR="007A32B9" w:rsidSect="00EF3DD3">
      <w:footerReference w:type="default" r:id="rId6"/>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EE811" w14:textId="77777777" w:rsidR="00EF3DD3" w:rsidRDefault="00EF3DD3" w:rsidP="00B74AAA">
      <w:r>
        <w:separator/>
      </w:r>
    </w:p>
  </w:endnote>
  <w:endnote w:type="continuationSeparator" w:id="0">
    <w:p w14:paraId="6DE86A4A" w14:textId="77777777" w:rsidR="00EF3DD3" w:rsidRDefault="00EF3DD3" w:rsidP="00B74A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New Roman Regular">
    <w:altName w:val="Times New Roman"/>
    <w:charset w:val="00"/>
    <w:family w:val="auto"/>
    <w:pitch w:val="default"/>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094381"/>
      <w:docPartObj>
        <w:docPartGallery w:val="Page Numbers (Bottom of Page)"/>
        <w:docPartUnique/>
      </w:docPartObj>
    </w:sdtPr>
    <w:sdtContent>
      <w:p w14:paraId="3FEAFB43" w14:textId="4832DB92" w:rsidR="00B74AAA" w:rsidRDefault="00B74AAA">
        <w:pPr>
          <w:pStyle w:val="a5"/>
          <w:jc w:val="center"/>
        </w:pPr>
        <w:r>
          <w:fldChar w:fldCharType="begin"/>
        </w:r>
        <w:r>
          <w:instrText>PAGE   \* MERGEFORMAT</w:instrText>
        </w:r>
        <w:r>
          <w:fldChar w:fldCharType="separate"/>
        </w:r>
        <w:r>
          <w:rPr>
            <w:lang w:val="zh-CN"/>
          </w:rPr>
          <w:t>2</w:t>
        </w:r>
        <w:r>
          <w:fldChar w:fldCharType="end"/>
        </w:r>
      </w:p>
    </w:sdtContent>
  </w:sdt>
  <w:p w14:paraId="37D5C6C6" w14:textId="77777777" w:rsidR="00B74AAA" w:rsidRDefault="00B74AA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C0969" w14:textId="77777777" w:rsidR="00EF3DD3" w:rsidRDefault="00EF3DD3" w:rsidP="00B74AAA">
      <w:r>
        <w:separator/>
      </w:r>
    </w:p>
  </w:footnote>
  <w:footnote w:type="continuationSeparator" w:id="0">
    <w:p w14:paraId="39C5AB1E" w14:textId="77777777" w:rsidR="00EF3DD3" w:rsidRDefault="00EF3DD3" w:rsidP="00B74AA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2B9"/>
    <w:rsid w:val="00065488"/>
    <w:rsid w:val="00725D7F"/>
    <w:rsid w:val="007A32B9"/>
    <w:rsid w:val="00B74AAA"/>
    <w:rsid w:val="00EF3D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8D7DB"/>
  <w15:chartTrackingRefBased/>
  <w15:docId w15:val="{007903EC-FAD7-437E-8D8F-4BCAE6FDA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A32B9"/>
    <w:pPr>
      <w:widowControl w:val="0"/>
      <w:jc w:val="both"/>
    </w:pPr>
    <w:rPr>
      <w:szCs w:val="24"/>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74AAA"/>
    <w:pPr>
      <w:tabs>
        <w:tab w:val="center" w:pos="4153"/>
        <w:tab w:val="right" w:pos="8306"/>
      </w:tabs>
      <w:snapToGrid w:val="0"/>
      <w:jc w:val="center"/>
    </w:pPr>
    <w:rPr>
      <w:sz w:val="18"/>
      <w:szCs w:val="18"/>
    </w:rPr>
  </w:style>
  <w:style w:type="character" w:customStyle="1" w:styleId="a4">
    <w:name w:val="页眉 字符"/>
    <w:basedOn w:val="a0"/>
    <w:link w:val="a3"/>
    <w:uiPriority w:val="99"/>
    <w:rsid w:val="00B74AAA"/>
    <w:rPr>
      <w:sz w:val="18"/>
      <w:szCs w:val="18"/>
      <w14:ligatures w14:val="none"/>
    </w:rPr>
  </w:style>
  <w:style w:type="paragraph" w:styleId="a5">
    <w:name w:val="footer"/>
    <w:basedOn w:val="a"/>
    <w:link w:val="a6"/>
    <w:uiPriority w:val="99"/>
    <w:unhideWhenUsed/>
    <w:rsid w:val="00B74AAA"/>
    <w:pPr>
      <w:tabs>
        <w:tab w:val="center" w:pos="4153"/>
        <w:tab w:val="right" w:pos="8306"/>
      </w:tabs>
      <w:snapToGrid w:val="0"/>
      <w:jc w:val="left"/>
    </w:pPr>
    <w:rPr>
      <w:sz w:val="18"/>
      <w:szCs w:val="18"/>
    </w:rPr>
  </w:style>
  <w:style w:type="character" w:customStyle="1" w:styleId="a6">
    <w:name w:val="页脚 字符"/>
    <w:basedOn w:val="a0"/>
    <w:link w:val="a5"/>
    <w:uiPriority w:val="99"/>
    <w:rsid w:val="00B74AAA"/>
    <w:rPr>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3032</Words>
  <Characters>17284</Characters>
  <Application>Microsoft Office Word</Application>
  <DocSecurity>0</DocSecurity>
  <Lines>144</Lines>
  <Paragraphs>40</Paragraphs>
  <ScaleCrop>false</ScaleCrop>
  <Company/>
  <LinksUpToDate>false</LinksUpToDate>
  <CharactersWithSpaces>20276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李梓木</dc:creator>
  <cp:keywords/>
  <dc:description/>
  <cp:lastModifiedBy>李梓木</cp:lastModifiedBy>
  <cp:revision>2</cp:revision>
  <dcterms:created xsi:type="dcterms:W3CDTF">2024-03-28T13:28:00Z</dcterms:created>
  <dcterms:modified xsi:type="dcterms:W3CDTF">2024-03-28T13:56:00Z</dcterms:modified>
</cp:coreProperties>
</file>