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4CD29" w14:textId="77777777" w:rsidR="005A5FAE" w:rsidRDefault="00000000">
      <w:r>
        <w:t xml:space="preserve"> </w:t>
      </w:r>
      <w:r>
        <w:rPr>
          <w:b/>
          <w:bCs/>
          <w:u w:val="single"/>
        </w:rPr>
        <w:t xml:space="preserve">How has human evolution changed through the use of stone tools; is it dependent on the increase in cranial capacity? David </w:t>
      </w:r>
      <w:proofErr w:type="spellStart"/>
      <w:r>
        <w:rPr>
          <w:b/>
          <w:bCs/>
          <w:u w:val="single"/>
        </w:rPr>
        <w:t>Hinsull</w:t>
      </w:r>
      <w:proofErr w:type="spellEnd"/>
      <w:r>
        <w:rPr>
          <w:b/>
          <w:bCs/>
          <w:u w:val="single"/>
        </w:rPr>
        <w:t xml:space="preserve"> (2103522) </w:t>
      </w:r>
    </w:p>
    <w:p w14:paraId="1C3F7783" w14:textId="77777777" w:rsidR="005A5FAE" w:rsidRDefault="00000000">
      <w:r>
        <w:t>There is a human evolution debate about whether the increase in cranial capacity in early man led to the development of stone tools or if culture and other factors such as spatial cognition and environment had a more important role in the development of stone tools. These arguments are addressed by Dietrich Stout (2011) who argues that the brain helped develop stone tools, however, Raymond Corbey (2016) argues that culture played a more pivotal part. Many disciplines consider this argument such as archaeology, anthropology as well as neuroscience (Gibson and Ingold, 1994). Overall, it could be argued that culture, language, spatial cognition and the increase in cranial capacity led to the development of stone tools.</w:t>
      </w:r>
    </w:p>
    <w:p w14:paraId="49D8995B" w14:textId="77777777" w:rsidR="005A5FAE" w:rsidRDefault="005A5FAE">
      <w:pPr>
        <w:jc w:val="center"/>
      </w:pPr>
    </w:p>
    <w:p w14:paraId="15801DD0" w14:textId="77777777" w:rsidR="005A5FAE" w:rsidRDefault="00000000">
      <w:r>
        <w:t xml:space="preserve">The </w:t>
      </w:r>
      <w:proofErr w:type="spellStart"/>
      <w:r>
        <w:t>Oldowan</w:t>
      </w:r>
      <w:proofErr w:type="spellEnd"/>
      <w:r>
        <w:t xml:space="preserve"> period otherwise known as Mode One was from 2,600,000 years ago to 1,400,000 years ago and was the earliest stone tool period (Stout, 2011). The main characteristics of the </w:t>
      </w:r>
      <w:proofErr w:type="spellStart"/>
      <w:r>
        <w:t>Oldowan</w:t>
      </w:r>
      <w:proofErr w:type="spellEnd"/>
      <w:r>
        <w:t xml:space="preserve"> period are that the stone tools were not made out of flint and were instead stones such as cobbles; their production of tools would use direct percussion to make flake products (Stout, 2011). These tools of East Africa were discovered with, “</w:t>
      </w:r>
      <w:r>
        <w:rPr>
          <w:i/>
          <w:iCs/>
        </w:rPr>
        <w:t xml:space="preserve">Australopithecus </w:t>
      </w:r>
      <w:proofErr w:type="spellStart"/>
      <w:r>
        <w:rPr>
          <w:i/>
          <w:iCs/>
        </w:rPr>
        <w:t>aethiopicus</w:t>
      </w:r>
      <w:proofErr w:type="spellEnd"/>
      <w:r>
        <w:rPr>
          <w:i/>
          <w:iCs/>
        </w:rPr>
        <w:t xml:space="preserve"> </w:t>
      </w:r>
      <w:r>
        <w:t xml:space="preserve">which later evolved into </w:t>
      </w:r>
      <w:r>
        <w:rPr>
          <w:i/>
          <w:iCs/>
        </w:rPr>
        <w:t>Australopithecus boisei</w:t>
      </w:r>
      <w:r>
        <w:t xml:space="preserve"> and perhaps into </w:t>
      </w:r>
      <w:r>
        <w:rPr>
          <w:i/>
          <w:iCs/>
        </w:rPr>
        <w:t>Australopithecus robustus</w:t>
      </w:r>
      <w:r>
        <w:t xml:space="preserve"> in South Africa” (Toth and Schick, 1993, page 348). The earliest record of brain expansion is given to </w:t>
      </w:r>
      <w:r>
        <w:rPr>
          <w:i/>
          <w:iCs/>
        </w:rPr>
        <w:t>Homo habilis</w:t>
      </w:r>
      <w:r>
        <w:t xml:space="preserve"> around two million years ago; however, this is heavily contested as it could have also been Australopithecus (Gibson and Ingold, 1994).  Susman argued that out of robust australopithecines and early homo, it is impossible to tell who was responsible for the assemblages of stone tools as they co-existed (Goldwin-Meadow, 1993). The use of stone tools did not correspond to mental templates; however they were able to recognise acute angles and striking platforms and had good dexterity (Gibson and Ingold, 1994). From the period it can be seen that stone was transported long distances and that according to Toth the majority were right-hand </w:t>
      </w:r>
      <w:proofErr w:type="spellStart"/>
      <w:r>
        <w:t>knappers</w:t>
      </w:r>
      <w:proofErr w:type="spellEnd"/>
      <w:r>
        <w:t xml:space="preserve"> (Toth, 1985). This could mean that the early hominids who were capable of toolmaking had more profound lateralization in the brain which may have been a pre-adaptive function for language (Gibson and Ingold, 1994). </w:t>
      </w:r>
    </w:p>
    <w:p w14:paraId="6F0481A9" w14:textId="77777777" w:rsidR="005A5FAE" w:rsidRDefault="005A5FAE"/>
    <w:p w14:paraId="1AEF2D14" w14:textId="77777777" w:rsidR="005A5FAE" w:rsidRDefault="00000000">
      <w:r>
        <w:t xml:space="preserve">Modern experimental archaeology has also shown increased activity in the supramarginal gyrus in the parietal lobe which is responsible for spatial awareness (Stout, 2016).  This led to the conclusion that the species in the </w:t>
      </w:r>
      <w:proofErr w:type="spellStart"/>
      <w:r>
        <w:t>Oldowan</w:t>
      </w:r>
      <w:proofErr w:type="spellEnd"/>
      <w:r>
        <w:t xml:space="preserve"> period were required to learn physical skills to survive (Stout, 2016). This shows that spatial awareness was also important in the development of stone tools and it was not just due to an increase in brain size. However, a parameter of using modern experimental archaeology is that we can never accurately replicate past behaviours. Also, in the Mode One period it is believed that the </w:t>
      </w:r>
      <w:proofErr w:type="spellStart"/>
      <w:r>
        <w:t>Oldowan</w:t>
      </w:r>
      <w:proofErr w:type="spellEnd"/>
      <w:r>
        <w:t xml:space="preserve"> people did communicate while knapping and used gestures instead of speech according to Dana Michelle Cataldo (Cataldo, Migliano and Vinicius, 2018). Experimental archaeologists experimented using different languages to see the development of the </w:t>
      </w:r>
      <w:proofErr w:type="spellStart"/>
      <w:r>
        <w:t>Oldowan</w:t>
      </w:r>
      <w:proofErr w:type="spellEnd"/>
      <w:r>
        <w:t xml:space="preserve"> period and it was concluded that gestural language evolved before speech due to the selective measures dictated by cultural transmission during the </w:t>
      </w:r>
      <w:proofErr w:type="spellStart"/>
      <w:r>
        <w:t>Oldowan</w:t>
      </w:r>
      <w:proofErr w:type="spellEnd"/>
      <w:r>
        <w:t xml:space="preserve"> period (Cataldo, Migliano and Vinicius, 2018). This shows that both culture and cranial capacity were involved in the development of stone tools during the </w:t>
      </w:r>
      <w:proofErr w:type="spellStart"/>
      <w:r>
        <w:t>Oldowan</w:t>
      </w:r>
      <w:proofErr w:type="spellEnd"/>
      <w:r>
        <w:t xml:space="preserve"> period.</w:t>
      </w:r>
    </w:p>
    <w:p w14:paraId="64A11555" w14:textId="77777777" w:rsidR="005A5FAE" w:rsidRDefault="00000000">
      <w:r>
        <w:t xml:space="preserve">  </w:t>
      </w:r>
    </w:p>
    <w:p w14:paraId="12BC3925" w14:textId="77777777" w:rsidR="005A5FAE" w:rsidRDefault="00000000">
      <w:r>
        <w:t xml:space="preserve">The next period known as the Acheulean or Mode Two can be separated into two periods, the Early Acheulean which dates from 1,600,000 years ago to 900,000 years ago and the Late Acheulean which dates from 700,000 to 250,000 years ago (Stout, 2011). Changes in these periods are remarkably slow, however there is still the development of the brain as they have changed the material of what they are knapping to flint and have more complex tools such as hand axes and picks (Stout, 2011). </w:t>
      </w:r>
      <w:r>
        <w:lastRenderedPageBreak/>
        <w:t xml:space="preserve">Evidence of this comes from </w:t>
      </w:r>
      <w:proofErr w:type="spellStart"/>
      <w:r>
        <w:t>Boxgrove</w:t>
      </w:r>
      <w:proofErr w:type="spellEnd"/>
      <w:r>
        <w:t xml:space="preserve">, west Sussex, where flint tools were discovered that have the characteristics of the Late Acheulean and had evidence of being sharpened by animal bones such as antlers (Current Archaeology, 2007).  However, there are some differences between the two periods such as technological transition, for example, the Early Acheulean period had an elaborate flaking method which was done by removing flakes around the circumference of a large flake; evidence of this is at </w:t>
      </w:r>
      <w:proofErr w:type="spellStart"/>
      <w:r>
        <w:t>Koobi</w:t>
      </w:r>
      <w:proofErr w:type="spellEnd"/>
      <w:r>
        <w:t xml:space="preserve"> Fora in Kenya, which had large cutting tools which were large flakes made out of cobbles on this site used by </w:t>
      </w:r>
      <w:r>
        <w:rPr>
          <w:i/>
          <w:iCs/>
        </w:rPr>
        <w:t>Homo habilis</w:t>
      </w:r>
      <w:r>
        <w:t xml:space="preserve"> (Stout, 2011).  Compared to the Late Acheulean they used smaller, thinner and symmetrical large cutting tools and more platform preparation (Stout, 2011).  Moore believed that for the Late Acheulean period, this development led to a hierarchical structure as well as different and more complex motor elements being used compared to the </w:t>
      </w:r>
      <w:proofErr w:type="spellStart"/>
      <w:r>
        <w:t>Oldowan</w:t>
      </w:r>
      <w:proofErr w:type="spellEnd"/>
      <w:r>
        <w:t xml:space="preserve"> period (Moore, 2010). For example, after the primary flake detachment in the </w:t>
      </w:r>
      <w:proofErr w:type="spellStart"/>
      <w:r>
        <w:t>Oldowan</w:t>
      </w:r>
      <w:proofErr w:type="spellEnd"/>
      <w:r>
        <w:t xml:space="preserve"> period, the only two choices are a large selection to decide what stone to use or direct percussion (Stout, 2011). By the Early Acheulean there is still a large selection and direct percussion however, there is also the first primary flake detachment for one and two (Stout, 2011). This reiterates that more cognitive functions are needed in the Acheulean due to the increased complexity of the stone tool (Moore, 2010). Also, due to the slow change in technology, it is suggested a major cognitive, communicative, or cultural difference between </w:t>
      </w:r>
      <w:r>
        <w:rPr>
          <w:i/>
          <w:iCs/>
        </w:rPr>
        <w:t>Homo erectus</w:t>
      </w:r>
      <w:r>
        <w:t xml:space="preserve"> and </w:t>
      </w:r>
      <w:r>
        <w:rPr>
          <w:i/>
          <w:iCs/>
        </w:rPr>
        <w:t>Homo sapiens</w:t>
      </w:r>
      <w:r>
        <w:t xml:space="preserve"> appeared (Gibson and Ingold, 1994).</w:t>
      </w:r>
    </w:p>
    <w:p w14:paraId="59E8FD0F" w14:textId="77777777" w:rsidR="005A5FAE" w:rsidRDefault="00000000">
      <w:r>
        <w:t xml:space="preserve">  </w:t>
      </w:r>
    </w:p>
    <w:p w14:paraId="5A410044" w14:textId="77777777" w:rsidR="005A5FAE" w:rsidRDefault="00000000">
      <w:r>
        <w:t xml:space="preserve">Another belief is that the Acheulean hand axe is more symbolic according to Corbey (2016) who argues that hand axes are cultural objects because of limited variability one point five million years ago which is also supported by Yosef who believes that they had culturally predetermined solutions (Yosef, 2006).  Furthermore, it is suggested that Acheulean hand axe productions were learned socially as a form of active teaching which is also supported by Steele (Steele, 1999). There is an argument that the sensitivity to the symmetry of the Acheulean axe is fundamental in the element of mammalian visual perception which is hard-wired to the brain and is controlled by the medial occipital gyrus (Hodgson, 2009). This is also reflected in hunting as a form of geometrical concept because it was a way to identify important objects such as being a key tool to process visual information for example, the environment and identification of animals (Hodgson, 2009). The idea of symmetry comes across predominantly with </w:t>
      </w:r>
      <w:r>
        <w:rPr>
          <w:i/>
          <w:iCs/>
        </w:rPr>
        <w:t>Homo erectus</w:t>
      </w:r>
      <w:r>
        <w:t xml:space="preserve"> which shows that cranial capacity has helped in the development of stone tools, however so has culture (Hodgson, 2009). Evidence of this is the twenty-two hand axes found in the United Kingdom which can be classed as highly symmetrical (Hodgson, 2009). This therefore indicates that cranial capacity was not the reason for the development of stone tools and instead it was the wiring of the brain. </w:t>
      </w:r>
    </w:p>
    <w:p w14:paraId="0AB4060D" w14:textId="77777777" w:rsidR="005A5FAE" w:rsidRDefault="005A5FAE"/>
    <w:p w14:paraId="3758CFEE" w14:textId="77777777" w:rsidR="005A5FAE" w:rsidRDefault="00000000">
      <w:r>
        <w:t xml:space="preserve">Another theory is that the Acheulean hand axe is symmetrical because of sexual selection according to Kohn however, this has been widely disputed by archaeologists (Kohn and </w:t>
      </w:r>
      <w:proofErr w:type="spellStart"/>
      <w:r>
        <w:t>Mithen</w:t>
      </w:r>
      <w:proofErr w:type="spellEnd"/>
      <w:r>
        <w:t xml:space="preserve">, 1999). Kohn and </w:t>
      </w:r>
      <w:proofErr w:type="spellStart"/>
      <w:r>
        <w:t>Mithen</w:t>
      </w:r>
      <w:proofErr w:type="spellEnd"/>
      <w:r>
        <w:t xml:space="preserve"> argue that sexual selection was due to heritable variation otherwise known as variance of breeding values and was a part of hand axe morphology (Kohn and </w:t>
      </w:r>
      <w:proofErr w:type="spellStart"/>
      <w:r>
        <w:t>Mithen</w:t>
      </w:r>
      <w:proofErr w:type="spellEnd"/>
      <w:r>
        <w:t xml:space="preserve">, 1999). This theory is supported by some ecologists who argue that in many theoretical models females discriminate among males so male traits and female preferences evolve (Andersson and Simmons 2006). </w:t>
      </w:r>
      <w:r>
        <w:rPr>
          <w:i/>
          <w:iCs/>
        </w:rPr>
        <w:t xml:space="preserve"> </w:t>
      </w:r>
      <w:r>
        <w:t>However, there is no archaeological basis for this argument for example</w:t>
      </w:r>
      <w:r>
        <w:rPr>
          <w:i/>
          <w:iCs/>
        </w:rPr>
        <w:t xml:space="preserve">, </w:t>
      </w:r>
      <w:r>
        <w:t xml:space="preserve">at </w:t>
      </w:r>
      <w:proofErr w:type="spellStart"/>
      <w:r>
        <w:t>Boxgrove</w:t>
      </w:r>
      <w:proofErr w:type="spellEnd"/>
      <w:r>
        <w:t xml:space="preserve"> there is evidence of hand axe accumulation over several generations, Khon and </w:t>
      </w:r>
      <w:proofErr w:type="spellStart"/>
      <w:r>
        <w:t>Mithen</w:t>
      </w:r>
      <w:proofErr w:type="spellEnd"/>
      <w:r>
        <w:t xml:space="preserve"> argue that the Acheulean hand axes with no wear were automatically characterised as never used (Kohn and </w:t>
      </w:r>
      <w:proofErr w:type="spellStart"/>
      <w:r>
        <w:t>Mithen</w:t>
      </w:r>
      <w:proofErr w:type="spellEnd"/>
      <w:r>
        <w:t xml:space="preserve">, 1999). Mithcell argues that over 57% of hand axes were used for butchery and that the Acheulean hand axes with no wear are due to the small amount of movement in very fine silt deposits, that have eradicated the signs of wear and use (Mitchell, 1997). This led Khon and </w:t>
      </w:r>
      <w:proofErr w:type="spellStart"/>
      <w:r>
        <w:t>Mithen</w:t>
      </w:r>
      <w:proofErr w:type="spellEnd"/>
      <w:r>
        <w:t xml:space="preserve"> to accept that the Acheulean hand axe was a multipurpose tool used in butchery, foraging and was a part of Acheulean grave goods (Nowell, et al., 2009). An example of an Acheulean hand axe at a burial site is </w:t>
      </w:r>
      <w:proofErr w:type="spellStart"/>
      <w:r>
        <w:t>Fordwich</w:t>
      </w:r>
      <w:proofErr w:type="spellEnd"/>
      <w:r>
        <w:t xml:space="preserve"> pit in Kent, England has a burial dating back to 560,000 and 620,000 years ago, a similar date to the hand axes found in the 1920s (Key et al., 2022). This indicates that by the time of the Acheulean, there was also a cultural use of stone tools as they were included in burials and possibly being used in heritable variation which suggests the development of stone tools was not just due to the increase in cranial capacity.  </w:t>
      </w:r>
    </w:p>
    <w:p w14:paraId="652DA192" w14:textId="77777777" w:rsidR="005A5FAE" w:rsidRDefault="00000000">
      <w:r>
        <w:t xml:space="preserve"> </w:t>
      </w:r>
    </w:p>
    <w:p w14:paraId="229C3C27" w14:textId="77777777" w:rsidR="005A5FAE" w:rsidRDefault="00000000">
      <w:r>
        <w:t xml:space="preserve">The experimental archaeology performed by Stout suggests that some of the brain activation is similar to the </w:t>
      </w:r>
      <w:proofErr w:type="spellStart"/>
      <w:r>
        <w:t>Oldowan</w:t>
      </w:r>
      <w:proofErr w:type="spellEnd"/>
      <w:r>
        <w:t xml:space="preserve"> period (Stout, 2016). However in the Acheulean period there is also evidence of using the right inferior frontal gyrus which is part of the prefrontal cortex (Stout, 2016). This is supported by the fossil record as the Late Acheulean period saw a fast increase in brain sizes (Stout, 2016). For example, </w:t>
      </w:r>
      <w:proofErr w:type="spellStart"/>
      <w:r>
        <w:t>Herto</w:t>
      </w:r>
      <w:proofErr w:type="spellEnd"/>
      <w:r>
        <w:t xml:space="preserve"> Man who is a </w:t>
      </w:r>
      <w:r>
        <w:rPr>
          <w:i/>
          <w:iCs/>
        </w:rPr>
        <w:t xml:space="preserve">Homo </w:t>
      </w:r>
      <w:proofErr w:type="spellStart"/>
      <w:r>
        <w:rPr>
          <w:i/>
          <w:iCs/>
        </w:rPr>
        <w:t>sapien</w:t>
      </w:r>
      <w:proofErr w:type="spellEnd"/>
      <w:r>
        <w:rPr>
          <w:i/>
          <w:iCs/>
        </w:rPr>
        <w:t xml:space="preserve"> </w:t>
      </w:r>
      <w:r>
        <w:t xml:space="preserve">has a cranial capacity of 1,450 cc compared to an </w:t>
      </w:r>
      <w:r>
        <w:rPr>
          <w:i/>
          <w:iCs/>
        </w:rPr>
        <w:t xml:space="preserve">Australopithecus </w:t>
      </w:r>
      <w:proofErr w:type="spellStart"/>
      <w:r>
        <w:rPr>
          <w:i/>
          <w:iCs/>
        </w:rPr>
        <w:t>garhi</w:t>
      </w:r>
      <w:proofErr w:type="spellEnd"/>
      <w:r>
        <w:t xml:space="preserve"> which had a cranial capacity of 455 cc (boneclones.com, n.d.; Dorey, 2019). Evidence that supports the view that stone tools were only viable to the change in cranial capacity due to the need for complex thought supports this; a study done by Imperial College London in 2010 discovered </w:t>
      </w:r>
      <w:r>
        <w:rPr>
          <w:i/>
          <w:iCs/>
        </w:rPr>
        <w:t xml:space="preserve">“the evolution of the early human brain was behind the development of the hand-held axe” </w:t>
      </w:r>
      <w:r>
        <w:t>(ScienceDaily, 2010). This coincides with the development of language due to the increased size of the brain (ScienceDaily, 2010). Another experimental archaeology theory was knapping Acheulean hand axes and was concluded that the verbal knapping group produced the worst flakes because of overestimating demonstrations however, there was no difference in the quality of the Acheulean hand axes through the different forms of communication (Cataldo, Migliano and Vinicius, 2018). Therefore this indicates that language was not a factor in the development of stone tools in the Acheulean and that the increase in cranial capacity led to the development of more complex tools.</w:t>
      </w:r>
    </w:p>
    <w:p w14:paraId="5EBC5D09" w14:textId="77777777" w:rsidR="005A5FAE" w:rsidRDefault="005A5FAE"/>
    <w:p w14:paraId="7B4A1D4C" w14:textId="77777777" w:rsidR="005A5FAE" w:rsidRDefault="00000000">
      <w:r>
        <w:t xml:space="preserve">Mode Three, otherwise called the Levallois or Mousterian technique, dates from 300,000 to 50, 000 years ago (Nash, 2017). This development in stone tools led to increased efficiency, for example, the Levallois technique made knapping more efficient and predictable therefore having more useable flakes (Nash, 2017).  This has led archaeologists to argue that the Levallois technique is more complex than the periods before it such as the Acheulean hand axes because it was becoming more precise and efficient and this might be due to the increase in cranial capacity as both  </w:t>
      </w:r>
      <w:r>
        <w:rPr>
          <w:i/>
          <w:iCs/>
        </w:rPr>
        <w:t xml:space="preserve">Homo neanderthalensis </w:t>
      </w:r>
      <w:r>
        <w:t xml:space="preserve">and </w:t>
      </w:r>
      <w:r>
        <w:rPr>
          <w:i/>
          <w:iCs/>
        </w:rPr>
        <w:t xml:space="preserve">Homo sapiens </w:t>
      </w:r>
      <w:r>
        <w:t xml:space="preserve">have an average cranial capacity above 1,400 cc which is more than </w:t>
      </w:r>
      <w:r>
        <w:rPr>
          <w:i/>
          <w:iCs/>
        </w:rPr>
        <w:t>Homo heidelbergensis</w:t>
      </w:r>
      <w:r>
        <w:t xml:space="preserve"> (Raia et al., 2020). An example of a Levallois site is Moldova One which was occupied by </w:t>
      </w:r>
      <w:r>
        <w:rPr>
          <w:i/>
          <w:iCs/>
        </w:rPr>
        <w:t xml:space="preserve">Homo neanderthalensis </w:t>
      </w:r>
      <w:r>
        <w:t xml:space="preserve">where over 40,000 flint artifacts and 7,000 stone tools were discovered which indicates it was a settlement (Hirst, 2019). This large amount of flint could be due to the creation of stone tips being fixed to spears which happened during the Levallois period as well as flakes being transported and not left near the core similar to the Acheulean period (www.palomar.edu, n.d.; Gibson and Ingold, 1999). This therefore supports the view that cranial capacity helped with the development of stone tools. </w:t>
      </w:r>
    </w:p>
    <w:p w14:paraId="6552F68D" w14:textId="77777777" w:rsidR="005A5FAE" w:rsidRDefault="005A5FAE"/>
    <w:p w14:paraId="3AC9687F" w14:textId="77777777" w:rsidR="005A5FAE" w:rsidRDefault="00000000">
      <w:r>
        <w:t xml:space="preserve">There has been some experimental archaeology conducted by Eren Metin suggesting that the Levallois technique is highly complicated for example, it took Metin longer to learn the Levallois production than to learn to ride a bike at age seven (Metin et.al, 2011). This supports the theory by Penny </w:t>
      </w:r>
      <w:proofErr w:type="spellStart"/>
      <w:r>
        <w:t>Spikins</w:t>
      </w:r>
      <w:proofErr w:type="spellEnd"/>
      <w:r>
        <w:t xml:space="preserve"> who argues that Neanderthal children had faster physical and mental development compared to modern children (</w:t>
      </w:r>
      <w:proofErr w:type="spellStart"/>
      <w:r>
        <w:t>Spikins</w:t>
      </w:r>
      <w:proofErr w:type="spellEnd"/>
      <w:r>
        <w:t xml:space="preserve"> et al., 2014). Furthermore, Lewis and Sally Binford argued that the variety of stone tools in Mode Three was largely due to the reflection of the demands of the environment (Binford and Binford, 2009). This can be seen in the different types of settlements in the archaeological record, for example, work camps during the Levallois period were occupied while sub-groups were carrying out specific tasks such as kill sites or quarries for usable materials such as flint compared to base camps which where places used throughout several seasons (Binford and Binford, 2009). These large sites provided protection from the elements and a wide ranges of activities took place (Binford and Binford, 2009). This would suggest that the stone tools during the Levallois technique needed to be transported due to mobile hunter-gatherers and therefore more of a focus on use than production due to the Levallois technique. This also explains the shift from the here-and-now environment of stone tools during the </w:t>
      </w:r>
      <w:proofErr w:type="spellStart"/>
      <w:r>
        <w:t>Oldowan</w:t>
      </w:r>
      <w:proofErr w:type="spellEnd"/>
      <w:r>
        <w:t xml:space="preserve"> and Acheulean periods compared to planning for the future shows an increase in culture and cranial capacity however it was also affected by the environment and development in consciousness and language (Schlanger, 1996).</w:t>
      </w:r>
    </w:p>
    <w:p w14:paraId="5BBAB1D8" w14:textId="77777777" w:rsidR="005A5FAE" w:rsidRDefault="00000000">
      <w:r>
        <w:t xml:space="preserve">  </w:t>
      </w:r>
    </w:p>
    <w:p w14:paraId="24457FEA" w14:textId="77777777" w:rsidR="005A5FAE" w:rsidRDefault="00000000">
      <w:r>
        <w:t xml:space="preserve">The Aurignacian period, otherwise known as Mode Four saw an accelerated increase in cranial development and the use of stone tools (Will et al., 2021). During the Aurignacian period, the archaeological record shows that large herbivores had an important role in the diet of Upper Palaeolithic people and had enough knowledge to focus on specific species such as reindeer in France (Boyd and Silk, 2018). Archaeological evidence to support this is </w:t>
      </w:r>
      <w:proofErr w:type="spellStart"/>
      <w:r>
        <w:t>Yarna</w:t>
      </w:r>
      <w:proofErr w:type="spellEnd"/>
      <w:r>
        <w:t xml:space="preserve"> river site </w:t>
      </w:r>
      <w:proofErr w:type="spellStart"/>
      <w:r>
        <w:t>Kosenki</w:t>
      </w:r>
      <w:proofErr w:type="spellEnd"/>
      <w:r>
        <w:t xml:space="preserve"> where over sixteen horse bones were discovered (Hoffecker et al., 2018). The tools of the Aurignacian show great complexity such as blades instead of flakes which shows tools have a distinctive purpose (Will et al., 2021). To archaeologists, there seems to be little physical change in this period with </w:t>
      </w:r>
      <w:r>
        <w:rPr>
          <w:i/>
          <w:iCs/>
        </w:rPr>
        <w:t>Homo neanderthalensis</w:t>
      </w:r>
      <w:r>
        <w:t xml:space="preserve"> and </w:t>
      </w:r>
      <w:r>
        <w:rPr>
          <w:i/>
          <w:iCs/>
        </w:rPr>
        <w:t>Homo sapiens</w:t>
      </w:r>
      <w:r>
        <w:t xml:space="preserve"> having two distinguished tool kits produced such as the Mousterian and the Aurignacian which lay on top of each other in most assemblages (Wenke, 1990). Further evidence of this is </w:t>
      </w:r>
      <w:r>
        <w:rPr>
          <w:i/>
          <w:iCs/>
        </w:rPr>
        <w:t>Homo neanderthalensis</w:t>
      </w:r>
      <w:r>
        <w:t xml:space="preserve"> brain size compared to </w:t>
      </w:r>
      <w:r>
        <w:rPr>
          <w:i/>
          <w:iCs/>
        </w:rPr>
        <w:t>Homo sapiens</w:t>
      </w:r>
      <w:r>
        <w:t xml:space="preserve"> brain size being very similar however, </w:t>
      </w:r>
      <w:r>
        <w:rPr>
          <w:i/>
          <w:iCs/>
        </w:rPr>
        <w:t>Homo neanderthalensis</w:t>
      </w:r>
      <w:r>
        <w:t xml:space="preserve"> had less brain capacity to use in social interaction which may have led to their extinction as well as interbreeding with </w:t>
      </w:r>
      <w:r>
        <w:rPr>
          <w:i/>
          <w:iCs/>
        </w:rPr>
        <w:t xml:space="preserve">Homo sapiens </w:t>
      </w:r>
      <w:r>
        <w:t>(</w:t>
      </w:r>
      <w:proofErr w:type="spellStart"/>
      <w:r>
        <w:t>Swaminathans</w:t>
      </w:r>
      <w:proofErr w:type="spellEnd"/>
      <w:r>
        <w:t xml:space="preserve">, 2013). This therefore suggests that the development of stone tools is not always reliant on cranial capacity and that certain parts of the brain are more important in stone tool development. </w:t>
      </w:r>
    </w:p>
    <w:p w14:paraId="194902AF" w14:textId="77777777" w:rsidR="005A5FAE" w:rsidRDefault="005A5FAE"/>
    <w:p w14:paraId="20F8C2C7" w14:textId="77777777" w:rsidR="005A5FAE" w:rsidRDefault="00000000">
      <w:r>
        <w:t xml:space="preserve">Animals also used stone tools, therefore, showing that this is not just limited to early homo. Meg Duff states that animals such as capuchin monkeys, chimpanzees, long tail macaques and sea otters all use stone tools so it is not just early humans or our closest ancestors (Duff, 2023). Duff argues that for each primate species, tool use is a socially learned behaviour that plays into it being a part of culture (Duff, 2023). This is supported by Katarina Almeida-Warren a, primate archaeologist, as different groups use different stone tools, for example some chimpanzees use a hammer rock to drop on a stone anvil to crush nuts (Almeida-Warren, 2021). On the other hand, this is only basic stone tool use as in the </w:t>
      </w:r>
      <w:proofErr w:type="spellStart"/>
      <w:r>
        <w:t>Oldowan</w:t>
      </w:r>
      <w:proofErr w:type="spellEnd"/>
      <w:r>
        <w:t xml:space="preserve"> period which could have been used by </w:t>
      </w:r>
      <w:r>
        <w:rPr>
          <w:i/>
          <w:iCs/>
        </w:rPr>
        <w:t xml:space="preserve">Paranthropus </w:t>
      </w:r>
      <w:proofErr w:type="spellStart"/>
      <w:r>
        <w:rPr>
          <w:i/>
          <w:iCs/>
        </w:rPr>
        <w:t>bosiei</w:t>
      </w:r>
      <w:proofErr w:type="spellEnd"/>
      <w:r>
        <w:t xml:space="preserve"> otherwise known as nutcracker man due to its big teeth and strong chewing muscles like chimpanzees today (Zorich, 2023).  This is supported by Cheney and Seyfarth who summarise that after fifteen years of research on vervet monkeys, they concluded that they could identify specific predators, put friendly animals into semantic categories and detect unreliable signallers they are unable to react to compared to the early homo (Cheney and Seyfarth, 1992). This therefore suggests that the development of stone tools does have a factor to play in the increase in cranial capacity. Evidence to support this is that chimpanzees have levels of intelligence approximately equal to three to four-year-old children showing the limit in cognitive development (Latour, Gibson and Ingold, 1994). This also shows that the use of stone use is similar although also very different. One way this limited language could be restricted is due to the social dealing animals have had with humans due to us changing their environment according to Humphrey (1976). Evidence supporting this is Ingold's (1994) article </w:t>
      </w:r>
      <w:r>
        <w:rPr>
          <w:i/>
          <w:iCs/>
        </w:rPr>
        <w:t>Tool use, sociality and intelligence</w:t>
      </w:r>
      <w:r>
        <w:t xml:space="preserve"> which concludes that the emergence of stone tool use and speaking is not due to any form of mental capacity and instead, an evolution of human beings as animals with specific capabilities of action; evidence to support this is the possibility of talking animals such as Alex a grey parrot who was able to learn and use words in a proper context and have meaningful dialogues with humans (Wong, 2007). This has been attempted with apes however they are only able to learn a few verbal words (Ingold, 1994; Chandler, 2007). This also shows how cultures have evolutionary differentiation and between different evolutionary capabilities. </w:t>
      </w:r>
    </w:p>
    <w:p w14:paraId="0254FF8C" w14:textId="7B58F8BE" w:rsidR="005A5FAE" w:rsidRDefault="00000000">
      <w:r>
        <w:t xml:space="preserve">However, this use of comparing modern apes to the </w:t>
      </w:r>
      <w:proofErr w:type="spellStart"/>
      <w:r>
        <w:t>Oldowan</w:t>
      </w:r>
      <w:proofErr w:type="spellEnd"/>
      <w:r>
        <w:t xml:space="preserve"> society can also be frowned upon for example, Zorich argues that, “you don’t need a ginormous large brain to make sharp cutting tools. The challenge is in using the stone tools. I think that’s where the difference lies” (Zorich, 2023) this is because the Macaque’s tools are similar to the </w:t>
      </w:r>
      <w:proofErr w:type="spellStart"/>
      <w:r>
        <w:t>Oldowan</w:t>
      </w:r>
      <w:proofErr w:type="spellEnd"/>
      <w:r>
        <w:t xml:space="preserve"> period however, they do not use the sharp flakes to cut for anything as they have sharp teeth (Zorich, 2023). This suggests that the use of stone tools makes it specific for hominids and that care is needed when interpreting artifacts which is supported (Plummer, </w:t>
      </w:r>
      <w:proofErr w:type="spellStart"/>
      <w:r>
        <w:t>n.d</w:t>
      </w:r>
      <w:proofErr w:type="spellEnd"/>
      <w:r>
        <w:t xml:space="preserve">). Therefore the parameters of using animals are limited in helping to understand the progression of stone tools development and usage due to human interaction with animals as well as are impact of changing their original environment. An example of why the use of anthrozoology has its limitations is that Alex the grey parrot had been influenced by </w:t>
      </w:r>
      <w:r w:rsidR="00724CA3">
        <w:t xml:space="preserve">anthropogenic factors </w:t>
      </w:r>
      <w:r>
        <w:t xml:space="preserve">and was no longer in their original environment which has been affected by humans and that Alex was in America (grey parrots live in Africa) a different country where the grey parrot lives and was experimented with at the University of Arizona (Wong, 2007). </w:t>
      </w:r>
    </w:p>
    <w:p w14:paraId="11DC5AA1" w14:textId="77777777" w:rsidR="005A5FAE" w:rsidRDefault="00000000">
      <w:r>
        <w:t xml:space="preserve">To conclude, the development of stone tools was not caused by one single l factor such as the increase in cranial capacity however many different factors such as special cognition, environment or culture. This can be seen through the development of stone tools, for example, the Acheulean hand axe shows a distinct change from the </w:t>
      </w:r>
      <w:proofErr w:type="spellStart"/>
      <w:r>
        <w:t>Oldowan</w:t>
      </w:r>
      <w:proofErr w:type="spellEnd"/>
      <w:r>
        <w:t xml:space="preserve"> period which also has cultural significance as a tool such as its symbolism. However, a massive change occurred during the Levallois period because the application of stone tools changed from the here and now to plan for the future for example the </w:t>
      </w:r>
      <w:proofErr w:type="spellStart"/>
      <w:r>
        <w:t>Oldowan</w:t>
      </w:r>
      <w:proofErr w:type="spellEnd"/>
      <w:r>
        <w:t xml:space="preserve"> tool was used in the here-and-now environment while the Levallois technique shows the planning for the future due to being reworked and carried and the development of language (Schlanger, 1996). This change has been impacted by the increase in cranial capacity, culture and the environment itself. Also, it can be seen that animals have used stone tools however only to a simplistic degree for example the </w:t>
      </w:r>
      <w:r>
        <w:rPr>
          <w:i/>
          <w:iCs/>
        </w:rPr>
        <w:t xml:space="preserve">Paranthropus </w:t>
      </w:r>
      <w:proofErr w:type="spellStart"/>
      <w:r>
        <w:rPr>
          <w:i/>
          <w:iCs/>
        </w:rPr>
        <w:t>bosiei</w:t>
      </w:r>
      <w:proofErr w:type="spellEnd"/>
      <w:r>
        <w:t xml:space="preserve"> was able to use stone tools like some monkeys today however anthrozoology has its controversies (Zorich, 2023). Further evidence supports many factors contributed to the evolution of stone tools and it was not just due to the increase of cranial capacity over time; evidence to support this is that our brains might be slightly smaller </w:t>
      </w:r>
      <w:r>
        <w:rPr>
          <w:i/>
          <w:iCs/>
        </w:rPr>
        <w:t>than Homo neanderthalensis</w:t>
      </w:r>
      <w:r>
        <w:t xml:space="preserve"> and instead, it could be due to the development of certain parts of the brain and social interaction (</w:t>
      </w:r>
      <w:proofErr w:type="spellStart"/>
      <w:r>
        <w:t>Swaminathans</w:t>
      </w:r>
      <w:proofErr w:type="spellEnd"/>
      <w:r>
        <w:t xml:space="preserve">, 2013). So, to summarise, no one factor led to the evolution of stone tools; cranial capacity, social, environmental and cognitive skills all had a part to play.   </w:t>
      </w:r>
    </w:p>
    <w:p w14:paraId="4D8D91E1" w14:textId="77777777" w:rsidR="005A5FAE" w:rsidRDefault="005A5FAE"/>
    <w:p w14:paraId="4B2248D8" w14:textId="77777777" w:rsidR="005A5FAE" w:rsidRDefault="005A5FAE">
      <w:pPr>
        <w:rPr>
          <w:b/>
          <w:bCs/>
        </w:rPr>
      </w:pPr>
    </w:p>
    <w:p w14:paraId="7D5153B7" w14:textId="77777777" w:rsidR="005A5FAE" w:rsidRDefault="005A5FAE">
      <w:pPr>
        <w:rPr>
          <w:b/>
          <w:bCs/>
        </w:rPr>
      </w:pPr>
    </w:p>
    <w:p w14:paraId="34059E19" w14:textId="77777777" w:rsidR="005A5FAE" w:rsidRDefault="005A5FAE">
      <w:pPr>
        <w:rPr>
          <w:b/>
          <w:bCs/>
        </w:rPr>
      </w:pPr>
    </w:p>
    <w:p w14:paraId="568F006B" w14:textId="77777777" w:rsidR="005A5FAE" w:rsidRDefault="005A5FAE">
      <w:pPr>
        <w:rPr>
          <w:b/>
          <w:bCs/>
        </w:rPr>
      </w:pPr>
    </w:p>
    <w:p w14:paraId="470FF2D2" w14:textId="77777777" w:rsidR="005A5FAE" w:rsidRDefault="005A5FAE">
      <w:pPr>
        <w:rPr>
          <w:b/>
          <w:bCs/>
        </w:rPr>
      </w:pPr>
    </w:p>
    <w:p w14:paraId="49E335FC" w14:textId="77777777" w:rsidR="005A5FAE" w:rsidRDefault="005A5FAE">
      <w:pPr>
        <w:rPr>
          <w:b/>
          <w:bCs/>
        </w:rPr>
      </w:pPr>
    </w:p>
    <w:p w14:paraId="2C9ADA44" w14:textId="77777777" w:rsidR="005A5FAE" w:rsidRDefault="005A5FAE">
      <w:pPr>
        <w:rPr>
          <w:b/>
          <w:bCs/>
        </w:rPr>
      </w:pPr>
    </w:p>
    <w:p w14:paraId="4BB434C0" w14:textId="77777777" w:rsidR="005A5FAE" w:rsidRDefault="005A5FAE">
      <w:pPr>
        <w:rPr>
          <w:b/>
          <w:bCs/>
        </w:rPr>
      </w:pPr>
    </w:p>
    <w:p w14:paraId="5B587F9E" w14:textId="77777777" w:rsidR="005A5FAE" w:rsidRDefault="005A5FAE">
      <w:pPr>
        <w:rPr>
          <w:b/>
          <w:bCs/>
        </w:rPr>
      </w:pPr>
    </w:p>
    <w:p w14:paraId="1695DD7C" w14:textId="77777777" w:rsidR="00D923C0" w:rsidRDefault="00D923C0">
      <w:pPr>
        <w:rPr>
          <w:b/>
          <w:bCs/>
        </w:rPr>
      </w:pPr>
    </w:p>
    <w:p w14:paraId="579CE76B" w14:textId="3F9A1EA1" w:rsidR="005A5FAE" w:rsidRDefault="00000000">
      <w:pPr>
        <w:rPr>
          <w:b/>
          <w:bCs/>
          <w:u w:val="single"/>
        </w:rPr>
      </w:pPr>
      <w:r>
        <w:rPr>
          <w:b/>
          <w:bCs/>
          <w:u w:val="single"/>
        </w:rPr>
        <w:t xml:space="preserve">References </w:t>
      </w:r>
    </w:p>
    <w:p w14:paraId="3966D1C2" w14:textId="77777777" w:rsidR="005A5FAE" w:rsidRDefault="00000000">
      <w:pPr>
        <w:rPr>
          <w:sz w:val="16"/>
          <w:szCs w:val="16"/>
        </w:rPr>
      </w:pPr>
      <w:r>
        <w:rPr>
          <w:sz w:val="16"/>
          <w:szCs w:val="16"/>
        </w:rPr>
        <w:t>Almeida-Warren, K. (2021). Landscaping the behavioural ecology of primate stone tool use. www.academia.edu. [online] Available at: https://www.academia.edu/89715183/Landscaping_the_behavioural_ecology_of_primate_stone_tool_use [Accessed 14 Dec. 2023].</w:t>
      </w:r>
    </w:p>
    <w:p w14:paraId="3889C9CE" w14:textId="77777777" w:rsidR="005A5FAE" w:rsidRDefault="00000000">
      <w:pPr>
        <w:rPr>
          <w:sz w:val="16"/>
          <w:szCs w:val="16"/>
        </w:rPr>
      </w:pPr>
      <w:r>
        <w:rPr>
          <w:sz w:val="16"/>
          <w:szCs w:val="16"/>
        </w:rPr>
        <w:t xml:space="preserve">Andersson, M. and Simmons, L.W. (2006). Sexual selection and mate choice. Trends in Ecology &amp; Evolution, 21(6), pp.296–302. </w:t>
      </w:r>
      <w:proofErr w:type="spellStart"/>
      <w:r>
        <w:rPr>
          <w:sz w:val="16"/>
          <w:szCs w:val="16"/>
        </w:rPr>
        <w:t>doi:https</w:t>
      </w:r>
      <w:proofErr w:type="spellEnd"/>
      <w:r>
        <w:rPr>
          <w:sz w:val="16"/>
          <w:szCs w:val="16"/>
        </w:rPr>
        <w:t>://doi.org/10.1016/j.tree.2006.03.015.</w:t>
      </w:r>
    </w:p>
    <w:p w14:paraId="190FC4DF" w14:textId="77777777" w:rsidR="005A5FAE" w:rsidRDefault="00000000">
      <w:pPr>
        <w:rPr>
          <w:sz w:val="16"/>
          <w:szCs w:val="16"/>
        </w:rPr>
      </w:pPr>
      <w:r>
        <w:rPr>
          <w:sz w:val="16"/>
          <w:szCs w:val="16"/>
        </w:rPr>
        <w:t xml:space="preserve">Bar-Yosef O. 2006. The known and </w:t>
      </w:r>
      <w:proofErr w:type="spellStart"/>
      <w:r>
        <w:rPr>
          <w:sz w:val="16"/>
          <w:szCs w:val="16"/>
        </w:rPr>
        <w:t>theunknown</w:t>
      </w:r>
      <w:proofErr w:type="spellEnd"/>
      <w:r>
        <w:rPr>
          <w:sz w:val="16"/>
          <w:szCs w:val="16"/>
        </w:rPr>
        <w:t xml:space="preserve"> about the Acheulean. In: Goren-Inbar N, Sharon G, editors. Axe age: </w:t>
      </w:r>
      <w:proofErr w:type="spellStart"/>
      <w:r>
        <w:rPr>
          <w:sz w:val="16"/>
          <w:szCs w:val="16"/>
        </w:rPr>
        <w:t>Acheuliantool</w:t>
      </w:r>
      <w:proofErr w:type="spellEnd"/>
      <w:r>
        <w:rPr>
          <w:sz w:val="16"/>
          <w:szCs w:val="16"/>
        </w:rPr>
        <w:t xml:space="preserve">-making from quarry to discard. </w:t>
      </w:r>
    </w:p>
    <w:p w14:paraId="0D005B1C" w14:textId="77777777" w:rsidR="005A5FAE" w:rsidRDefault="00000000">
      <w:pPr>
        <w:rPr>
          <w:sz w:val="16"/>
          <w:szCs w:val="16"/>
        </w:rPr>
      </w:pPr>
      <w:r>
        <w:rPr>
          <w:sz w:val="16"/>
          <w:szCs w:val="16"/>
        </w:rPr>
        <w:t xml:space="preserve">Binford, L.R. and Binford, S.R. (2009). A Preliminary Analysis of Functional Variability in the Mousterian of Levallois Facies. American Anthropologist, 68(2), pp.238–295. </w:t>
      </w:r>
      <w:proofErr w:type="spellStart"/>
      <w:r>
        <w:rPr>
          <w:sz w:val="16"/>
          <w:szCs w:val="16"/>
        </w:rPr>
        <w:t>doi:https</w:t>
      </w:r>
      <w:proofErr w:type="spellEnd"/>
      <w:r>
        <w:rPr>
          <w:sz w:val="16"/>
          <w:szCs w:val="16"/>
        </w:rPr>
        <w:t>://doi.org/10.1525/aa.1966.68.2.02a001030.</w:t>
      </w:r>
    </w:p>
    <w:p w14:paraId="61B3E835" w14:textId="77777777" w:rsidR="005A5FAE" w:rsidRDefault="00000000">
      <w:pPr>
        <w:rPr>
          <w:sz w:val="16"/>
          <w:szCs w:val="16"/>
        </w:rPr>
      </w:pPr>
      <w:r>
        <w:rPr>
          <w:sz w:val="16"/>
          <w:szCs w:val="16"/>
        </w:rPr>
        <w:t xml:space="preserve">boneclones.com. (n.d.). Homo sapiens </w:t>
      </w:r>
      <w:proofErr w:type="spellStart"/>
      <w:r>
        <w:rPr>
          <w:sz w:val="16"/>
          <w:szCs w:val="16"/>
        </w:rPr>
        <w:t>idaltu</w:t>
      </w:r>
      <w:proofErr w:type="spellEnd"/>
      <w:r>
        <w:rPr>
          <w:sz w:val="16"/>
          <w:szCs w:val="16"/>
        </w:rPr>
        <w:t xml:space="preserve"> BOU-VP-16/1 </w:t>
      </w:r>
      <w:proofErr w:type="spellStart"/>
      <w:r>
        <w:rPr>
          <w:sz w:val="16"/>
          <w:szCs w:val="16"/>
        </w:rPr>
        <w:t>Herto</w:t>
      </w:r>
      <w:proofErr w:type="spellEnd"/>
      <w:r>
        <w:rPr>
          <w:sz w:val="16"/>
          <w:szCs w:val="16"/>
        </w:rPr>
        <w:t xml:space="preserve"> Cranium - Bone Clones, Inc. - Osteological Reproductions. [online] Available at: https://boneclones.com/product/homo-sapiens-idaltu-bou-vp-16-1-herto-skull-BH-045.</w:t>
      </w:r>
    </w:p>
    <w:p w14:paraId="4DE02B72" w14:textId="77777777" w:rsidR="005A5FAE" w:rsidRDefault="00000000">
      <w:pPr>
        <w:rPr>
          <w:sz w:val="16"/>
          <w:szCs w:val="16"/>
        </w:rPr>
      </w:pPr>
      <w:r>
        <w:rPr>
          <w:sz w:val="16"/>
          <w:szCs w:val="16"/>
        </w:rPr>
        <w:t>Boyd, R. and Silk, J.B. (2018). How humans evolved. 8th ed. New York: W.W. Norton &amp; Company.</w:t>
      </w:r>
    </w:p>
    <w:p w14:paraId="2BEF875C" w14:textId="77777777" w:rsidR="005A5FAE" w:rsidRDefault="00000000">
      <w:pPr>
        <w:rPr>
          <w:sz w:val="16"/>
          <w:szCs w:val="16"/>
        </w:rPr>
      </w:pPr>
      <w:r>
        <w:rPr>
          <w:sz w:val="16"/>
          <w:szCs w:val="16"/>
        </w:rPr>
        <w:t xml:space="preserve">Cataldo, D.M., Migliano, A.B. and Vinicius, L. (2018). Speech, stone tool-making and the evolution of language. PLOS ONE, [online] 13(1), p.e0191071. </w:t>
      </w:r>
      <w:proofErr w:type="spellStart"/>
      <w:r>
        <w:rPr>
          <w:sz w:val="16"/>
          <w:szCs w:val="16"/>
        </w:rPr>
        <w:t>doi:https</w:t>
      </w:r>
      <w:proofErr w:type="spellEnd"/>
      <w:r>
        <w:rPr>
          <w:sz w:val="16"/>
          <w:szCs w:val="16"/>
        </w:rPr>
        <w:t>://doi.org/10.1371/journal.pone.0191071.</w:t>
      </w:r>
    </w:p>
    <w:p w14:paraId="1F28B12F" w14:textId="77777777" w:rsidR="005A5FAE" w:rsidRDefault="00000000">
      <w:pPr>
        <w:rPr>
          <w:sz w:val="16"/>
          <w:szCs w:val="16"/>
        </w:rPr>
      </w:pPr>
      <w:r>
        <w:rPr>
          <w:sz w:val="16"/>
          <w:szCs w:val="16"/>
        </w:rPr>
        <w:t xml:space="preserve">Chandler, D. (2007). Farewell to a famous parrot. Nature. [online] </w:t>
      </w:r>
      <w:proofErr w:type="spellStart"/>
      <w:r>
        <w:rPr>
          <w:sz w:val="16"/>
          <w:szCs w:val="16"/>
        </w:rPr>
        <w:t>doi:https</w:t>
      </w:r>
      <w:proofErr w:type="spellEnd"/>
      <w:r>
        <w:rPr>
          <w:sz w:val="16"/>
          <w:szCs w:val="16"/>
        </w:rPr>
        <w:t>://doi.org/10.1038/news070910-4.</w:t>
      </w:r>
    </w:p>
    <w:p w14:paraId="77222CF7" w14:textId="77777777" w:rsidR="005A5FAE" w:rsidRDefault="00000000">
      <w:pPr>
        <w:rPr>
          <w:sz w:val="16"/>
          <w:szCs w:val="16"/>
        </w:rPr>
      </w:pPr>
      <w:r>
        <w:rPr>
          <w:sz w:val="16"/>
          <w:szCs w:val="16"/>
        </w:rPr>
        <w:t>Cheney, D.L. and Seyfarth, R.M. (1992). How monkeys see the world : inside the mind of another species. Chicago: University Of Chicago Press.</w:t>
      </w:r>
    </w:p>
    <w:p w14:paraId="7523F836" w14:textId="77777777" w:rsidR="005A5FAE" w:rsidRDefault="00000000">
      <w:pPr>
        <w:rPr>
          <w:sz w:val="16"/>
          <w:szCs w:val="16"/>
        </w:rPr>
      </w:pPr>
      <w:r>
        <w:rPr>
          <w:sz w:val="16"/>
          <w:szCs w:val="16"/>
        </w:rPr>
        <w:t xml:space="preserve">Corbey, R., </w:t>
      </w:r>
      <w:proofErr w:type="spellStart"/>
      <w:r>
        <w:rPr>
          <w:sz w:val="16"/>
          <w:szCs w:val="16"/>
        </w:rPr>
        <w:t>Jagich</w:t>
      </w:r>
      <w:proofErr w:type="spellEnd"/>
      <w:r>
        <w:rPr>
          <w:sz w:val="16"/>
          <w:szCs w:val="16"/>
        </w:rPr>
        <w:t xml:space="preserve">, A., </w:t>
      </w:r>
      <w:proofErr w:type="spellStart"/>
      <w:r>
        <w:rPr>
          <w:sz w:val="16"/>
          <w:szCs w:val="16"/>
        </w:rPr>
        <w:t>Vaesen</w:t>
      </w:r>
      <w:proofErr w:type="spellEnd"/>
      <w:r>
        <w:rPr>
          <w:sz w:val="16"/>
          <w:szCs w:val="16"/>
        </w:rPr>
        <w:t xml:space="preserve">, K. and Collard, M. (2016). The </w:t>
      </w:r>
      <w:proofErr w:type="spellStart"/>
      <w:r>
        <w:rPr>
          <w:sz w:val="16"/>
          <w:szCs w:val="16"/>
        </w:rPr>
        <w:t>acheulean</w:t>
      </w:r>
      <w:proofErr w:type="spellEnd"/>
      <w:r>
        <w:rPr>
          <w:sz w:val="16"/>
          <w:szCs w:val="16"/>
        </w:rPr>
        <w:t xml:space="preserve"> </w:t>
      </w:r>
      <w:proofErr w:type="spellStart"/>
      <w:r>
        <w:rPr>
          <w:sz w:val="16"/>
          <w:szCs w:val="16"/>
        </w:rPr>
        <w:t>handaxe</w:t>
      </w:r>
      <w:proofErr w:type="spellEnd"/>
      <w:r>
        <w:rPr>
          <w:sz w:val="16"/>
          <w:szCs w:val="16"/>
        </w:rPr>
        <w:t xml:space="preserve">: More like a bird’s song than a </w:t>
      </w:r>
      <w:proofErr w:type="spellStart"/>
      <w:r>
        <w:rPr>
          <w:sz w:val="16"/>
          <w:szCs w:val="16"/>
        </w:rPr>
        <w:t>beatles’</w:t>
      </w:r>
      <w:proofErr w:type="spellEnd"/>
      <w:r>
        <w:rPr>
          <w:sz w:val="16"/>
          <w:szCs w:val="16"/>
        </w:rPr>
        <w:t xml:space="preserve"> tune? Evolutionary Anthropology: Issues, News, and Reviews, 25(1), pp.6–19. </w:t>
      </w:r>
      <w:proofErr w:type="spellStart"/>
      <w:r>
        <w:rPr>
          <w:sz w:val="16"/>
          <w:szCs w:val="16"/>
        </w:rPr>
        <w:t>doi:https</w:t>
      </w:r>
      <w:proofErr w:type="spellEnd"/>
      <w:r>
        <w:rPr>
          <w:sz w:val="16"/>
          <w:szCs w:val="16"/>
        </w:rPr>
        <w:t>://doi.org/10.1002/evan.21467.</w:t>
      </w:r>
    </w:p>
    <w:p w14:paraId="7FF632D0" w14:textId="77777777" w:rsidR="005A5FAE" w:rsidRDefault="00000000">
      <w:pPr>
        <w:rPr>
          <w:sz w:val="16"/>
          <w:szCs w:val="16"/>
        </w:rPr>
      </w:pPr>
      <w:r>
        <w:rPr>
          <w:sz w:val="16"/>
          <w:szCs w:val="16"/>
        </w:rPr>
        <w:t xml:space="preserve">Current Archaeology. (2007). 500000 BC - </w:t>
      </w:r>
      <w:proofErr w:type="spellStart"/>
      <w:r>
        <w:rPr>
          <w:sz w:val="16"/>
          <w:szCs w:val="16"/>
        </w:rPr>
        <w:t>Boxgrove</w:t>
      </w:r>
      <w:proofErr w:type="spellEnd"/>
      <w:r>
        <w:rPr>
          <w:sz w:val="16"/>
          <w:szCs w:val="16"/>
        </w:rPr>
        <w:t>. [online] Available at: https://archaeology.co.uk/articles/specials/timeline/boxgrove.htm.</w:t>
      </w:r>
    </w:p>
    <w:p w14:paraId="230857DD" w14:textId="77777777" w:rsidR="005A5FAE" w:rsidRDefault="00000000">
      <w:pPr>
        <w:rPr>
          <w:sz w:val="16"/>
          <w:szCs w:val="16"/>
        </w:rPr>
      </w:pPr>
      <w:r>
        <w:rPr>
          <w:sz w:val="16"/>
          <w:szCs w:val="16"/>
        </w:rPr>
        <w:t xml:space="preserve">Dorey, F. (2019). Australopithecus </w:t>
      </w:r>
      <w:proofErr w:type="spellStart"/>
      <w:r>
        <w:rPr>
          <w:sz w:val="16"/>
          <w:szCs w:val="16"/>
        </w:rPr>
        <w:t>garhi</w:t>
      </w:r>
      <w:proofErr w:type="spellEnd"/>
      <w:r>
        <w:rPr>
          <w:sz w:val="16"/>
          <w:szCs w:val="16"/>
        </w:rPr>
        <w:t>. [online] The Australian Museum. Available at: https://australian.museum/learn/science/human-evolution/australopithecus-garhi/.</w:t>
      </w:r>
    </w:p>
    <w:p w14:paraId="121F8E55" w14:textId="77777777" w:rsidR="005A5FAE" w:rsidRDefault="00000000">
      <w:pPr>
        <w:rPr>
          <w:sz w:val="16"/>
          <w:szCs w:val="16"/>
        </w:rPr>
      </w:pPr>
      <w:r>
        <w:rPr>
          <w:sz w:val="16"/>
          <w:szCs w:val="16"/>
        </w:rPr>
        <w:t>Duff, M. (2023). Which animals have entered the ‘Stone Age’? [online] livescience.com. Available at: https://www.livescience.com/which-animals-use-stone-tools#:~:text=It%20turns%20out%2C%20the%20Stone [Accessed 14 Dec. 2023].</w:t>
      </w:r>
    </w:p>
    <w:p w14:paraId="5FA40C92" w14:textId="77777777" w:rsidR="005A5FAE" w:rsidRDefault="00000000">
      <w:pPr>
        <w:rPr>
          <w:sz w:val="16"/>
          <w:szCs w:val="16"/>
        </w:rPr>
      </w:pPr>
      <w:r>
        <w:rPr>
          <w:sz w:val="16"/>
          <w:szCs w:val="16"/>
        </w:rPr>
        <w:t xml:space="preserve">Eren, M.I., Bradley, B.A. and C. Garth Sampson (2011). Middle </w:t>
      </w:r>
      <w:proofErr w:type="spellStart"/>
      <w:r>
        <w:rPr>
          <w:sz w:val="16"/>
          <w:szCs w:val="16"/>
        </w:rPr>
        <w:t>Paleolithic</w:t>
      </w:r>
      <w:proofErr w:type="spellEnd"/>
      <w:r>
        <w:rPr>
          <w:sz w:val="16"/>
          <w:szCs w:val="16"/>
        </w:rPr>
        <w:t xml:space="preserve"> Skill Level and the Individual Knapper: An Experiment. American Antiquity, 76(2), pp.229–251. </w:t>
      </w:r>
      <w:proofErr w:type="spellStart"/>
      <w:r>
        <w:rPr>
          <w:sz w:val="16"/>
          <w:szCs w:val="16"/>
        </w:rPr>
        <w:t>doi:https</w:t>
      </w:r>
      <w:proofErr w:type="spellEnd"/>
      <w:r>
        <w:rPr>
          <w:sz w:val="16"/>
          <w:szCs w:val="16"/>
        </w:rPr>
        <w:t>://doi.org/10.7183/0002-7316.76.2.229.</w:t>
      </w:r>
    </w:p>
    <w:p w14:paraId="338337FF" w14:textId="77777777" w:rsidR="005A5FAE" w:rsidRDefault="00000000">
      <w:pPr>
        <w:rPr>
          <w:sz w:val="16"/>
          <w:szCs w:val="16"/>
        </w:rPr>
      </w:pPr>
      <w:r>
        <w:rPr>
          <w:sz w:val="16"/>
          <w:szCs w:val="16"/>
        </w:rPr>
        <w:t xml:space="preserve">Goldin-Meadow, S. (1993). When does gesture become language? A study of gesture used as a primary communication system by deaf children of hearing parents. In K. R. Gibson &amp; T. Ingold (Eds.), Tools, language and cognition in human evolution (pp. 63–85). Cambridge University Press. </w:t>
      </w:r>
    </w:p>
    <w:p w14:paraId="4C080E3F" w14:textId="77777777" w:rsidR="005A5FAE" w:rsidRDefault="00000000">
      <w:pPr>
        <w:rPr>
          <w:sz w:val="16"/>
          <w:szCs w:val="16"/>
        </w:rPr>
      </w:pPr>
      <w:r>
        <w:rPr>
          <w:sz w:val="16"/>
          <w:szCs w:val="16"/>
        </w:rPr>
        <w:t xml:space="preserve">Hirst, K. (2019). </w:t>
      </w:r>
      <w:proofErr w:type="spellStart"/>
      <w:r>
        <w:rPr>
          <w:sz w:val="16"/>
          <w:szCs w:val="16"/>
        </w:rPr>
        <w:t>Molodova</w:t>
      </w:r>
      <w:proofErr w:type="spellEnd"/>
      <w:r>
        <w:rPr>
          <w:sz w:val="16"/>
          <w:szCs w:val="16"/>
        </w:rPr>
        <w:t xml:space="preserve"> I - </w:t>
      </w:r>
      <w:proofErr w:type="spellStart"/>
      <w:r>
        <w:rPr>
          <w:sz w:val="16"/>
          <w:szCs w:val="16"/>
        </w:rPr>
        <w:t>Paleolithic</w:t>
      </w:r>
      <w:proofErr w:type="spellEnd"/>
      <w:r>
        <w:rPr>
          <w:sz w:val="16"/>
          <w:szCs w:val="16"/>
        </w:rPr>
        <w:t xml:space="preserve"> Mammoth Bone Hut in Ukraine. [online] ThoughtCo. Available at: https://www.thoughtco.com/molodova-i-ukraine-paleolithic-site-171818.</w:t>
      </w:r>
    </w:p>
    <w:p w14:paraId="6C177434" w14:textId="77777777" w:rsidR="005A5FAE" w:rsidRDefault="00000000">
      <w:pPr>
        <w:rPr>
          <w:sz w:val="16"/>
          <w:szCs w:val="16"/>
        </w:rPr>
      </w:pPr>
      <w:r>
        <w:rPr>
          <w:sz w:val="16"/>
          <w:szCs w:val="16"/>
        </w:rPr>
        <w:t xml:space="preserve">Hodgson, D. (2009). Evolution of the visual cortex and the emergence of symmetry in the Acheulean techno-complex. </w:t>
      </w:r>
      <w:proofErr w:type="spellStart"/>
      <w:r>
        <w:rPr>
          <w:sz w:val="16"/>
          <w:szCs w:val="16"/>
        </w:rPr>
        <w:t>Comptes</w:t>
      </w:r>
      <w:proofErr w:type="spellEnd"/>
      <w:r>
        <w:rPr>
          <w:sz w:val="16"/>
          <w:szCs w:val="16"/>
        </w:rPr>
        <w:t xml:space="preserve"> </w:t>
      </w:r>
      <w:proofErr w:type="spellStart"/>
      <w:r>
        <w:rPr>
          <w:sz w:val="16"/>
          <w:szCs w:val="16"/>
        </w:rPr>
        <w:t>Rendus</w:t>
      </w:r>
      <w:proofErr w:type="spellEnd"/>
      <w:r>
        <w:rPr>
          <w:sz w:val="16"/>
          <w:szCs w:val="16"/>
        </w:rPr>
        <w:t xml:space="preserve"> </w:t>
      </w:r>
      <w:proofErr w:type="spellStart"/>
      <w:r>
        <w:rPr>
          <w:sz w:val="16"/>
          <w:szCs w:val="16"/>
        </w:rPr>
        <w:t>Palevol</w:t>
      </w:r>
      <w:proofErr w:type="spellEnd"/>
      <w:r>
        <w:rPr>
          <w:sz w:val="16"/>
          <w:szCs w:val="16"/>
        </w:rPr>
        <w:t xml:space="preserve">, 8(1), pp.93–97. </w:t>
      </w:r>
      <w:proofErr w:type="spellStart"/>
      <w:r>
        <w:rPr>
          <w:sz w:val="16"/>
          <w:szCs w:val="16"/>
        </w:rPr>
        <w:t>doi:https</w:t>
      </w:r>
      <w:proofErr w:type="spellEnd"/>
      <w:r>
        <w:rPr>
          <w:sz w:val="16"/>
          <w:szCs w:val="16"/>
        </w:rPr>
        <w:t>://doi.org/10.1016/j.crpv.2008.10.009.</w:t>
      </w:r>
    </w:p>
    <w:p w14:paraId="5AD1EF9E" w14:textId="77777777" w:rsidR="005A5FAE" w:rsidRDefault="00000000">
      <w:pPr>
        <w:rPr>
          <w:sz w:val="16"/>
          <w:szCs w:val="16"/>
        </w:rPr>
      </w:pPr>
      <w:r>
        <w:rPr>
          <w:sz w:val="16"/>
          <w:szCs w:val="16"/>
        </w:rPr>
        <w:t xml:space="preserve">Hoffecker, J.F., Holliday, V.T., Vadim </w:t>
      </w:r>
      <w:proofErr w:type="spellStart"/>
      <w:r>
        <w:rPr>
          <w:sz w:val="16"/>
          <w:szCs w:val="16"/>
        </w:rPr>
        <w:t>Stepanchuk</w:t>
      </w:r>
      <w:proofErr w:type="spellEnd"/>
      <w:r>
        <w:rPr>
          <w:sz w:val="16"/>
          <w:szCs w:val="16"/>
        </w:rPr>
        <w:t xml:space="preserve"> and Lisitsyn, S.N. (2018). The hunting of horse and the problem of the Aurignacian on the central plain of Eastern Europe. Quaternary International, 492, pp.53–63. </w:t>
      </w:r>
      <w:proofErr w:type="spellStart"/>
      <w:r>
        <w:rPr>
          <w:sz w:val="16"/>
          <w:szCs w:val="16"/>
        </w:rPr>
        <w:t>doi:https</w:t>
      </w:r>
      <w:proofErr w:type="spellEnd"/>
      <w:r>
        <w:rPr>
          <w:sz w:val="16"/>
          <w:szCs w:val="16"/>
        </w:rPr>
        <w:t>://doi.org/10.1016/j.quaint.2018.05.044.</w:t>
      </w:r>
    </w:p>
    <w:p w14:paraId="42E25CA3" w14:textId="77777777" w:rsidR="005A5FAE" w:rsidRDefault="00000000">
      <w:pPr>
        <w:rPr>
          <w:sz w:val="16"/>
          <w:szCs w:val="16"/>
        </w:rPr>
      </w:pPr>
      <w:r>
        <w:rPr>
          <w:sz w:val="16"/>
          <w:szCs w:val="16"/>
        </w:rPr>
        <w:t>Kathleen Rita Gibson and Ingold, T. (1994). Tools, language, and cognition in human evolution. Cambridge England ; New York: Cambridge University Press.</w:t>
      </w:r>
    </w:p>
    <w:p w14:paraId="0108A3B3" w14:textId="77777777" w:rsidR="005A5FAE" w:rsidRDefault="00000000">
      <w:pPr>
        <w:rPr>
          <w:sz w:val="16"/>
          <w:szCs w:val="16"/>
        </w:rPr>
      </w:pPr>
      <w:r>
        <w:rPr>
          <w:sz w:val="16"/>
          <w:szCs w:val="16"/>
        </w:rPr>
        <w:t xml:space="preserve">Key, A., Lauer, T., Skinner, M.M., Pope, M., </w:t>
      </w:r>
      <w:proofErr w:type="spellStart"/>
      <w:r>
        <w:rPr>
          <w:sz w:val="16"/>
          <w:szCs w:val="16"/>
        </w:rPr>
        <w:t>Bridgland</w:t>
      </w:r>
      <w:proofErr w:type="spellEnd"/>
      <w:r>
        <w:rPr>
          <w:sz w:val="16"/>
          <w:szCs w:val="16"/>
        </w:rPr>
        <w:t>, D.R., Noble, L. and Proffitt, T. (2022). On the earliest Acheulean in Britain: first dates and in-</w:t>
      </w:r>
      <w:proofErr w:type="spellStart"/>
      <w:r>
        <w:rPr>
          <w:sz w:val="16"/>
          <w:szCs w:val="16"/>
        </w:rPr>
        <w:t>situartefacts</w:t>
      </w:r>
      <w:proofErr w:type="spellEnd"/>
      <w:r>
        <w:rPr>
          <w:sz w:val="16"/>
          <w:szCs w:val="16"/>
        </w:rPr>
        <w:t xml:space="preserve"> from the MIS 15 site of </w:t>
      </w:r>
      <w:proofErr w:type="spellStart"/>
      <w:r>
        <w:rPr>
          <w:sz w:val="16"/>
          <w:szCs w:val="16"/>
        </w:rPr>
        <w:t>Fordwich</w:t>
      </w:r>
      <w:proofErr w:type="spellEnd"/>
      <w:r>
        <w:rPr>
          <w:sz w:val="16"/>
          <w:szCs w:val="16"/>
        </w:rPr>
        <w:t xml:space="preserve"> (Kent, UK). Royal Society Open Science, 9(6). </w:t>
      </w:r>
      <w:proofErr w:type="spellStart"/>
      <w:r>
        <w:rPr>
          <w:sz w:val="16"/>
          <w:szCs w:val="16"/>
        </w:rPr>
        <w:t>doi:https</w:t>
      </w:r>
      <w:proofErr w:type="spellEnd"/>
      <w:r>
        <w:rPr>
          <w:sz w:val="16"/>
          <w:szCs w:val="16"/>
        </w:rPr>
        <w:t>://doi.org/10.1098/rsos.211904.</w:t>
      </w:r>
    </w:p>
    <w:p w14:paraId="437CAC45" w14:textId="77777777" w:rsidR="005A5FAE" w:rsidRDefault="00000000">
      <w:pPr>
        <w:rPr>
          <w:sz w:val="16"/>
          <w:szCs w:val="16"/>
        </w:rPr>
      </w:pPr>
      <w:r>
        <w:rPr>
          <w:sz w:val="16"/>
          <w:szCs w:val="16"/>
        </w:rPr>
        <w:t xml:space="preserve">Kohn, M. and </w:t>
      </w:r>
      <w:proofErr w:type="spellStart"/>
      <w:r>
        <w:rPr>
          <w:sz w:val="16"/>
          <w:szCs w:val="16"/>
        </w:rPr>
        <w:t>Mithen</w:t>
      </w:r>
      <w:proofErr w:type="spellEnd"/>
      <w:r>
        <w:rPr>
          <w:sz w:val="16"/>
          <w:szCs w:val="16"/>
        </w:rPr>
        <w:t xml:space="preserve">, S. (1999). </w:t>
      </w:r>
      <w:proofErr w:type="spellStart"/>
      <w:r>
        <w:rPr>
          <w:sz w:val="16"/>
          <w:szCs w:val="16"/>
        </w:rPr>
        <w:t>Handaxes</w:t>
      </w:r>
      <w:proofErr w:type="spellEnd"/>
      <w:r>
        <w:rPr>
          <w:sz w:val="16"/>
          <w:szCs w:val="16"/>
        </w:rPr>
        <w:t xml:space="preserve">: products of sexual selection? Antiquity, 73(281), pp.518–526. </w:t>
      </w:r>
      <w:proofErr w:type="spellStart"/>
      <w:r>
        <w:rPr>
          <w:sz w:val="16"/>
          <w:szCs w:val="16"/>
        </w:rPr>
        <w:t>doi:https</w:t>
      </w:r>
      <w:proofErr w:type="spellEnd"/>
      <w:r>
        <w:rPr>
          <w:sz w:val="16"/>
          <w:szCs w:val="16"/>
        </w:rPr>
        <w:t>://doi.org/10.1017/s0003598x00065078.</w:t>
      </w:r>
    </w:p>
    <w:p w14:paraId="20E9AD49" w14:textId="77777777" w:rsidR="005A5FAE" w:rsidRDefault="00000000">
      <w:pPr>
        <w:rPr>
          <w:sz w:val="16"/>
          <w:szCs w:val="16"/>
        </w:rPr>
      </w:pPr>
      <w:r>
        <w:rPr>
          <w:sz w:val="16"/>
          <w:szCs w:val="16"/>
        </w:rPr>
        <w:t xml:space="preserve">Latour, B., Gibson, K.R. and Ingold, T. (1994). Tools, Language and Cognition in Human Evolution. Man, 29(2), p.486. </w:t>
      </w:r>
      <w:proofErr w:type="spellStart"/>
      <w:r>
        <w:rPr>
          <w:sz w:val="16"/>
          <w:szCs w:val="16"/>
        </w:rPr>
        <w:t>doi:https</w:t>
      </w:r>
      <w:proofErr w:type="spellEnd"/>
      <w:r>
        <w:rPr>
          <w:sz w:val="16"/>
          <w:szCs w:val="16"/>
        </w:rPr>
        <w:t>://doi.org/10.2307/2804508.</w:t>
      </w:r>
    </w:p>
    <w:p w14:paraId="3FA97CC5" w14:textId="77777777" w:rsidR="005A5FAE" w:rsidRDefault="00000000">
      <w:pPr>
        <w:rPr>
          <w:sz w:val="16"/>
          <w:szCs w:val="16"/>
        </w:rPr>
      </w:pPr>
      <w:r>
        <w:rPr>
          <w:sz w:val="16"/>
          <w:szCs w:val="16"/>
        </w:rPr>
        <w:t xml:space="preserve">Li, F. (2019). Levallois Technology: Overview of Middle </w:t>
      </w:r>
      <w:proofErr w:type="spellStart"/>
      <w:r>
        <w:rPr>
          <w:sz w:val="16"/>
          <w:szCs w:val="16"/>
        </w:rPr>
        <w:t>Paleolithic</w:t>
      </w:r>
      <w:proofErr w:type="spellEnd"/>
      <w:r>
        <w:rPr>
          <w:sz w:val="16"/>
          <w:szCs w:val="16"/>
        </w:rPr>
        <w:t xml:space="preserve"> Technologies. Springer eBooks, pp.1–6. </w:t>
      </w:r>
      <w:proofErr w:type="spellStart"/>
      <w:r>
        <w:rPr>
          <w:sz w:val="16"/>
          <w:szCs w:val="16"/>
        </w:rPr>
        <w:t>doi:https</w:t>
      </w:r>
      <w:proofErr w:type="spellEnd"/>
      <w:r>
        <w:rPr>
          <w:sz w:val="16"/>
          <w:szCs w:val="16"/>
        </w:rPr>
        <w:t>://doi.org/10.1007/978-3-319-51726-1_2943-1.</w:t>
      </w:r>
    </w:p>
    <w:p w14:paraId="642474B2" w14:textId="77777777" w:rsidR="005A5FAE" w:rsidRDefault="00000000">
      <w:pPr>
        <w:rPr>
          <w:sz w:val="16"/>
          <w:szCs w:val="16"/>
        </w:rPr>
      </w:pPr>
      <w:proofErr w:type="spellStart"/>
      <w:r>
        <w:rPr>
          <w:sz w:val="16"/>
          <w:szCs w:val="16"/>
        </w:rPr>
        <w:t>Moore,M.W</w:t>
      </w:r>
      <w:proofErr w:type="spellEnd"/>
      <w:r>
        <w:rPr>
          <w:sz w:val="16"/>
          <w:szCs w:val="16"/>
        </w:rPr>
        <w:t xml:space="preserve">. 2010 ‘Grammars of action’ and stone </w:t>
      </w:r>
      <w:proofErr w:type="spellStart"/>
      <w:r>
        <w:rPr>
          <w:sz w:val="16"/>
          <w:szCs w:val="16"/>
        </w:rPr>
        <w:t>flakingdesign</w:t>
      </w:r>
      <w:proofErr w:type="spellEnd"/>
      <w:r>
        <w:rPr>
          <w:sz w:val="16"/>
          <w:szCs w:val="16"/>
        </w:rPr>
        <w:t xml:space="preserve"> space. In Stone tools and the evolution of </w:t>
      </w:r>
      <w:proofErr w:type="spellStart"/>
      <w:r>
        <w:rPr>
          <w:sz w:val="16"/>
          <w:szCs w:val="16"/>
        </w:rPr>
        <w:t>humancognition</w:t>
      </w:r>
      <w:proofErr w:type="spellEnd"/>
      <w:r>
        <w:rPr>
          <w:sz w:val="16"/>
          <w:szCs w:val="16"/>
        </w:rPr>
        <w:t xml:space="preserve"> (eds A. Nowell &amp; I. Davidson), pp. 13–43.Boulder, CO: University Press of Colorado. </w:t>
      </w:r>
    </w:p>
    <w:p w14:paraId="659DB66A" w14:textId="77777777" w:rsidR="005A5FAE" w:rsidRDefault="00000000">
      <w:pPr>
        <w:rPr>
          <w:sz w:val="16"/>
          <w:szCs w:val="16"/>
        </w:rPr>
      </w:pPr>
      <w:r>
        <w:rPr>
          <w:sz w:val="16"/>
          <w:szCs w:val="16"/>
        </w:rPr>
        <w:t>Nash S. (2017). The Revolutionary Genius of Neanderthals. [online] SAPIENS. Available at: https://www.sapiens.org/culture/neanderthals-levallois-technique/.</w:t>
      </w:r>
    </w:p>
    <w:p w14:paraId="6E6BF3F8" w14:textId="77777777" w:rsidR="005A5FAE" w:rsidRDefault="00000000">
      <w:pPr>
        <w:rPr>
          <w:sz w:val="16"/>
          <w:szCs w:val="16"/>
        </w:rPr>
      </w:pPr>
      <w:r>
        <w:rPr>
          <w:sz w:val="16"/>
          <w:szCs w:val="16"/>
        </w:rPr>
        <w:t xml:space="preserve">Nowell, April &amp; Chang, M.L.. (2009). The case against sexual selection as an explanation of </w:t>
      </w:r>
      <w:proofErr w:type="spellStart"/>
      <w:r>
        <w:rPr>
          <w:sz w:val="16"/>
          <w:szCs w:val="16"/>
        </w:rPr>
        <w:t>handaxe</w:t>
      </w:r>
      <w:proofErr w:type="spellEnd"/>
      <w:r>
        <w:rPr>
          <w:sz w:val="16"/>
          <w:szCs w:val="16"/>
        </w:rPr>
        <w:t xml:space="preserve"> morphology. </w:t>
      </w:r>
      <w:proofErr w:type="spellStart"/>
      <w:r>
        <w:rPr>
          <w:sz w:val="16"/>
          <w:szCs w:val="16"/>
        </w:rPr>
        <w:t>Paleoanthropology</w:t>
      </w:r>
      <w:proofErr w:type="spellEnd"/>
      <w:r>
        <w:rPr>
          <w:sz w:val="16"/>
          <w:szCs w:val="16"/>
        </w:rPr>
        <w:t xml:space="preserve">. 2009. 77-88. </w:t>
      </w:r>
    </w:p>
    <w:p w14:paraId="3E7B6DC6" w14:textId="77777777" w:rsidR="005A5FAE" w:rsidRDefault="00000000">
      <w:pPr>
        <w:rPr>
          <w:sz w:val="16"/>
          <w:szCs w:val="16"/>
        </w:rPr>
      </w:pPr>
      <w:r>
        <w:rPr>
          <w:sz w:val="16"/>
          <w:szCs w:val="16"/>
        </w:rPr>
        <w:t>Palmer , T. (n.d.). Thomas Plummer. [online] qcpages.qc.cuny.edu. Available at: https://qcpages.qc.cuny.edu/anthro/Web_Pages/plummer/plummer.html [Accessed 18 Dec. 2023].</w:t>
      </w:r>
    </w:p>
    <w:p w14:paraId="202F285D" w14:textId="77777777" w:rsidR="005A5FAE" w:rsidRDefault="00000000">
      <w:pPr>
        <w:rPr>
          <w:sz w:val="16"/>
          <w:szCs w:val="16"/>
        </w:rPr>
      </w:pPr>
      <w:r>
        <w:rPr>
          <w:sz w:val="16"/>
          <w:szCs w:val="16"/>
        </w:rPr>
        <w:t xml:space="preserve">Raia, P., </w:t>
      </w:r>
      <w:proofErr w:type="spellStart"/>
      <w:r>
        <w:rPr>
          <w:sz w:val="16"/>
          <w:szCs w:val="16"/>
        </w:rPr>
        <w:t>Mondanaro</w:t>
      </w:r>
      <w:proofErr w:type="spellEnd"/>
      <w:r>
        <w:rPr>
          <w:sz w:val="16"/>
          <w:szCs w:val="16"/>
        </w:rPr>
        <w:t xml:space="preserve">, A., Melchionna, M., Di Febbraro, M., Diniz-Filho, J.A.F., Rangel, T.F., Holden, P.B., Carotenuto, F., Edwards, N.R., Lima-Ribeiro, M.S., </w:t>
      </w:r>
      <w:proofErr w:type="spellStart"/>
      <w:r>
        <w:rPr>
          <w:sz w:val="16"/>
          <w:szCs w:val="16"/>
        </w:rPr>
        <w:t>Profico</w:t>
      </w:r>
      <w:proofErr w:type="spellEnd"/>
      <w:r>
        <w:rPr>
          <w:sz w:val="16"/>
          <w:szCs w:val="16"/>
        </w:rPr>
        <w:t xml:space="preserve">, A., Maiorano, L., Castiglione, S., Serio, C. and Rook, L. (2020). Past Extinctions of Homo Species Coincided with Increased Vulnerability to Climatic Change. One Earth, 3(4), pp.480–490. </w:t>
      </w:r>
      <w:proofErr w:type="spellStart"/>
      <w:r>
        <w:rPr>
          <w:sz w:val="16"/>
          <w:szCs w:val="16"/>
        </w:rPr>
        <w:t>doi:https</w:t>
      </w:r>
      <w:proofErr w:type="spellEnd"/>
      <w:r>
        <w:rPr>
          <w:sz w:val="16"/>
          <w:szCs w:val="16"/>
        </w:rPr>
        <w:t>://doi.org/10.1016/j.oneear.2020.09.007.</w:t>
      </w:r>
    </w:p>
    <w:p w14:paraId="4C2C2CAF" w14:textId="77777777" w:rsidR="005A5FAE" w:rsidRDefault="00000000">
      <w:pPr>
        <w:rPr>
          <w:sz w:val="16"/>
          <w:szCs w:val="16"/>
        </w:rPr>
      </w:pPr>
      <w:r>
        <w:rPr>
          <w:sz w:val="16"/>
          <w:szCs w:val="16"/>
        </w:rPr>
        <w:t xml:space="preserve">Schlanger, N. (1996). Understanding Levallois: Lithic Technology and Cognitive Archaeology. Cambridge Archaeological Journal, 6(2), pp.231–254. </w:t>
      </w:r>
      <w:proofErr w:type="spellStart"/>
      <w:r>
        <w:rPr>
          <w:sz w:val="16"/>
          <w:szCs w:val="16"/>
        </w:rPr>
        <w:t>doi:https</w:t>
      </w:r>
      <w:proofErr w:type="spellEnd"/>
      <w:r>
        <w:rPr>
          <w:sz w:val="16"/>
          <w:szCs w:val="16"/>
        </w:rPr>
        <w:t>://doi.org/10.1017/s0959774300001724.</w:t>
      </w:r>
    </w:p>
    <w:p w14:paraId="55BB188E" w14:textId="77777777" w:rsidR="005A5FAE" w:rsidRDefault="00000000">
      <w:pPr>
        <w:rPr>
          <w:sz w:val="16"/>
          <w:szCs w:val="16"/>
        </w:rPr>
      </w:pPr>
      <w:r>
        <w:rPr>
          <w:sz w:val="16"/>
          <w:szCs w:val="16"/>
        </w:rPr>
        <w:t>ScienceDaily. (2010). Stone Age humans needed more brain power to make big leap in tool design. [online] Available at: https://www.sciencedaily.com/releases/2010/11/101103171451.htm#:~:text=Stone%20Age%20humans%20were%20only [Accessed 2 Jan. 2024].</w:t>
      </w:r>
    </w:p>
    <w:p w14:paraId="05A9D768" w14:textId="77777777" w:rsidR="005A5FAE" w:rsidRDefault="00000000">
      <w:pPr>
        <w:rPr>
          <w:sz w:val="16"/>
          <w:szCs w:val="16"/>
        </w:rPr>
      </w:pPr>
      <w:r>
        <w:rPr>
          <w:sz w:val="16"/>
          <w:szCs w:val="16"/>
        </w:rPr>
        <w:t xml:space="preserve">Shea, J. (2006). John J. Shea (2006) Child’s Play: Reflections on the Invisibility of Children in the </w:t>
      </w:r>
      <w:proofErr w:type="spellStart"/>
      <w:r>
        <w:rPr>
          <w:sz w:val="16"/>
          <w:szCs w:val="16"/>
        </w:rPr>
        <w:t>Paleolithic</w:t>
      </w:r>
      <w:proofErr w:type="spellEnd"/>
      <w:r>
        <w:rPr>
          <w:sz w:val="16"/>
          <w:szCs w:val="16"/>
        </w:rPr>
        <w:t xml:space="preserve"> Record. Evolutionary Anthropology 15 (6): 212-216. Evolutionary Anthropology. [online] Available at: https://www.academia.edu/2635374/John_J_Shea_2006_Childs_Play_Reflections_on_the_Invisibility_of_Children_in_the_Paleolithic_Record_Evolutionary_Anthropology_15_6_212_216 [Accessed 12 Dec. 2023].</w:t>
      </w:r>
    </w:p>
    <w:p w14:paraId="5FB95FC2" w14:textId="77777777" w:rsidR="005A5FAE" w:rsidRDefault="00000000">
      <w:pPr>
        <w:rPr>
          <w:sz w:val="16"/>
          <w:szCs w:val="16"/>
        </w:rPr>
      </w:pPr>
      <w:r>
        <w:rPr>
          <w:sz w:val="16"/>
          <w:szCs w:val="16"/>
        </w:rPr>
        <w:t xml:space="preserve">Shennan, S., &amp; Steele, J. (1999). Cultural learning in hominids: a behavioural ecological approach. </w:t>
      </w:r>
    </w:p>
    <w:p w14:paraId="659B9168" w14:textId="77777777" w:rsidR="005A5FAE" w:rsidRDefault="00000000">
      <w:pPr>
        <w:rPr>
          <w:sz w:val="16"/>
          <w:szCs w:val="16"/>
        </w:rPr>
      </w:pPr>
      <w:proofErr w:type="spellStart"/>
      <w:r>
        <w:rPr>
          <w:sz w:val="16"/>
          <w:szCs w:val="16"/>
        </w:rPr>
        <w:t>Spikins</w:t>
      </w:r>
      <w:proofErr w:type="spellEnd"/>
      <w:r>
        <w:rPr>
          <w:sz w:val="16"/>
          <w:szCs w:val="16"/>
        </w:rPr>
        <w:t xml:space="preserve">, P., Hitchens, G., Needham, A. and Rutherford, H. (2014). The Cradle of Thought: Growth, Learning, Play and Attachment in Neanderthal Children. Oxford Journal of Archaeology, 33(2), pp.111–134. </w:t>
      </w:r>
      <w:proofErr w:type="spellStart"/>
      <w:r>
        <w:rPr>
          <w:sz w:val="16"/>
          <w:szCs w:val="16"/>
        </w:rPr>
        <w:t>doi:https</w:t>
      </w:r>
      <w:proofErr w:type="spellEnd"/>
      <w:r>
        <w:rPr>
          <w:sz w:val="16"/>
          <w:szCs w:val="16"/>
        </w:rPr>
        <w:t>://doi.org/10.1111/ojoa.12030.</w:t>
      </w:r>
    </w:p>
    <w:p w14:paraId="1C262D42" w14:textId="77777777" w:rsidR="005A5FAE" w:rsidRDefault="00000000">
      <w:pPr>
        <w:rPr>
          <w:sz w:val="16"/>
          <w:szCs w:val="16"/>
        </w:rPr>
      </w:pPr>
      <w:r>
        <w:rPr>
          <w:sz w:val="16"/>
          <w:szCs w:val="16"/>
        </w:rPr>
        <w:t xml:space="preserve">Stout, D. (2011). Stone toolmaking and the evolution of human culture and cognition. Philosophical Transactions of the Royal Society B: Biological Sciences, 366(1567), pp.1050–1059. </w:t>
      </w:r>
      <w:proofErr w:type="spellStart"/>
      <w:r>
        <w:rPr>
          <w:sz w:val="16"/>
          <w:szCs w:val="16"/>
        </w:rPr>
        <w:t>doi:https</w:t>
      </w:r>
      <w:proofErr w:type="spellEnd"/>
      <w:r>
        <w:rPr>
          <w:sz w:val="16"/>
          <w:szCs w:val="16"/>
        </w:rPr>
        <w:t>://doi.org/10.1098/rstb.2010.0369.</w:t>
      </w:r>
    </w:p>
    <w:p w14:paraId="7FA2F4B8" w14:textId="77777777" w:rsidR="005A5FAE" w:rsidRDefault="00000000">
      <w:pPr>
        <w:rPr>
          <w:sz w:val="16"/>
          <w:szCs w:val="16"/>
        </w:rPr>
      </w:pPr>
      <w:r>
        <w:rPr>
          <w:sz w:val="16"/>
          <w:szCs w:val="16"/>
        </w:rPr>
        <w:t>Stout, D. (2016). Tales of a Stone Age Neuroscientist. [online] Scientific American. Available at: https://www.scientificamerican.com/article/tales-of-a-stone-age-neuroscientist1/ [Accessed 1 Dec. 2023].</w:t>
      </w:r>
    </w:p>
    <w:p w14:paraId="29933C71" w14:textId="77777777" w:rsidR="005A5FAE" w:rsidRDefault="00000000">
      <w:pPr>
        <w:rPr>
          <w:sz w:val="16"/>
          <w:szCs w:val="16"/>
        </w:rPr>
      </w:pPr>
      <w:proofErr w:type="spellStart"/>
      <w:r>
        <w:rPr>
          <w:sz w:val="16"/>
          <w:szCs w:val="16"/>
        </w:rPr>
        <w:t>Swaminathans</w:t>
      </w:r>
      <w:proofErr w:type="spellEnd"/>
      <w:r>
        <w:rPr>
          <w:sz w:val="16"/>
          <w:szCs w:val="16"/>
        </w:rPr>
        <w:t>, N. (2013). Neanderthal Brain Strain - Archaeology Magazine. [online] www.archaeology.org. Available at: https://www.archaeology.org/issues/103-1309/trenches/1138-neanderthals-brains-devoted-to-visual-processing#:~:text=The%20brains%20of%20Neanderthals.</w:t>
      </w:r>
    </w:p>
    <w:p w14:paraId="10828FCC" w14:textId="77777777" w:rsidR="005A5FAE" w:rsidRDefault="00000000">
      <w:pPr>
        <w:rPr>
          <w:sz w:val="16"/>
          <w:szCs w:val="16"/>
        </w:rPr>
      </w:pPr>
      <w:r>
        <w:rPr>
          <w:sz w:val="16"/>
          <w:szCs w:val="16"/>
        </w:rPr>
        <w:t xml:space="preserve">Toth, N. (1985). Archaeological evidence for preferential right-handedness in the lower and middle </w:t>
      </w:r>
      <w:proofErr w:type="spellStart"/>
      <w:r>
        <w:rPr>
          <w:sz w:val="16"/>
          <w:szCs w:val="16"/>
        </w:rPr>
        <w:t>pleistocene</w:t>
      </w:r>
      <w:proofErr w:type="spellEnd"/>
      <w:r>
        <w:rPr>
          <w:sz w:val="16"/>
          <w:szCs w:val="16"/>
        </w:rPr>
        <w:t xml:space="preserve">, and its possible implications. Journal of Human Evolution, 14(6), pp.607–614. </w:t>
      </w:r>
      <w:proofErr w:type="spellStart"/>
      <w:r>
        <w:rPr>
          <w:sz w:val="16"/>
          <w:szCs w:val="16"/>
        </w:rPr>
        <w:t>doi:https</w:t>
      </w:r>
      <w:proofErr w:type="spellEnd"/>
      <w:r>
        <w:rPr>
          <w:sz w:val="16"/>
          <w:szCs w:val="16"/>
        </w:rPr>
        <w:t>://doi.org/10.1016/s0047-2484(85)80087-7.</w:t>
      </w:r>
    </w:p>
    <w:p w14:paraId="7BD3494A" w14:textId="77777777" w:rsidR="005A5FAE" w:rsidRDefault="00000000">
      <w:pPr>
        <w:rPr>
          <w:sz w:val="16"/>
          <w:szCs w:val="16"/>
        </w:rPr>
      </w:pPr>
      <w:r>
        <w:rPr>
          <w:sz w:val="16"/>
          <w:szCs w:val="16"/>
        </w:rPr>
        <w:t>Toth , N. and Schick, K. (1993). Early stone industries and inferences regrading language and cognition . In: Tools, Language and cognition in human evolution . Cambridge: The Press syndicate of the university of Cambridge , p.348.</w:t>
      </w:r>
    </w:p>
    <w:p w14:paraId="73AFA752" w14:textId="77777777" w:rsidR="005A5FAE" w:rsidRDefault="00000000">
      <w:pPr>
        <w:rPr>
          <w:sz w:val="16"/>
          <w:szCs w:val="16"/>
        </w:rPr>
      </w:pPr>
      <w:r>
        <w:rPr>
          <w:sz w:val="16"/>
          <w:szCs w:val="16"/>
        </w:rPr>
        <w:t>Wenke, R.J. (1990). Patterns in prehistory : mankind’s first 3 million years. New York U.A.: Oxford Univ. Press.</w:t>
      </w:r>
    </w:p>
    <w:p w14:paraId="34B2F657" w14:textId="77777777" w:rsidR="005A5FAE" w:rsidRDefault="00000000">
      <w:pPr>
        <w:rPr>
          <w:sz w:val="16"/>
          <w:szCs w:val="16"/>
        </w:rPr>
      </w:pPr>
      <w:r>
        <w:rPr>
          <w:sz w:val="16"/>
          <w:szCs w:val="16"/>
        </w:rPr>
        <w:t xml:space="preserve">Will, M., Krapp, M., Stock, J.T. and Manica, A. (2021). Different environmental variables predict body and brain size evolution in Homo. Nature Communications, [online] 12(1), p.4116. </w:t>
      </w:r>
      <w:proofErr w:type="spellStart"/>
      <w:r>
        <w:rPr>
          <w:sz w:val="16"/>
          <w:szCs w:val="16"/>
        </w:rPr>
        <w:t>doi:https</w:t>
      </w:r>
      <w:proofErr w:type="spellEnd"/>
      <w:r>
        <w:rPr>
          <w:sz w:val="16"/>
          <w:szCs w:val="16"/>
        </w:rPr>
        <w:t>://doi.org/10.1038/s41467-021-24290-7.</w:t>
      </w:r>
    </w:p>
    <w:p w14:paraId="50A143B1" w14:textId="77777777" w:rsidR="005A5FAE" w:rsidRDefault="00000000">
      <w:pPr>
        <w:rPr>
          <w:sz w:val="16"/>
          <w:szCs w:val="16"/>
        </w:rPr>
      </w:pPr>
      <w:r>
        <w:rPr>
          <w:sz w:val="16"/>
          <w:szCs w:val="16"/>
        </w:rPr>
        <w:t>Wong, K. (2007). An interview with Alex, the African grey parrot. [online] Scientific American Blog Network. Available at: https://blogs.scientificamerican.com/news-blog/an-interview-with-alex-the-african/.</w:t>
      </w:r>
    </w:p>
    <w:p w14:paraId="55AEC035" w14:textId="77777777" w:rsidR="005A5FAE" w:rsidRDefault="00000000">
      <w:pPr>
        <w:rPr>
          <w:sz w:val="16"/>
          <w:szCs w:val="16"/>
        </w:rPr>
      </w:pPr>
      <w:r>
        <w:rPr>
          <w:sz w:val="16"/>
          <w:szCs w:val="16"/>
        </w:rPr>
        <w:t>www.palomar.edu. (n.d.). Evolution of Modern Humans:  Archaic Human Culture. [online] Available at: https://www.palomar.edu/anthro/homo2/mod_homo_3.htm.</w:t>
      </w:r>
    </w:p>
    <w:p w14:paraId="2C10821A" w14:textId="77777777" w:rsidR="005A5FAE" w:rsidRDefault="00000000">
      <w:pPr>
        <w:rPr>
          <w:sz w:val="16"/>
          <w:szCs w:val="16"/>
        </w:rPr>
      </w:pPr>
      <w:r>
        <w:rPr>
          <w:sz w:val="16"/>
          <w:szCs w:val="16"/>
        </w:rPr>
        <w:t>Zorich, Z. (2023). What Stone-Wielding Macaques Can Tell Us about Early Human Tool Use. [online] Scientific American. Available at: https://www.scientificamerican.com/article/what-stone-wielding-macaques-can-tell-us-about-early-human-tool-use/#:~:text=And%20the%20assemblages%20that%20macaques [Accessed 18 Dec. 2023].</w:t>
      </w:r>
    </w:p>
    <w:p w14:paraId="105BF8EA" w14:textId="77777777" w:rsidR="005A5FAE" w:rsidRDefault="005A5FAE">
      <w:pPr>
        <w:rPr>
          <w:b/>
          <w:bCs/>
          <w:sz w:val="16"/>
          <w:szCs w:val="16"/>
        </w:rPr>
      </w:pPr>
    </w:p>
    <w:p w14:paraId="3368D7D7" w14:textId="77777777" w:rsidR="005A5FAE" w:rsidRDefault="005A5FAE">
      <w:pPr>
        <w:rPr>
          <w:sz w:val="16"/>
          <w:szCs w:val="16"/>
        </w:rPr>
      </w:pPr>
    </w:p>
    <w:p w14:paraId="582D1ABC" w14:textId="77777777" w:rsidR="005A5FAE" w:rsidRDefault="005A5FAE">
      <w:pPr>
        <w:rPr>
          <w:b/>
          <w:bCs/>
          <w:sz w:val="16"/>
          <w:szCs w:val="16"/>
        </w:rPr>
      </w:pPr>
    </w:p>
    <w:p w14:paraId="55679103" w14:textId="77777777" w:rsidR="005A5FAE" w:rsidRDefault="005A5FAE">
      <w:pPr>
        <w:rPr>
          <w:sz w:val="16"/>
          <w:szCs w:val="16"/>
        </w:rPr>
      </w:pPr>
    </w:p>
    <w:p w14:paraId="0132FD74" w14:textId="77777777" w:rsidR="005A5FAE" w:rsidRDefault="005A5FAE">
      <w:pPr>
        <w:rPr>
          <w:b/>
          <w:bCs/>
          <w:sz w:val="16"/>
          <w:szCs w:val="16"/>
          <w:u w:val="single"/>
        </w:rPr>
      </w:pPr>
    </w:p>
    <w:sectPr w:rsidR="005A5FA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01354" w14:textId="77777777" w:rsidR="00C35D48" w:rsidRDefault="00C35D48">
      <w:pPr>
        <w:spacing w:after="0"/>
      </w:pPr>
      <w:r>
        <w:separator/>
      </w:r>
    </w:p>
  </w:endnote>
  <w:endnote w:type="continuationSeparator" w:id="0">
    <w:p w14:paraId="2EA5D7B2" w14:textId="77777777" w:rsidR="00C35D48" w:rsidRDefault="00C35D4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1D537" w14:textId="77777777" w:rsidR="00C35D48" w:rsidRDefault="00C35D48">
      <w:pPr>
        <w:spacing w:after="0"/>
      </w:pPr>
      <w:r>
        <w:rPr>
          <w:color w:val="000000"/>
        </w:rPr>
        <w:separator/>
      </w:r>
    </w:p>
  </w:footnote>
  <w:footnote w:type="continuationSeparator" w:id="0">
    <w:p w14:paraId="767A63B3" w14:textId="77777777" w:rsidR="00C35D48" w:rsidRDefault="00C35D48">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A5FAE"/>
    <w:rsid w:val="00021EB7"/>
    <w:rsid w:val="005A5FAE"/>
    <w:rsid w:val="00724CA3"/>
    <w:rsid w:val="00AC1861"/>
    <w:rsid w:val="00C35D48"/>
    <w:rsid w:val="00D8758D"/>
    <w:rsid w:val="00D92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D19C93"/>
  <w15:docId w15:val="{1000D430-7663-4D2F-A9EC-02D5F254E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67720-050E-418E-8A21-F2B0D7EB3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4278</Words>
  <Characters>25034</Characters>
  <Application>Microsoft Office Word</Application>
  <DocSecurity>0</DocSecurity>
  <Lines>331</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davidhinsull@gmail.com</dc:creator>
  <dc:description/>
  <cp:lastModifiedBy>davidhinsull@gmail.com</cp:lastModifiedBy>
  <cp:revision>3</cp:revision>
  <dcterms:created xsi:type="dcterms:W3CDTF">2024-01-12T09:40:00Z</dcterms:created>
  <dcterms:modified xsi:type="dcterms:W3CDTF">2024-01-12T10:10:00Z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1e466a9886be69dfe2abc2dd2313a8ff436eee917fd38738fd457ddd4eb6538b</vt:lpwstr>
  </property>
</Properties>
</file>