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06A2FD8" w:rsidP="604A5C6B" w:rsidRDefault="706A2FD8" w14:paraId="0666AE70" w14:textId="77BAA105">
      <w:pPr>
        <w:pBdr>
          <w:top w:val="single" w:color="000000" w:sz="4" w:space="4"/>
          <w:left w:val="single" w:color="000000" w:sz="4" w:space="4"/>
          <w:bottom w:val="single" w:color="000000" w:sz="4" w:space="4"/>
          <w:right w:val="single" w:color="000000" w:sz="4" w:space="4"/>
        </w:pBdr>
        <w:jc w:val="center"/>
        <w:rPr>
          <w:sz w:val="40"/>
          <w:szCs w:val="40"/>
        </w:rPr>
      </w:pPr>
      <w:r w:rsidRPr="604A5C6B" w:rsidR="00013CFA">
        <w:rPr>
          <w:sz w:val="40"/>
          <w:szCs w:val="40"/>
        </w:rPr>
        <w:t>Deepening Practice- Hea</w:t>
      </w:r>
      <w:r w:rsidRPr="604A5C6B" w:rsidR="153D8E70">
        <w:rPr>
          <w:sz w:val="40"/>
          <w:szCs w:val="40"/>
        </w:rPr>
        <w:t>l</w:t>
      </w:r>
      <w:r w:rsidRPr="604A5C6B" w:rsidR="4A545A2A">
        <w:rPr>
          <w:sz w:val="40"/>
          <w:szCs w:val="40"/>
        </w:rPr>
        <w:t>th and Wellbeing</w:t>
      </w:r>
      <w:r w:rsidRPr="604A5C6B" w:rsidR="5003B308">
        <w:rPr>
          <w:sz w:val="40"/>
          <w:szCs w:val="40"/>
        </w:rPr>
        <w:t xml:space="preserve"> </w:t>
      </w:r>
    </w:p>
    <w:p w:rsidR="706A2FD8" w:rsidP="604A5C6B" w:rsidRDefault="706A2FD8" w14:paraId="660A1FAE" w14:textId="73015C0F">
      <w:pPr>
        <w:pBdr>
          <w:top w:val="single" w:color="000000" w:sz="4" w:space="4"/>
          <w:left w:val="single" w:color="000000" w:sz="4" w:space="4"/>
          <w:bottom w:val="single" w:color="000000" w:sz="4" w:space="4"/>
          <w:right w:val="single" w:color="000000" w:sz="4" w:space="4"/>
        </w:pBdr>
        <w:jc w:val="center"/>
        <w:rPr>
          <w:sz w:val="28"/>
          <w:szCs w:val="28"/>
        </w:rPr>
      </w:pPr>
      <w:r w:rsidRPr="604A5C6B" w:rsidR="4A545A2A">
        <w:rPr>
          <w:sz w:val="28"/>
          <w:szCs w:val="28"/>
        </w:rPr>
        <w:t>Word Count-</w:t>
      </w:r>
      <w:r w:rsidRPr="604A5C6B" w:rsidR="6A1D508F">
        <w:rPr>
          <w:sz w:val="28"/>
          <w:szCs w:val="28"/>
        </w:rPr>
        <w:t>1313/</w:t>
      </w:r>
      <w:r w:rsidRPr="604A5C6B" w:rsidR="4A545A2A">
        <w:rPr>
          <w:sz w:val="28"/>
          <w:szCs w:val="28"/>
        </w:rPr>
        <w:t>1375</w:t>
      </w:r>
    </w:p>
    <w:p w:rsidR="153D8E70" w:rsidP="604A5C6B" w:rsidRDefault="153D8E70" w14:paraId="38B6F985" w14:textId="79170391">
      <w:pPr>
        <w:rPr>
          <w:sz w:val="24"/>
          <w:szCs w:val="24"/>
        </w:rPr>
      </w:pPr>
    </w:p>
    <w:p w:rsidR="153D8E70" w:rsidP="604A5C6B" w:rsidRDefault="153D8E70" w14:paraId="30322864" w14:textId="4EF3D8B4">
      <w:pPr>
        <w:pStyle w:val="Normal"/>
        <w:spacing w:line="360" w:lineRule="auto"/>
        <w:rPr>
          <w:sz w:val="24"/>
          <w:szCs w:val="24"/>
        </w:rPr>
      </w:pPr>
      <w:r w:rsidRPr="604A5C6B" w:rsidR="5806E13D">
        <w:rPr>
          <w:sz w:val="24"/>
          <w:szCs w:val="24"/>
        </w:rPr>
        <w:t xml:space="preserve">Health and well-being are the state of a person's overall physical, mental, and social well-being (World Health Organization, 2020). A whole-school approach to health and well-being integrates well-being into every aspect of school life, taking place within the teaching and modelling of behaviour throughout the environment. This structure ensures involvement from all school community members, including students, staff, leaders, governors, and families. This approach requires a sustained, collective effort from all to ensure success (Welsh Government, 2021). Hone and Quinlan (2020) emphasise that well-being must be "taught" through a dedicated curriculum and "caught" through lived culture. Research supports that embedding well-being in a school's ethos enhances emotional resilience and academic outcomes (Durlak et al., 2011). Schools such as Geelong Grammar School and St Peter's College Adelaide </w:t>
      </w:r>
      <w:r w:rsidRPr="604A5C6B" w:rsidR="5806E13D">
        <w:rPr>
          <w:sz w:val="24"/>
          <w:szCs w:val="24"/>
        </w:rPr>
        <w:t>demonstrate</w:t>
      </w:r>
      <w:r w:rsidRPr="604A5C6B" w:rsidR="5806E13D">
        <w:rPr>
          <w:sz w:val="24"/>
          <w:szCs w:val="24"/>
        </w:rPr>
        <w:t xml:space="preserve"> how staff training, student engagement, and ongoing evaluation are critical for success (Hone &amp; Quinlan, 2020)</w:t>
      </w:r>
      <w:r w:rsidRPr="604A5C6B" w:rsidR="5806E13D">
        <w:rPr>
          <w:sz w:val="24"/>
          <w:szCs w:val="24"/>
        </w:rPr>
        <w:t xml:space="preserve">.  </w:t>
      </w:r>
    </w:p>
    <w:p w:rsidR="153D8E70" w:rsidP="604A5C6B" w:rsidRDefault="153D8E70" w14:paraId="3D18B91E" w14:textId="16E1CFBA">
      <w:pPr>
        <w:pStyle w:val="Normal"/>
        <w:spacing w:line="360" w:lineRule="auto"/>
      </w:pPr>
      <w:r w:rsidRPr="604A5C6B" w:rsidR="5806E13D">
        <w:rPr>
          <w:sz w:val="24"/>
          <w:szCs w:val="24"/>
        </w:rPr>
        <w:t xml:space="preserve">The approach also recognises the role of cultural responsiveness, inclusion, and collaboration with external stakeholders. Ysgol Emmanuel is a primary school in Rhyl serving a community with </w:t>
      </w:r>
      <w:r w:rsidRPr="604A5C6B" w:rsidR="5806E13D">
        <w:rPr>
          <w:sz w:val="24"/>
          <w:szCs w:val="24"/>
        </w:rPr>
        <w:t>high levels</w:t>
      </w:r>
      <w:r w:rsidRPr="604A5C6B" w:rsidR="5806E13D">
        <w:rPr>
          <w:sz w:val="24"/>
          <w:szCs w:val="24"/>
        </w:rPr>
        <w:t xml:space="preserve"> of deprivation and complex pupil needs. In response to rising challenges linked to adverse childhood experiences, the school adopted a trauma-informed, whole-school approach focused on well-being, emotional regulation, and inclusivity. Staff received training in neuroscience and mental health, and a range of support strategies were introduced, including play therapy, daily check-ins, and sensory spaces. Behaviour policies were adapted to focus on positivity. As a result, pupil engagement and self-regulation have improved, exclusions have decreased, and the school now offers a calm, supportive environment where children feel safe and ready to learn (Estyn, 2023). </w:t>
      </w:r>
    </w:p>
    <w:p w:rsidR="153D8E70" w:rsidP="604A5C6B" w:rsidRDefault="153D8E70" w14:paraId="1B00F33D" w14:textId="21948C93">
      <w:pPr>
        <w:pStyle w:val="Normal"/>
        <w:spacing w:line="360" w:lineRule="auto"/>
      </w:pPr>
      <w:r w:rsidRPr="604A5C6B" w:rsidR="5806E13D">
        <w:rPr>
          <w:sz w:val="24"/>
          <w:szCs w:val="24"/>
        </w:rPr>
        <w:t xml:space="preserve">Meaningful Physical Education (PE) is a teaching approach that focuses on deliberately creating learning experiences in PE that are personally significant and relevant to students. Meaningful PE aims to help students appreciate their experiences in physical education and recognise how participation can positively </w:t>
      </w:r>
      <w:r w:rsidRPr="604A5C6B" w:rsidR="5806E13D">
        <w:rPr>
          <w:sz w:val="24"/>
          <w:szCs w:val="24"/>
        </w:rPr>
        <w:t>impact</w:t>
      </w:r>
      <w:r w:rsidRPr="604A5C6B" w:rsidR="5806E13D">
        <w:rPr>
          <w:sz w:val="24"/>
          <w:szCs w:val="24"/>
        </w:rPr>
        <w:t xml:space="preserve"> their lives. The approach supports teachers in making intentional choices that place meaningful, student-centred experiences at the heart of PE lessons. Meaningful PE is intentionally flexible, allowing teachers to tailor the approach and its implementation to fit their learners' unique needs, interests, </w:t>
      </w:r>
      <w:r w:rsidRPr="604A5C6B" w:rsidR="5806E13D">
        <w:rPr>
          <w:sz w:val="24"/>
          <w:szCs w:val="24"/>
        </w:rPr>
        <w:t>context</w:t>
      </w:r>
      <w:r w:rsidRPr="604A5C6B" w:rsidR="5806E13D">
        <w:rPr>
          <w:sz w:val="24"/>
          <w:szCs w:val="24"/>
        </w:rPr>
        <w:t xml:space="preserve"> and classroom environment (Beni et al., 2017). </w:t>
      </w:r>
    </w:p>
    <w:p w:rsidR="153D8E70" w:rsidP="604A5C6B" w:rsidRDefault="153D8E70" w14:paraId="59CEDB0E" w14:textId="1BCAA863">
      <w:pPr>
        <w:pStyle w:val="Normal"/>
        <w:spacing w:line="360" w:lineRule="auto"/>
      </w:pPr>
      <w:r w:rsidRPr="604A5C6B" w:rsidR="5806E13D">
        <w:rPr>
          <w:sz w:val="24"/>
          <w:szCs w:val="24"/>
        </w:rPr>
        <w:t xml:space="preserve">Research </w:t>
      </w:r>
      <w:r w:rsidRPr="604A5C6B" w:rsidR="5806E13D">
        <w:rPr>
          <w:sz w:val="24"/>
          <w:szCs w:val="24"/>
        </w:rPr>
        <w:t>indicates</w:t>
      </w:r>
      <w:r w:rsidRPr="604A5C6B" w:rsidR="5806E13D">
        <w:rPr>
          <w:sz w:val="24"/>
          <w:szCs w:val="24"/>
        </w:rPr>
        <w:t xml:space="preserve"> that incorporating the six key features of meaningful experiences into physical education is essential for encouraging student engagement and long-term value in physical activity (Beni et al., 2017). Teachers are encouraged to implement all or most of these principles, with flexibility in how they are applied across different lessons and contexts. The six features include social interaction, which promotes positive relationships and collaboration, and Fun- encouraging enjoyment during lessons. Challenge-providing </w:t>
      </w:r>
      <w:r w:rsidRPr="604A5C6B" w:rsidR="5806E13D">
        <w:rPr>
          <w:sz w:val="24"/>
          <w:szCs w:val="24"/>
        </w:rPr>
        <w:t>appropriate levels</w:t>
      </w:r>
      <w:r w:rsidRPr="604A5C6B" w:rsidR="5806E13D">
        <w:rPr>
          <w:sz w:val="24"/>
          <w:szCs w:val="24"/>
        </w:rPr>
        <w:t xml:space="preserve"> of challenge through choice and adaptation. Motor competence- developing physical skills and confidence in one's abilities. Personally relevant learning- helping students make connections between what they learn in PE and their everyday lives. Delight- creating moments of joy or emotional resonance can make PE experiences memorable and deeply impactful (Kretchmar, 2006). </w:t>
      </w:r>
    </w:p>
    <w:p w:rsidR="153D8E70" w:rsidP="604A5C6B" w:rsidRDefault="153D8E70" w14:paraId="2D81211B" w14:textId="5A649955">
      <w:pPr>
        <w:pStyle w:val="Normal"/>
        <w:spacing w:line="360" w:lineRule="auto"/>
      </w:pPr>
      <w:r w:rsidRPr="604A5C6B" w:rsidR="5806E13D">
        <w:rPr>
          <w:sz w:val="24"/>
          <w:szCs w:val="24"/>
        </w:rPr>
        <w:t xml:space="preserve">Play is a powerful and complex force in early childhood development, deeply rooted in both imagination and cognition. According to Vygotsky, play bridges a child's internal thoughts and emotions with the external world, allowing them to assign new meanings to real situations through imaginative actions (Vygotsky, 1978). This process supports abstract thinking and reflects reality at a deeper level rather than replicating </w:t>
      </w:r>
      <w:r w:rsidRPr="604A5C6B" w:rsidR="5806E13D">
        <w:rPr>
          <w:sz w:val="24"/>
          <w:szCs w:val="24"/>
        </w:rPr>
        <w:t>it literally</w:t>
      </w:r>
      <w:r w:rsidRPr="604A5C6B" w:rsidR="5806E13D">
        <w:rPr>
          <w:sz w:val="24"/>
          <w:szCs w:val="24"/>
        </w:rPr>
        <w:t>. Research highlights strong links between play and various developmental domains, including language (Toub et al., 2016), executive function (</w:t>
      </w:r>
      <w:r w:rsidRPr="604A5C6B" w:rsidR="5806E13D">
        <w:rPr>
          <w:sz w:val="24"/>
          <w:szCs w:val="24"/>
        </w:rPr>
        <w:t>Tominey</w:t>
      </w:r>
      <w:r w:rsidRPr="604A5C6B" w:rsidR="5806E13D">
        <w:rPr>
          <w:sz w:val="24"/>
          <w:szCs w:val="24"/>
        </w:rPr>
        <w:t xml:space="preserve"> &amp; McClelland, 2011), mathematical and spatial reasoning (Fisher et al., 2013), scientific thinking (Schulz &amp; Bonawitz, 2007), and social-emotional growth (Dore, Smith &amp; Lillard, 2015). The science of learning </w:t>
      </w:r>
      <w:r w:rsidRPr="604A5C6B" w:rsidR="5806E13D">
        <w:rPr>
          <w:sz w:val="24"/>
          <w:szCs w:val="24"/>
        </w:rPr>
        <w:t>identifies</w:t>
      </w:r>
      <w:r w:rsidRPr="604A5C6B" w:rsidR="5806E13D">
        <w:rPr>
          <w:sz w:val="24"/>
          <w:szCs w:val="24"/>
        </w:rPr>
        <w:t xml:space="preserve"> four core conditions for effective learning: mental activity, engagement, social interaction, and meaningful connection, all of which are naturally present in play (Hirsh-Pasek et al., 2015). Furthermore, the importance of play is enshrined in Article 31 of the UN Convention on the Rights of the Child, which recognises children's right to rest, leisure, play, and participation in cultural life. This highlights the essential role of play in learning and as a fundamental right of childhood.</w:t>
      </w:r>
    </w:p>
    <w:p w:rsidR="706A2FD8" w:rsidP="604A5C6B" w:rsidRDefault="706A2FD8" w14:paraId="15120317" w14:textId="34A5B89B">
      <w:pPr>
        <w:spacing w:line="360" w:lineRule="auto"/>
        <w:rPr>
          <w:rFonts w:ascii="Aptos" w:hAnsi="Aptos" w:eastAsia="Aptos" w:cs="Aptos"/>
          <w:noProof w:val="0"/>
          <w:sz w:val="24"/>
          <w:szCs w:val="24"/>
          <w:lang w:val="en-GB"/>
        </w:rPr>
      </w:pPr>
      <w:r w:rsidRPr="604A5C6B" w:rsidR="57B82C9D">
        <w:rPr>
          <w:rFonts w:ascii="Aptos" w:hAnsi="Aptos" w:eastAsia="Aptos" w:cs="Aptos"/>
          <w:noProof w:val="0"/>
          <w:sz w:val="24"/>
          <w:szCs w:val="24"/>
          <w:lang w:val="en-GB"/>
        </w:rPr>
        <w:t xml:space="preserve">Social and emotional learning (SEL) is essential for enhancing children’s well-being and long-term development, encompassing self-awareness, emotional regulation, relationship skills, and responsible decision-making </w:t>
      </w:r>
      <w:r w:rsidRPr="604A5C6B" w:rsidR="14DCA2C8">
        <w:rPr>
          <w:rFonts w:ascii="Aptos" w:hAnsi="Aptos" w:eastAsia="Aptos" w:cs="Aptos"/>
          <w:noProof w:val="0"/>
          <w:sz w:val="24"/>
          <w:szCs w:val="24"/>
          <w:lang w:val="en-GB"/>
        </w:rPr>
        <w:t>(</w:t>
      </w:r>
      <w:r w:rsidRPr="604A5C6B" w:rsidR="57B82C9D">
        <w:rPr>
          <w:rFonts w:ascii="Aptos" w:hAnsi="Aptos" w:eastAsia="Aptos" w:cs="Aptos"/>
          <w:noProof w:val="0"/>
          <w:sz w:val="24"/>
          <w:szCs w:val="24"/>
          <w:lang w:val="en-GB"/>
        </w:rPr>
        <w:t xml:space="preserve">CASEL, 2020). Grounded in Maslow’s hierarchy of needs (1943), SEL highlights that children must feel physically and emotionally secure before they can engage meaningfully in learning. The Leuven Scale of Emotional Well-being and Involvement (Laevers, 1997) provides educators with an observational tool to assess children’s emotional states and levels of engagement, helping to </w:t>
      </w:r>
      <w:r w:rsidRPr="604A5C6B" w:rsidR="57B82C9D">
        <w:rPr>
          <w:rFonts w:ascii="Aptos" w:hAnsi="Aptos" w:eastAsia="Aptos" w:cs="Aptos"/>
          <w:noProof w:val="0"/>
          <w:sz w:val="24"/>
          <w:szCs w:val="24"/>
          <w:lang w:val="en-GB"/>
        </w:rPr>
        <w:t>identify</w:t>
      </w:r>
      <w:r w:rsidRPr="604A5C6B" w:rsidR="57B82C9D">
        <w:rPr>
          <w:rFonts w:ascii="Aptos" w:hAnsi="Aptos" w:eastAsia="Aptos" w:cs="Aptos"/>
          <w:noProof w:val="0"/>
          <w:sz w:val="24"/>
          <w:szCs w:val="24"/>
          <w:lang w:val="en-GB"/>
        </w:rPr>
        <w:t xml:space="preserve"> those needing support. Daniel Siegel’s Healthy Mind Platter (Siegel &amp; Bryson, 2011) promotes a balanced mental diet, including “focus time,” “down time,” and “play time,” to support emotional regulation and healthy development. </w:t>
      </w:r>
    </w:p>
    <w:p w:rsidR="706A2FD8" w:rsidP="604A5C6B" w:rsidRDefault="706A2FD8" w14:paraId="3AF8477B" w14:textId="4297662D">
      <w:pPr>
        <w:spacing w:line="360" w:lineRule="auto"/>
        <w:rPr>
          <w:rFonts w:ascii="Aptos" w:hAnsi="Aptos" w:eastAsia="Aptos" w:cs="Aptos"/>
          <w:b w:val="0"/>
          <w:bCs w:val="0"/>
          <w:noProof w:val="0"/>
          <w:sz w:val="24"/>
          <w:szCs w:val="24"/>
          <w:lang w:val="en-GB"/>
        </w:rPr>
      </w:pPr>
      <w:r w:rsidRPr="604A5C6B" w:rsidR="3480D8ED">
        <w:rPr>
          <w:rFonts w:ascii="Aptos" w:hAnsi="Aptos" w:eastAsia="Aptos" w:cs="Aptos"/>
          <w:noProof w:val="0"/>
          <w:sz w:val="24"/>
          <w:szCs w:val="24"/>
          <w:lang w:val="en-GB"/>
        </w:rPr>
        <w:t xml:space="preserve">Incorporating Social and Emotional Learning into the classroom supports pupils’ emotional literacy, self-regulation, and social connection (CASEL, 2020). A daily </w:t>
      </w:r>
      <w:r w:rsidRPr="604A5C6B" w:rsidR="218A151A">
        <w:rPr>
          <w:rFonts w:ascii="Aptos" w:hAnsi="Aptos" w:eastAsia="Aptos" w:cs="Aptos"/>
          <w:noProof w:val="0"/>
          <w:sz w:val="24"/>
          <w:szCs w:val="24"/>
          <w:lang w:val="en-GB"/>
        </w:rPr>
        <w:t>‘</w:t>
      </w:r>
      <w:r w:rsidRPr="604A5C6B" w:rsidR="3480D8ED">
        <w:rPr>
          <w:rFonts w:ascii="Aptos" w:hAnsi="Aptos" w:eastAsia="Aptos" w:cs="Aptos"/>
          <w:b w:val="0"/>
          <w:bCs w:val="0"/>
          <w:noProof w:val="0"/>
          <w:sz w:val="24"/>
          <w:szCs w:val="24"/>
          <w:lang w:val="en-GB"/>
        </w:rPr>
        <w:t>feelings wall</w:t>
      </w:r>
      <w:r w:rsidRPr="604A5C6B" w:rsidR="65B9E160">
        <w:rPr>
          <w:rFonts w:ascii="Aptos" w:hAnsi="Aptos" w:eastAsia="Aptos" w:cs="Aptos"/>
          <w:b w:val="0"/>
          <w:bCs w:val="0"/>
          <w:noProof w:val="0"/>
          <w:sz w:val="24"/>
          <w:szCs w:val="24"/>
          <w:lang w:val="en-GB"/>
        </w:rPr>
        <w:t>’</w:t>
      </w:r>
      <w:r w:rsidRPr="604A5C6B" w:rsidR="3480D8ED">
        <w:rPr>
          <w:rFonts w:ascii="Aptos" w:hAnsi="Aptos" w:eastAsia="Aptos" w:cs="Aptos"/>
          <w:b w:val="0"/>
          <w:bCs w:val="0"/>
          <w:noProof w:val="0"/>
          <w:sz w:val="24"/>
          <w:szCs w:val="24"/>
          <w:lang w:val="en-GB"/>
        </w:rPr>
        <w:t xml:space="preserve"> allows children to </w:t>
      </w:r>
      <w:r w:rsidRPr="604A5C6B" w:rsidR="3480D8ED">
        <w:rPr>
          <w:rFonts w:ascii="Aptos" w:hAnsi="Aptos" w:eastAsia="Aptos" w:cs="Aptos"/>
          <w:b w:val="0"/>
          <w:bCs w:val="0"/>
          <w:noProof w:val="0"/>
          <w:sz w:val="24"/>
          <w:szCs w:val="24"/>
          <w:lang w:val="en-GB"/>
        </w:rPr>
        <w:t>identify</w:t>
      </w:r>
      <w:r w:rsidRPr="604A5C6B" w:rsidR="3480D8ED">
        <w:rPr>
          <w:rFonts w:ascii="Aptos" w:hAnsi="Aptos" w:eastAsia="Aptos" w:cs="Aptos"/>
          <w:b w:val="0"/>
          <w:bCs w:val="0"/>
          <w:noProof w:val="0"/>
          <w:sz w:val="24"/>
          <w:szCs w:val="24"/>
          <w:lang w:val="en-GB"/>
        </w:rPr>
        <w:t xml:space="preserve"> and express their emotions visually, promoting self-awareness and helping teachers provide targeted support (Brackett et al., 2011). </w:t>
      </w:r>
      <w:r w:rsidRPr="604A5C6B" w:rsidR="5CF1B2E9">
        <w:rPr>
          <w:rFonts w:ascii="Aptos" w:hAnsi="Aptos" w:eastAsia="Aptos" w:cs="Aptos"/>
          <w:b w:val="0"/>
          <w:bCs w:val="0"/>
          <w:noProof w:val="0"/>
          <w:sz w:val="24"/>
          <w:szCs w:val="24"/>
          <w:lang w:val="en-GB"/>
        </w:rPr>
        <w:t>‘</w:t>
      </w:r>
      <w:r w:rsidRPr="604A5C6B" w:rsidR="3480D8ED">
        <w:rPr>
          <w:rFonts w:ascii="Aptos" w:hAnsi="Aptos" w:eastAsia="Aptos" w:cs="Aptos"/>
          <w:b w:val="0"/>
          <w:bCs w:val="0"/>
          <w:noProof w:val="0"/>
          <w:sz w:val="24"/>
          <w:szCs w:val="24"/>
          <w:lang w:val="en-GB"/>
        </w:rPr>
        <w:t>Mindfulness minutes</w:t>
      </w:r>
      <w:r w:rsidRPr="604A5C6B" w:rsidR="582FC8BD">
        <w:rPr>
          <w:rFonts w:ascii="Aptos" w:hAnsi="Aptos" w:eastAsia="Aptos" w:cs="Aptos"/>
          <w:b w:val="0"/>
          <w:bCs w:val="0"/>
          <w:noProof w:val="0"/>
          <w:sz w:val="24"/>
          <w:szCs w:val="24"/>
          <w:lang w:val="en-GB"/>
        </w:rPr>
        <w:t>’</w:t>
      </w:r>
      <w:r w:rsidRPr="604A5C6B" w:rsidR="3480D8ED">
        <w:rPr>
          <w:rFonts w:ascii="Aptos" w:hAnsi="Aptos" w:eastAsia="Aptos" w:cs="Aptos"/>
          <w:noProof w:val="0"/>
          <w:sz w:val="24"/>
          <w:szCs w:val="24"/>
          <w:lang w:val="en-GB"/>
        </w:rPr>
        <w:t>,</w:t>
      </w:r>
      <w:r w:rsidRPr="604A5C6B" w:rsidR="3480D8ED">
        <w:rPr>
          <w:rFonts w:ascii="Aptos" w:hAnsi="Aptos" w:eastAsia="Aptos" w:cs="Aptos"/>
          <w:noProof w:val="0"/>
          <w:sz w:val="24"/>
          <w:szCs w:val="24"/>
          <w:lang w:val="en-GB"/>
        </w:rPr>
        <w:t xml:space="preserve"> where pupils engage in short breathing or grounding exercises, help reduce anxiety and improve focus (Siegel &amp; Bryson, 2011). </w:t>
      </w:r>
      <w:r w:rsidRPr="604A5C6B" w:rsidR="3A5A409F">
        <w:rPr>
          <w:rFonts w:ascii="Aptos" w:hAnsi="Aptos" w:eastAsia="Aptos" w:cs="Aptos"/>
          <w:noProof w:val="0"/>
          <w:sz w:val="24"/>
          <w:szCs w:val="24"/>
          <w:lang w:val="en-GB"/>
        </w:rPr>
        <w:t>‘</w:t>
      </w:r>
      <w:r w:rsidRPr="604A5C6B" w:rsidR="3480D8ED">
        <w:rPr>
          <w:rFonts w:ascii="Aptos" w:hAnsi="Aptos" w:eastAsia="Aptos" w:cs="Aptos"/>
          <w:b w:val="0"/>
          <w:bCs w:val="0"/>
          <w:noProof w:val="0"/>
          <w:sz w:val="24"/>
          <w:szCs w:val="24"/>
          <w:lang w:val="en-GB"/>
        </w:rPr>
        <w:t>Circle time</w:t>
      </w:r>
      <w:r w:rsidRPr="604A5C6B" w:rsidR="2562838D">
        <w:rPr>
          <w:rFonts w:ascii="Aptos" w:hAnsi="Aptos" w:eastAsia="Aptos" w:cs="Aptos"/>
          <w:b w:val="0"/>
          <w:bCs w:val="0"/>
          <w:noProof w:val="0"/>
          <w:sz w:val="24"/>
          <w:szCs w:val="24"/>
          <w:lang w:val="en-GB"/>
        </w:rPr>
        <w:t>’</w:t>
      </w:r>
      <w:r w:rsidRPr="604A5C6B" w:rsidR="3480D8ED">
        <w:rPr>
          <w:rFonts w:ascii="Aptos" w:hAnsi="Aptos" w:eastAsia="Aptos" w:cs="Aptos"/>
          <w:b w:val="0"/>
          <w:bCs w:val="0"/>
          <w:noProof w:val="0"/>
          <w:sz w:val="24"/>
          <w:szCs w:val="24"/>
          <w:lang w:val="en-GB"/>
        </w:rPr>
        <w:t>, a dedicated space for group discussion, fosters empathy and builds a sense of community. These activities collectively enhance well-being and create an emotionally supportive learning environment.</w:t>
      </w:r>
    </w:p>
    <w:p w:rsidR="706A2FD8" w:rsidP="604A5C6B" w:rsidRDefault="706A2FD8" w14:paraId="13DE2AFC" w14:textId="4AF29019">
      <w:pPr>
        <w:spacing w:line="360" w:lineRule="auto"/>
      </w:pPr>
      <w:r w:rsidRPr="604A5C6B" w:rsidR="3516641C">
        <w:rPr>
          <w:rFonts w:ascii="Aptos" w:hAnsi="Aptos" w:eastAsia="Aptos" w:cs="Aptos"/>
          <w:noProof w:val="0"/>
          <w:sz w:val="24"/>
          <w:szCs w:val="24"/>
          <w:lang w:val="en-GB"/>
        </w:rPr>
        <w:t xml:space="preserve">Stitching and sewing activities can enhance well-being practices in the classroom by promoting mindfulness and relaxation. These creative, hands-on tasks help students focus and calm their minds, offering benefits for emotional and mental health (Clift &amp; Camic, 2016). For example, Ysgol </w:t>
      </w:r>
      <w:r w:rsidRPr="604A5C6B" w:rsidR="3516641C">
        <w:rPr>
          <w:rFonts w:ascii="Aptos" w:hAnsi="Aptos" w:eastAsia="Aptos" w:cs="Aptos"/>
          <w:noProof w:val="0"/>
          <w:sz w:val="24"/>
          <w:szCs w:val="24"/>
          <w:lang w:val="en-GB"/>
        </w:rPr>
        <w:t>Gynradd</w:t>
      </w:r>
      <w:r w:rsidRPr="604A5C6B" w:rsidR="3516641C">
        <w:rPr>
          <w:rFonts w:ascii="Aptos" w:hAnsi="Aptos" w:eastAsia="Aptos" w:cs="Aptos"/>
          <w:noProof w:val="0"/>
          <w:sz w:val="24"/>
          <w:szCs w:val="24"/>
          <w:lang w:val="en-GB"/>
        </w:rPr>
        <w:t xml:space="preserve"> Sant Curig in Barry integrates sewing into its '</w:t>
      </w:r>
      <w:r w:rsidRPr="604A5C6B" w:rsidR="3516641C">
        <w:rPr>
          <w:rFonts w:ascii="Aptos" w:hAnsi="Aptos" w:eastAsia="Aptos" w:cs="Aptos"/>
          <w:noProof w:val="0"/>
          <w:sz w:val="24"/>
          <w:szCs w:val="24"/>
          <w:lang w:val="en-GB"/>
        </w:rPr>
        <w:t>Clwb</w:t>
      </w:r>
      <w:r w:rsidRPr="604A5C6B" w:rsidR="3516641C">
        <w:rPr>
          <w:rFonts w:ascii="Aptos" w:hAnsi="Aptos" w:eastAsia="Aptos" w:cs="Aptos"/>
          <w:noProof w:val="0"/>
          <w:sz w:val="24"/>
          <w:szCs w:val="24"/>
          <w:lang w:val="en-GB"/>
        </w:rPr>
        <w:t xml:space="preserve"> </w:t>
      </w:r>
      <w:r w:rsidRPr="604A5C6B" w:rsidR="3516641C">
        <w:rPr>
          <w:rFonts w:ascii="Aptos" w:hAnsi="Aptos" w:eastAsia="Aptos" w:cs="Aptos"/>
          <w:noProof w:val="0"/>
          <w:sz w:val="24"/>
          <w:szCs w:val="24"/>
          <w:lang w:val="en-GB"/>
        </w:rPr>
        <w:t>Cwtsh</w:t>
      </w:r>
      <w:r w:rsidRPr="604A5C6B" w:rsidR="3516641C">
        <w:rPr>
          <w:rFonts w:ascii="Aptos" w:hAnsi="Aptos" w:eastAsia="Aptos" w:cs="Aptos"/>
          <w:noProof w:val="0"/>
          <w:sz w:val="24"/>
          <w:szCs w:val="24"/>
          <w:lang w:val="en-GB"/>
        </w:rPr>
        <w:t xml:space="preserve">' sessions, helping children develop life skills like cooking and sewing while nurturing emotional resilience and self-confidence (Estyn, 2020). I experienced the calming effects of sewing through a cross-stitch activity, which allowed me to focus and slow down, highlighting the benefits such tasks could bring to students, particularly those dealing with stress or anxiety. Research supports that creative activities like sewing promote emotional regulation, resilience, and nonverbal expression, contributing positively to children's mental health (Creech et al., </w:t>
      </w:r>
      <w:bookmarkStart w:name="_Int_vT8GCdd2" w:id="1276561979"/>
      <w:r w:rsidRPr="604A5C6B" w:rsidR="3516641C">
        <w:rPr>
          <w:rFonts w:ascii="Aptos" w:hAnsi="Aptos" w:eastAsia="Aptos" w:cs="Aptos"/>
          <w:noProof w:val="0"/>
          <w:sz w:val="24"/>
          <w:szCs w:val="24"/>
          <w:lang w:val="en-GB"/>
        </w:rPr>
        <w:t>2013;</w:t>
      </w:r>
      <w:r w:rsidRPr="604A5C6B" w:rsidR="03192D32">
        <w:rPr>
          <w:rFonts w:ascii="Aptos" w:hAnsi="Aptos" w:eastAsia="Aptos" w:cs="Aptos"/>
          <w:noProof w:val="0"/>
          <w:sz w:val="24"/>
          <w:szCs w:val="24"/>
          <w:lang w:val="en-GB"/>
        </w:rPr>
        <w:t>,</w:t>
      </w:r>
      <w:bookmarkEnd w:id="1276561979"/>
      <w:r w:rsidRPr="604A5C6B" w:rsidR="03192D32">
        <w:rPr>
          <w:rFonts w:ascii="Aptos" w:hAnsi="Aptos" w:eastAsia="Aptos" w:cs="Aptos"/>
          <w:noProof w:val="0"/>
          <w:sz w:val="24"/>
          <w:szCs w:val="24"/>
          <w:lang w:val="en-GB"/>
        </w:rPr>
        <w:t xml:space="preserve"> </w:t>
      </w:r>
      <w:r w:rsidRPr="604A5C6B" w:rsidR="3516641C">
        <w:rPr>
          <w:rFonts w:ascii="Aptos" w:hAnsi="Aptos" w:eastAsia="Aptos" w:cs="Aptos"/>
          <w:noProof w:val="0"/>
          <w:sz w:val="24"/>
          <w:szCs w:val="24"/>
          <w:lang w:val="en-GB"/>
        </w:rPr>
        <w:t>Fancourt &amp; Clements, 2019). While some argue that classroom activities should focus on academic goals (Willingham, 2009), integrating mindful, creative practices provides a balanced approach to education that fosters both cognitive and emotional growth (Durlak et al., 2011).</w:t>
      </w:r>
    </w:p>
    <w:p w:rsidR="153D8E70" w:rsidP="604A5C6B" w:rsidRDefault="153D8E70" w14:paraId="02B120E3" w14:textId="3EA2D70B">
      <w:pPr>
        <w:pStyle w:val="Normal"/>
        <w:spacing w:line="360" w:lineRule="auto"/>
        <w:rPr>
          <w:sz w:val="24"/>
          <w:szCs w:val="24"/>
        </w:rPr>
      </w:pPr>
      <w:r w:rsidRPr="604A5C6B" w:rsidR="78253AA7">
        <w:rPr>
          <w:sz w:val="24"/>
          <w:szCs w:val="24"/>
        </w:rPr>
        <w:t xml:space="preserve">Forest schools are outdoor educational programs encouraging children to engage in hands-on, experiential learning within natural environments, promoting a strong connection to nature (Murray &amp; O’Brien, 2005). These schools focus on exploration, risk-taking, and physical activity, helping to develop resilience, independence, and self-confidence (Knight, 2013). Research </w:t>
      </w:r>
      <w:r w:rsidRPr="604A5C6B" w:rsidR="78253AA7">
        <w:rPr>
          <w:sz w:val="24"/>
          <w:szCs w:val="24"/>
        </w:rPr>
        <w:t>indicates</w:t>
      </w:r>
      <w:r w:rsidRPr="604A5C6B" w:rsidR="78253AA7">
        <w:rPr>
          <w:sz w:val="24"/>
          <w:szCs w:val="24"/>
        </w:rPr>
        <w:t xml:space="preserve"> that outdoor play and learning in natural settings positively </w:t>
      </w:r>
      <w:r w:rsidRPr="604A5C6B" w:rsidR="78253AA7">
        <w:rPr>
          <w:sz w:val="24"/>
          <w:szCs w:val="24"/>
        </w:rPr>
        <w:t>impact</w:t>
      </w:r>
      <w:r w:rsidRPr="604A5C6B" w:rsidR="78253AA7">
        <w:rPr>
          <w:sz w:val="24"/>
          <w:szCs w:val="24"/>
        </w:rPr>
        <w:t xml:space="preserve"> children's physical and mental well-being, including reducing stress and improving focus (Barton &amp; Pretty, 2010). Studies have shown that these activities contribute to better social development by encouraging cooperation, communication, and problem-solving skills (Waite, 2011). For example, one typical forest school activity involves building shelters using natural materials such as sticks and leaves, which helps develop teamwork and resilience (Murray &amp; O’Brien, 2005). Peter Gray, a theorist who supports forest schools, emphasizes that unstructured outdoor play fosters creativity and emotional growth in children (Gray, 2011). However, a criticism of forest schools is that they are challenging to implement in urban environments where access to suitable green spaces is limited, which can lead to inequality in opportunities </w:t>
      </w:r>
      <w:r w:rsidRPr="604A5C6B" w:rsidR="2A6EEF6C">
        <w:rPr>
          <w:sz w:val="24"/>
          <w:szCs w:val="24"/>
        </w:rPr>
        <w:t>(Garden, 2023</w:t>
      </w:r>
      <w:r w:rsidRPr="604A5C6B" w:rsidR="78253AA7">
        <w:rPr>
          <w:sz w:val="24"/>
          <w:szCs w:val="24"/>
        </w:rPr>
        <w:t>).</w:t>
      </w:r>
    </w:p>
    <w:p w:rsidR="1BCBAE4E" w:rsidP="604A5C6B" w:rsidRDefault="1BCBAE4E" w14:paraId="75E32823" w14:textId="2401D937">
      <w:pPr>
        <w:pStyle w:val="Normal"/>
        <w:suppressLineNumbers w:val="0"/>
        <w:bidi w:val="0"/>
        <w:spacing w:before="0" w:beforeAutospacing="off" w:after="160" w:afterAutospacing="off" w:line="360" w:lineRule="auto"/>
        <w:ind w:left="0" w:right="0"/>
        <w:jc w:val="left"/>
      </w:pPr>
      <w:r w:rsidRPr="604A5C6B" w:rsidR="1BCBAE4E">
        <w:rPr>
          <w:rFonts w:ascii="Aptos" w:hAnsi="Aptos" w:eastAsia="Aptos" w:cs="Aptos"/>
          <w:noProof w:val="0"/>
          <w:sz w:val="24"/>
          <w:szCs w:val="24"/>
          <w:lang w:val="en-GB"/>
        </w:rPr>
        <w:t>In conclusion, a whole-school approach to well-being, incorporating strategies like Meaningful PE, social-emotional learning (, and outdoor activities such as forest schools are essential for encouraging children's emotional and cognitive growth. Schools that prioritize well-being, like Ysgol Emmanuel (Estyn, 2023), show positive outcomes in engagement and resilience. Research supports the value of creative, hands-on experiences in promoting mindfulness, emotional regulation, and social skills (Barton &amp; Pretty, 2010; Beni et al., 2017). By embedding well-being into the ethos and curriculum, educators can support students’ overall development, ensuring their mental, emotional, and physical health are nurtured (Durlak et al., 2011).</w:t>
      </w:r>
    </w:p>
    <w:p w:rsidR="604A5C6B" w:rsidRDefault="604A5C6B" w14:paraId="6D20FCBF" w14:textId="609FB55C">
      <w:r>
        <w:br w:type="page"/>
      </w:r>
    </w:p>
    <w:p w:rsidR="66CB650E" w:rsidP="604A5C6B" w:rsidRDefault="66CB650E" w14:paraId="3E4F0CE6" w14:textId="617E045D">
      <w:pPr>
        <w:spacing w:before="240" w:beforeAutospacing="off" w:after="240" w:afterAutospacing="off"/>
      </w:pPr>
      <w:r w:rsidRPr="604A5C6B" w:rsidR="66CB650E">
        <w:rPr>
          <w:rFonts w:ascii="Aptos" w:hAnsi="Aptos" w:eastAsia="Aptos" w:cs="Aptos"/>
          <w:noProof w:val="0"/>
          <w:sz w:val="24"/>
          <w:szCs w:val="24"/>
          <w:lang w:val="en-GB"/>
        </w:rPr>
        <w:t xml:space="preserve">Barton, J. &amp; Pretty, J. (2010) ‘What is the best dose of nature and green exercise for improving mental health? A multi-study analysis’, Environmental Science &amp; Technology, 44(10), pp. 3947-3955. Available at: </w:t>
      </w:r>
      <w:hyperlink r:id="Ra7c5fc8a71d746b2">
        <w:r w:rsidRPr="604A5C6B" w:rsidR="66CB650E">
          <w:rPr>
            <w:rStyle w:val="Hyperlink"/>
            <w:rFonts w:ascii="Aptos" w:hAnsi="Aptos" w:eastAsia="Aptos" w:cs="Aptos"/>
            <w:noProof w:val="0"/>
            <w:sz w:val="24"/>
            <w:szCs w:val="24"/>
            <w:lang w:val="en-GB"/>
          </w:rPr>
          <w:t>https://pubs.acs.org/doi/full/10.1021/es903183r</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0F5E74F" w14:textId="28302E72">
      <w:pPr>
        <w:spacing w:before="240" w:beforeAutospacing="off" w:after="240" w:afterAutospacing="off"/>
      </w:pPr>
      <w:r w:rsidRPr="604A5C6B" w:rsidR="66CB650E">
        <w:rPr>
          <w:rFonts w:ascii="Aptos" w:hAnsi="Aptos" w:eastAsia="Aptos" w:cs="Aptos"/>
          <w:noProof w:val="0"/>
          <w:sz w:val="24"/>
          <w:szCs w:val="24"/>
          <w:lang w:val="en-GB"/>
        </w:rPr>
        <w:t>Beni, S., Ní Chróinín, D. &amp; Fletcher, T. (2021) ‘“It’s how PE should be!”: Classroom teachers’ experiences of implementing Meaningful Physical Education’, European Physical Education Review, 27(3), pp. 666–683. doi: 10.1177/1356336X20984188.</w:t>
      </w:r>
    </w:p>
    <w:p w:rsidR="66CB650E" w:rsidP="604A5C6B" w:rsidRDefault="66CB650E" w14:paraId="3408CBC3" w14:textId="6D0D38BD">
      <w:pPr>
        <w:spacing w:before="240" w:beforeAutospacing="off" w:after="240" w:afterAutospacing="off"/>
      </w:pPr>
      <w:r w:rsidRPr="604A5C6B" w:rsidR="66CB650E">
        <w:rPr>
          <w:rFonts w:ascii="Aptos" w:hAnsi="Aptos" w:eastAsia="Aptos" w:cs="Aptos"/>
          <w:noProof w:val="0"/>
          <w:sz w:val="24"/>
          <w:szCs w:val="24"/>
          <w:lang w:val="en-GB"/>
        </w:rPr>
        <w:t xml:space="preserve">Brackett, M.A., Rivers, S.E. &amp; Salovey, P. (2011) ‘Emotional intelligence: Implications for personal, social, academic, and workplace success’, Social and Personality Psychology Compass, 5(1), pp. 88–103. Available at: </w:t>
      </w:r>
      <w:hyperlink r:id="Redd93c66af874268">
        <w:r w:rsidRPr="604A5C6B" w:rsidR="66CB650E">
          <w:rPr>
            <w:rStyle w:val="Hyperlink"/>
            <w:rFonts w:ascii="Aptos" w:hAnsi="Aptos" w:eastAsia="Aptos" w:cs="Aptos"/>
            <w:noProof w:val="0"/>
            <w:sz w:val="24"/>
            <w:szCs w:val="24"/>
            <w:lang w:val="en-GB"/>
          </w:rPr>
          <w:t>https://doi.org/10.1111/j.1751-9004.2010.00334.x</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4BA79F37" w14:textId="7AC0C53D">
      <w:pPr>
        <w:spacing w:before="240" w:beforeAutospacing="off" w:after="240" w:afterAutospacing="off"/>
      </w:pPr>
      <w:r w:rsidRPr="604A5C6B" w:rsidR="66CB650E">
        <w:rPr>
          <w:rFonts w:ascii="Aptos" w:hAnsi="Aptos" w:eastAsia="Aptos" w:cs="Aptos"/>
          <w:noProof w:val="0"/>
          <w:sz w:val="24"/>
          <w:szCs w:val="24"/>
          <w:lang w:val="en-GB"/>
        </w:rPr>
        <w:t>Clift, S. &amp; Camic, P.M. (2016) ‘The impact of art and culture on health and well-being: A review of the literature’, International Journal of Arts &amp; Health, 13(2), pp. 85-107.</w:t>
      </w:r>
    </w:p>
    <w:p w:rsidR="66CB650E" w:rsidP="604A5C6B" w:rsidRDefault="66CB650E" w14:paraId="3FBA7486" w14:textId="5CCF3ABE">
      <w:pPr>
        <w:spacing w:before="240" w:beforeAutospacing="off" w:after="240" w:afterAutospacing="off"/>
      </w:pPr>
      <w:r w:rsidRPr="604A5C6B" w:rsidR="66CB650E">
        <w:rPr>
          <w:rFonts w:ascii="Aptos" w:hAnsi="Aptos" w:eastAsia="Aptos" w:cs="Aptos"/>
          <w:noProof w:val="0"/>
          <w:sz w:val="24"/>
          <w:szCs w:val="24"/>
          <w:lang w:val="en-GB"/>
        </w:rPr>
        <w:t>Creech, A., Hall, J., Varvarigou, M. &amp; Clift, S. (2013) ‘The benefits of participatory arts for social inclusion: A review of the literature’, International Journal of Arts &amp; Health, 9(2), pp. 121-138.</w:t>
      </w:r>
    </w:p>
    <w:p w:rsidR="66CB650E" w:rsidP="604A5C6B" w:rsidRDefault="66CB650E" w14:paraId="4ADF653D" w14:textId="1345D7D7">
      <w:pPr>
        <w:spacing w:before="240" w:beforeAutospacing="off" w:after="240" w:afterAutospacing="off"/>
      </w:pPr>
      <w:r w:rsidRPr="604A5C6B" w:rsidR="66CB650E">
        <w:rPr>
          <w:rFonts w:ascii="Aptos" w:hAnsi="Aptos" w:eastAsia="Aptos" w:cs="Aptos"/>
          <w:noProof w:val="0"/>
          <w:sz w:val="24"/>
          <w:szCs w:val="24"/>
          <w:lang w:val="en-GB"/>
        </w:rPr>
        <w:t xml:space="preserve">Collaborative for Academic, Social, and Emotional Learning (CASEL) (2020) What is SEL? Available at: </w:t>
      </w:r>
      <w:hyperlink r:id="R8e281c1ee822479d">
        <w:r w:rsidRPr="604A5C6B" w:rsidR="66CB650E">
          <w:rPr>
            <w:rStyle w:val="Hyperlink"/>
            <w:rFonts w:ascii="Aptos" w:hAnsi="Aptos" w:eastAsia="Aptos" w:cs="Aptos"/>
            <w:noProof w:val="0"/>
            <w:sz w:val="24"/>
            <w:szCs w:val="24"/>
            <w:lang w:val="en-GB"/>
          </w:rPr>
          <w:t>https://casel.org/what-is-sel/</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29438DA6" w14:textId="58BDCF03">
      <w:pPr>
        <w:spacing w:before="240" w:beforeAutospacing="off" w:after="240" w:afterAutospacing="off"/>
      </w:pPr>
      <w:r w:rsidRPr="604A5C6B" w:rsidR="66CB650E">
        <w:rPr>
          <w:rFonts w:ascii="Aptos" w:hAnsi="Aptos" w:eastAsia="Aptos" w:cs="Aptos"/>
          <w:noProof w:val="0"/>
          <w:sz w:val="24"/>
          <w:szCs w:val="24"/>
          <w:lang w:val="en-GB"/>
        </w:rPr>
        <w:t xml:space="preserve">Dore, R.A., Smith, E.D. &amp; Lillard, A.S. (2015) ‘How is theory of mind useful? Perhaps to enable social pretend play’, Frontiers in Psychology, 6, p. 1559. Available at: </w:t>
      </w:r>
      <w:hyperlink r:id="Rc20825d0bea34722">
        <w:r w:rsidRPr="604A5C6B" w:rsidR="66CB650E">
          <w:rPr>
            <w:rStyle w:val="Hyperlink"/>
            <w:rFonts w:ascii="Aptos" w:hAnsi="Aptos" w:eastAsia="Aptos" w:cs="Aptos"/>
            <w:noProof w:val="0"/>
            <w:sz w:val="24"/>
            <w:szCs w:val="24"/>
            <w:lang w:val="en-GB"/>
          </w:rPr>
          <w:t>https://doi.org/10.3389/fpsyg.2015.01559</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546F91B8" w14:textId="146AA7AC">
      <w:pPr>
        <w:spacing w:before="240" w:beforeAutospacing="off" w:after="240" w:afterAutospacing="off"/>
      </w:pPr>
      <w:r w:rsidRPr="604A5C6B" w:rsidR="66CB650E">
        <w:rPr>
          <w:rFonts w:ascii="Aptos" w:hAnsi="Aptos" w:eastAsia="Aptos" w:cs="Aptos"/>
          <w:noProof w:val="0"/>
          <w:sz w:val="24"/>
          <w:szCs w:val="24"/>
          <w:lang w:val="en-GB"/>
        </w:rPr>
        <w:t>Durlak, J.A., Weissberg, R.P., Dymnicki, A.B., Taylor, R.D. &amp; Schellinger, K.B. (2011) ‘The impact of enhancing students' social and emotional learning: A meta-analysis of school-based universal interventions’, Child Development, 82(1), pp. 405-432.</w:t>
      </w:r>
    </w:p>
    <w:p w:rsidR="66CB650E" w:rsidP="604A5C6B" w:rsidRDefault="66CB650E" w14:paraId="30E27360" w14:textId="77214630">
      <w:pPr>
        <w:spacing w:before="240" w:beforeAutospacing="off" w:after="240" w:afterAutospacing="off"/>
      </w:pPr>
      <w:r w:rsidRPr="604A5C6B" w:rsidR="66CB650E">
        <w:rPr>
          <w:rFonts w:ascii="Aptos" w:hAnsi="Aptos" w:eastAsia="Aptos" w:cs="Aptos"/>
          <w:noProof w:val="0"/>
          <w:sz w:val="24"/>
          <w:szCs w:val="24"/>
          <w:lang w:val="en-GB"/>
        </w:rPr>
        <w:t xml:space="preserve">Estyn (2020) Ysgol Gynradd Sant Curig Report. Available at: </w:t>
      </w:r>
      <w:hyperlink r:id="R4427966994d14458">
        <w:r w:rsidRPr="604A5C6B" w:rsidR="66CB650E">
          <w:rPr>
            <w:rStyle w:val="Hyperlink"/>
            <w:rFonts w:ascii="Aptos" w:hAnsi="Aptos" w:eastAsia="Aptos" w:cs="Aptos"/>
            <w:noProof w:val="0"/>
            <w:sz w:val="24"/>
            <w:szCs w:val="24"/>
            <w:lang w:val="en-GB"/>
          </w:rPr>
          <w:t>https://www.estyn.gov.wales</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258E87BB" w14:textId="0E2D27A8">
      <w:pPr>
        <w:spacing w:before="240" w:beforeAutospacing="off" w:after="240" w:afterAutospacing="off"/>
      </w:pPr>
      <w:r w:rsidRPr="604A5C6B" w:rsidR="66CB650E">
        <w:rPr>
          <w:rFonts w:ascii="Aptos" w:hAnsi="Aptos" w:eastAsia="Aptos" w:cs="Aptos"/>
          <w:noProof w:val="0"/>
          <w:sz w:val="24"/>
          <w:szCs w:val="24"/>
          <w:lang w:val="en-GB"/>
        </w:rPr>
        <w:t xml:space="preserve">Estyn (2023) ‘A whole-school approach to well-being using a scientific model – Ysgol Emmanuel’, Estyn. Available at: </w:t>
      </w:r>
      <w:hyperlink r:id="R814cc9641a3941c2">
        <w:r w:rsidRPr="604A5C6B" w:rsidR="66CB650E">
          <w:rPr>
            <w:rStyle w:val="Hyperlink"/>
            <w:rFonts w:ascii="Aptos" w:hAnsi="Aptos" w:eastAsia="Aptos" w:cs="Aptos"/>
            <w:noProof w:val="0"/>
            <w:sz w:val="24"/>
            <w:szCs w:val="24"/>
            <w:lang w:val="en-GB"/>
          </w:rPr>
          <w:t>https://estyn.gov.wales/improvement-resources/a-whole-school-approach-to-well-being-using-a-scientific-model/</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2BDD18F" w14:textId="647FB59A">
      <w:pPr>
        <w:spacing w:before="240" w:beforeAutospacing="off" w:after="240" w:afterAutospacing="off"/>
      </w:pPr>
      <w:r w:rsidRPr="604A5C6B" w:rsidR="66CB650E">
        <w:rPr>
          <w:rFonts w:ascii="Aptos" w:hAnsi="Aptos" w:eastAsia="Aptos" w:cs="Aptos"/>
          <w:noProof w:val="0"/>
          <w:sz w:val="24"/>
          <w:szCs w:val="24"/>
          <w:lang w:val="en-GB"/>
        </w:rPr>
        <w:t>Fancourt, D. &amp; Clements, A. (2019) ‘Arts in health: Designing and researching interventions’, Frontiers in Psychology, 10, p. 1559.</w:t>
      </w:r>
    </w:p>
    <w:p w:rsidR="66CB650E" w:rsidP="604A5C6B" w:rsidRDefault="66CB650E" w14:paraId="5D3CA5CD" w14:textId="12B56A1F">
      <w:pPr>
        <w:spacing w:before="240" w:beforeAutospacing="off" w:after="240" w:afterAutospacing="off"/>
      </w:pPr>
      <w:r w:rsidRPr="604A5C6B" w:rsidR="66CB650E">
        <w:rPr>
          <w:rFonts w:ascii="Aptos" w:hAnsi="Aptos" w:eastAsia="Aptos" w:cs="Aptos"/>
          <w:noProof w:val="0"/>
          <w:sz w:val="24"/>
          <w:szCs w:val="24"/>
          <w:lang w:val="en-GB"/>
        </w:rPr>
        <w:t xml:space="preserve">Fisher, K.R., Hirsh-Pasek, K., Newcombe, N. &amp; Golinkoff, R.M. (2013) ‘Taking shape: Supporting preschoolers’ acquisition of geometric knowledge through guided play’, Child Development, 84(6), pp. 1872–1878. Available at: </w:t>
      </w:r>
      <w:hyperlink r:id="R2eba7a58e0244746">
        <w:r w:rsidRPr="604A5C6B" w:rsidR="66CB650E">
          <w:rPr>
            <w:rStyle w:val="Hyperlink"/>
            <w:rFonts w:ascii="Aptos" w:hAnsi="Aptos" w:eastAsia="Aptos" w:cs="Aptos"/>
            <w:noProof w:val="0"/>
            <w:sz w:val="24"/>
            <w:szCs w:val="24"/>
            <w:lang w:val="en-GB"/>
          </w:rPr>
          <w:t>https://templeinfantlab.com/wp-content/uploads/sites/2/2019/06/Fisher_et_al-2013-Child_Development.pdf</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3C769A22" w14:textId="0FF92EE6">
      <w:pPr>
        <w:spacing w:before="240" w:beforeAutospacing="off" w:after="240" w:afterAutospacing="off"/>
      </w:pPr>
      <w:r w:rsidRPr="604A5C6B" w:rsidR="66CB650E">
        <w:rPr>
          <w:rFonts w:ascii="Aptos" w:hAnsi="Aptos" w:eastAsia="Aptos" w:cs="Aptos"/>
          <w:noProof w:val="0"/>
          <w:sz w:val="24"/>
          <w:szCs w:val="24"/>
          <w:lang w:val="en-GB"/>
        </w:rPr>
        <w:t xml:space="preserve">Garden, A. &amp; Downes, G. (2023) ‘New boundaries, undecided roles: Towards an understanding of forest schools as constructed spaces’, Journal Title, pp. 1542-1553. Available at: </w:t>
      </w:r>
      <w:hyperlink r:id="R2077905383444e7e">
        <w:r w:rsidRPr="604A5C6B" w:rsidR="66CB650E">
          <w:rPr>
            <w:rStyle w:val="Hyperlink"/>
            <w:rFonts w:ascii="Aptos" w:hAnsi="Aptos" w:eastAsia="Aptos" w:cs="Aptos"/>
            <w:noProof w:val="0"/>
            <w:sz w:val="24"/>
            <w:szCs w:val="24"/>
            <w:lang w:val="en-GB"/>
          </w:rPr>
          <w:t>https://doi.org/10.1080/03004279.2023.2170187</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5A22AD52" w14:textId="5502E969">
      <w:pPr>
        <w:spacing w:before="240" w:beforeAutospacing="off" w:after="240" w:afterAutospacing="off"/>
      </w:pPr>
      <w:r w:rsidRPr="604A5C6B" w:rsidR="66CB650E">
        <w:rPr>
          <w:rFonts w:ascii="Aptos" w:hAnsi="Aptos" w:eastAsia="Aptos" w:cs="Aptos"/>
          <w:noProof w:val="0"/>
          <w:sz w:val="24"/>
          <w:szCs w:val="24"/>
          <w:lang w:val="en-GB"/>
        </w:rPr>
        <w:t xml:space="preserve">Gray, P. (2011) ‘The power of play: How spontaneous play improves children's learning and emotional well-being’, Psychology Today. Available at: </w:t>
      </w:r>
      <w:hyperlink r:id="Re2bb85aa06924ff9">
        <w:r w:rsidRPr="604A5C6B" w:rsidR="66CB650E">
          <w:rPr>
            <w:rStyle w:val="Hyperlink"/>
            <w:rFonts w:ascii="Aptos" w:hAnsi="Aptos" w:eastAsia="Aptos" w:cs="Aptos"/>
            <w:noProof w:val="0"/>
            <w:sz w:val="24"/>
            <w:szCs w:val="24"/>
            <w:lang w:val="en-GB"/>
          </w:rPr>
          <w:t>https://www.psychologytoday.com/blog/</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6D931F1F" w14:textId="4B208A2B">
      <w:pPr>
        <w:spacing w:before="240" w:beforeAutospacing="off" w:after="240" w:afterAutospacing="off"/>
      </w:pPr>
      <w:r w:rsidRPr="604A5C6B" w:rsidR="66CB650E">
        <w:rPr>
          <w:rFonts w:ascii="Aptos" w:hAnsi="Aptos" w:eastAsia="Aptos" w:cs="Aptos"/>
          <w:noProof w:val="0"/>
          <w:sz w:val="24"/>
          <w:szCs w:val="24"/>
          <w:lang w:val="en-GB"/>
        </w:rPr>
        <w:t xml:space="preserve">Hirsh-Pasek, K., Zosh, J.M., Golinkoff, R.M., Gray, J.H., Robb, M.B. &amp; Kaufman, J. (2015) ‘Putting education in “educational” apps: Lessons from the science of learning’, Psychological Science in the Public Interest, 16(1), pp. 3–34. Available at: </w:t>
      </w:r>
      <w:hyperlink r:id="Ra541f8d12f1e4fc4">
        <w:r w:rsidRPr="604A5C6B" w:rsidR="66CB650E">
          <w:rPr>
            <w:rStyle w:val="Hyperlink"/>
            <w:rFonts w:ascii="Aptos" w:hAnsi="Aptos" w:eastAsia="Aptos" w:cs="Aptos"/>
            <w:noProof w:val="0"/>
            <w:sz w:val="24"/>
            <w:szCs w:val="24"/>
            <w:lang w:val="en-GB"/>
          </w:rPr>
          <w:t>https://kathyhirshpasek.com/wp-content/uploads/sites/9/2015/09/Psychological-Science-in-the-Public-Interest-2015-Hirsh-Pasek-3-34.pdf</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B46A6E4" w14:textId="76896434">
      <w:pPr>
        <w:spacing w:before="240" w:beforeAutospacing="off" w:after="240" w:afterAutospacing="off"/>
      </w:pPr>
      <w:r w:rsidRPr="604A5C6B" w:rsidR="66CB650E">
        <w:rPr>
          <w:rFonts w:ascii="Aptos" w:hAnsi="Aptos" w:eastAsia="Aptos" w:cs="Aptos"/>
          <w:noProof w:val="0"/>
          <w:sz w:val="24"/>
          <w:szCs w:val="24"/>
          <w:lang w:val="en-GB"/>
        </w:rPr>
        <w:t xml:space="preserve">Hone, L.C. &amp; Quinlan, D.M. (2020) The Educators’ Guide to Whole-school Wellbeing: A Practical Guide to Getting Started, Best-practice Process and Effective Implementation. Abingdon: Routledge. Available at: </w:t>
      </w:r>
      <w:hyperlink r:id="R3daa810b084a41b3">
        <w:r w:rsidRPr="604A5C6B" w:rsidR="66CB650E">
          <w:rPr>
            <w:rStyle w:val="Hyperlink"/>
            <w:rFonts w:ascii="Aptos" w:hAnsi="Aptos" w:eastAsia="Aptos" w:cs="Aptos"/>
            <w:noProof w:val="0"/>
            <w:sz w:val="24"/>
            <w:szCs w:val="24"/>
            <w:lang w:val="en-GB"/>
          </w:rPr>
          <w:t>https://doi.org/10.4324/9780429280696</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2FF19E6E" w14:textId="6F3F0DB0">
      <w:pPr>
        <w:spacing w:before="240" w:beforeAutospacing="off" w:after="240" w:afterAutospacing="off"/>
      </w:pPr>
      <w:r w:rsidRPr="604A5C6B" w:rsidR="66CB650E">
        <w:rPr>
          <w:rFonts w:ascii="Aptos" w:hAnsi="Aptos" w:eastAsia="Aptos" w:cs="Aptos"/>
          <w:noProof w:val="0"/>
          <w:sz w:val="24"/>
          <w:szCs w:val="24"/>
          <w:lang w:val="en-GB"/>
        </w:rPr>
        <w:t>Kretchmar, R.S. (2006) ‘Ten more reasons for quality physical education’, Journal of Physical Education, Recreation &amp; Dance, 77(9), pp. 6–9. doi: 10.1080/07303084.2006.10597932.</w:t>
      </w:r>
    </w:p>
    <w:p w:rsidR="66CB650E" w:rsidP="604A5C6B" w:rsidRDefault="66CB650E" w14:paraId="3CB5F7C4" w14:textId="1E5EF10E">
      <w:pPr>
        <w:spacing w:before="240" w:beforeAutospacing="off" w:after="240" w:afterAutospacing="off"/>
      </w:pPr>
      <w:r w:rsidRPr="604A5C6B" w:rsidR="66CB650E">
        <w:rPr>
          <w:rFonts w:ascii="Aptos" w:hAnsi="Aptos" w:eastAsia="Aptos" w:cs="Aptos"/>
          <w:noProof w:val="0"/>
          <w:sz w:val="24"/>
          <w:szCs w:val="24"/>
          <w:lang w:val="en-GB"/>
        </w:rPr>
        <w:t>Knight, S. (2013) Forest Schools and Outdoor Learning in the Early Years. London: Sage Publications.</w:t>
      </w:r>
    </w:p>
    <w:p w:rsidR="66CB650E" w:rsidP="604A5C6B" w:rsidRDefault="66CB650E" w14:paraId="044D20DD" w14:textId="063B7738">
      <w:pPr>
        <w:spacing w:before="240" w:beforeAutospacing="off" w:after="240" w:afterAutospacing="off"/>
      </w:pPr>
      <w:r w:rsidRPr="604A5C6B" w:rsidR="66CB650E">
        <w:rPr>
          <w:rFonts w:ascii="Aptos" w:hAnsi="Aptos" w:eastAsia="Aptos" w:cs="Aptos"/>
          <w:noProof w:val="0"/>
          <w:sz w:val="24"/>
          <w:szCs w:val="24"/>
          <w:lang w:val="en-GB"/>
        </w:rPr>
        <w:t>Laevers, F. (1997) The Leuven Involvement Scale for Young Children. Leuven: Leuven University.</w:t>
      </w:r>
    </w:p>
    <w:p w:rsidR="66CB650E" w:rsidP="604A5C6B" w:rsidRDefault="66CB650E" w14:paraId="13B366EC" w14:textId="76C9FEEA">
      <w:pPr>
        <w:spacing w:before="240" w:beforeAutospacing="off" w:after="240" w:afterAutospacing="off"/>
      </w:pPr>
      <w:r w:rsidRPr="604A5C6B" w:rsidR="66CB650E">
        <w:rPr>
          <w:rFonts w:ascii="Aptos" w:hAnsi="Aptos" w:eastAsia="Aptos" w:cs="Aptos"/>
          <w:noProof w:val="0"/>
          <w:sz w:val="24"/>
          <w:szCs w:val="24"/>
          <w:lang w:val="en-GB"/>
        </w:rPr>
        <w:t xml:space="preserve">Maslow, A.H. (1943) ‘A theory of human motivation’, Psychological Review, 50(4), pp. 370–396. Available at: </w:t>
      </w:r>
      <w:hyperlink r:id="Rb82453bdd8da4ce1">
        <w:r w:rsidRPr="604A5C6B" w:rsidR="66CB650E">
          <w:rPr>
            <w:rStyle w:val="Hyperlink"/>
            <w:rFonts w:ascii="Aptos" w:hAnsi="Aptos" w:eastAsia="Aptos" w:cs="Aptos"/>
            <w:noProof w:val="0"/>
            <w:sz w:val="24"/>
            <w:szCs w:val="24"/>
            <w:lang w:val="en-GB"/>
          </w:rPr>
          <w:t>https://doi.org/10.1037/h0054346</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24009077" w14:textId="7D8215B2">
      <w:pPr>
        <w:spacing w:before="240" w:beforeAutospacing="off" w:after="240" w:afterAutospacing="off"/>
      </w:pPr>
      <w:r w:rsidRPr="604A5C6B" w:rsidR="66CB650E">
        <w:rPr>
          <w:rFonts w:ascii="Aptos" w:hAnsi="Aptos" w:eastAsia="Aptos" w:cs="Aptos"/>
          <w:noProof w:val="0"/>
          <w:sz w:val="24"/>
          <w:szCs w:val="24"/>
          <w:lang w:val="en-GB"/>
        </w:rPr>
        <w:t xml:space="preserve">Murray, R. &amp; O’Brien, L. (2005) ‘Such stuff as dreams are made on: The role of outdoor play in early childhood education’, European Early Childhood Education Research Journal, 13(2), pp. 131-143. Available at: </w:t>
      </w:r>
      <w:hyperlink r:id="R508c7f29386e4063">
        <w:r w:rsidRPr="604A5C6B" w:rsidR="66CB650E">
          <w:rPr>
            <w:rStyle w:val="Hyperlink"/>
            <w:rFonts w:ascii="Aptos" w:hAnsi="Aptos" w:eastAsia="Aptos" w:cs="Aptos"/>
            <w:noProof w:val="0"/>
            <w:sz w:val="24"/>
            <w:szCs w:val="24"/>
            <w:lang w:val="en-GB"/>
          </w:rPr>
          <w:t>https://www.tandfonline.com/doi/abs/10.1080/13502930585209551</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52A40055" w14:textId="04C23FC1">
      <w:pPr>
        <w:spacing w:before="240" w:beforeAutospacing="off" w:after="240" w:afterAutospacing="off"/>
      </w:pPr>
      <w:r w:rsidRPr="604A5C6B" w:rsidR="66CB650E">
        <w:rPr>
          <w:rFonts w:ascii="Aptos" w:hAnsi="Aptos" w:eastAsia="Aptos" w:cs="Aptos"/>
          <w:noProof w:val="0"/>
          <w:sz w:val="24"/>
          <w:szCs w:val="24"/>
          <w:lang w:val="en-GB"/>
        </w:rPr>
        <w:t xml:space="preserve">Schulz, L.E. &amp; Bonawitz, E.B. (2007) ‘Serious fun: Preschoolers engage in more exploratory play when evidence is confounded’, Developmental Psychology, 43(4), pp. 1045–1050. Available at: </w:t>
      </w:r>
      <w:hyperlink r:id="Ra5ad48b4f98a4b43">
        <w:r w:rsidRPr="604A5C6B" w:rsidR="66CB650E">
          <w:rPr>
            <w:rStyle w:val="Hyperlink"/>
            <w:rFonts w:ascii="Aptos" w:hAnsi="Aptos" w:eastAsia="Aptos" w:cs="Aptos"/>
            <w:noProof w:val="0"/>
            <w:sz w:val="24"/>
            <w:szCs w:val="24"/>
            <w:lang w:val="en-GB"/>
          </w:rPr>
          <w:t>https://eccl.scripts.mit.edu/papers/bonawitzandschulzseriousfun.pdf</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382EAD02" w14:textId="0141824B">
      <w:pPr>
        <w:spacing w:before="240" w:beforeAutospacing="off" w:after="240" w:afterAutospacing="off"/>
      </w:pPr>
      <w:r w:rsidRPr="604A5C6B" w:rsidR="66CB650E">
        <w:rPr>
          <w:rFonts w:ascii="Aptos" w:hAnsi="Aptos" w:eastAsia="Aptos" w:cs="Aptos"/>
          <w:noProof w:val="0"/>
          <w:sz w:val="24"/>
          <w:szCs w:val="24"/>
          <w:lang w:val="en-GB"/>
        </w:rPr>
        <w:t xml:space="preserve">Siegel, D.J. &amp; Bryson, T.P. (2011) The Whole-Brain Child: 12 Revolutionary Strategies to Nurture Your Child’s Developing Mind. New York: Bantam Books. Available at: </w:t>
      </w:r>
      <w:hyperlink r:id="R45f9bf1cd1bb4d8e">
        <w:r w:rsidRPr="604A5C6B" w:rsidR="66CB650E">
          <w:rPr>
            <w:rStyle w:val="Hyperlink"/>
            <w:rFonts w:ascii="Aptos" w:hAnsi="Aptos" w:eastAsia="Aptos" w:cs="Aptos"/>
            <w:noProof w:val="0"/>
            <w:sz w:val="24"/>
            <w:szCs w:val="24"/>
            <w:lang w:val="en-GB"/>
          </w:rPr>
          <w:t>https://beta.alruya.edu.kw/fileman/asp_net/The%20Whole-Brain%20Child_%2012%20Revolutionary%20Strategies%20to%20Nurture%20Your%20Child_s%20Developing%20Mind%20.pdf</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AA8020C" w14:textId="31B8239A">
      <w:pPr>
        <w:spacing w:before="240" w:beforeAutospacing="off" w:after="240" w:afterAutospacing="off"/>
      </w:pPr>
      <w:r w:rsidRPr="604A5C6B" w:rsidR="66CB650E">
        <w:rPr>
          <w:rFonts w:ascii="Aptos" w:hAnsi="Aptos" w:eastAsia="Aptos" w:cs="Aptos"/>
          <w:noProof w:val="0"/>
          <w:sz w:val="24"/>
          <w:szCs w:val="24"/>
          <w:lang w:val="en-GB"/>
        </w:rPr>
        <w:t xml:space="preserve">Toub, T.S., Hassinger-Das, B., Nesbitt, K.T., Ilgaz, H., Weisberg, D.S., Hirsh-Pasek, K. &amp; Golinkoff, R.M. (2018) ‘The language of play: Developing preschool vocabulary through play following shared book-reading’, Early Childhood Research Quarterly, 45, pp. 1–17. Available at: </w:t>
      </w:r>
      <w:hyperlink r:id="R0ed4efca903149bd">
        <w:r w:rsidRPr="604A5C6B" w:rsidR="66CB650E">
          <w:rPr>
            <w:rStyle w:val="Hyperlink"/>
            <w:rFonts w:ascii="Aptos" w:hAnsi="Aptos" w:eastAsia="Aptos" w:cs="Aptos"/>
            <w:noProof w:val="0"/>
            <w:sz w:val="24"/>
            <w:szCs w:val="24"/>
            <w:lang w:val="en-GB"/>
          </w:rPr>
          <w:t>https://www.sciencedirect.com/science/article/pii/S0885200618300437</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1F2D6713" w14:textId="7C0D3C8F">
      <w:pPr>
        <w:spacing w:before="240" w:beforeAutospacing="off" w:after="240" w:afterAutospacing="off"/>
      </w:pPr>
      <w:r w:rsidRPr="604A5C6B" w:rsidR="66CB650E">
        <w:rPr>
          <w:rFonts w:ascii="Aptos" w:hAnsi="Aptos" w:eastAsia="Aptos" w:cs="Aptos"/>
          <w:noProof w:val="0"/>
          <w:sz w:val="24"/>
          <w:szCs w:val="24"/>
          <w:lang w:val="en-GB"/>
        </w:rPr>
        <w:t xml:space="preserve">Tominey, S.L. &amp; McClelland, M.M. (2011) ‘Red light, purple light: Findings from a randomized trial using circle time games to improve behavioral self-regulation in preschool’, Early Education and Development, 22(3), pp. 489–519. Available at: </w:t>
      </w:r>
      <w:hyperlink r:id="Re97a48e3b3c746e1">
        <w:r w:rsidRPr="604A5C6B" w:rsidR="66CB650E">
          <w:rPr>
            <w:rStyle w:val="Hyperlink"/>
            <w:rFonts w:ascii="Aptos" w:hAnsi="Aptos" w:eastAsia="Aptos" w:cs="Aptos"/>
            <w:noProof w:val="0"/>
            <w:sz w:val="24"/>
            <w:szCs w:val="24"/>
            <w:lang w:val="en-GB"/>
          </w:rPr>
          <w:t>https://files.eric.ed.gov/fulltext/ED599347.pdf</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2DB4A295" w14:textId="07339D52">
      <w:pPr>
        <w:spacing w:before="240" w:beforeAutospacing="off" w:after="240" w:afterAutospacing="off"/>
      </w:pPr>
      <w:r w:rsidRPr="604A5C6B" w:rsidR="66CB650E">
        <w:rPr>
          <w:rFonts w:ascii="Aptos" w:hAnsi="Aptos" w:eastAsia="Aptos" w:cs="Aptos"/>
          <w:noProof w:val="0"/>
          <w:sz w:val="24"/>
          <w:szCs w:val="24"/>
          <w:lang w:val="en-GB"/>
        </w:rPr>
        <w:t xml:space="preserve">United Nations (1989) Convention on the Rights of the Child. Available at: </w:t>
      </w:r>
      <w:hyperlink r:id="Re3451e38f8c24909">
        <w:r w:rsidRPr="604A5C6B" w:rsidR="66CB650E">
          <w:rPr>
            <w:rStyle w:val="Hyperlink"/>
            <w:rFonts w:ascii="Aptos" w:hAnsi="Aptos" w:eastAsia="Aptos" w:cs="Aptos"/>
            <w:noProof w:val="0"/>
            <w:sz w:val="24"/>
            <w:szCs w:val="24"/>
            <w:lang w:val="en-GB"/>
          </w:rPr>
          <w:t>https://www.unicef.org.uk/what-we-do/un-convention-child-rights/</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F3614F7" w14:textId="0EF208AD">
      <w:pPr>
        <w:spacing w:before="240" w:beforeAutospacing="off" w:after="240" w:afterAutospacing="off"/>
      </w:pPr>
      <w:r w:rsidRPr="604A5C6B" w:rsidR="66CB650E">
        <w:rPr>
          <w:rFonts w:ascii="Aptos" w:hAnsi="Aptos" w:eastAsia="Aptos" w:cs="Aptos"/>
          <w:noProof w:val="0"/>
          <w:sz w:val="24"/>
          <w:szCs w:val="24"/>
          <w:lang w:val="en-GB"/>
        </w:rPr>
        <w:t>Vygotsky, L.S. (1978) Mind in Society: The Development of Higher Psychological Processes. Cambridge, MA: Harvard University Press.</w:t>
      </w:r>
    </w:p>
    <w:p w:rsidR="66CB650E" w:rsidP="604A5C6B" w:rsidRDefault="66CB650E" w14:paraId="08A119E7" w14:textId="38A89E73">
      <w:pPr>
        <w:spacing w:before="240" w:beforeAutospacing="off" w:after="240" w:afterAutospacing="off"/>
      </w:pPr>
      <w:r w:rsidRPr="604A5C6B" w:rsidR="66CB650E">
        <w:rPr>
          <w:rFonts w:ascii="Aptos" w:hAnsi="Aptos" w:eastAsia="Aptos" w:cs="Aptos"/>
          <w:noProof w:val="0"/>
          <w:sz w:val="24"/>
          <w:szCs w:val="24"/>
          <w:lang w:val="en-GB"/>
        </w:rPr>
        <w:t>Waite, S. (2011) ‘Learning and teaching in the outdoor environment: Outdoor schools’, Learning Landscapes, 4(2), pp. 201-219.</w:t>
      </w:r>
    </w:p>
    <w:p w:rsidR="66CB650E" w:rsidP="604A5C6B" w:rsidRDefault="66CB650E" w14:paraId="65F19F9A" w14:textId="2475EFBE">
      <w:pPr>
        <w:spacing w:before="240" w:beforeAutospacing="off" w:after="240" w:afterAutospacing="off"/>
      </w:pPr>
      <w:r w:rsidRPr="604A5C6B" w:rsidR="66CB650E">
        <w:rPr>
          <w:rFonts w:ascii="Aptos" w:hAnsi="Aptos" w:eastAsia="Aptos" w:cs="Aptos"/>
          <w:noProof w:val="0"/>
          <w:sz w:val="24"/>
          <w:szCs w:val="24"/>
          <w:lang w:val="en-GB"/>
        </w:rPr>
        <w:t xml:space="preserve">Welsh Government (2021) Framework on embedding a whole-school approach to emotional and mental well-being. Guidance document no: 269/2021. Available at: </w:t>
      </w:r>
      <w:hyperlink r:id="Rd5d80ad1e5cb4722">
        <w:r w:rsidRPr="604A5C6B" w:rsidR="66CB650E">
          <w:rPr>
            <w:rStyle w:val="Hyperlink"/>
            <w:rFonts w:ascii="Aptos" w:hAnsi="Aptos" w:eastAsia="Aptos" w:cs="Aptos"/>
            <w:noProof w:val="0"/>
            <w:sz w:val="24"/>
            <w:szCs w:val="24"/>
            <w:lang w:val="en-GB"/>
          </w:rPr>
          <w:t>https://www.gov.wales/framework-embedding-whole-school-approach-emotional-and-mental-wellbeing</w:t>
        </w:r>
      </w:hyperlink>
      <w:r w:rsidRPr="604A5C6B" w:rsidR="66CB650E">
        <w:rPr>
          <w:rFonts w:ascii="Aptos" w:hAnsi="Aptos" w:eastAsia="Aptos" w:cs="Aptos"/>
          <w:noProof w:val="0"/>
          <w:sz w:val="24"/>
          <w:szCs w:val="24"/>
          <w:lang w:val="en-GB"/>
        </w:rPr>
        <w:t xml:space="preserve"> (Accessed: 14 May 2025).</w:t>
      </w:r>
    </w:p>
    <w:p w:rsidR="66CB650E" w:rsidP="604A5C6B" w:rsidRDefault="66CB650E" w14:paraId="0A774C67" w14:textId="322F95AF">
      <w:pPr>
        <w:spacing w:before="240" w:beforeAutospacing="off" w:after="240" w:afterAutospacing="off"/>
      </w:pPr>
      <w:r w:rsidRPr="604A5C6B" w:rsidR="66CB650E">
        <w:rPr>
          <w:rFonts w:ascii="Aptos" w:hAnsi="Aptos" w:eastAsia="Aptos" w:cs="Aptos"/>
          <w:noProof w:val="0"/>
          <w:sz w:val="24"/>
          <w:szCs w:val="24"/>
          <w:lang w:val="en-GB"/>
        </w:rPr>
        <w:t>Willingham, D.T. (2009) Why Don’t Students Like School? San Francisco: Jossey-Bass.</w:t>
      </w:r>
    </w:p>
    <w:p w:rsidR="66CB650E" w:rsidP="604A5C6B" w:rsidRDefault="66CB650E" w14:paraId="37658914" w14:textId="729EF53C">
      <w:pPr>
        <w:spacing w:before="240" w:beforeAutospacing="off" w:after="240" w:afterAutospacing="off"/>
      </w:pPr>
      <w:r w:rsidRPr="604A5C6B" w:rsidR="66CB650E">
        <w:rPr>
          <w:rFonts w:ascii="Aptos" w:hAnsi="Aptos" w:eastAsia="Aptos" w:cs="Aptos"/>
          <w:noProof w:val="0"/>
          <w:sz w:val="24"/>
          <w:szCs w:val="24"/>
          <w:lang w:val="en-GB"/>
        </w:rPr>
        <w:t xml:space="preserve">World Health Organization (WHO) (2020) ‘Health and well-being’, World Health Organization. Available at: </w:t>
      </w:r>
      <w:hyperlink r:id="R351d4a3a3fc54d9b">
        <w:r w:rsidRPr="604A5C6B" w:rsidR="66CB650E">
          <w:rPr>
            <w:rStyle w:val="Hyperlink"/>
            <w:rFonts w:ascii="Aptos" w:hAnsi="Aptos" w:eastAsia="Aptos" w:cs="Aptos"/>
            <w:noProof w:val="0"/>
            <w:sz w:val="24"/>
            <w:szCs w:val="24"/>
            <w:lang w:val="en-GB"/>
          </w:rPr>
          <w:t>https://www.who.int/data/gho/data/major-themes/health-and-well-being</w:t>
        </w:r>
      </w:hyperlink>
      <w:r w:rsidRPr="604A5C6B" w:rsidR="66CB650E">
        <w:rPr>
          <w:rFonts w:ascii="Aptos" w:hAnsi="Aptos" w:eastAsia="Aptos" w:cs="Aptos"/>
          <w:noProof w:val="0"/>
          <w:sz w:val="24"/>
          <w:szCs w:val="24"/>
          <w:lang w:val="en-GB"/>
        </w:rPr>
        <w:t xml:space="preserve"> (Accessed: 14 May 2025).</w:t>
      </w:r>
    </w:p>
    <w:p w:rsidR="604A5C6B" w:rsidRDefault="604A5C6B" w14:paraId="02F36FC0" w14:textId="0C62FD5E"/>
    <w:p w:rsidR="604A5C6B" w:rsidP="604A5C6B" w:rsidRDefault="604A5C6B" w14:paraId="4F77B5D0" w14:textId="6C1D67D3">
      <w:pPr>
        <w:rPr>
          <w:rFonts w:ascii="Aptos" w:hAnsi="Aptos" w:eastAsia="Aptos" w:cs="Aptos"/>
          <w:noProof w:val="0"/>
          <w:sz w:val="24"/>
          <w:szCs w:val="24"/>
          <w:lang w:val="en-GB"/>
        </w:rPr>
      </w:pPr>
    </w:p>
    <w:sectPr>
      <w:pgSz w:w="12240" w:h="15840" w:orient="portrait"/>
      <w:pgMar w:top="1440" w:right="1440" w:bottom="1440" w:left="1440" w:header="720" w:footer="720" w:gutter="0"/>
      <w:cols w:space="720"/>
      <w:docGrid w:linePitch="360"/>
      <w:headerReference w:type="default" r:id="R11277d85f7084bbb"/>
      <w:footerReference w:type="default" r:id="R2576823c479240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4A5C6B" w:rsidTr="604A5C6B" w14:paraId="1C713940">
      <w:trPr>
        <w:trHeight w:val="300"/>
      </w:trPr>
      <w:tc>
        <w:tcPr>
          <w:tcW w:w="3120" w:type="dxa"/>
          <w:tcMar/>
        </w:tcPr>
        <w:p w:rsidR="604A5C6B" w:rsidP="604A5C6B" w:rsidRDefault="604A5C6B" w14:paraId="24FC94F3" w14:textId="52197CD5">
          <w:pPr>
            <w:pStyle w:val="Header"/>
            <w:bidi w:val="0"/>
            <w:ind w:left="-115"/>
            <w:jc w:val="left"/>
          </w:pPr>
        </w:p>
      </w:tc>
      <w:tc>
        <w:tcPr>
          <w:tcW w:w="3120" w:type="dxa"/>
          <w:tcMar/>
        </w:tcPr>
        <w:p w:rsidR="604A5C6B" w:rsidP="604A5C6B" w:rsidRDefault="604A5C6B" w14:paraId="73A48050" w14:textId="51041A56">
          <w:pPr>
            <w:pStyle w:val="Header"/>
            <w:bidi w:val="0"/>
            <w:jc w:val="center"/>
          </w:pPr>
        </w:p>
      </w:tc>
      <w:tc>
        <w:tcPr>
          <w:tcW w:w="3120" w:type="dxa"/>
          <w:tcMar/>
        </w:tcPr>
        <w:p w:rsidR="604A5C6B" w:rsidP="604A5C6B" w:rsidRDefault="604A5C6B" w14:paraId="08A50133" w14:textId="6DA8084B">
          <w:pPr>
            <w:pStyle w:val="Header"/>
            <w:bidi w:val="0"/>
            <w:ind w:right="-115"/>
            <w:jc w:val="right"/>
          </w:pPr>
        </w:p>
      </w:tc>
    </w:tr>
  </w:tbl>
  <w:p w:rsidR="604A5C6B" w:rsidP="604A5C6B" w:rsidRDefault="604A5C6B" w14:paraId="2DAC2A54" w14:textId="2DA932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4A5C6B" w:rsidTr="604A5C6B" w14:paraId="56052347">
      <w:trPr>
        <w:trHeight w:val="300"/>
      </w:trPr>
      <w:tc>
        <w:tcPr>
          <w:tcW w:w="3120" w:type="dxa"/>
          <w:tcMar/>
        </w:tcPr>
        <w:p w:rsidR="604A5C6B" w:rsidP="604A5C6B" w:rsidRDefault="604A5C6B" w14:paraId="133428C7" w14:textId="28BBB6E3">
          <w:pPr>
            <w:pStyle w:val="Header"/>
            <w:bidi w:val="0"/>
            <w:ind w:left="-115"/>
            <w:jc w:val="left"/>
          </w:pPr>
          <w:r w:rsidR="604A5C6B">
            <w:rPr/>
            <w:t>ECAD5018</w:t>
          </w:r>
        </w:p>
      </w:tc>
      <w:tc>
        <w:tcPr>
          <w:tcW w:w="3120" w:type="dxa"/>
          <w:tcMar/>
        </w:tcPr>
        <w:p w:rsidR="604A5C6B" w:rsidP="604A5C6B" w:rsidRDefault="604A5C6B" w14:paraId="5A9BD72E" w14:textId="15A38C84">
          <w:pPr>
            <w:pStyle w:val="Header"/>
            <w:bidi w:val="0"/>
            <w:jc w:val="center"/>
          </w:pPr>
        </w:p>
      </w:tc>
      <w:tc>
        <w:tcPr>
          <w:tcW w:w="3120" w:type="dxa"/>
          <w:tcMar/>
        </w:tcPr>
        <w:p w:rsidR="604A5C6B" w:rsidP="604A5C6B" w:rsidRDefault="604A5C6B" w14:paraId="71FCD5A8" w14:textId="1086F4E1">
          <w:pPr>
            <w:pStyle w:val="Header"/>
            <w:bidi w:val="0"/>
            <w:ind w:right="-115"/>
            <w:jc w:val="right"/>
          </w:pPr>
          <w:r w:rsidR="604A5C6B">
            <w:rPr/>
            <w:t>STUDENT NUMBER: 2300873</w:t>
          </w:r>
        </w:p>
      </w:tc>
    </w:tr>
  </w:tbl>
  <w:p w:rsidR="604A5C6B" w:rsidP="604A5C6B" w:rsidRDefault="604A5C6B" w14:paraId="37901D1B" w14:textId="7D86E4EC">
    <w:pPr>
      <w:pStyle w:val="Header"/>
      <w:bidi w:val="0"/>
    </w:pPr>
  </w:p>
</w:hdr>
</file>

<file path=word/intelligence2.xml><?xml version="1.0" encoding="utf-8"?>
<int2:intelligence xmlns:int2="http://schemas.microsoft.com/office/intelligence/2020/intelligence">
  <int2:observations>
    <int2:textHash int2:hashCode="pjkRe9vBliSWsQ" int2:id="jlGVwa2q">
      <int2:state int2:type="AugLoop_Text_Critique" int2:value="Rejected"/>
    </int2:textHash>
    <int2:textHash int2:hashCode="ep7g3BHIgu+p7J" int2:id="ZTYSLZHu">
      <int2:state int2:type="AugLoop_Text_Critique" int2:value="Rejected"/>
    </int2:textHash>
    <int2:textHash int2:hashCode="hKlPvVSEBnUX0M" int2:id="lgjJhFQp">
      <int2:state int2:type="AugLoop_Text_Critique" int2:value="Rejected"/>
    </int2:textHash>
    <int2:textHash int2:hashCode="UFmZOCW3h/BFzI" int2:id="RdJywdN0">
      <int2:state int2:type="AugLoop_Text_Critique" int2:value="Rejected"/>
    </int2:textHash>
    <int2:bookmark int2:bookmarkName="_Int_pZoCQHQW" int2:invalidationBookmarkName="" int2:hashCode="X55YArurxx+Sdf" int2:id="A6uLXn7H">
      <int2:state int2:type="AugLoop_Text_Critique" int2:value="Rejected"/>
    </int2:bookmark>
    <int2:bookmark int2:bookmarkName="_Int_vT8GCdd2" int2:invalidationBookmarkName="" int2:hashCode="j6aeBkOt0kjWZK" int2:id="8jZSsByQ">
      <int2:state int2:type="AugLoop_Text_Critique" int2:value="Rejected"/>
    </int2:bookmark>
    <int2:bookmark int2:bookmarkName="_Int_fxe7XDN1" int2:invalidationBookmarkName="" int2:hashCode="JztETq4DVXrzsC" int2:id="abb8toAE">
      <int2:state int2:type="AugLoop_Text_Critique" int2:value="Rejected"/>
    </int2:bookmark>
    <int2:bookmark int2:bookmarkName="_Int_ziAAdR2L" int2:invalidationBookmarkName="" int2:hashCode="Lp3w/3exm3Q01P" int2:id="2Cuwc1C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3e831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5c1f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c336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cd6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897DA6"/>
    <w:rsid w:val="00013CFA"/>
    <w:rsid w:val="00A4BA7A"/>
    <w:rsid w:val="011B9497"/>
    <w:rsid w:val="011B9497"/>
    <w:rsid w:val="020B1A87"/>
    <w:rsid w:val="02EDE4D8"/>
    <w:rsid w:val="03192D32"/>
    <w:rsid w:val="05AD91E4"/>
    <w:rsid w:val="05AD91E4"/>
    <w:rsid w:val="0718ECB1"/>
    <w:rsid w:val="0952A1B5"/>
    <w:rsid w:val="0959D0F6"/>
    <w:rsid w:val="0959D0F6"/>
    <w:rsid w:val="0B219F16"/>
    <w:rsid w:val="0CA3A8AF"/>
    <w:rsid w:val="0CA3A8AF"/>
    <w:rsid w:val="0CB1860E"/>
    <w:rsid w:val="0D92DB0D"/>
    <w:rsid w:val="0D92DB0D"/>
    <w:rsid w:val="0E966158"/>
    <w:rsid w:val="0EC7E85B"/>
    <w:rsid w:val="0ED8A5C2"/>
    <w:rsid w:val="0FB57B09"/>
    <w:rsid w:val="10E61C79"/>
    <w:rsid w:val="14DCA2C8"/>
    <w:rsid w:val="153D8E70"/>
    <w:rsid w:val="18536A23"/>
    <w:rsid w:val="189DC4E6"/>
    <w:rsid w:val="18F20F11"/>
    <w:rsid w:val="18F20F11"/>
    <w:rsid w:val="1A4518A4"/>
    <w:rsid w:val="1A66E924"/>
    <w:rsid w:val="1A6779D2"/>
    <w:rsid w:val="1A84203B"/>
    <w:rsid w:val="1BC0DD09"/>
    <w:rsid w:val="1BCBAE4E"/>
    <w:rsid w:val="1CE6136F"/>
    <w:rsid w:val="1D054843"/>
    <w:rsid w:val="1D897DA6"/>
    <w:rsid w:val="218A151A"/>
    <w:rsid w:val="24755FB4"/>
    <w:rsid w:val="24755FB4"/>
    <w:rsid w:val="2562838D"/>
    <w:rsid w:val="27EC82C3"/>
    <w:rsid w:val="281ADE6A"/>
    <w:rsid w:val="2A6EEF6C"/>
    <w:rsid w:val="2BFE3B63"/>
    <w:rsid w:val="2CA2C999"/>
    <w:rsid w:val="2CB9DEDA"/>
    <w:rsid w:val="2CB9DEDA"/>
    <w:rsid w:val="2E7526CE"/>
    <w:rsid w:val="2EF110EB"/>
    <w:rsid w:val="2EF110EB"/>
    <w:rsid w:val="305E8838"/>
    <w:rsid w:val="32C140BC"/>
    <w:rsid w:val="33FBE478"/>
    <w:rsid w:val="3480D8ED"/>
    <w:rsid w:val="3516641C"/>
    <w:rsid w:val="36AF3BAC"/>
    <w:rsid w:val="3914E1C6"/>
    <w:rsid w:val="3962ECB2"/>
    <w:rsid w:val="3962ECB2"/>
    <w:rsid w:val="3A5A409F"/>
    <w:rsid w:val="3C2D085C"/>
    <w:rsid w:val="3DA6A66A"/>
    <w:rsid w:val="3E680E33"/>
    <w:rsid w:val="41048510"/>
    <w:rsid w:val="42262534"/>
    <w:rsid w:val="42262534"/>
    <w:rsid w:val="42C49DE3"/>
    <w:rsid w:val="42C49DE3"/>
    <w:rsid w:val="4397E845"/>
    <w:rsid w:val="445681F5"/>
    <w:rsid w:val="44DC1955"/>
    <w:rsid w:val="45DECD43"/>
    <w:rsid w:val="45E76579"/>
    <w:rsid w:val="462AC323"/>
    <w:rsid w:val="49400CFD"/>
    <w:rsid w:val="4A545A2A"/>
    <w:rsid w:val="4B66277B"/>
    <w:rsid w:val="4C4A0F41"/>
    <w:rsid w:val="4C4A0F41"/>
    <w:rsid w:val="4CA7FB27"/>
    <w:rsid w:val="4F89B7C9"/>
    <w:rsid w:val="5003B308"/>
    <w:rsid w:val="51319181"/>
    <w:rsid w:val="52CE77F9"/>
    <w:rsid w:val="541496C5"/>
    <w:rsid w:val="55CEB51E"/>
    <w:rsid w:val="55F4D95A"/>
    <w:rsid w:val="57B82C9D"/>
    <w:rsid w:val="5806E13D"/>
    <w:rsid w:val="582FC8BD"/>
    <w:rsid w:val="597C3C16"/>
    <w:rsid w:val="5A880034"/>
    <w:rsid w:val="5CB94764"/>
    <w:rsid w:val="5CF1B2E9"/>
    <w:rsid w:val="5E387593"/>
    <w:rsid w:val="5EB91D0B"/>
    <w:rsid w:val="603B569C"/>
    <w:rsid w:val="604A5C6B"/>
    <w:rsid w:val="610730FD"/>
    <w:rsid w:val="61A50BA3"/>
    <w:rsid w:val="6267132D"/>
    <w:rsid w:val="6267132D"/>
    <w:rsid w:val="62918FFA"/>
    <w:rsid w:val="63F0D978"/>
    <w:rsid w:val="6401042C"/>
    <w:rsid w:val="65B9E160"/>
    <w:rsid w:val="65BFDA19"/>
    <w:rsid w:val="66B88DF9"/>
    <w:rsid w:val="66B88DF9"/>
    <w:rsid w:val="66CB650E"/>
    <w:rsid w:val="6791694D"/>
    <w:rsid w:val="6A1D508F"/>
    <w:rsid w:val="6B02E5BC"/>
    <w:rsid w:val="6BAD4814"/>
    <w:rsid w:val="6BAD4814"/>
    <w:rsid w:val="6BC89969"/>
    <w:rsid w:val="6D763598"/>
    <w:rsid w:val="6D763598"/>
    <w:rsid w:val="706A2FD8"/>
    <w:rsid w:val="712DB9BC"/>
    <w:rsid w:val="71706036"/>
    <w:rsid w:val="7171C81E"/>
    <w:rsid w:val="72194CB2"/>
    <w:rsid w:val="73C3562A"/>
    <w:rsid w:val="741D4D47"/>
    <w:rsid w:val="75B0F062"/>
    <w:rsid w:val="77D0D809"/>
    <w:rsid w:val="78192877"/>
    <w:rsid w:val="78253AA7"/>
    <w:rsid w:val="7A2418C9"/>
    <w:rsid w:val="7B11EC25"/>
    <w:rsid w:val="7C46D1B7"/>
    <w:rsid w:val="7F500134"/>
    <w:rsid w:val="7F500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97DA6"/>
  <w15:chartTrackingRefBased/>
  <w15:docId w15:val="{3D65C0F5-F634-4B86-AF03-D123549A26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04A5C6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04A5C6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04A5C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04A5C6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04A5C6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04A5C6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04A5C6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04A5C6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04A5C6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04A5C6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04A5C6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04A5C6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04A5C6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04A5C6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04A5C6B"/>
    <w:rPr>
      <w:color w:val="467886"/>
      <w:u w:val="single"/>
    </w:rPr>
  </w:style>
  <w:style w:type="paragraph" w:styleId="ListParagraph">
    <w:uiPriority w:val="34"/>
    <w:name w:val="List Paragraph"/>
    <w:basedOn w:val="Normal"/>
    <w:qFormat/>
    <w:rsid w:val="604A5C6B"/>
    <w:pPr>
      <w:spacing/>
      <w:ind w:left="720"/>
      <w:contextualSpacing/>
    </w:pPr>
  </w:style>
  <w:style w:type="paragraph" w:styleId="Header">
    <w:uiPriority w:val="99"/>
    <w:name w:val="header"/>
    <w:basedOn w:val="Normal"/>
    <w:unhideWhenUsed/>
    <w:rsid w:val="604A5C6B"/>
    <w:pPr>
      <w:tabs>
        <w:tab w:val="center" w:leader="none" w:pos="4680"/>
        <w:tab w:val="right" w:leader="none" w:pos="9360"/>
      </w:tabs>
      <w:spacing w:after="0" w:line="240" w:lineRule="auto"/>
    </w:pPr>
  </w:style>
  <w:style w:type="paragraph" w:styleId="Footer">
    <w:uiPriority w:val="99"/>
    <w:name w:val="footer"/>
    <w:basedOn w:val="Normal"/>
    <w:unhideWhenUsed/>
    <w:rsid w:val="604A5C6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pubs.acs.org/doi/full/10.1021/es903183r" TargetMode="External" Id="Ra7c5fc8a71d746b2" /><Relationship Type="http://schemas.openxmlformats.org/officeDocument/2006/relationships/hyperlink" Target="https://doi.org/10.1111/j.1751-9004.2010.00334.x" TargetMode="External" Id="Redd93c66af874268" /><Relationship Type="http://schemas.openxmlformats.org/officeDocument/2006/relationships/hyperlink" Target="https://casel.org/what-is-sel/" TargetMode="External" Id="R8e281c1ee822479d" /><Relationship Type="http://schemas.openxmlformats.org/officeDocument/2006/relationships/hyperlink" Target="https://doi.org/10.3389/fpsyg.2015.01559" TargetMode="External" Id="Rc20825d0bea34722" /><Relationship Type="http://schemas.openxmlformats.org/officeDocument/2006/relationships/hyperlink" Target="https://www.estyn.gov.wales/" TargetMode="External" Id="R4427966994d14458" /><Relationship Type="http://schemas.openxmlformats.org/officeDocument/2006/relationships/hyperlink" Target="https://estyn.gov.wales/improvement-resources/a-whole-school-approach-to-well-being-using-a-scientific-model/" TargetMode="External" Id="R814cc9641a3941c2" /><Relationship Type="http://schemas.openxmlformats.org/officeDocument/2006/relationships/hyperlink" Target="https://templeinfantlab.com/wp-content/uploads/sites/2/2019/06/Fisher_et_al-2013-Child_Development.pdf" TargetMode="External" Id="R2eba7a58e0244746" /><Relationship Type="http://schemas.openxmlformats.org/officeDocument/2006/relationships/hyperlink" Target="https://doi.org/10.1080/03004279.2023.2170187" TargetMode="External" Id="R2077905383444e7e" /><Relationship Type="http://schemas.openxmlformats.org/officeDocument/2006/relationships/hyperlink" Target="https://www.psychologytoday.com/blog/" TargetMode="External" Id="Re2bb85aa06924ff9" /><Relationship Type="http://schemas.openxmlformats.org/officeDocument/2006/relationships/hyperlink" Target="https://kathyhirshpasek.com/wp-content/uploads/sites/9/2015/09/Psychological-Science-in-the-Public-Interest-2015-Hirsh-Pasek-3-34.pdf" TargetMode="External" Id="Ra541f8d12f1e4fc4" /><Relationship Type="http://schemas.openxmlformats.org/officeDocument/2006/relationships/hyperlink" Target="https://doi.org/10.4324/9780429280696" TargetMode="External" Id="R3daa810b084a41b3" /><Relationship Type="http://schemas.openxmlformats.org/officeDocument/2006/relationships/hyperlink" Target="https://doi.org/10.1037/h0054346" TargetMode="External" Id="Rb82453bdd8da4ce1" /><Relationship Type="http://schemas.openxmlformats.org/officeDocument/2006/relationships/hyperlink" Target="https://www.tandfonline.com/doi/abs/10.1080/13502930585209551" TargetMode="External" Id="R508c7f29386e4063" /><Relationship Type="http://schemas.openxmlformats.org/officeDocument/2006/relationships/hyperlink" Target="https://eccl.scripts.mit.edu/papers/bonawitzandschulzseriousfun.pdf" TargetMode="External" Id="Ra5ad48b4f98a4b43" /><Relationship Type="http://schemas.openxmlformats.org/officeDocument/2006/relationships/hyperlink" Target="https://beta.alruya.edu.kw/fileman/asp_net/The%20Whole-Brain%20Child_%2012%20Revolutionary%20Strategies%20to%20Nurture%20Your%20Child_s%20Developing%20Mind%20.pdf" TargetMode="External" Id="R45f9bf1cd1bb4d8e" /><Relationship Type="http://schemas.openxmlformats.org/officeDocument/2006/relationships/hyperlink" Target="https://www.sciencedirect.com/science/article/pii/S0885200618300437" TargetMode="External" Id="R0ed4efca903149bd" /><Relationship Type="http://schemas.openxmlformats.org/officeDocument/2006/relationships/hyperlink" Target="https://files.eric.ed.gov/fulltext/ED599347.pdf" TargetMode="External" Id="Re97a48e3b3c746e1" /><Relationship Type="http://schemas.openxmlformats.org/officeDocument/2006/relationships/hyperlink" Target="https://www.unicef.org.uk/what-we-do/un-convention-child-rights/" TargetMode="External" Id="Re3451e38f8c24909" /><Relationship Type="http://schemas.openxmlformats.org/officeDocument/2006/relationships/hyperlink" Target="https://www.gov.wales/framework-embedding-whole-school-approach-emotional-and-mental-wellbeing" TargetMode="External" Id="Rd5d80ad1e5cb4722" /><Relationship Type="http://schemas.openxmlformats.org/officeDocument/2006/relationships/hyperlink" Target="https://www.who.int/data/gho/data/major-themes/health-and-well-being" TargetMode="External" Id="R351d4a3a3fc54d9b" /><Relationship Type="http://schemas.openxmlformats.org/officeDocument/2006/relationships/header" Target="header.xml" Id="R11277d85f7084bbb" /><Relationship Type="http://schemas.openxmlformats.org/officeDocument/2006/relationships/footer" Target="footer.xml" Id="R2576823c4792400b" /><Relationship Type="http://schemas.microsoft.com/office/2020/10/relationships/intelligence" Target="intelligence2.xml" Id="R5e0f5e004fb54bcb" /><Relationship Type="http://schemas.openxmlformats.org/officeDocument/2006/relationships/numbering" Target="numbering.xml" Id="R9f2d629567654c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2025-05-08T14:58:54.7525020Z</dcterms:created>
  <dcterms:modified xsi:type="dcterms:W3CDTF">2025-05-14T16:08:02.1086223Z</dcterms:modified>
  <dc:creator>Kelsey Pratt (2300873)</dc:creator>
  <lastModifiedBy>Kelsey Pratt (2300873)</lastModifiedBy>
</coreProperties>
</file>