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58B69" w14:textId="180F2D1B" w:rsidR="000D03F2" w:rsidRDefault="000D03F2" w:rsidP="007F6101">
      <w:pPr>
        <w:pStyle w:val="NormalWeb"/>
        <w:spacing w:before="360" w:after="480" w:line="360" w:lineRule="auto"/>
        <w:rPr>
          <w:lang w:eastAsia="en-GB"/>
        </w:rPr>
      </w:pPr>
      <w:r>
        <w:t xml:space="preserve">Sustainability in a business context involves more than environmental stewardship; this is demonstrated by </w:t>
      </w:r>
      <w:r>
        <w:rPr>
          <w:rStyle w:val="whitespace-normal"/>
        </w:rPr>
        <w:t>Elkington</w:t>
      </w:r>
      <w:r>
        <w:t xml:space="preserve"> (1997) through the triple bottom line framework, which highlights that sustainability also encompasses social responsibility and economic success. This can be achieved through effective managerial practices that allow regular operations to be conducted while being underpinned by core sustainable goals. However, while such frameworks provide a strong foundation, their practical application</w:t>
      </w:r>
      <w:r w:rsidR="00590E24">
        <w:t xml:space="preserve"> </w:t>
      </w:r>
      <w:r>
        <w:t>particularly within small businesses</w:t>
      </w:r>
      <w:r w:rsidR="00590E24">
        <w:t xml:space="preserve"> </w:t>
      </w:r>
      <w:r>
        <w:t>remains constrained by financial, operational, and market pressures.</w:t>
      </w:r>
      <w:r w:rsidR="00F825EC">
        <w:t xml:space="preserve"> </w:t>
      </w:r>
      <w:r w:rsidR="00F825EC" w:rsidRPr="00F825EC">
        <w:rPr>
          <w:lang w:eastAsia="en-GB"/>
        </w:rPr>
        <w:t>This highlights that organisational managers should take a proactive role in enhancing ecosystems, rather than focusing solely on reducing environmental harm. In practice, this involves not only implementing biodiversity-friendly practices but also influencing client behaviour through education and communication. However, this is not always straightforward, as client preferences and budget constraints can limit what is achievable. This reinforces the idea that sustainability leadership requires negotiation and compromise, rather than the application of ideal solutions.</w:t>
      </w:r>
    </w:p>
    <w:p w14:paraId="25024E43" w14:textId="03ED13C7" w:rsidR="00590E24" w:rsidRDefault="000D03F2" w:rsidP="007F6101">
      <w:pPr>
        <w:pStyle w:val="NormalWeb"/>
        <w:spacing w:before="360" w:after="480" w:line="360" w:lineRule="auto"/>
      </w:pPr>
      <w:r>
        <w:t>For context, I am the Managing Director of a landscaping, tree, and gardening service</w:t>
      </w:r>
      <w:r w:rsidR="006C3F2C">
        <w:t xml:space="preserve">s company </w:t>
      </w:r>
      <w:r>
        <w:t>(</w:t>
      </w:r>
      <w:proofErr w:type="spellStart"/>
      <w:r>
        <w:t>Coed</w:t>
      </w:r>
      <w:proofErr w:type="spellEnd"/>
      <w:r>
        <w:t xml:space="preserve"> </w:t>
      </w:r>
      <w:proofErr w:type="spellStart"/>
      <w:r>
        <w:t>Celtaidd</w:t>
      </w:r>
      <w:proofErr w:type="spellEnd"/>
      <w:r>
        <w:t>, 2026). We are structured as a partnership, consisting of two partners, two employees, and several subcontractors. As Managing Director, I oversee all operations and the strategic direction of the company, determining its success and performance. This places me in a position to influence how sustainability is embedded within the business.</w:t>
      </w:r>
      <w:r w:rsidR="00590E24">
        <w:t xml:space="preserve"> </w:t>
      </w:r>
      <w:r>
        <w:t>There are clear sustainability-related challenges arising in the United Kingdom (UK). In the past month, fuel prices have increased by over 27% (RAC Foundation, 2026), demonstrating the vulnerability of businesses reliant on fossil fuels. This highlights instability in current business models due to dependence on finite resources. The cost-of-living crisis in the UK further reinforces these issues, with inflation remaining at approximately 3% (Office for National Statistics, 2026), and 7 million households lacking essential resources (Joseph Rowntree Foundation, 2026). These challenges suggest that the prevailing linear economic model is contributing to social and economic instability, alongside environmental degradation.</w:t>
      </w:r>
      <w:r w:rsidR="00590E24">
        <w:t xml:space="preserve"> </w:t>
      </w:r>
      <w:r>
        <w:rPr>
          <w:rStyle w:val="whitespace-normal"/>
        </w:rPr>
        <w:t>MacArthur</w:t>
      </w:r>
      <w:r>
        <w:t xml:space="preserve"> (2013) responds to these issues by advocating for the development of a circular economy at a business level. In addressing what organisational managers should both do and </w:t>
      </w:r>
      <w:r w:rsidR="006C2344">
        <w:t>avoid;</w:t>
      </w:r>
      <w:r>
        <w:t xml:space="preserve"> this essay draws on both theory and practical experience to critically evaluate sustainability leadership within a small business context.</w:t>
      </w:r>
    </w:p>
    <w:p w14:paraId="4829C418" w14:textId="391C6042" w:rsidR="00590E24" w:rsidRDefault="00590E24" w:rsidP="007F6101">
      <w:pPr>
        <w:pStyle w:val="NormalWeb"/>
        <w:spacing w:before="360" w:after="480" w:line="360" w:lineRule="auto"/>
      </w:pPr>
      <w:r>
        <w:t xml:space="preserve">Embedding sustainability into business strategy is a key action that organisational managers must take to meaningfully contribute to global sustainability challenges. For a business that interacts directly with the natural environment </w:t>
      </w:r>
      <w:r>
        <w:t>daily</w:t>
      </w:r>
      <w:r>
        <w:t>, such as a landscaping and tree service, strategic decisions around sourcing, suppliers, and partnerships can have a significant impact.</w:t>
      </w:r>
      <w:r>
        <w:t xml:space="preserve"> </w:t>
      </w:r>
      <w:r>
        <w:t xml:space="preserve">Within my own business, one of the most practical ways this can be achieved is through sourcing </w:t>
      </w:r>
      <w:r>
        <w:lastRenderedPageBreak/>
        <w:t>materials locally. For example, using local sawmills and merchants reduces transport distances, which in turn lowers both environmental impact and fuel-related costs. This reflects broader sustainability principles around resource efficiency and reducing unnecessary supply chains. However, in practice, this is not always straightforward. Materials such as Canadian Lumber Standard (CLS) timber are often imported from Europe, despite the potential for domestic production (Beardsell, 2019). Similarly, ornamental plants are frequently grown overseas due to lower production costs, rather than within UK nurseries (Van</w:t>
      </w:r>
      <w:r w:rsidR="006C3F2C">
        <w:t xml:space="preserve"> </w:t>
      </w:r>
      <w:r>
        <w:t>der Ploeg, 2020).</w:t>
      </w:r>
    </w:p>
    <w:p w14:paraId="0083BE81" w14:textId="56B50BF5" w:rsidR="00590E24" w:rsidRDefault="00590E24" w:rsidP="007F6101">
      <w:pPr>
        <w:pStyle w:val="NormalWeb"/>
        <w:spacing w:before="360" w:after="480" w:line="360" w:lineRule="auto"/>
      </w:pPr>
      <w:r>
        <w:t>From a sustainability perspective, reducing reliance on these extended supply chains is beneficial. However, the reality is more complex. Locally sourced materials are often more expensive, which increases overall project costs. From experience, this can directly affect whether a client proceeds with a job, as higher quotes reduce conversion rates. This creates a clear tension between environmental responsibility and economic viability. While sustainability frameworks such as the triple bottom line emphasise balancing these priorities (</w:t>
      </w:r>
      <w:r>
        <w:rPr>
          <w:rStyle w:val="whitespace-normal"/>
        </w:rPr>
        <w:t>Elkington</w:t>
      </w:r>
      <w:r>
        <w:t>, 1997), achieving this balance in practice requires compromise.</w:t>
      </w:r>
      <w:r>
        <w:t xml:space="preserve"> </w:t>
      </w:r>
      <w:r>
        <w:t xml:space="preserve">In addition to material sourcing, supplier choice also plays an important role. Tools and equipment are typically purchased from local dealerships, even when cheaper alternatives are available online. This decision is not purely environmental but reflects a broader commitment to supporting the local economy and promoting inclusive growth. This aligns with the </w:t>
      </w:r>
      <w:r>
        <w:rPr>
          <w:rStyle w:val="whitespace-normal"/>
        </w:rPr>
        <w:t>United Nations</w:t>
      </w:r>
      <w:r>
        <w:t xml:space="preserve"> (2015) Sustainable Development Goals, particularly those focused on decent work and economic growth. However, this again involves trade-offs, as supporting local suppliers can increase operational costs.</w:t>
      </w:r>
      <w:r>
        <w:t xml:space="preserve"> </w:t>
      </w:r>
      <w:r>
        <w:t>Working collaboratively with both clients and suppliers is another important strategic action. In practice, I have found that building relationships allows for more open discussions around sustainable material choices and project design. While this does not always result in the most sustainable outcome, it creates opportunities to influence decisions over time. However, as a small business, the overall impact remains limited, and change tends to be incremental rather than transformative.</w:t>
      </w:r>
      <w:r>
        <w:t xml:space="preserve"> </w:t>
      </w:r>
      <w:r>
        <w:t>Overall, embedding sustainability into strategy requires managers to make conscious decisions about sourcing, suppliers, and stakeholder relationships. While these actions can contribute positively to sustainability goals, they are often constrained by cost, scale, and market expectations, highlighting the complexity of sustainability leadership in practice.</w:t>
      </w:r>
    </w:p>
    <w:p w14:paraId="6C39388B" w14:textId="02A72C32" w:rsidR="00590E24" w:rsidRDefault="00590E24" w:rsidP="007F6101">
      <w:pPr>
        <w:pStyle w:val="NormalWeb"/>
        <w:spacing w:before="360" w:after="480" w:line="360" w:lineRule="auto"/>
      </w:pPr>
      <w:r>
        <w:t xml:space="preserve">In addition to strategic decisions, organisational managers must also focus on improving day-to-day operations </w:t>
      </w:r>
      <w:r>
        <w:t>to</w:t>
      </w:r>
      <w:r>
        <w:t xml:space="preserve"> contribute meaningfully to sustainability. Operational practices are often where sustainability becomes most visible, as they directly affect resource use, waste, and environmental impact.</w:t>
      </w:r>
      <w:r>
        <w:t xml:space="preserve"> </w:t>
      </w:r>
      <w:r>
        <w:t xml:space="preserve">Within my business, one of the most significant operational considerations is the use of equipment, particularly the balance between petrol and electric tools. At first </w:t>
      </w:r>
      <w:r>
        <w:lastRenderedPageBreak/>
        <w:t>glance, transitioning fully to electric equipment may appear to be a clear sustainable solution. However, from experience, this is not as straightforward as it seems. Electric tools require a significantly higher initial investment compared to petrol alternatives, and even when introduced gradually, they can place pressure on cash flow. In addition, petrol tools tend to retain resale value, whereas electric tools generally do not, which further affects their long-term economic viability.</w:t>
      </w:r>
      <w:r>
        <w:t xml:space="preserve"> </w:t>
      </w:r>
      <w:r>
        <w:t>There are also practical limitations to consider. Electric tools can be less reliable in wet conditions, which is a significant factor in outdoor work within the UK, and they are often more difficult to maintain in-house. This can lead to increased servicing costs and operational downtime. Furthermore, the environmental impact of lithium extraction and disposal raises concerns about whether electric tools are a fully sustainable alternative (Ramasubramanian, 2024). As a result, the decision to continue using petrol tools reflects a balance between environmental considerations and operational practicality. This highlights how sustainability decisions are often complex and context-dependent, rather than clear-cut.</w:t>
      </w:r>
      <w:r>
        <w:t xml:space="preserve"> </w:t>
      </w:r>
      <w:r>
        <w:t>Despite these challenges, there are areas where sustainable operational practices can be implemented more effectively. Waste management is a strong example within the business. Green waste, including woodchip and organic material, is reused wherever possible. Woodchip is either left on-site to improve soil quality or provided to members of the public for use in pathways and gardens. Organic waste is composted, either on client sites or within dedicated composting areas, with the resulting compost reused or sold at a low cost.</w:t>
      </w:r>
      <w:r>
        <w:t xml:space="preserve"> </w:t>
      </w:r>
      <w:r>
        <w:t>This approach is effective because it operates within the business’s control and does not rely heavily on external factors. It also aligns with circular economy principles, where waste is treated as a resource rather than a by-product (</w:t>
      </w:r>
      <w:r>
        <w:rPr>
          <w:rStyle w:val="whitespace-normal"/>
        </w:rPr>
        <w:t>MacArthur</w:t>
      </w:r>
      <w:r>
        <w:t>, 2013). However, it is important to recognise that this level of control is not always possible. For example, limited space or resources could restrict the ability to compost or reuse materials, demonstrating that operational sustainability is influenced by practical constraints.</w:t>
      </w:r>
      <w:r>
        <w:t xml:space="preserve"> </w:t>
      </w:r>
      <w:r>
        <w:t>Overall, sustainable operations require managers to critically evaluate everyday practices and identify areas where improvements can be made. While some changes, such as waste reduction, can be implemented relatively easily, others involve significant trade-offs between environmental, economic, and practical considerations. This reinforces the idea that sustainability leadership is not about applying simple solutions, but about making informed decisions within real-world constraints.</w:t>
      </w:r>
    </w:p>
    <w:p w14:paraId="5CCB25BF" w14:textId="2B8E8ACF" w:rsidR="000D03F2" w:rsidRDefault="000D03F2" w:rsidP="007F6101">
      <w:pPr>
        <w:pStyle w:val="NormalWeb"/>
        <w:spacing w:before="360" w:after="480" w:line="360" w:lineRule="auto"/>
      </w:pPr>
      <w:r>
        <w:t xml:space="preserve">From a personal perspective, the primary aim of the business is to provide a sustainable income that supports a good quality of life, rather than pursuing excessive profit. However, many organisations prioritise profit maximisation, which can lead to sustainable practices being overlooked when they do not deliver immediate financial returns. It is important to recognise that sustainability can contribute to long-term value creation, even if benefits are not immediately financial. This aligns with the work of the </w:t>
      </w:r>
      <w:r>
        <w:rPr>
          <w:rStyle w:val="whitespace-normal"/>
        </w:rPr>
        <w:t>Ellen MacArthur Foundation</w:t>
      </w:r>
      <w:r>
        <w:t xml:space="preserve"> (2019) and Porter and Kramer (2011), who emphasise the importance of aligning economic success with wider societal value.</w:t>
      </w:r>
      <w:r w:rsidR="00590E24">
        <w:t xml:space="preserve"> </w:t>
      </w:r>
      <w:r>
        <w:t xml:space="preserve">Sustainable leaders should avoid greenwashing, as it creates a false perception of environmental responsibility. While this practice may increase revenue in the short term (Chiang, 2021), it does not address underlying sustainability issues and can undermine </w:t>
      </w:r>
      <w:r>
        <w:lastRenderedPageBreak/>
        <w:t>consumer trust (Delmas and Burbano, 2011). This creates pressure to remain competitive, particularly when other businesses adopt less ethical practices.</w:t>
      </w:r>
      <w:r>
        <w:t xml:space="preserve"> </w:t>
      </w:r>
      <w:r>
        <w:t>Managers should also avoid prioritising short-term profit over long-term sustainability. While such decisions may generate immediate financial gains, they often create instability and risk, as demonstrated through the challenges associated with financed equipment. This reflects wider critiques of short-termism in business (Elkington, 1997).</w:t>
      </w:r>
      <w:r>
        <w:t xml:space="preserve"> </w:t>
      </w:r>
      <w:r>
        <w:t>Additionally, managers should avoid delivering unsustainable services, even where demand exists. Requests for artificial lawns or unnecessary tree removal highlight ethical dilemmas, particularly when refusing work may reduce income. Similarly, ignoring supply chain impacts</w:t>
      </w:r>
      <w:r w:rsidR="00590E24">
        <w:t xml:space="preserve"> </w:t>
      </w:r>
      <w:r>
        <w:t>such as peat use or imported materials</w:t>
      </w:r>
      <w:r w:rsidR="00590E24">
        <w:t xml:space="preserve"> </w:t>
      </w:r>
      <w:r>
        <w:t>can undermine sustainability goals (</w:t>
      </w:r>
      <w:r>
        <w:rPr>
          <w:rStyle w:val="whitespace-normal"/>
        </w:rPr>
        <w:t>United Nations</w:t>
      </w:r>
      <w:r>
        <w:t>, 2015).</w:t>
      </w:r>
      <w:r>
        <w:t xml:space="preserve"> </w:t>
      </w:r>
      <w:r>
        <w:t>These examples demonstrate that while avoiding unsustainable practices is essential, managers must operate within real-world constraints, reinforcing the complexity of sustainability leadership.</w:t>
      </w:r>
      <w:r w:rsidR="00F620C8">
        <w:t xml:space="preserve"> </w:t>
      </w:r>
      <w:r w:rsidR="00F620C8">
        <w:t>From a circular economy perspective, this also raises questions about product longevity and resource use. Stahel (2016) emphasises the importance of extending product life cycles and reducing unnecessary throughput of materials. In the context of landscaping, this could involve prioritising durable, locally sourced materials that require less replacement over time. However, in practice, clients often prioritise cost over longevity, which can limit the ability to fully implement these principles. This again highlights the tension between theoretical sustainability models and real-world business decision-making.</w:t>
      </w:r>
    </w:p>
    <w:p w14:paraId="5B1B0F5A" w14:textId="0A4DFCA6" w:rsidR="000D03F2" w:rsidRDefault="000D03F2" w:rsidP="007F6101">
      <w:pPr>
        <w:pStyle w:val="NormalWeb"/>
        <w:spacing w:before="360" w:after="480" w:line="360" w:lineRule="auto"/>
      </w:pPr>
      <w:r>
        <w:t>As Managing Director, I can influence both strategic direction and daily operations, enabling sustainability principles to be embedded within the business. However, this influence is limited by financial constraints, client expectations, and market competition. This reflects the stakeholder perspective proposed by Freeman (1984), where managers must balance the interests of multiple stakeholders rather than pursue a single objective. This complexity is further reinforced by Carroll (1991), who highlights that businesses must address economic, legal, ethical, and philanthropic responsibilities simultaneously.</w:t>
      </w:r>
      <w:r>
        <w:t xml:space="preserve"> </w:t>
      </w:r>
      <w:r>
        <w:t>A key tension identified throughout this analysis is the balance between environmental sustainability and economic viability. While practices such as sourcing local materials or transitioning to electric tools may offer environmental benefits, they often come at a higher cost, reducing competitiveness. Similarly, client preferences for low-maintenance landscapes frequently conflict with ecological goals, creating ethical challenges. This supports Elkington’s (1997) argument that balancing environmental, social, and economic priorities is inherently difficult. It also reflects the concept of shared value proposed by Porter and Kramer (2011), where economic and societal goals must be aligned, although this is not always achievable in practice.</w:t>
      </w:r>
      <w:r>
        <w:t xml:space="preserve"> </w:t>
      </w:r>
      <w:r>
        <w:t>This reflection demonstrates that sustainability leadership is not about implementing ideal solutions, but about making informed compromises within real-world constraints. Meaningful contributions are often incremental rather than transformative, particularly within small businesses with limited resources. This aligns with circular economy thinking (MacArthur, 2013) and the need for practical sustainability approaches (Winston, 2014).</w:t>
      </w:r>
      <w:r>
        <w:t xml:space="preserve"> </w:t>
      </w:r>
      <w:r>
        <w:t xml:space="preserve">Looking forward, opportunities exist to strengthen sustainability practices through increased use </w:t>
      </w:r>
      <w:r>
        <w:lastRenderedPageBreak/>
        <w:t xml:space="preserve">of local suppliers, improved client communication, and gradual adoption of new technologies. This reflects the need for continuous adaptation, as emphasised by the </w:t>
      </w:r>
      <w:r>
        <w:rPr>
          <w:rStyle w:val="whitespace-normal"/>
        </w:rPr>
        <w:t>United Nations</w:t>
      </w:r>
      <w:r>
        <w:t xml:space="preserve"> (2015). Sustainability should therefore be viewed as an ongoing process rather than a fixed outcome.</w:t>
      </w:r>
    </w:p>
    <w:p w14:paraId="1981B64C" w14:textId="24A7CE3E" w:rsidR="00590E24" w:rsidRDefault="00E170F5" w:rsidP="007F6101">
      <w:pPr>
        <w:pStyle w:val="NormalWeb"/>
        <w:spacing w:before="360" w:after="480" w:line="360" w:lineRule="auto"/>
      </w:pPr>
      <w:r>
        <w:t xml:space="preserve">To conclude, this essay has discussed the organisational role that managers play in addressing global sustainability challenges in the actions they take and avoid. I have drawn on theory and practical experience to show how leadership requires integrating environmental, social and economic considerations in everyday decision-making, in line with global priorities (United Nations, 2015). </w:t>
      </w:r>
      <w:r w:rsidR="000D03F2">
        <w:t>Key actions include embedding sustainability into strategy, improving operations, and enhancing ecosystems. In contrast, managers must avoid greenwashing, short-term decision-making, and unsustainable service delivery. These behaviours undermine long-term sustainability and increase organisational risk.</w:t>
      </w:r>
      <w:r w:rsidR="000D03F2">
        <w:t xml:space="preserve"> </w:t>
      </w:r>
      <w:r w:rsidR="000D03F2">
        <w:t>However, sustainability leadership remains complex, particularly within small businesses where constraints limit the extent of change. As such, sustainability is not a fixed goal but an ongoing process of balancing competing priorities (Winston, 2014).</w:t>
      </w:r>
      <w:r w:rsidR="00590E24">
        <w:t xml:space="preserve"> </w:t>
      </w:r>
      <w:r w:rsidR="000D03F2">
        <w:t>Ultimately, meaningful contributions to sustainability depend not on perfection, but on managers making informed, responsible decisions that prioritise long-term value over short-term gain.</w:t>
      </w:r>
    </w:p>
    <w:p w14:paraId="1A2881E6" w14:textId="3A6831A8" w:rsidR="00590E24" w:rsidRDefault="00590E24" w:rsidP="000D03F2">
      <w:pPr>
        <w:pStyle w:val="NormalWeb"/>
      </w:pPr>
      <w:r>
        <w:t>Word Count:</w:t>
      </w:r>
      <w:r w:rsidR="00283221">
        <w:t xml:space="preserve"> </w:t>
      </w:r>
      <w:r w:rsidR="00F825EC">
        <w:t>202</w:t>
      </w:r>
      <w:r w:rsidR="00E170F5">
        <w:t>4</w:t>
      </w:r>
    </w:p>
    <w:p w14:paraId="70266E7D" w14:textId="77777777" w:rsidR="00283221" w:rsidRDefault="00283221" w:rsidP="000D03F2">
      <w:pPr>
        <w:pStyle w:val="NormalWeb"/>
      </w:pPr>
    </w:p>
    <w:p w14:paraId="2831E3D7" w14:textId="0F8FF02A" w:rsidR="00283221" w:rsidRDefault="00283221" w:rsidP="000D03F2">
      <w:pPr>
        <w:pStyle w:val="NormalWeb"/>
      </w:pPr>
      <w:r>
        <w:t>Reference list</w:t>
      </w:r>
      <w:r w:rsidR="007F6101">
        <w:t>:</w:t>
      </w:r>
    </w:p>
    <w:p w14:paraId="19E43EAE" w14:textId="47C79D06" w:rsidR="00F620C8" w:rsidRPr="007F6101" w:rsidRDefault="00F620C8" w:rsidP="00F620C8">
      <w:pPr>
        <w:pStyle w:val="NormalWeb"/>
        <w:ind w:left="720" w:hanging="720"/>
        <w:rPr>
          <w:color w:val="000000" w:themeColor="text1"/>
        </w:rPr>
      </w:pPr>
      <w:proofErr w:type="spellStart"/>
      <w:r w:rsidRPr="007F6101">
        <w:rPr>
          <w:color w:val="000000" w:themeColor="text1"/>
        </w:rPr>
        <w:t>Badrulhisham</w:t>
      </w:r>
      <w:proofErr w:type="spellEnd"/>
      <w:r w:rsidRPr="007F6101">
        <w:rPr>
          <w:color w:val="000000" w:themeColor="text1"/>
        </w:rPr>
        <w:t>, N. and Othman, N. (2016). Knowledge in Tree Pruning for Sustainable Practices in Urban</w:t>
      </w:r>
    </w:p>
    <w:p w14:paraId="64455C32" w14:textId="77777777" w:rsidR="00F620C8" w:rsidRPr="007F6101" w:rsidRDefault="00F620C8" w:rsidP="00F620C8">
      <w:pPr>
        <w:pStyle w:val="NormalWeb"/>
        <w:ind w:left="720" w:hanging="720"/>
        <w:rPr>
          <w:color w:val="000000" w:themeColor="text1"/>
        </w:rPr>
      </w:pPr>
      <w:r w:rsidRPr="007F6101">
        <w:rPr>
          <w:color w:val="000000" w:themeColor="text1"/>
        </w:rPr>
        <w:t xml:space="preserve">Setting: Improving Our Quality of Life. Procedia - Social and </w:t>
      </w:r>
      <w:proofErr w:type="spellStart"/>
      <w:r w:rsidRPr="007F6101">
        <w:rPr>
          <w:color w:val="000000" w:themeColor="text1"/>
        </w:rPr>
        <w:t>Behavioral</w:t>
      </w:r>
      <w:proofErr w:type="spellEnd"/>
      <w:r w:rsidRPr="007F6101">
        <w:rPr>
          <w:color w:val="000000" w:themeColor="text1"/>
        </w:rPr>
        <w:t xml:space="preserve"> Sciences, 234, pp.210–217.</w:t>
      </w:r>
    </w:p>
    <w:p w14:paraId="0F361503" w14:textId="60CF8EB3" w:rsidR="00F620C8" w:rsidRPr="007F6101" w:rsidRDefault="00F620C8" w:rsidP="00F620C8">
      <w:pPr>
        <w:pStyle w:val="NormalWeb"/>
        <w:ind w:left="720" w:hanging="720"/>
        <w:rPr>
          <w:color w:val="000000" w:themeColor="text1"/>
        </w:rPr>
      </w:pPr>
      <w:proofErr w:type="spellStart"/>
      <w:proofErr w:type="gramStart"/>
      <w:r w:rsidRPr="007F6101">
        <w:rPr>
          <w:color w:val="000000" w:themeColor="text1"/>
        </w:rPr>
        <w:t>doi:https</w:t>
      </w:r>
      <w:proofErr w:type="spellEnd"/>
      <w:r w:rsidRPr="007F6101">
        <w:rPr>
          <w:color w:val="000000" w:themeColor="text1"/>
        </w:rPr>
        <w:t>://doi.org/10.1016/j.sbspro.2016.10.236</w:t>
      </w:r>
      <w:proofErr w:type="gramEnd"/>
      <w:r w:rsidRPr="007F6101">
        <w:rPr>
          <w:color w:val="000000" w:themeColor="text1"/>
        </w:rPr>
        <w:t>.</w:t>
      </w:r>
    </w:p>
    <w:p w14:paraId="6CE16E85" w14:textId="77777777" w:rsidR="00F620C8" w:rsidRPr="007F6101" w:rsidRDefault="00F620C8" w:rsidP="00F620C8">
      <w:pPr>
        <w:pStyle w:val="NormalWeb"/>
        <w:ind w:left="720" w:hanging="720"/>
        <w:rPr>
          <w:color w:val="000000" w:themeColor="text1"/>
        </w:rPr>
      </w:pPr>
      <w:proofErr w:type="gramStart"/>
      <w:r w:rsidRPr="007F6101">
        <w:rPr>
          <w:color w:val="000000" w:themeColor="text1"/>
        </w:rPr>
        <w:t>Beardsell ,</w:t>
      </w:r>
      <w:proofErr w:type="gramEnd"/>
      <w:r w:rsidRPr="007F6101">
        <w:rPr>
          <w:color w:val="000000" w:themeColor="text1"/>
        </w:rPr>
        <w:t xml:space="preserve"> M. (2026). Welcome To Zscaler Directory Authentication. [online] Armstrongsupplies.co.uk.</w:t>
      </w:r>
    </w:p>
    <w:p w14:paraId="0CFD4F8C" w14:textId="55394427" w:rsidR="00F620C8" w:rsidRPr="007F6101" w:rsidRDefault="00F620C8" w:rsidP="00F620C8">
      <w:pPr>
        <w:pStyle w:val="NormalWeb"/>
        <w:ind w:left="720" w:hanging="720"/>
        <w:rPr>
          <w:color w:val="000000" w:themeColor="text1"/>
        </w:rPr>
      </w:pPr>
      <w:r w:rsidRPr="007F6101">
        <w:rPr>
          <w:color w:val="000000" w:themeColor="text1"/>
        </w:rPr>
        <w:t>Available at: https://armstrongsupplies.co.uk/blogs/faqs/what-is-cls-timber [Accessed 3 Apr. 2026].</w:t>
      </w:r>
    </w:p>
    <w:p w14:paraId="2B031467" w14:textId="0C1B526F" w:rsidR="00590E24" w:rsidRPr="007F6101" w:rsidRDefault="00590E24" w:rsidP="00F620C8">
      <w:pPr>
        <w:pStyle w:val="NormalWeb"/>
        <w:ind w:left="720" w:hanging="720"/>
        <w:rPr>
          <w:color w:val="000000" w:themeColor="text1"/>
        </w:rPr>
      </w:pPr>
      <w:r w:rsidRPr="007F6101">
        <w:rPr>
          <w:color w:val="000000" w:themeColor="text1"/>
        </w:rPr>
        <w:t xml:space="preserve">Carroll, A.B. (1991) ‘The pyramid of corporate social responsibility’, Business Horizons, 34(4), pp. 39–48. </w:t>
      </w:r>
    </w:p>
    <w:p w14:paraId="4DC6AE25" w14:textId="77777777" w:rsidR="006C2344" w:rsidRPr="007F6101" w:rsidRDefault="006C2344" w:rsidP="00F620C8">
      <w:pPr>
        <w:pStyle w:val="Heading4"/>
        <w:spacing w:before="0" w:after="0"/>
        <w:ind w:hanging="720"/>
        <w:jc w:val="left"/>
        <w:rPr>
          <w:i/>
          <w:iCs/>
          <w:color w:val="000000" w:themeColor="text1"/>
          <w:sz w:val="24"/>
        </w:rPr>
      </w:pPr>
      <w:proofErr w:type="spellStart"/>
      <w:r w:rsidRPr="007F6101">
        <w:rPr>
          <w:color w:val="000000" w:themeColor="text1"/>
          <w:sz w:val="24"/>
        </w:rPr>
        <w:t>Coed</w:t>
      </w:r>
      <w:proofErr w:type="spellEnd"/>
      <w:r w:rsidRPr="007F6101">
        <w:rPr>
          <w:color w:val="000000" w:themeColor="text1"/>
          <w:sz w:val="24"/>
        </w:rPr>
        <w:t xml:space="preserve"> </w:t>
      </w:r>
      <w:proofErr w:type="spellStart"/>
      <w:r w:rsidRPr="007F6101">
        <w:rPr>
          <w:color w:val="000000" w:themeColor="text1"/>
          <w:sz w:val="24"/>
        </w:rPr>
        <w:t>Celtaidd</w:t>
      </w:r>
      <w:proofErr w:type="spellEnd"/>
      <w:r w:rsidRPr="007F6101">
        <w:rPr>
          <w:color w:val="000000" w:themeColor="text1"/>
          <w:sz w:val="24"/>
        </w:rPr>
        <w:t xml:space="preserve"> (2026) </w:t>
      </w:r>
      <w:proofErr w:type="spellStart"/>
      <w:r w:rsidRPr="007F6101">
        <w:rPr>
          <w:i/>
          <w:iCs/>
          <w:color w:val="000000" w:themeColor="text1"/>
          <w:sz w:val="24"/>
        </w:rPr>
        <w:t>Coed</w:t>
      </w:r>
      <w:proofErr w:type="spellEnd"/>
      <w:r w:rsidRPr="007F6101">
        <w:rPr>
          <w:i/>
          <w:iCs/>
          <w:color w:val="000000" w:themeColor="text1"/>
          <w:sz w:val="24"/>
        </w:rPr>
        <w:t xml:space="preserve"> </w:t>
      </w:r>
      <w:proofErr w:type="spellStart"/>
      <w:r w:rsidRPr="007F6101">
        <w:rPr>
          <w:i/>
          <w:iCs/>
          <w:color w:val="000000" w:themeColor="text1"/>
          <w:sz w:val="24"/>
        </w:rPr>
        <w:t>Celtaidd</w:t>
      </w:r>
      <w:proofErr w:type="spellEnd"/>
      <w:r w:rsidRPr="007F6101">
        <w:rPr>
          <w:color w:val="000000" w:themeColor="text1"/>
          <w:sz w:val="24"/>
        </w:rPr>
        <w:t>. Available at: https://www.coedceltaidd.co.uk/ (Accessed: 3 April 2026).</w:t>
      </w:r>
    </w:p>
    <w:p w14:paraId="2923642C" w14:textId="77777777" w:rsidR="006C2344" w:rsidRPr="007F6101" w:rsidRDefault="006C2344" w:rsidP="00F620C8">
      <w:pPr>
        <w:pStyle w:val="NormalWeb"/>
        <w:ind w:left="720" w:hanging="720"/>
        <w:rPr>
          <w:color w:val="000000" w:themeColor="text1"/>
        </w:rPr>
      </w:pPr>
    </w:p>
    <w:p w14:paraId="45D6F301" w14:textId="77777777" w:rsidR="00F620C8" w:rsidRPr="007F6101" w:rsidRDefault="00F620C8" w:rsidP="00F620C8">
      <w:pPr>
        <w:pStyle w:val="NormalWeb"/>
        <w:ind w:left="720" w:hanging="720"/>
        <w:rPr>
          <w:color w:val="000000" w:themeColor="text1"/>
        </w:rPr>
      </w:pPr>
      <w:r w:rsidRPr="007F6101">
        <w:rPr>
          <w:color w:val="000000" w:themeColor="text1"/>
        </w:rPr>
        <w:t>Chiang, J. (2021). The Detail: Greenwashing as a marketing tactic. [online] Newsroom. Available at:</w:t>
      </w:r>
    </w:p>
    <w:p w14:paraId="1D87787B" w14:textId="62353EE2" w:rsidR="00590E24" w:rsidRPr="007F6101" w:rsidRDefault="00F620C8" w:rsidP="00F620C8">
      <w:pPr>
        <w:pStyle w:val="NormalWeb"/>
        <w:ind w:left="720" w:hanging="720"/>
        <w:rPr>
          <w:color w:val="000000" w:themeColor="text1"/>
        </w:rPr>
      </w:pPr>
      <w:r w:rsidRPr="007F6101">
        <w:rPr>
          <w:color w:val="000000" w:themeColor="text1"/>
        </w:rPr>
        <w:t>https://newsroom.co.nz/2021/08/09/greenwashing-as-a-marketing-tactic/ [Accessed 3 Apr. 2026</w:t>
      </w:r>
      <w:proofErr w:type="gramStart"/>
      <w:r w:rsidRPr="007F6101">
        <w:rPr>
          <w:color w:val="000000" w:themeColor="text1"/>
        </w:rPr>
        <w:t>].</w:t>
      </w:r>
      <w:r w:rsidR="00590E24" w:rsidRPr="007F6101">
        <w:rPr>
          <w:color w:val="000000" w:themeColor="text1"/>
        </w:rPr>
        <w:t>Delmas</w:t>
      </w:r>
      <w:proofErr w:type="gramEnd"/>
      <w:r w:rsidR="00590E24" w:rsidRPr="007F6101">
        <w:rPr>
          <w:color w:val="000000" w:themeColor="text1"/>
        </w:rPr>
        <w:t xml:space="preserve">, M.A. and Burbano, V.C. (2011) ‘The drivers of greenwashing’, California Management Review, 54(1), pp. 64–87. </w:t>
      </w:r>
    </w:p>
    <w:p w14:paraId="19BF3ED8" w14:textId="12E79CDA" w:rsidR="006C2344" w:rsidRPr="007F6101" w:rsidRDefault="006C2344" w:rsidP="00F620C8">
      <w:pPr>
        <w:spacing w:before="100" w:beforeAutospacing="1" w:after="100" w:afterAutospacing="1"/>
        <w:ind w:hanging="720"/>
        <w:rPr>
          <w:color w:val="000000" w:themeColor="text1"/>
        </w:rPr>
      </w:pPr>
      <w:r w:rsidRPr="007F6101">
        <w:rPr>
          <w:rStyle w:val="whitespace-normal"/>
          <w:color w:val="000000" w:themeColor="text1"/>
        </w:rPr>
        <w:lastRenderedPageBreak/>
        <w:t>Elkington</w:t>
      </w:r>
      <w:r w:rsidR="00E170F5" w:rsidRPr="007F6101">
        <w:rPr>
          <w:rStyle w:val="whitespace-normal"/>
          <w:color w:val="000000" w:themeColor="text1"/>
        </w:rPr>
        <w:t>. J</w:t>
      </w:r>
      <w:r w:rsidRPr="007F6101">
        <w:rPr>
          <w:color w:val="000000" w:themeColor="text1"/>
        </w:rPr>
        <w:t xml:space="preserve"> (1997) </w:t>
      </w:r>
      <w:r w:rsidRPr="007F6101">
        <w:rPr>
          <w:rStyle w:val="Emphasis"/>
          <w:color w:val="000000" w:themeColor="text1"/>
        </w:rPr>
        <w:t>Cannibals with Forks: The Triple Bottom Line of 21st Century Business</w:t>
      </w:r>
      <w:r w:rsidRPr="007F6101">
        <w:rPr>
          <w:color w:val="000000" w:themeColor="text1"/>
        </w:rPr>
        <w:t xml:space="preserve">. Oxford: Capstone. </w:t>
      </w:r>
    </w:p>
    <w:p w14:paraId="4779E58C" w14:textId="651CB7AC" w:rsidR="006C2344" w:rsidRPr="007F6101" w:rsidRDefault="006C2344" w:rsidP="00F620C8">
      <w:pPr>
        <w:spacing w:before="100" w:beforeAutospacing="1" w:after="100" w:afterAutospacing="1"/>
        <w:ind w:hanging="720"/>
        <w:rPr>
          <w:color w:val="000000" w:themeColor="text1"/>
        </w:rPr>
      </w:pPr>
      <w:r w:rsidRPr="007F6101">
        <w:rPr>
          <w:color w:val="000000" w:themeColor="text1"/>
        </w:rPr>
        <w:t xml:space="preserve">Joseph Rowntree Foundation (2026) JRF’s cost of living tracker, winter </w:t>
      </w:r>
      <w:proofErr w:type="gramStart"/>
      <w:r w:rsidRPr="007F6101">
        <w:rPr>
          <w:color w:val="000000" w:themeColor="text1"/>
        </w:rPr>
        <w:t>2024 .</w:t>
      </w:r>
      <w:proofErr w:type="gramEnd"/>
      <w:r w:rsidRPr="007F6101">
        <w:rPr>
          <w:color w:val="000000" w:themeColor="text1"/>
        </w:rPr>
        <w:t xml:space="preserve"> Available at: https://www.jrf.org.uk/cost-of-living/jrfs-cost-of-living-tracker-winter-2024?utm_source=chatgpt.com (Accessed: 3 April 2026).</w:t>
      </w:r>
    </w:p>
    <w:p w14:paraId="5043BE7A" w14:textId="5191263E" w:rsidR="00590E24" w:rsidRPr="007F6101" w:rsidRDefault="00590E24" w:rsidP="00F620C8">
      <w:pPr>
        <w:spacing w:before="100" w:beforeAutospacing="1" w:after="100" w:afterAutospacing="1"/>
        <w:ind w:hanging="720"/>
        <w:rPr>
          <w:color w:val="000000" w:themeColor="text1"/>
        </w:rPr>
      </w:pPr>
      <w:r w:rsidRPr="007F6101">
        <w:rPr>
          <w:color w:val="000000" w:themeColor="text1"/>
        </w:rPr>
        <w:t xml:space="preserve">Freeman, R.E. (1984) Strategic Management: A Stakeholder Approach. Boston: Pitman. </w:t>
      </w:r>
    </w:p>
    <w:p w14:paraId="1DFA0D88" w14:textId="67A82E11" w:rsidR="00F620C8" w:rsidRPr="007F6101" w:rsidRDefault="00590E24" w:rsidP="00F620C8">
      <w:pPr>
        <w:pStyle w:val="NormalWeb"/>
        <w:ind w:left="720" w:hanging="720"/>
        <w:rPr>
          <w:color w:val="000000" w:themeColor="text1"/>
        </w:rPr>
      </w:pPr>
      <w:r w:rsidRPr="007F6101">
        <w:rPr>
          <w:color w:val="000000" w:themeColor="text1"/>
        </w:rPr>
        <w:t>Giving Force</w:t>
      </w:r>
      <w:r w:rsidR="00F620C8" w:rsidRPr="007F6101">
        <w:rPr>
          <w:color w:val="000000" w:themeColor="text1"/>
        </w:rPr>
        <w:t xml:space="preserve"> (2023). Implementing Sustainable Practices: A Step-by-Step Guide for Businesses. [online]</w:t>
      </w:r>
    </w:p>
    <w:p w14:paraId="5B345DE3" w14:textId="0B6090D7" w:rsidR="00E170F5" w:rsidRPr="007F6101" w:rsidRDefault="00F620C8" w:rsidP="00E170F5">
      <w:pPr>
        <w:pStyle w:val="NormalWeb"/>
        <w:ind w:left="720" w:hanging="720"/>
        <w:rPr>
          <w:color w:val="000000" w:themeColor="text1"/>
        </w:rPr>
      </w:pPr>
      <w:proofErr w:type="spellStart"/>
      <w:r w:rsidRPr="007F6101">
        <w:rPr>
          <w:color w:val="000000" w:themeColor="text1"/>
        </w:rPr>
        <w:t>GivingForce</w:t>
      </w:r>
      <w:proofErr w:type="spellEnd"/>
      <w:r w:rsidRPr="007F6101">
        <w:rPr>
          <w:color w:val="000000" w:themeColor="text1"/>
        </w:rPr>
        <w:t xml:space="preserve">. Available at: </w:t>
      </w:r>
      <w:hyperlink r:id="rId7" w:history="1">
        <w:r w:rsidR="00E170F5" w:rsidRPr="007F6101">
          <w:rPr>
            <w:rStyle w:val="Hyperlink"/>
            <w:color w:val="000000" w:themeColor="text1"/>
          </w:rPr>
          <w:t>https://www.givingforce.com/blog/implementing-sustainable-practices</w:t>
        </w:r>
      </w:hyperlink>
      <w:r w:rsidRPr="007F6101">
        <w:rPr>
          <w:color w:val="000000" w:themeColor="text1"/>
        </w:rPr>
        <w:t>.</w:t>
      </w:r>
    </w:p>
    <w:p w14:paraId="1FE290F0" w14:textId="4CC098D5" w:rsidR="00F620C8" w:rsidRPr="007F6101" w:rsidRDefault="00F620C8" w:rsidP="00E170F5">
      <w:pPr>
        <w:pStyle w:val="NormalWeb"/>
        <w:ind w:left="720" w:hanging="720"/>
        <w:rPr>
          <w:color w:val="000000" w:themeColor="text1"/>
        </w:rPr>
      </w:pPr>
      <w:r w:rsidRPr="007F6101">
        <w:rPr>
          <w:color w:val="000000" w:themeColor="text1"/>
          <w:shd w:val="clear" w:color="auto" w:fill="FFFFFF"/>
        </w:rPr>
        <w:t>Horne, B., 2024. The Wildflower Garden: Ecological Restoration in Urban Environments (Doctoral dissertation, University of Manitoba).</w:t>
      </w:r>
    </w:p>
    <w:p w14:paraId="4B472452" w14:textId="69D09956" w:rsidR="00590E24" w:rsidRPr="007F6101" w:rsidRDefault="00590E24" w:rsidP="00F620C8">
      <w:pPr>
        <w:pStyle w:val="NormalWeb"/>
        <w:ind w:left="720" w:hanging="720"/>
        <w:rPr>
          <w:color w:val="000000" w:themeColor="text1"/>
        </w:rPr>
      </w:pPr>
      <w:r w:rsidRPr="007F6101">
        <w:rPr>
          <w:rStyle w:val="whitespace-normal"/>
          <w:color w:val="000000" w:themeColor="text1"/>
        </w:rPr>
        <w:t>MacArthur</w:t>
      </w:r>
      <w:r w:rsidRPr="007F6101">
        <w:rPr>
          <w:color w:val="000000" w:themeColor="text1"/>
        </w:rPr>
        <w:t xml:space="preserve"> (2013) </w:t>
      </w:r>
      <w:r w:rsidRPr="007F6101">
        <w:rPr>
          <w:rStyle w:val="Emphasis"/>
          <w:color w:val="000000" w:themeColor="text1"/>
        </w:rPr>
        <w:t>Towards the Circular Economy: Economic and Business Rationale for an Accelerated Transition</w:t>
      </w:r>
      <w:r w:rsidRPr="007F6101">
        <w:rPr>
          <w:color w:val="000000" w:themeColor="text1"/>
        </w:rPr>
        <w:t xml:space="preserve">. Cowes: </w:t>
      </w:r>
      <w:r w:rsidRPr="007F6101">
        <w:rPr>
          <w:rStyle w:val="whitespace-normal"/>
          <w:color w:val="000000" w:themeColor="text1"/>
        </w:rPr>
        <w:t>Ellen MacArthur Foundation</w:t>
      </w:r>
      <w:r w:rsidRPr="007F6101">
        <w:rPr>
          <w:color w:val="000000" w:themeColor="text1"/>
        </w:rPr>
        <w:t xml:space="preserve">. </w:t>
      </w:r>
    </w:p>
    <w:p w14:paraId="4C73D093" w14:textId="4CF1FCD6" w:rsidR="00590E24" w:rsidRPr="007F6101" w:rsidRDefault="00590E24" w:rsidP="00F620C8">
      <w:pPr>
        <w:pStyle w:val="NormalWeb"/>
        <w:ind w:left="720" w:hanging="720"/>
        <w:rPr>
          <w:color w:val="000000" w:themeColor="text1"/>
        </w:rPr>
      </w:pPr>
      <w:r w:rsidRPr="007F6101">
        <w:rPr>
          <w:rStyle w:val="whitespace-normal"/>
          <w:color w:val="000000" w:themeColor="text1"/>
        </w:rPr>
        <w:t>MacArthur Foundation</w:t>
      </w:r>
      <w:r w:rsidRPr="007F6101">
        <w:rPr>
          <w:color w:val="000000" w:themeColor="text1"/>
        </w:rPr>
        <w:t xml:space="preserve"> (2019) </w:t>
      </w:r>
      <w:r w:rsidRPr="007F6101">
        <w:rPr>
          <w:rStyle w:val="Emphasis"/>
          <w:color w:val="000000" w:themeColor="text1"/>
        </w:rPr>
        <w:t>Completing the Picture: How the Circular Economy Tackles Climate Change</w:t>
      </w:r>
      <w:r w:rsidRPr="007F6101">
        <w:rPr>
          <w:color w:val="000000" w:themeColor="text1"/>
        </w:rPr>
        <w:t xml:space="preserve">. Available at: </w:t>
      </w:r>
      <w:hyperlink r:id="rId8" w:tgtFrame="_new" w:history="1">
        <w:r w:rsidRPr="007F6101">
          <w:rPr>
            <w:rStyle w:val="Hyperlink"/>
            <w:color w:val="000000" w:themeColor="text1"/>
          </w:rPr>
          <w:t>https://ellenmacarthurfoundation.org</w:t>
        </w:r>
      </w:hyperlink>
      <w:r w:rsidRPr="007F6101">
        <w:rPr>
          <w:color w:val="000000" w:themeColor="text1"/>
        </w:rPr>
        <w:t xml:space="preserve"> </w:t>
      </w:r>
    </w:p>
    <w:p w14:paraId="6B9CBB81" w14:textId="77777777" w:rsidR="006C2344" w:rsidRPr="007F6101" w:rsidRDefault="006C2344" w:rsidP="00F620C8">
      <w:pPr>
        <w:pStyle w:val="Heading4"/>
        <w:spacing w:before="0" w:after="0"/>
        <w:ind w:hanging="720"/>
        <w:jc w:val="left"/>
        <w:rPr>
          <w:color w:val="000000" w:themeColor="text1"/>
          <w:sz w:val="24"/>
        </w:rPr>
      </w:pPr>
      <w:r w:rsidRPr="007F6101">
        <w:rPr>
          <w:color w:val="000000" w:themeColor="text1"/>
          <w:sz w:val="24"/>
        </w:rPr>
        <w:t>Office for National Statistics (2026) </w:t>
      </w:r>
      <w:r w:rsidRPr="007F6101">
        <w:rPr>
          <w:i/>
          <w:iCs/>
          <w:color w:val="000000" w:themeColor="text1"/>
          <w:sz w:val="24"/>
        </w:rPr>
        <w:t>Consumer price inflation, UK: February 2026</w:t>
      </w:r>
      <w:r w:rsidRPr="007F6101">
        <w:rPr>
          <w:color w:val="000000" w:themeColor="text1"/>
          <w:sz w:val="24"/>
        </w:rPr>
        <w:t>, </w:t>
      </w:r>
      <w:r w:rsidRPr="007F6101">
        <w:rPr>
          <w:i/>
          <w:iCs/>
          <w:color w:val="000000" w:themeColor="text1"/>
          <w:sz w:val="24"/>
        </w:rPr>
        <w:t>Consumer price inflation, UK - Office for National Statistics</w:t>
      </w:r>
      <w:r w:rsidRPr="007F6101">
        <w:rPr>
          <w:color w:val="000000" w:themeColor="text1"/>
          <w:sz w:val="24"/>
        </w:rPr>
        <w:t>. Office for National Statistics. Available at: https://www.ons.gov.uk/economy/inflationandpriceindices/bulletins/consumerpriceinflation/february2026 (Accessed: 3 April 2026).</w:t>
      </w:r>
    </w:p>
    <w:p w14:paraId="4AC1C9C5" w14:textId="77777777" w:rsidR="00590E24" w:rsidRPr="007F6101" w:rsidRDefault="00590E24" w:rsidP="00F620C8">
      <w:pPr>
        <w:pStyle w:val="NormalWeb"/>
        <w:ind w:left="720" w:hanging="720"/>
        <w:rPr>
          <w:color w:val="000000" w:themeColor="text1"/>
        </w:rPr>
      </w:pPr>
      <w:r w:rsidRPr="007F6101">
        <w:rPr>
          <w:color w:val="000000" w:themeColor="text1"/>
        </w:rPr>
        <w:t xml:space="preserve">Porter, M.E. and Kramer, M.R. (2011) ‘Creating shared value’, Harvard Business Review, 89(1–2), pp. 62–77. </w:t>
      </w:r>
    </w:p>
    <w:p w14:paraId="28B7DEC7" w14:textId="77777777" w:rsidR="00F620C8" w:rsidRPr="007F6101" w:rsidRDefault="00F620C8" w:rsidP="00F620C8">
      <w:pPr>
        <w:spacing w:before="100" w:beforeAutospacing="1" w:after="100" w:afterAutospacing="1"/>
        <w:ind w:hanging="720"/>
        <w:rPr>
          <w:color w:val="000000" w:themeColor="text1"/>
          <w:lang w:eastAsia="en-US"/>
        </w:rPr>
      </w:pPr>
      <w:r w:rsidRPr="007F6101">
        <w:rPr>
          <w:color w:val="000000" w:themeColor="text1"/>
          <w:lang w:eastAsia="en-US"/>
        </w:rPr>
        <w:t>RAC foundation (2023). UK Pump Prices over Time. [online] Racfoundation.org. Available at:</w:t>
      </w:r>
    </w:p>
    <w:p w14:paraId="3E1F4A0B" w14:textId="119418CE" w:rsidR="00F620C8" w:rsidRPr="007F6101" w:rsidRDefault="00F620C8" w:rsidP="00F620C8">
      <w:pPr>
        <w:spacing w:before="100" w:beforeAutospacing="1" w:after="100" w:afterAutospacing="1"/>
        <w:ind w:hanging="720"/>
        <w:rPr>
          <w:color w:val="000000" w:themeColor="text1"/>
          <w:lang w:eastAsia="en-US"/>
        </w:rPr>
      </w:pPr>
      <w:r w:rsidRPr="007F6101">
        <w:rPr>
          <w:color w:val="000000" w:themeColor="text1"/>
          <w:lang w:eastAsia="en-US"/>
        </w:rPr>
        <w:fldChar w:fldCharType="begin"/>
      </w:r>
      <w:r w:rsidRPr="007F6101">
        <w:rPr>
          <w:color w:val="000000" w:themeColor="text1"/>
          <w:lang w:eastAsia="en-US"/>
        </w:rPr>
        <w:instrText>HYPERLINK "</w:instrText>
      </w:r>
      <w:r w:rsidRPr="007F6101">
        <w:rPr>
          <w:color w:val="000000" w:themeColor="text1"/>
          <w:lang w:eastAsia="en-US"/>
        </w:rPr>
        <w:instrText>https://www.racfoundation.org/data/uk-pump-prices-over-time</w:instrText>
      </w:r>
      <w:r w:rsidRPr="007F6101">
        <w:rPr>
          <w:color w:val="000000" w:themeColor="text1"/>
          <w:lang w:eastAsia="en-US"/>
        </w:rPr>
        <w:instrText>"</w:instrText>
      </w:r>
      <w:r w:rsidRPr="007F6101">
        <w:rPr>
          <w:color w:val="000000" w:themeColor="text1"/>
          <w:lang w:eastAsia="en-US"/>
        </w:rPr>
        <w:fldChar w:fldCharType="separate"/>
      </w:r>
      <w:r w:rsidRPr="007F6101">
        <w:rPr>
          <w:rStyle w:val="Hyperlink"/>
          <w:color w:val="000000" w:themeColor="text1"/>
          <w:lang w:eastAsia="en-US"/>
        </w:rPr>
        <w:t>https://www.racfoundation.org/data/uk-pump-prices-over-time</w:t>
      </w:r>
      <w:r w:rsidRPr="007F6101">
        <w:rPr>
          <w:color w:val="000000" w:themeColor="text1"/>
          <w:lang w:eastAsia="en-US"/>
        </w:rPr>
        <w:fldChar w:fldCharType="end"/>
      </w:r>
      <w:r w:rsidRPr="007F6101">
        <w:rPr>
          <w:color w:val="000000" w:themeColor="text1"/>
          <w:lang w:eastAsia="en-US"/>
        </w:rPr>
        <w:t>.</w:t>
      </w:r>
    </w:p>
    <w:p w14:paraId="0FFEC7E0" w14:textId="77777777" w:rsidR="00F620C8" w:rsidRPr="007F6101" w:rsidRDefault="00F620C8" w:rsidP="00F620C8">
      <w:pPr>
        <w:spacing w:before="100" w:beforeAutospacing="1" w:after="100" w:afterAutospacing="1"/>
        <w:ind w:hanging="720"/>
        <w:rPr>
          <w:color w:val="000000" w:themeColor="text1"/>
          <w:lang w:eastAsia="en-US"/>
        </w:rPr>
      </w:pPr>
      <w:r w:rsidRPr="007F6101">
        <w:rPr>
          <w:color w:val="000000" w:themeColor="text1"/>
          <w:lang w:eastAsia="en-US"/>
        </w:rPr>
        <w:t>Ramasubramanian</w:t>
      </w:r>
      <w:r w:rsidRPr="007F6101">
        <w:rPr>
          <w:color w:val="000000" w:themeColor="text1"/>
          <w:lang w:eastAsia="en-US"/>
        </w:rPr>
        <w:t>, B.</w:t>
      </w:r>
      <w:r w:rsidRPr="007F6101">
        <w:rPr>
          <w:color w:val="000000" w:themeColor="text1"/>
          <w:lang w:eastAsia="en-US"/>
        </w:rPr>
        <w:t>, Ling, J., Jose, R. and Ramakrishna, S. (2024). Ten Major Challenges for</w:t>
      </w:r>
      <w:r w:rsidRPr="007F6101">
        <w:rPr>
          <w:color w:val="000000" w:themeColor="text1"/>
          <w:lang w:eastAsia="en-US"/>
        </w:rPr>
        <w:t xml:space="preserve"> </w:t>
      </w:r>
      <w:r w:rsidRPr="007F6101">
        <w:rPr>
          <w:color w:val="000000" w:themeColor="text1"/>
          <w:lang w:eastAsia="en-US"/>
        </w:rPr>
        <w:t>Sustainable lithium-ion Batteries. Cell reports physical science, 5(6), pp.102032–</w:t>
      </w:r>
      <w:proofErr w:type="gramStart"/>
      <w:r w:rsidRPr="007F6101">
        <w:rPr>
          <w:color w:val="000000" w:themeColor="text1"/>
          <w:lang w:eastAsia="en-US"/>
        </w:rPr>
        <w:t>102032.doi:https://doi.org/10.1016/j.xcrp.2024.102032</w:t>
      </w:r>
      <w:proofErr w:type="gramEnd"/>
      <w:r w:rsidRPr="007F6101">
        <w:rPr>
          <w:color w:val="000000" w:themeColor="text1"/>
          <w:lang w:eastAsia="en-US"/>
        </w:rPr>
        <w:t>.</w:t>
      </w:r>
    </w:p>
    <w:p w14:paraId="69BCA9BF" w14:textId="77777777" w:rsidR="00F620C8" w:rsidRPr="007F6101" w:rsidRDefault="00F620C8" w:rsidP="00F620C8">
      <w:pPr>
        <w:spacing w:before="100" w:beforeAutospacing="1" w:after="100" w:afterAutospacing="1"/>
        <w:ind w:hanging="720"/>
        <w:rPr>
          <w:color w:val="000000" w:themeColor="text1"/>
          <w:lang w:eastAsia="en-US"/>
        </w:rPr>
      </w:pPr>
      <w:r w:rsidRPr="007F6101">
        <w:rPr>
          <w:color w:val="000000" w:themeColor="text1"/>
          <w:lang w:eastAsia="en-US"/>
        </w:rPr>
        <w:t>United Nations (2025). Goal 8 | Department of Economic and Social Affairs. [online] United Nations.</w:t>
      </w:r>
    </w:p>
    <w:p w14:paraId="4D07B67B" w14:textId="05C8E75F" w:rsidR="00F620C8" w:rsidRPr="007F6101" w:rsidRDefault="00F620C8" w:rsidP="00F620C8">
      <w:pPr>
        <w:spacing w:before="100" w:beforeAutospacing="1" w:after="100" w:afterAutospacing="1"/>
        <w:ind w:hanging="720"/>
        <w:rPr>
          <w:color w:val="000000" w:themeColor="text1"/>
          <w:lang w:eastAsia="en-US"/>
        </w:rPr>
      </w:pPr>
      <w:r w:rsidRPr="007F6101">
        <w:rPr>
          <w:color w:val="000000" w:themeColor="text1"/>
          <w:lang w:eastAsia="en-US"/>
        </w:rPr>
        <w:t>Available at: https://sdgs.un.org/goals/goal8.</w:t>
      </w:r>
    </w:p>
    <w:p w14:paraId="7412147F" w14:textId="16D8A356" w:rsidR="00590E24" w:rsidRPr="007F6101" w:rsidRDefault="00590E24" w:rsidP="00F620C8">
      <w:pPr>
        <w:spacing w:before="100" w:beforeAutospacing="1" w:after="100" w:afterAutospacing="1"/>
        <w:ind w:hanging="720"/>
        <w:rPr>
          <w:color w:val="000000" w:themeColor="text1"/>
          <w:lang w:eastAsia="en-US"/>
        </w:rPr>
      </w:pPr>
      <w:r w:rsidRPr="007F6101">
        <w:rPr>
          <w:rStyle w:val="whitespace-normal"/>
          <w:color w:val="000000" w:themeColor="text1"/>
        </w:rPr>
        <w:t>United Nations</w:t>
      </w:r>
      <w:r w:rsidRPr="007F6101">
        <w:rPr>
          <w:color w:val="000000" w:themeColor="text1"/>
        </w:rPr>
        <w:t xml:space="preserve"> (2015) </w:t>
      </w:r>
      <w:r w:rsidRPr="007F6101">
        <w:rPr>
          <w:rStyle w:val="Emphasis"/>
          <w:color w:val="000000" w:themeColor="text1"/>
        </w:rPr>
        <w:t>Transforming Our World: The 2030 Agenda for Sustainable Development</w:t>
      </w:r>
      <w:r w:rsidRPr="007F6101">
        <w:rPr>
          <w:color w:val="000000" w:themeColor="text1"/>
        </w:rPr>
        <w:t xml:space="preserve">. Available at: </w:t>
      </w:r>
      <w:hyperlink r:id="rId9" w:tgtFrame="_new" w:history="1">
        <w:r w:rsidRPr="007F6101">
          <w:rPr>
            <w:rStyle w:val="Hyperlink"/>
            <w:color w:val="000000" w:themeColor="text1"/>
          </w:rPr>
          <w:t>https://sdgs.un.org</w:t>
        </w:r>
      </w:hyperlink>
      <w:r w:rsidRPr="007F6101">
        <w:rPr>
          <w:color w:val="000000" w:themeColor="text1"/>
        </w:rPr>
        <w:t xml:space="preserve"> </w:t>
      </w:r>
    </w:p>
    <w:p w14:paraId="4320132B" w14:textId="77777777" w:rsidR="00F620C8" w:rsidRPr="007F6101" w:rsidRDefault="00F620C8" w:rsidP="00F620C8">
      <w:pPr>
        <w:pStyle w:val="NormalWeb"/>
        <w:ind w:left="720" w:hanging="720"/>
        <w:rPr>
          <w:color w:val="000000" w:themeColor="text1"/>
        </w:rPr>
      </w:pPr>
      <w:r w:rsidRPr="007F6101">
        <w:rPr>
          <w:color w:val="000000" w:themeColor="text1"/>
        </w:rPr>
        <w:t>Van der Ploeg, R. (2020). The UK increasingly dependent on ornamental plant imports • AIPH. [online]</w:t>
      </w:r>
    </w:p>
    <w:p w14:paraId="408C3C80" w14:textId="77777777" w:rsidR="00F620C8" w:rsidRPr="007F6101" w:rsidRDefault="00F620C8" w:rsidP="00F620C8">
      <w:pPr>
        <w:pStyle w:val="NormalWeb"/>
        <w:ind w:left="720" w:hanging="720"/>
        <w:rPr>
          <w:color w:val="000000" w:themeColor="text1"/>
        </w:rPr>
      </w:pPr>
    </w:p>
    <w:p w14:paraId="5EF9D935" w14:textId="77777777" w:rsidR="00F620C8" w:rsidRPr="007F6101" w:rsidRDefault="00F620C8" w:rsidP="00F620C8">
      <w:pPr>
        <w:pStyle w:val="NormalWeb"/>
        <w:ind w:left="720" w:hanging="720"/>
        <w:rPr>
          <w:color w:val="000000" w:themeColor="text1"/>
        </w:rPr>
      </w:pPr>
      <w:r w:rsidRPr="007F6101">
        <w:rPr>
          <w:color w:val="000000" w:themeColor="text1"/>
        </w:rPr>
        <w:t>AIPH. Available at: https://aiph.org/floraculture/news/the-uk-increasingly-dependent-on-ornamental-</w:t>
      </w:r>
    </w:p>
    <w:p w14:paraId="092DFF4E" w14:textId="77777777" w:rsidR="00F620C8" w:rsidRPr="007F6101" w:rsidRDefault="00F620C8" w:rsidP="00F620C8">
      <w:pPr>
        <w:pStyle w:val="NormalWeb"/>
        <w:ind w:left="720" w:hanging="720"/>
        <w:rPr>
          <w:color w:val="000000" w:themeColor="text1"/>
        </w:rPr>
      </w:pPr>
      <w:r w:rsidRPr="007F6101">
        <w:rPr>
          <w:color w:val="000000" w:themeColor="text1"/>
        </w:rPr>
        <w:t>plant-imports/ [Accessed 3 Apr. 2026].</w:t>
      </w:r>
    </w:p>
    <w:p w14:paraId="1B17CD7C" w14:textId="3B5A103E" w:rsidR="00F620C8" w:rsidRPr="007F6101" w:rsidRDefault="00F620C8" w:rsidP="00F620C8">
      <w:pPr>
        <w:pStyle w:val="NormalWeb"/>
        <w:ind w:left="720" w:hanging="720"/>
        <w:rPr>
          <w:color w:val="000000" w:themeColor="text1"/>
        </w:rPr>
      </w:pPr>
      <w:r w:rsidRPr="007F6101">
        <w:rPr>
          <w:rStyle w:val="whitespace-normal"/>
          <w:color w:val="000000" w:themeColor="text1"/>
        </w:rPr>
        <w:lastRenderedPageBreak/>
        <w:t>Walter R. Stahel</w:t>
      </w:r>
      <w:r w:rsidRPr="007F6101">
        <w:rPr>
          <w:color w:val="000000" w:themeColor="text1"/>
        </w:rPr>
        <w:t xml:space="preserve"> (2016) ‘The Circular Economy’, </w:t>
      </w:r>
      <w:r w:rsidRPr="007F6101">
        <w:rPr>
          <w:rStyle w:val="Emphasis"/>
          <w:color w:val="000000" w:themeColor="text1"/>
        </w:rPr>
        <w:t>Nature</w:t>
      </w:r>
      <w:r w:rsidRPr="007F6101">
        <w:rPr>
          <w:color w:val="000000" w:themeColor="text1"/>
        </w:rPr>
        <w:t xml:space="preserve">, 531(7595), pp. 435–438. </w:t>
      </w:r>
    </w:p>
    <w:p w14:paraId="279F088D" w14:textId="77777777" w:rsidR="00F620C8" w:rsidRPr="007F6101" w:rsidRDefault="00F620C8" w:rsidP="00F620C8">
      <w:pPr>
        <w:pStyle w:val="NormalWeb"/>
        <w:rPr>
          <w:color w:val="000000" w:themeColor="text1"/>
        </w:rPr>
      </w:pPr>
    </w:p>
    <w:p w14:paraId="74CEC529" w14:textId="39ACEC0E" w:rsidR="006C2344" w:rsidRPr="007F6101" w:rsidRDefault="006C2344" w:rsidP="00F620C8">
      <w:pPr>
        <w:pStyle w:val="NormalWeb"/>
        <w:ind w:left="720" w:hanging="720"/>
        <w:rPr>
          <w:color w:val="000000" w:themeColor="text1"/>
        </w:rPr>
      </w:pPr>
      <w:r w:rsidRPr="007F6101">
        <w:rPr>
          <w:rStyle w:val="whitespace-normal"/>
          <w:color w:val="000000" w:themeColor="text1"/>
        </w:rPr>
        <w:t>Winston</w:t>
      </w:r>
      <w:r w:rsidRPr="007F6101">
        <w:rPr>
          <w:rStyle w:val="whitespace-normal"/>
          <w:color w:val="000000" w:themeColor="text1"/>
        </w:rPr>
        <w:t>, A</w:t>
      </w:r>
      <w:r w:rsidRPr="007F6101">
        <w:rPr>
          <w:color w:val="000000" w:themeColor="text1"/>
        </w:rPr>
        <w:t xml:space="preserve"> (2014) </w:t>
      </w:r>
      <w:r w:rsidRPr="007F6101">
        <w:rPr>
          <w:rStyle w:val="Emphasis"/>
          <w:color w:val="000000" w:themeColor="text1"/>
        </w:rPr>
        <w:t>The Big Pivot: Radically Practical Strategies for a Hotter, Scarcer, and More Open World</w:t>
      </w:r>
      <w:r w:rsidRPr="007F6101">
        <w:rPr>
          <w:color w:val="000000" w:themeColor="text1"/>
        </w:rPr>
        <w:t xml:space="preserve">. Boston: Harvard Business Review Press. </w:t>
      </w:r>
    </w:p>
    <w:p w14:paraId="6BDD40BA" w14:textId="77777777" w:rsidR="00590E24" w:rsidRPr="007F6101" w:rsidRDefault="00590E24" w:rsidP="00864A49">
      <w:pPr>
        <w:pStyle w:val="NormalWeb"/>
        <w:rPr>
          <w:color w:val="000000" w:themeColor="text1"/>
        </w:rPr>
      </w:pPr>
    </w:p>
    <w:p w14:paraId="36246515" w14:textId="77777777" w:rsidR="002466CE" w:rsidRPr="007F6101" w:rsidRDefault="002466CE" w:rsidP="002466CE">
      <w:pPr>
        <w:pStyle w:val="NormalWeb"/>
        <w:rPr>
          <w:color w:val="000000" w:themeColor="text1"/>
          <w:sz w:val="22"/>
          <w:szCs w:val="22"/>
        </w:rPr>
      </w:pPr>
    </w:p>
    <w:sectPr w:rsidR="002466CE" w:rsidRPr="007F6101" w:rsidSect="0072784F">
      <w:footerReference w:type="even" r:id="rId10"/>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FD837" w14:textId="77777777" w:rsidR="005B2344" w:rsidRDefault="005B2344">
      <w:r>
        <w:separator/>
      </w:r>
    </w:p>
  </w:endnote>
  <w:endnote w:type="continuationSeparator" w:id="0">
    <w:p w14:paraId="065733A7" w14:textId="77777777" w:rsidR="005B2344" w:rsidRDefault="005B23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3774456"/>
      <w:docPartObj>
        <w:docPartGallery w:val="Page Numbers (Bottom of Page)"/>
        <w:docPartUnique/>
      </w:docPartObj>
    </w:sdtPr>
    <w:sdtContent>
      <w:p w14:paraId="24D4A445" w14:textId="22302A3B" w:rsidR="00E170F5" w:rsidRDefault="00E170F5" w:rsidP="00767B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0FE5DE" w14:textId="77777777" w:rsidR="00E170F5" w:rsidRDefault="00E170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8716620"/>
      <w:docPartObj>
        <w:docPartGallery w:val="Page Numbers (Bottom of Page)"/>
        <w:docPartUnique/>
      </w:docPartObj>
    </w:sdtPr>
    <w:sdtContent>
      <w:p w14:paraId="3EFA49B7" w14:textId="529E41AD" w:rsidR="00E170F5" w:rsidRDefault="00E170F5" w:rsidP="00767B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80741C4" w14:textId="77777777" w:rsidR="00B22A40" w:rsidRDefault="00B22A4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8C2C2" w14:textId="77777777" w:rsidR="005B2344" w:rsidRDefault="005B2344">
      <w:r>
        <w:separator/>
      </w:r>
    </w:p>
  </w:footnote>
  <w:footnote w:type="continuationSeparator" w:id="0">
    <w:p w14:paraId="0177B44D" w14:textId="77777777" w:rsidR="005B2344" w:rsidRDefault="005B23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D2050C"/>
    <w:multiLevelType w:val="multilevel"/>
    <w:tmpl w:val="B37E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4" w15:restartNumberingAfterBreak="0">
    <w:nsid w:val="03B61091"/>
    <w:multiLevelType w:val="multilevel"/>
    <w:tmpl w:val="9A286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3B6819"/>
    <w:multiLevelType w:val="multilevel"/>
    <w:tmpl w:val="9EC6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EF5B4F"/>
    <w:multiLevelType w:val="multilevel"/>
    <w:tmpl w:val="844AB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595A7F"/>
    <w:multiLevelType w:val="multilevel"/>
    <w:tmpl w:val="1ACEC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B47B04"/>
    <w:multiLevelType w:val="multilevel"/>
    <w:tmpl w:val="29900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87E413C"/>
    <w:multiLevelType w:val="multilevel"/>
    <w:tmpl w:val="CA2C7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2F5281"/>
    <w:multiLevelType w:val="multilevel"/>
    <w:tmpl w:val="C75A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E449A0"/>
    <w:multiLevelType w:val="multilevel"/>
    <w:tmpl w:val="68063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D1294D"/>
    <w:multiLevelType w:val="multilevel"/>
    <w:tmpl w:val="59604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675EF4"/>
    <w:multiLevelType w:val="multilevel"/>
    <w:tmpl w:val="DE8C3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90A16C5"/>
    <w:multiLevelType w:val="multilevel"/>
    <w:tmpl w:val="85E4E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C5370A"/>
    <w:multiLevelType w:val="multilevel"/>
    <w:tmpl w:val="8F8A1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F013C8"/>
    <w:multiLevelType w:val="multilevel"/>
    <w:tmpl w:val="19E4C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2385908"/>
    <w:multiLevelType w:val="multilevel"/>
    <w:tmpl w:val="9F1EAF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E54F25"/>
    <w:multiLevelType w:val="multilevel"/>
    <w:tmpl w:val="1090D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9" w15:restartNumberingAfterBreak="0">
    <w:nsid w:val="3B420EFC"/>
    <w:multiLevelType w:val="multilevel"/>
    <w:tmpl w:val="3C40B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CBF37DB"/>
    <w:multiLevelType w:val="multilevel"/>
    <w:tmpl w:val="FE6E4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637D54"/>
    <w:multiLevelType w:val="multilevel"/>
    <w:tmpl w:val="BE6A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1C018F9"/>
    <w:multiLevelType w:val="multilevel"/>
    <w:tmpl w:val="9C4A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22C5C92"/>
    <w:multiLevelType w:val="multilevel"/>
    <w:tmpl w:val="1CDE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8925BA1"/>
    <w:multiLevelType w:val="multilevel"/>
    <w:tmpl w:val="CC008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E07136"/>
    <w:multiLevelType w:val="multilevel"/>
    <w:tmpl w:val="0F34C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A40397D"/>
    <w:multiLevelType w:val="multilevel"/>
    <w:tmpl w:val="4198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BC637B7"/>
    <w:multiLevelType w:val="multilevel"/>
    <w:tmpl w:val="5192AB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C0A5E3C"/>
    <w:multiLevelType w:val="multilevel"/>
    <w:tmpl w:val="D082B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C7C091A"/>
    <w:multiLevelType w:val="multilevel"/>
    <w:tmpl w:val="B75C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EBE0A78"/>
    <w:multiLevelType w:val="multilevel"/>
    <w:tmpl w:val="BDD6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18D5AFA"/>
    <w:multiLevelType w:val="multilevel"/>
    <w:tmpl w:val="CCD48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D36226"/>
    <w:multiLevelType w:val="multilevel"/>
    <w:tmpl w:val="2E7CC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5D06A7"/>
    <w:multiLevelType w:val="multilevel"/>
    <w:tmpl w:val="B26A1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AA6CC5"/>
    <w:multiLevelType w:val="multilevel"/>
    <w:tmpl w:val="FB50C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6251951"/>
    <w:multiLevelType w:val="multilevel"/>
    <w:tmpl w:val="F32A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8126228"/>
    <w:multiLevelType w:val="multilevel"/>
    <w:tmpl w:val="EA3EE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9056DC5"/>
    <w:multiLevelType w:val="multilevel"/>
    <w:tmpl w:val="D64EFD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C696F5C"/>
    <w:multiLevelType w:val="multilevel"/>
    <w:tmpl w:val="B506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D3349D4"/>
    <w:multiLevelType w:val="multilevel"/>
    <w:tmpl w:val="3CE4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10D6BF9"/>
    <w:multiLevelType w:val="multilevel"/>
    <w:tmpl w:val="DCA6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24824B8"/>
    <w:multiLevelType w:val="multilevel"/>
    <w:tmpl w:val="A7248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480421A"/>
    <w:multiLevelType w:val="multilevel"/>
    <w:tmpl w:val="21144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B073FF8"/>
    <w:multiLevelType w:val="multilevel"/>
    <w:tmpl w:val="92DC9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E7D0D74"/>
    <w:multiLevelType w:val="multilevel"/>
    <w:tmpl w:val="8296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1" w15:restartNumberingAfterBreak="0">
    <w:nsid w:val="73F4241A"/>
    <w:multiLevelType w:val="multilevel"/>
    <w:tmpl w:val="7A08E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5DA0BC2"/>
    <w:multiLevelType w:val="multilevel"/>
    <w:tmpl w:val="82DE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653D8C"/>
    <w:multiLevelType w:val="multilevel"/>
    <w:tmpl w:val="D5EAF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788896">
    <w:abstractNumId w:val="6"/>
  </w:num>
  <w:num w:numId="2" w16cid:durableId="1855656351">
    <w:abstractNumId w:val="27"/>
  </w:num>
  <w:num w:numId="3" w16cid:durableId="1260528775">
    <w:abstractNumId w:val="60"/>
  </w:num>
  <w:num w:numId="4" w16cid:durableId="364642998">
    <w:abstractNumId w:val="35"/>
  </w:num>
  <w:num w:numId="5" w16cid:durableId="505753494">
    <w:abstractNumId w:val="23"/>
  </w:num>
  <w:num w:numId="6" w16cid:durableId="1431122835">
    <w:abstractNumId w:val="59"/>
  </w:num>
  <w:num w:numId="7" w16cid:durableId="427696053">
    <w:abstractNumId w:val="10"/>
  </w:num>
  <w:num w:numId="8" w16cid:durableId="1310285354">
    <w:abstractNumId w:val="55"/>
  </w:num>
  <w:num w:numId="9" w16cid:durableId="122041705">
    <w:abstractNumId w:val="28"/>
  </w:num>
  <w:num w:numId="10" w16cid:durableId="36515627">
    <w:abstractNumId w:val="16"/>
  </w:num>
  <w:num w:numId="11" w16cid:durableId="1172405985">
    <w:abstractNumId w:val="17"/>
  </w:num>
  <w:num w:numId="12" w16cid:durableId="1282613997">
    <w:abstractNumId w:val="25"/>
  </w:num>
  <w:num w:numId="13" w16cid:durableId="2064326213">
    <w:abstractNumId w:val="52"/>
  </w:num>
  <w:num w:numId="14" w16cid:durableId="1483157033">
    <w:abstractNumId w:val="13"/>
  </w:num>
  <w:num w:numId="15" w16cid:durableId="523716012">
    <w:abstractNumId w:val="0"/>
  </w:num>
  <w:num w:numId="16" w16cid:durableId="659046567">
    <w:abstractNumId w:val="19"/>
  </w:num>
  <w:num w:numId="17" w16cid:durableId="1795293424">
    <w:abstractNumId w:val="1"/>
  </w:num>
  <w:num w:numId="18" w16cid:durableId="1800611873">
    <w:abstractNumId w:val="32"/>
  </w:num>
  <w:num w:numId="19" w16cid:durableId="1554537826">
    <w:abstractNumId w:val="3"/>
  </w:num>
  <w:num w:numId="20" w16cid:durableId="1920286766">
    <w:abstractNumId w:val="24"/>
  </w:num>
  <w:num w:numId="21" w16cid:durableId="1547794024">
    <w:abstractNumId w:val="48"/>
  </w:num>
  <w:num w:numId="22" w16cid:durableId="637534534">
    <w:abstractNumId w:val="39"/>
  </w:num>
  <w:num w:numId="23" w16cid:durableId="1266841140">
    <w:abstractNumId w:val="12"/>
  </w:num>
  <w:num w:numId="24" w16cid:durableId="432629224">
    <w:abstractNumId w:val="61"/>
  </w:num>
  <w:num w:numId="25" w16cid:durableId="2054383033">
    <w:abstractNumId w:val="31"/>
  </w:num>
  <w:num w:numId="26" w16cid:durableId="879707464">
    <w:abstractNumId w:val="26"/>
  </w:num>
  <w:num w:numId="27" w16cid:durableId="1031298367">
    <w:abstractNumId w:val="20"/>
  </w:num>
  <w:num w:numId="28" w16cid:durableId="551237624">
    <w:abstractNumId w:val="9"/>
  </w:num>
  <w:num w:numId="29" w16cid:durableId="132136094">
    <w:abstractNumId w:val="46"/>
  </w:num>
  <w:num w:numId="30" w16cid:durableId="1332023928">
    <w:abstractNumId w:val="38"/>
  </w:num>
  <w:num w:numId="31" w16cid:durableId="451943544">
    <w:abstractNumId w:val="36"/>
  </w:num>
  <w:num w:numId="32" w16cid:durableId="294601978">
    <w:abstractNumId w:val="42"/>
  </w:num>
  <w:num w:numId="33" w16cid:durableId="1524857647">
    <w:abstractNumId w:val="58"/>
  </w:num>
  <w:num w:numId="34" w16cid:durableId="888998820">
    <w:abstractNumId w:val="7"/>
  </w:num>
  <w:num w:numId="35" w16cid:durableId="474760864">
    <w:abstractNumId w:val="37"/>
  </w:num>
  <w:num w:numId="36" w16cid:durableId="309017832">
    <w:abstractNumId w:val="56"/>
  </w:num>
  <w:num w:numId="37" w16cid:durableId="721834211">
    <w:abstractNumId w:val="51"/>
  </w:num>
  <w:num w:numId="38" w16cid:durableId="1777092144">
    <w:abstractNumId w:val="47"/>
  </w:num>
  <w:num w:numId="39" w16cid:durableId="1459688760">
    <w:abstractNumId w:val="54"/>
  </w:num>
  <w:num w:numId="40" w16cid:durableId="1731610476">
    <w:abstractNumId w:val="30"/>
  </w:num>
  <w:num w:numId="41" w16cid:durableId="1353147033">
    <w:abstractNumId w:val="41"/>
  </w:num>
  <w:num w:numId="42" w16cid:durableId="1683320241">
    <w:abstractNumId w:val="33"/>
  </w:num>
  <w:num w:numId="43" w16cid:durableId="1856647417">
    <w:abstractNumId w:val="53"/>
  </w:num>
  <w:num w:numId="44" w16cid:durableId="331418958">
    <w:abstractNumId w:val="2"/>
  </w:num>
  <w:num w:numId="45" w16cid:durableId="735475183">
    <w:abstractNumId w:val="11"/>
  </w:num>
  <w:num w:numId="46" w16cid:durableId="577978417">
    <w:abstractNumId w:val="15"/>
  </w:num>
  <w:num w:numId="47" w16cid:durableId="1259824514">
    <w:abstractNumId w:val="57"/>
  </w:num>
  <w:num w:numId="48" w16cid:durableId="1864321176">
    <w:abstractNumId w:val="5"/>
  </w:num>
  <w:num w:numId="49" w16cid:durableId="1443568446">
    <w:abstractNumId w:val="22"/>
  </w:num>
  <w:num w:numId="50" w16cid:durableId="1729449185">
    <w:abstractNumId w:val="49"/>
  </w:num>
  <w:num w:numId="51" w16cid:durableId="1847550600">
    <w:abstractNumId w:val="18"/>
  </w:num>
  <w:num w:numId="52" w16cid:durableId="268658595">
    <w:abstractNumId w:val="44"/>
  </w:num>
  <w:num w:numId="53" w16cid:durableId="567762511">
    <w:abstractNumId w:val="45"/>
  </w:num>
  <w:num w:numId="54" w16cid:durableId="1768237042">
    <w:abstractNumId w:val="29"/>
  </w:num>
  <w:num w:numId="55" w16cid:durableId="455029312">
    <w:abstractNumId w:val="21"/>
  </w:num>
  <w:num w:numId="56" w16cid:durableId="496187959">
    <w:abstractNumId w:val="62"/>
  </w:num>
  <w:num w:numId="57" w16cid:durableId="278802398">
    <w:abstractNumId w:val="8"/>
  </w:num>
  <w:num w:numId="58" w16cid:durableId="2058123423">
    <w:abstractNumId w:val="14"/>
  </w:num>
  <w:num w:numId="59" w16cid:durableId="115950896">
    <w:abstractNumId w:val="34"/>
  </w:num>
  <w:num w:numId="60" w16cid:durableId="267467855">
    <w:abstractNumId w:val="4"/>
  </w:num>
  <w:num w:numId="61" w16cid:durableId="1107575947">
    <w:abstractNumId w:val="50"/>
  </w:num>
  <w:num w:numId="62" w16cid:durableId="187187256">
    <w:abstractNumId w:val="43"/>
  </w:num>
  <w:num w:numId="63" w16cid:durableId="465779203">
    <w:abstractNumId w:val="63"/>
  </w:num>
  <w:num w:numId="64" w16cid:durableId="87813083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659A3"/>
    <w:rsid w:val="00081C5E"/>
    <w:rsid w:val="000822E5"/>
    <w:rsid w:val="0008433A"/>
    <w:rsid w:val="000971FC"/>
    <w:rsid w:val="000A2A3A"/>
    <w:rsid w:val="000A492A"/>
    <w:rsid w:val="000B2840"/>
    <w:rsid w:val="000B424C"/>
    <w:rsid w:val="000B6520"/>
    <w:rsid w:val="000D03F2"/>
    <w:rsid w:val="000D2F80"/>
    <w:rsid w:val="000E413A"/>
    <w:rsid w:val="000E79DE"/>
    <w:rsid w:val="000F5AA3"/>
    <w:rsid w:val="00100396"/>
    <w:rsid w:val="00100B5C"/>
    <w:rsid w:val="00103507"/>
    <w:rsid w:val="00107A8F"/>
    <w:rsid w:val="001106E9"/>
    <w:rsid w:val="00124CA5"/>
    <w:rsid w:val="00134F77"/>
    <w:rsid w:val="00152E9D"/>
    <w:rsid w:val="00154487"/>
    <w:rsid w:val="0017512A"/>
    <w:rsid w:val="0018019E"/>
    <w:rsid w:val="00196958"/>
    <w:rsid w:val="001A1369"/>
    <w:rsid w:val="001A1E39"/>
    <w:rsid w:val="001A24F3"/>
    <w:rsid w:val="001B405C"/>
    <w:rsid w:val="001B5F45"/>
    <w:rsid w:val="001D4F1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232D"/>
    <w:rsid w:val="00283221"/>
    <w:rsid w:val="00285469"/>
    <w:rsid w:val="0028591B"/>
    <w:rsid w:val="00291841"/>
    <w:rsid w:val="002A3278"/>
    <w:rsid w:val="002C449B"/>
    <w:rsid w:val="002C6040"/>
    <w:rsid w:val="002D1E6B"/>
    <w:rsid w:val="002D5B3F"/>
    <w:rsid w:val="002E272E"/>
    <w:rsid w:val="002E424C"/>
    <w:rsid w:val="002F5778"/>
    <w:rsid w:val="003223E0"/>
    <w:rsid w:val="00352C4A"/>
    <w:rsid w:val="003547A4"/>
    <w:rsid w:val="00362560"/>
    <w:rsid w:val="00371104"/>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266F"/>
    <w:rsid w:val="004D3367"/>
    <w:rsid w:val="004D5E9B"/>
    <w:rsid w:val="004D63D9"/>
    <w:rsid w:val="004E6585"/>
    <w:rsid w:val="0050249F"/>
    <w:rsid w:val="0051307A"/>
    <w:rsid w:val="00523B75"/>
    <w:rsid w:val="00524566"/>
    <w:rsid w:val="00524EDC"/>
    <w:rsid w:val="00530BEF"/>
    <w:rsid w:val="00552351"/>
    <w:rsid w:val="00561F00"/>
    <w:rsid w:val="00562C4E"/>
    <w:rsid w:val="00562DEC"/>
    <w:rsid w:val="00576AB4"/>
    <w:rsid w:val="00577917"/>
    <w:rsid w:val="00590667"/>
    <w:rsid w:val="00590E24"/>
    <w:rsid w:val="005969E2"/>
    <w:rsid w:val="005A1689"/>
    <w:rsid w:val="005A7EBD"/>
    <w:rsid w:val="005B2344"/>
    <w:rsid w:val="005B45E9"/>
    <w:rsid w:val="005B61CD"/>
    <w:rsid w:val="005B7656"/>
    <w:rsid w:val="005B76AD"/>
    <w:rsid w:val="005D0CE8"/>
    <w:rsid w:val="005D1D58"/>
    <w:rsid w:val="005D432C"/>
    <w:rsid w:val="005E1FF4"/>
    <w:rsid w:val="005E285E"/>
    <w:rsid w:val="005E72F8"/>
    <w:rsid w:val="005F0579"/>
    <w:rsid w:val="005F3A53"/>
    <w:rsid w:val="006062A3"/>
    <w:rsid w:val="00606816"/>
    <w:rsid w:val="00610E08"/>
    <w:rsid w:val="006140BF"/>
    <w:rsid w:val="006161BE"/>
    <w:rsid w:val="006200D4"/>
    <w:rsid w:val="00620787"/>
    <w:rsid w:val="00632434"/>
    <w:rsid w:val="0063478F"/>
    <w:rsid w:val="00644256"/>
    <w:rsid w:val="00661D6F"/>
    <w:rsid w:val="006628E9"/>
    <w:rsid w:val="0066725E"/>
    <w:rsid w:val="006716C7"/>
    <w:rsid w:val="00676241"/>
    <w:rsid w:val="00681208"/>
    <w:rsid w:val="00681FA9"/>
    <w:rsid w:val="006871A2"/>
    <w:rsid w:val="00687433"/>
    <w:rsid w:val="00691EA9"/>
    <w:rsid w:val="006934D4"/>
    <w:rsid w:val="006A6DC3"/>
    <w:rsid w:val="006C1480"/>
    <w:rsid w:val="006C2344"/>
    <w:rsid w:val="006C3F2C"/>
    <w:rsid w:val="006D49ED"/>
    <w:rsid w:val="006D55CE"/>
    <w:rsid w:val="006D637A"/>
    <w:rsid w:val="006D6B5E"/>
    <w:rsid w:val="006D6F24"/>
    <w:rsid w:val="006E3E4E"/>
    <w:rsid w:val="006E6EEF"/>
    <w:rsid w:val="006F1715"/>
    <w:rsid w:val="006F2399"/>
    <w:rsid w:val="006F45BF"/>
    <w:rsid w:val="006F60E0"/>
    <w:rsid w:val="00702F71"/>
    <w:rsid w:val="00703E86"/>
    <w:rsid w:val="00712504"/>
    <w:rsid w:val="00726BE0"/>
    <w:rsid w:val="0072784F"/>
    <w:rsid w:val="007366DF"/>
    <w:rsid w:val="00757839"/>
    <w:rsid w:val="00761971"/>
    <w:rsid w:val="00770C81"/>
    <w:rsid w:val="00780CCD"/>
    <w:rsid w:val="00791024"/>
    <w:rsid w:val="00793F0A"/>
    <w:rsid w:val="007A2657"/>
    <w:rsid w:val="007C682C"/>
    <w:rsid w:val="007D2385"/>
    <w:rsid w:val="007E6F99"/>
    <w:rsid w:val="007F214F"/>
    <w:rsid w:val="007F2980"/>
    <w:rsid w:val="007F6101"/>
    <w:rsid w:val="00800069"/>
    <w:rsid w:val="008042F0"/>
    <w:rsid w:val="00816338"/>
    <w:rsid w:val="008310A0"/>
    <w:rsid w:val="00835D29"/>
    <w:rsid w:val="00842E7F"/>
    <w:rsid w:val="008440FE"/>
    <w:rsid w:val="00852933"/>
    <w:rsid w:val="008566E5"/>
    <w:rsid w:val="008566FE"/>
    <w:rsid w:val="00864A49"/>
    <w:rsid w:val="00865B46"/>
    <w:rsid w:val="00876776"/>
    <w:rsid w:val="00896134"/>
    <w:rsid w:val="008A1FA0"/>
    <w:rsid w:val="008A62BC"/>
    <w:rsid w:val="008B43E7"/>
    <w:rsid w:val="008D763F"/>
    <w:rsid w:val="008E77F4"/>
    <w:rsid w:val="008F036F"/>
    <w:rsid w:val="008F1308"/>
    <w:rsid w:val="008F78C2"/>
    <w:rsid w:val="00904568"/>
    <w:rsid w:val="00911394"/>
    <w:rsid w:val="009140AD"/>
    <w:rsid w:val="00923EF2"/>
    <w:rsid w:val="00926D25"/>
    <w:rsid w:val="00926E9D"/>
    <w:rsid w:val="00932C6E"/>
    <w:rsid w:val="00933F10"/>
    <w:rsid w:val="009363CA"/>
    <w:rsid w:val="009433C5"/>
    <w:rsid w:val="00950DBF"/>
    <w:rsid w:val="00965881"/>
    <w:rsid w:val="00972877"/>
    <w:rsid w:val="009871FF"/>
    <w:rsid w:val="00990799"/>
    <w:rsid w:val="00995D51"/>
    <w:rsid w:val="009A0631"/>
    <w:rsid w:val="009B10ED"/>
    <w:rsid w:val="009D3371"/>
    <w:rsid w:val="009D3EA4"/>
    <w:rsid w:val="009D649C"/>
    <w:rsid w:val="009E4BC1"/>
    <w:rsid w:val="009E7434"/>
    <w:rsid w:val="009F5CB2"/>
    <w:rsid w:val="00A03BB8"/>
    <w:rsid w:val="00A3505D"/>
    <w:rsid w:val="00A4036F"/>
    <w:rsid w:val="00A406E5"/>
    <w:rsid w:val="00A4641C"/>
    <w:rsid w:val="00A47A0C"/>
    <w:rsid w:val="00A55876"/>
    <w:rsid w:val="00A67FB1"/>
    <w:rsid w:val="00A85BFE"/>
    <w:rsid w:val="00AB6FE7"/>
    <w:rsid w:val="00AB7AD7"/>
    <w:rsid w:val="00AC3E43"/>
    <w:rsid w:val="00AC5F32"/>
    <w:rsid w:val="00AD2430"/>
    <w:rsid w:val="00AE41A6"/>
    <w:rsid w:val="00AF0E34"/>
    <w:rsid w:val="00AF271D"/>
    <w:rsid w:val="00AF56C2"/>
    <w:rsid w:val="00AF7281"/>
    <w:rsid w:val="00B004E6"/>
    <w:rsid w:val="00B0744D"/>
    <w:rsid w:val="00B10CF0"/>
    <w:rsid w:val="00B22A40"/>
    <w:rsid w:val="00B50EA8"/>
    <w:rsid w:val="00B64082"/>
    <w:rsid w:val="00B72325"/>
    <w:rsid w:val="00B72EC6"/>
    <w:rsid w:val="00B81AD3"/>
    <w:rsid w:val="00B829D8"/>
    <w:rsid w:val="00B84B5B"/>
    <w:rsid w:val="00B86446"/>
    <w:rsid w:val="00BA1176"/>
    <w:rsid w:val="00BC4D3D"/>
    <w:rsid w:val="00BC57DA"/>
    <w:rsid w:val="00BE0B01"/>
    <w:rsid w:val="00BE79C7"/>
    <w:rsid w:val="00BF3CB5"/>
    <w:rsid w:val="00C01A3F"/>
    <w:rsid w:val="00C073F1"/>
    <w:rsid w:val="00C1285B"/>
    <w:rsid w:val="00C1361B"/>
    <w:rsid w:val="00C14E1F"/>
    <w:rsid w:val="00C213DD"/>
    <w:rsid w:val="00C315AF"/>
    <w:rsid w:val="00C32EEF"/>
    <w:rsid w:val="00C36D9A"/>
    <w:rsid w:val="00C44A72"/>
    <w:rsid w:val="00C456FE"/>
    <w:rsid w:val="00C61FC2"/>
    <w:rsid w:val="00C705F9"/>
    <w:rsid w:val="00C80F0F"/>
    <w:rsid w:val="00C842C7"/>
    <w:rsid w:val="00C86333"/>
    <w:rsid w:val="00C8667A"/>
    <w:rsid w:val="00C93BCB"/>
    <w:rsid w:val="00CA301D"/>
    <w:rsid w:val="00CC241A"/>
    <w:rsid w:val="00CC70D6"/>
    <w:rsid w:val="00CE4035"/>
    <w:rsid w:val="00CE65AB"/>
    <w:rsid w:val="00CF4266"/>
    <w:rsid w:val="00D22255"/>
    <w:rsid w:val="00D22D9C"/>
    <w:rsid w:val="00D241F1"/>
    <w:rsid w:val="00D275CB"/>
    <w:rsid w:val="00D30DFA"/>
    <w:rsid w:val="00D36028"/>
    <w:rsid w:val="00D40B5C"/>
    <w:rsid w:val="00D463A5"/>
    <w:rsid w:val="00D4710D"/>
    <w:rsid w:val="00D47D25"/>
    <w:rsid w:val="00D47E5E"/>
    <w:rsid w:val="00D62ACD"/>
    <w:rsid w:val="00D86FFD"/>
    <w:rsid w:val="00D93DAB"/>
    <w:rsid w:val="00DA36EE"/>
    <w:rsid w:val="00DB116D"/>
    <w:rsid w:val="00DB444C"/>
    <w:rsid w:val="00DD17CC"/>
    <w:rsid w:val="00DE217A"/>
    <w:rsid w:val="00DF321B"/>
    <w:rsid w:val="00E170F5"/>
    <w:rsid w:val="00E230E0"/>
    <w:rsid w:val="00E51AAC"/>
    <w:rsid w:val="00E62CBB"/>
    <w:rsid w:val="00E66CC0"/>
    <w:rsid w:val="00E728A9"/>
    <w:rsid w:val="00E805F6"/>
    <w:rsid w:val="00E807D9"/>
    <w:rsid w:val="00E84E5A"/>
    <w:rsid w:val="00EA0F4E"/>
    <w:rsid w:val="00EA295B"/>
    <w:rsid w:val="00EA3B9B"/>
    <w:rsid w:val="00EA6801"/>
    <w:rsid w:val="00EB4F96"/>
    <w:rsid w:val="00ED03A2"/>
    <w:rsid w:val="00ED2617"/>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5D28"/>
    <w:rsid w:val="00F57212"/>
    <w:rsid w:val="00F57A89"/>
    <w:rsid w:val="00F61A20"/>
    <w:rsid w:val="00F620C8"/>
    <w:rsid w:val="00F63DD9"/>
    <w:rsid w:val="00F67644"/>
    <w:rsid w:val="00F825EC"/>
    <w:rsid w:val="00F8381F"/>
    <w:rsid w:val="00FA04CD"/>
    <w:rsid w:val="00FA25F5"/>
    <w:rsid w:val="00FA2810"/>
    <w:rsid w:val="00FA68F8"/>
    <w:rsid w:val="00FB1DC0"/>
    <w:rsid w:val="00FB3B4E"/>
    <w:rsid w:val="00FB4521"/>
    <w:rsid w:val="00FB4F84"/>
    <w:rsid w:val="00FB5CF8"/>
    <w:rsid w:val="00FB74AB"/>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0B6437"/>
  <w15:docId w15:val="{2395FE27-79FE-49AC-8C11-064F6BF9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uiPriority="9" w:qFormat="1"/>
    <w:lsdException w:name="heading 4" w:uiPriority="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87433"/>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rPr>
  </w:style>
  <w:style w:type="paragraph" w:styleId="Heading3">
    <w:name w:val="heading 3"/>
    <w:basedOn w:val="Normal"/>
    <w:next w:val="Normal"/>
    <w:link w:val="Heading3Char"/>
    <w:uiPriority w:val="9"/>
    <w:qFormat/>
    <w:pPr>
      <w:keepNext/>
      <w:jc w:val="center"/>
      <w:outlineLvl w:val="2"/>
    </w:pPr>
    <w:rPr>
      <w:b/>
    </w:rPr>
  </w:style>
  <w:style w:type="paragraph" w:styleId="Heading4">
    <w:name w:val="heading 4"/>
    <w:basedOn w:val="Normal"/>
    <w:next w:val="Normal"/>
    <w:link w:val="Heading4Char"/>
    <w:uiPriority w:val="9"/>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uiPriority w:val="9"/>
    <w:rsid w:val="00726BE0"/>
    <w:rPr>
      <w:b/>
      <w:sz w:val="24"/>
      <w:lang w:eastAsia="en-GB"/>
    </w:rPr>
  </w:style>
  <w:style w:type="character" w:customStyle="1" w:styleId="Heading3Char">
    <w:name w:val="Heading 3 Char"/>
    <w:basedOn w:val="DefaultParagraphFont"/>
    <w:link w:val="Heading3"/>
    <w:uiPriority w:val="9"/>
    <w:rsid w:val="00726BE0"/>
    <w:rPr>
      <w:b/>
      <w:sz w:val="24"/>
      <w:lang w:eastAsia="en-GB"/>
    </w:rPr>
  </w:style>
  <w:style w:type="character" w:styleId="Strong">
    <w:name w:val="Strong"/>
    <w:basedOn w:val="DefaultParagraphFont"/>
    <w:uiPriority w:val="22"/>
    <w:qFormat/>
    <w:rsid w:val="00726BE0"/>
    <w:rPr>
      <w:b/>
      <w:bCs/>
    </w:rPr>
  </w:style>
  <w:style w:type="character" w:customStyle="1" w:styleId="whitespace-normal">
    <w:name w:val="whitespace-normal"/>
    <w:basedOn w:val="DefaultParagraphFont"/>
    <w:rsid w:val="00AF7281"/>
  </w:style>
  <w:style w:type="paragraph" w:styleId="z-TopofForm">
    <w:name w:val="HTML Top of Form"/>
    <w:basedOn w:val="Normal"/>
    <w:next w:val="Normal"/>
    <w:link w:val="z-TopofFormChar"/>
    <w:hidden/>
    <w:uiPriority w:val="99"/>
    <w:semiHidden/>
    <w:unhideWhenUsed/>
    <w:rsid w:val="00AF7281"/>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F7281"/>
    <w:rPr>
      <w:rFonts w:ascii="Arial" w:hAnsi="Arial" w:cs="Arial"/>
      <w:vanish/>
      <w:sz w:val="16"/>
      <w:szCs w:val="16"/>
      <w:lang w:eastAsia="en-GB"/>
    </w:rPr>
  </w:style>
  <w:style w:type="paragraph" w:customStyle="1" w:styleId="placeholder">
    <w:name w:val="placeholder"/>
    <w:basedOn w:val="Normal"/>
    <w:rsid w:val="00AF7281"/>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AF7281"/>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F7281"/>
    <w:rPr>
      <w:rFonts w:ascii="Arial" w:hAnsi="Arial" w:cs="Arial"/>
      <w:vanish/>
      <w:sz w:val="16"/>
      <w:szCs w:val="16"/>
      <w:lang w:eastAsia="en-GB"/>
    </w:rPr>
  </w:style>
  <w:style w:type="character" w:customStyle="1" w:styleId="Heading4Char">
    <w:name w:val="Heading 4 Char"/>
    <w:basedOn w:val="DefaultParagraphFont"/>
    <w:link w:val="Heading4"/>
    <w:uiPriority w:val="9"/>
    <w:rsid w:val="00524EDC"/>
    <w:rPr>
      <w:sz w:val="40"/>
      <w:szCs w:val="24"/>
      <w:lang w:eastAsia="en-GB"/>
    </w:rPr>
  </w:style>
  <w:style w:type="character" w:styleId="UnresolvedMention">
    <w:name w:val="Unresolved Mention"/>
    <w:basedOn w:val="DefaultParagraphFont"/>
    <w:uiPriority w:val="99"/>
    <w:semiHidden/>
    <w:unhideWhenUsed/>
    <w:rsid w:val="00F620C8"/>
    <w:rPr>
      <w:color w:val="605E5C"/>
      <w:shd w:val="clear" w:color="auto" w:fill="E1DFDD"/>
    </w:rPr>
  </w:style>
  <w:style w:type="character" w:styleId="FollowedHyperlink">
    <w:name w:val="FollowedHyperlink"/>
    <w:basedOn w:val="DefaultParagraphFont"/>
    <w:semiHidden/>
    <w:unhideWhenUsed/>
    <w:rsid w:val="00F620C8"/>
    <w:rPr>
      <w:color w:val="800080" w:themeColor="followedHyperlink"/>
      <w:u w:val="single"/>
    </w:rPr>
  </w:style>
  <w:style w:type="character" w:styleId="PageNumber">
    <w:name w:val="page number"/>
    <w:basedOn w:val="DefaultParagraphFont"/>
    <w:semiHidden/>
    <w:unhideWhenUsed/>
    <w:rsid w:val="00E170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016544835">
      <w:bodyDiv w:val="1"/>
      <w:marLeft w:val="0"/>
      <w:marRight w:val="0"/>
      <w:marTop w:val="0"/>
      <w:marBottom w:val="0"/>
      <w:divBdr>
        <w:top w:val="none" w:sz="0" w:space="0" w:color="auto"/>
        <w:left w:val="none" w:sz="0" w:space="0" w:color="auto"/>
        <w:bottom w:val="none" w:sz="0" w:space="0" w:color="auto"/>
        <w:right w:val="none" w:sz="0" w:space="0" w:color="auto"/>
      </w:divBdr>
      <w:divsChild>
        <w:div w:id="2016759401">
          <w:marLeft w:val="0"/>
          <w:marRight w:val="0"/>
          <w:marTop w:val="0"/>
          <w:marBottom w:val="0"/>
          <w:divBdr>
            <w:top w:val="none" w:sz="0" w:space="0" w:color="auto"/>
            <w:left w:val="none" w:sz="0" w:space="0" w:color="auto"/>
            <w:bottom w:val="none" w:sz="0" w:space="0" w:color="auto"/>
            <w:right w:val="none" w:sz="0" w:space="0" w:color="auto"/>
          </w:divBdr>
        </w:div>
      </w:divsChild>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lenmacarthurfoundation.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ivingforce.com/blog/implementing-sustainable-practic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dgs.un.or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7</Pages>
  <Words>2822</Words>
  <Characters>16088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18873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Tristan Nelson (2003481)</cp:lastModifiedBy>
  <cp:revision>2</cp:revision>
  <cp:lastPrinted>2014-10-10T07:42:00Z</cp:lastPrinted>
  <dcterms:created xsi:type="dcterms:W3CDTF">2026-04-03T20:44:00Z</dcterms:created>
  <dcterms:modified xsi:type="dcterms:W3CDTF">2026-04-03T20:44:00Z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