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4EC4" w:rsidRDefault="005D4EC4"/>
    <w:p w:rsidR="005D4EC4" w:rsidRDefault="005D4EC4">
      <w:r w:rsidRPr="005D4EC4">
        <w:rPr>
          <w:noProof/>
          <w:lang w:eastAsia="en-US" w:bidi="gu-IN"/>
        </w:rPr>
        <w:drawing>
          <wp:inline distT="0" distB="0" distL="0" distR="0">
            <wp:extent cx="5927005" cy="1705099"/>
            <wp:effectExtent l="76200" t="76200" r="111845" b="85601"/>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17098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5D4EC4" w:rsidRDefault="005D4EC4"/>
    <w:p w:rsidR="005D4EC4" w:rsidRDefault="005D4EC4"/>
    <w:p w:rsidR="005D4EC4" w:rsidRPr="00C07D93" w:rsidRDefault="005D4EC4" w:rsidP="005D4EC4">
      <w:pPr>
        <w:jc w:val="left"/>
        <w:rPr>
          <w:b/>
          <w:bCs/>
          <w:sz w:val="28"/>
          <w:szCs w:val="28"/>
        </w:rPr>
      </w:pPr>
      <w:r w:rsidRPr="00C07D93">
        <w:rPr>
          <w:b/>
          <w:bCs/>
          <w:sz w:val="28"/>
          <w:szCs w:val="28"/>
        </w:rPr>
        <w:t>Programme</w:t>
      </w:r>
      <w:r w:rsidRPr="00C07D93">
        <w:rPr>
          <w:b/>
          <w:bCs/>
          <w:sz w:val="28"/>
          <w:szCs w:val="28"/>
        </w:rPr>
        <w:tab/>
      </w:r>
      <w:r w:rsidRPr="00C07D93">
        <w:rPr>
          <w:b/>
          <w:bCs/>
          <w:sz w:val="28"/>
          <w:szCs w:val="28"/>
        </w:rPr>
        <w:tab/>
      </w:r>
      <w:r w:rsidRPr="00C07D93">
        <w:rPr>
          <w:b/>
          <w:bCs/>
          <w:sz w:val="28"/>
          <w:szCs w:val="28"/>
        </w:rPr>
        <w:tab/>
        <w:t>:- Master Business Administration</w:t>
      </w:r>
    </w:p>
    <w:p w:rsidR="005D4EC4" w:rsidRPr="00C07D93" w:rsidRDefault="005D4EC4" w:rsidP="005D4EC4">
      <w:pPr>
        <w:jc w:val="left"/>
        <w:rPr>
          <w:b/>
          <w:bCs/>
          <w:sz w:val="28"/>
          <w:szCs w:val="28"/>
        </w:rPr>
      </w:pPr>
      <w:r w:rsidRPr="00C07D93">
        <w:rPr>
          <w:b/>
          <w:bCs/>
          <w:sz w:val="28"/>
          <w:szCs w:val="28"/>
        </w:rPr>
        <w:t>Module</w:t>
      </w:r>
      <w:r w:rsidRPr="00C07D93">
        <w:rPr>
          <w:b/>
          <w:bCs/>
          <w:sz w:val="28"/>
          <w:szCs w:val="28"/>
        </w:rPr>
        <w:tab/>
      </w:r>
      <w:r w:rsidRPr="00C07D93">
        <w:rPr>
          <w:b/>
          <w:bCs/>
          <w:sz w:val="28"/>
          <w:szCs w:val="28"/>
        </w:rPr>
        <w:tab/>
      </w:r>
      <w:r w:rsidRPr="00C07D93">
        <w:rPr>
          <w:b/>
          <w:bCs/>
          <w:sz w:val="28"/>
          <w:szCs w:val="28"/>
        </w:rPr>
        <w:tab/>
      </w:r>
      <w:r w:rsidRPr="00C07D93">
        <w:rPr>
          <w:b/>
          <w:bCs/>
          <w:sz w:val="28"/>
          <w:szCs w:val="28"/>
        </w:rPr>
        <w:tab/>
        <w:t>:- Human Capital Management</w:t>
      </w:r>
      <w:r w:rsidRPr="00C07D93">
        <w:rPr>
          <w:b/>
          <w:bCs/>
          <w:sz w:val="28"/>
          <w:szCs w:val="28"/>
        </w:rPr>
        <w:br/>
        <w:t xml:space="preserve"> Module Code</w:t>
      </w:r>
      <w:r w:rsidRPr="00C07D93">
        <w:rPr>
          <w:b/>
          <w:bCs/>
          <w:sz w:val="28"/>
          <w:szCs w:val="28"/>
        </w:rPr>
        <w:tab/>
      </w:r>
      <w:r w:rsidRPr="00C07D93">
        <w:rPr>
          <w:b/>
          <w:bCs/>
          <w:sz w:val="28"/>
          <w:szCs w:val="28"/>
        </w:rPr>
        <w:tab/>
      </w:r>
      <w:r w:rsidRPr="00C07D93">
        <w:rPr>
          <w:b/>
          <w:bCs/>
          <w:sz w:val="28"/>
          <w:szCs w:val="28"/>
        </w:rPr>
        <w:tab/>
        <w:t>:- LCMB7023</w:t>
      </w:r>
    </w:p>
    <w:p w:rsidR="005D4EC4" w:rsidRPr="00C07D93" w:rsidRDefault="005D4EC4" w:rsidP="005D4EC4">
      <w:pPr>
        <w:jc w:val="left"/>
        <w:rPr>
          <w:b/>
          <w:bCs/>
          <w:sz w:val="28"/>
          <w:szCs w:val="28"/>
        </w:rPr>
      </w:pPr>
      <w:r w:rsidRPr="00C07D93">
        <w:rPr>
          <w:b/>
          <w:bCs/>
          <w:sz w:val="28"/>
          <w:szCs w:val="28"/>
        </w:rPr>
        <w:t>Assignment Title</w:t>
      </w:r>
      <w:r w:rsidRPr="00C07D93">
        <w:rPr>
          <w:b/>
          <w:bCs/>
          <w:sz w:val="28"/>
          <w:szCs w:val="28"/>
        </w:rPr>
        <w:tab/>
      </w:r>
      <w:r w:rsidRPr="00C07D93">
        <w:rPr>
          <w:b/>
          <w:bCs/>
          <w:sz w:val="28"/>
          <w:szCs w:val="28"/>
        </w:rPr>
        <w:tab/>
        <w:t xml:space="preserve">:- Innovating New Working Practices and </w:t>
      </w:r>
      <w:r w:rsidRPr="00C07D93">
        <w:rPr>
          <w:b/>
          <w:bCs/>
          <w:sz w:val="28"/>
          <w:szCs w:val="28"/>
        </w:rPr>
        <w:tab/>
      </w:r>
      <w:r w:rsidRPr="00C07D93">
        <w:rPr>
          <w:b/>
          <w:bCs/>
          <w:sz w:val="28"/>
          <w:szCs w:val="28"/>
        </w:rPr>
        <w:tab/>
      </w:r>
      <w:r w:rsidRPr="00C07D93">
        <w:rPr>
          <w:b/>
          <w:bCs/>
          <w:sz w:val="28"/>
          <w:szCs w:val="28"/>
        </w:rPr>
        <w:tab/>
      </w:r>
      <w:r w:rsidRPr="00C07D93">
        <w:rPr>
          <w:b/>
          <w:bCs/>
          <w:sz w:val="28"/>
          <w:szCs w:val="28"/>
        </w:rPr>
        <w:tab/>
      </w:r>
      <w:r w:rsidRPr="00C07D93">
        <w:rPr>
          <w:b/>
          <w:bCs/>
          <w:sz w:val="28"/>
          <w:szCs w:val="28"/>
        </w:rPr>
        <w:tab/>
      </w:r>
      <w:r w:rsidRPr="00C07D93">
        <w:rPr>
          <w:b/>
          <w:bCs/>
          <w:sz w:val="28"/>
          <w:szCs w:val="28"/>
        </w:rPr>
        <w:tab/>
        <w:t xml:space="preserve">   Breeding an Environment Where T</w:t>
      </w:r>
      <w:bookmarkStart w:id="0" w:name="_GoBack"/>
      <w:bookmarkEnd w:id="0"/>
      <w:r w:rsidRPr="00C07D93">
        <w:rPr>
          <w:b/>
          <w:bCs/>
          <w:sz w:val="28"/>
          <w:szCs w:val="28"/>
        </w:rPr>
        <w:t xml:space="preserve">alent </w:t>
      </w:r>
      <w:r w:rsidRPr="00C07D93">
        <w:rPr>
          <w:b/>
          <w:bCs/>
          <w:sz w:val="28"/>
          <w:szCs w:val="28"/>
        </w:rPr>
        <w:tab/>
      </w:r>
      <w:r w:rsidRPr="00C07D93">
        <w:rPr>
          <w:b/>
          <w:bCs/>
          <w:sz w:val="28"/>
          <w:szCs w:val="28"/>
        </w:rPr>
        <w:tab/>
      </w:r>
      <w:r w:rsidRPr="00C07D93">
        <w:rPr>
          <w:b/>
          <w:bCs/>
          <w:sz w:val="28"/>
          <w:szCs w:val="28"/>
        </w:rPr>
        <w:tab/>
      </w:r>
      <w:r w:rsidRPr="00C07D93">
        <w:rPr>
          <w:b/>
          <w:bCs/>
          <w:sz w:val="28"/>
          <w:szCs w:val="28"/>
        </w:rPr>
        <w:tab/>
      </w:r>
      <w:r w:rsidRPr="00C07D93">
        <w:rPr>
          <w:b/>
          <w:bCs/>
          <w:sz w:val="28"/>
          <w:szCs w:val="28"/>
        </w:rPr>
        <w:tab/>
      </w:r>
      <w:r w:rsidRPr="00C07D93">
        <w:rPr>
          <w:b/>
          <w:bCs/>
          <w:sz w:val="28"/>
          <w:szCs w:val="28"/>
        </w:rPr>
        <w:tab/>
        <w:t xml:space="preserve">   May Grow</w:t>
      </w:r>
    </w:p>
    <w:p w:rsidR="005D4EC4" w:rsidRPr="00C07D93" w:rsidRDefault="005D4EC4" w:rsidP="005D4EC4">
      <w:pPr>
        <w:jc w:val="left"/>
        <w:rPr>
          <w:b/>
          <w:bCs/>
          <w:sz w:val="28"/>
          <w:szCs w:val="28"/>
        </w:rPr>
      </w:pPr>
      <w:r w:rsidRPr="00C07D93">
        <w:rPr>
          <w:b/>
          <w:bCs/>
          <w:sz w:val="28"/>
          <w:szCs w:val="28"/>
        </w:rPr>
        <w:t>Assessment Component</w:t>
      </w:r>
      <w:r w:rsidRPr="00C07D93">
        <w:rPr>
          <w:b/>
          <w:bCs/>
          <w:sz w:val="28"/>
          <w:szCs w:val="28"/>
        </w:rPr>
        <w:tab/>
        <w:t>:- 1 – Individual Report</w:t>
      </w:r>
    </w:p>
    <w:p w:rsidR="005D4EC4" w:rsidRPr="00C07D93" w:rsidRDefault="005D4EC4" w:rsidP="005D4EC4">
      <w:pPr>
        <w:jc w:val="left"/>
        <w:rPr>
          <w:b/>
          <w:bCs/>
          <w:sz w:val="28"/>
          <w:szCs w:val="28"/>
        </w:rPr>
      </w:pPr>
      <w:r w:rsidRPr="00C07D93">
        <w:rPr>
          <w:b/>
          <w:bCs/>
          <w:sz w:val="28"/>
          <w:szCs w:val="28"/>
        </w:rPr>
        <w:t>Case Organisation</w:t>
      </w:r>
      <w:r w:rsidRPr="00C07D93">
        <w:rPr>
          <w:b/>
          <w:bCs/>
          <w:sz w:val="28"/>
          <w:szCs w:val="28"/>
        </w:rPr>
        <w:tab/>
      </w:r>
      <w:r w:rsidRPr="00C07D93">
        <w:rPr>
          <w:b/>
          <w:bCs/>
          <w:sz w:val="28"/>
          <w:szCs w:val="28"/>
        </w:rPr>
        <w:tab/>
        <w:t>:- NexSpace Health Systems (NHSX)</w:t>
      </w:r>
    </w:p>
    <w:p w:rsidR="005D4EC4" w:rsidRPr="00C07D93" w:rsidRDefault="005D4EC4" w:rsidP="005D4EC4">
      <w:pPr>
        <w:jc w:val="left"/>
        <w:rPr>
          <w:b/>
          <w:bCs/>
          <w:sz w:val="28"/>
          <w:szCs w:val="28"/>
        </w:rPr>
      </w:pPr>
      <w:r w:rsidRPr="00C07D93">
        <w:rPr>
          <w:b/>
          <w:bCs/>
          <w:sz w:val="28"/>
          <w:szCs w:val="28"/>
        </w:rPr>
        <w:t>Lecture’s Name</w:t>
      </w:r>
      <w:r w:rsidRPr="00C07D93">
        <w:rPr>
          <w:b/>
          <w:bCs/>
          <w:sz w:val="28"/>
          <w:szCs w:val="28"/>
        </w:rPr>
        <w:tab/>
      </w:r>
      <w:r w:rsidRPr="00C07D93">
        <w:rPr>
          <w:b/>
          <w:bCs/>
          <w:sz w:val="28"/>
          <w:szCs w:val="28"/>
        </w:rPr>
        <w:tab/>
      </w:r>
      <w:r w:rsidRPr="00C07D93">
        <w:rPr>
          <w:b/>
          <w:bCs/>
          <w:sz w:val="28"/>
          <w:szCs w:val="28"/>
        </w:rPr>
        <w:tab/>
        <w:t>:- Eno Maycock</w:t>
      </w:r>
    </w:p>
    <w:p w:rsidR="005D4EC4" w:rsidRPr="00C07D93" w:rsidRDefault="005D4EC4" w:rsidP="005D4EC4">
      <w:pPr>
        <w:jc w:val="left"/>
        <w:rPr>
          <w:b/>
          <w:bCs/>
          <w:sz w:val="28"/>
          <w:szCs w:val="28"/>
        </w:rPr>
      </w:pPr>
      <w:r w:rsidRPr="00C07D93">
        <w:rPr>
          <w:b/>
          <w:bCs/>
          <w:sz w:val="28"/>
          <w:szCs w:val="28"/>
        </w:rPr>
        <w:t>Student Name</w:t>
      </w:r>
      <w:r w:rsidRPr="00C07D93">
        <w:rPr>
          <w:b/>
          <w:bCs/>
          <w:sz w:val="28"/>
          <w:szCs w:val="28"/>
        </w:rPr>
        <w:tab/>
      </w:r>
      <w:r w:rsidRPr="00C07D93">
        <w:rPr>
          <w:b/>
          <w:bCs/>
          <w:sz w:val="28"/>
          <w:szCs w:val="28"/>
        </w:rPr>
        <w:tab/>
      </w:r>
      <w:r w:rsidRPr="00C07D93">
        <w:rPr>
          <w:b/>
          <w:bCs/>
          <w:sz w:val="28"/>
          <w:szCs w:val="28"/>
        </w:rPr>
        <w:tab/>
        <w:t>:- Keyurbhai Kanubhai Patel</w:t>
      </w:r>
    </w:p>
    <w:p w:rsidR="005D4EC4" w:rsidRDefault="005D4EC4" w:rsidP="005D4EC4">
      <w:pPr>
        <w:jc w:val="left"/>
        <w:rPr>
          <w:b/>
          <w:bCs/>
          <w:sz w:val="28"/>
          <w:szCs w:val="28"/>
        </w:rPr>
      </w:pPr>
      <w:r w:rsidRPr="00C07D93">
        <w:rPr>
          <w:b/>
          <w:bCs/>
          <w:sz w:val="28"/>
          <w:szCs w:val="28"/>
        </w:rPr>
        <w:t>Student ID</w:t>
      </w:r>
      <w:r w:rsidRPr="00C07D93">
        <w:rPr>
          <w:b/>
          <w:bCs/>
          <w:sz w:val="28"/>
          <w:szCs w:val="28"/>
        </w:rPr>
        <w:tab/>
      </w:r>
      <w:r w:rsidRPr="00C07D93">
        <w:rPr>
          <w:b/>
          <w:bCs/>
          <w:sz w:val="28"/>
          <w:szCs w:val="28"/>
        </w:rPr>
        <w:tab/>
      </w:r>
      <w:r w:rsidRPr="00C07D93">
        <w:rPr>
          <w:b/>
          <w:bCs/>
          <w:sz w:val="28"/>
          <w:szCs w:val="28"/>
        </w:rPr>
        <w:tab/>
      </w:r>
      <w:r w:rsidRPr="00C07D93">
        <w:rPr>
          <w:b/>
          <w:bCs/>
          <w:sz w:val="28"/>
          <w:szCs w:val="28"/>
        </w:rPr>
        <w:tab/>
        <w:t>:- 2509905</w:t>
      </w:r>
    </w:p>
    <w:p w:rsidR="00836260" w:rsidRPr="00C07D93" w:rsidRDefault="00836260" w:rsidP="005D4EC4">
      <w:pPr>
        <w:jc w:val="left"/>
        <w:rPr>
          <w:b/>
          <w:bCs/>
          <w:sz w:val="28"/>
          <w:szCs w:val="28"/>
        </w:rPr>
      </w:pPr>
    </w:p>
    <w:p w:rsidR="005D4EC4" w:rsidRPr="00C07D93" w:rsidRDefault="005D4EC4" w:rsidP="005D4EC4">
      <w:pPr>
        <w:rPr>
          <w:b/>
          <w:bCs/>
          <w:sz w:val="28"/>
          <w:szCs w:val="28"/>
        </w:rPr>
      </w:pPr>
      <w:r w:rsidRPr="00C07D93">
        <w:br w:type="page"/>
      </w:r>
    </w:p>
    <w:p w:rsidR="00836260" w:rsidRDefault="00836260" w:rsidP="005D4EC4">
      <w:pPr>
        <w:keepNext/>
        <w:keepLines/>
        <w:pBdr>
          <w:top w:val="nil"/>
          <w:left w:val="nil"/>
          <w:bottom w:val="nil"/>
          <w:right w:val="nil"/>
          <w:between w:val="nil"/>
        </w:pBdr>
        <w:jc w:val="center"/>
        <w:rPr>
          <w:b/>
          <w:bCs/>
          <w:color w:val="000000"/>
          <w:sz w:val="28"/>
          <w:szCs w:val="28"/>
        </w:rPr>
        <w:sectPr w:rsidR="00836260" w:rsidSect="005D4EC4">
          <w:pgSz w:w="12240" w:h="15840"/>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rsidR="005D4EC4" w:rsidRPr="00C07D93" w:rsidRDefault="005D4EC4" w:rsidP="005D4EC4">
      <w:pPr>
        <w:keepNext/>
        <w:keepLines/>
        <w:pBdr>
          <w:top w:val="nil"/>
          <w:left w:val="nil"/>
          <w:bottom w:val="nil"/>
          <w:right w:val="nil"/>
          <w:between w:val="nil"/>
        </w:pBdr>
        <w:jc w:val="center"/>
        <w:rPr>
          <w:b/>
          <w:bCs/>
          <w:color w:val="000000"/>
          <w:sz w:val="28"/>
          <w:szCs w:val="28"/>
        </w:rPr>
      </w:pPr>
      <w:r w:rsidRPr="00C07D93">
        <w:rPr>
          <w:b/>
          <w:bCs/>
          <w:color w:val="000000"/>
          <w:sz w:val="28"/>
          <w:szCs w:val="28"/>
        </w:rPr>
        <w:lastRenderedPageBreak/>
        <w:t>Table of Contents</w:t>
      </w:r>
    </w:p>
    <w:sdt>
      <w:sdtPr>
        <w:rPr>
          <w:rFonts w:cs="Arial"/>
          <w:szCs w:val="24"/>
        </w:rPr>
        <w:id w:val="159119421"/>
        <w:docPartObj>
          <w:docPartGallery w:val="Table of Contents"/>
          <w:docPartUnique/>
        </w:docPartObj>
      </w:sdtPr>
      <w:sdtContent>
        <w:p w:rsidR="00D1350E" w:rsidRDefault="003570FF">
          <w:pPr>
            <w:pStyle w:val="TOC1"/>
            <w:tabs>
              <w:tab w:val="right" w:leader="dot" w:pos="9350"/>
            </w:tabs>
            <w:rPr>
              <w:rFonts w:asciiTheme="minorHAnsi" w:eastAsiaTheme="minorEastAsia" w:hAnsiTheme="minorHAnsi" w:cs="Shruti"/>
              <w:noProof/>
              <w:sz w:val="22"/>
              <w:szCs w:val="22"/>
              <w:lang w:eastAsia="en-US" w:bidi="gu-IN"/>
            </w:rPr>
          </w:pPr>
          <w:r w:rsidRPr="003570FF">
            <w:rPr>
              <w:rFonts w:cs="Arial"/>
            </w:rPr>
            <w:fldChar w:fldCharType="begin"/>
          </w:r>
          <w:r w:rsidR="005D4EC4" w:rsidRPr="00C07D93">
            <w:rPr>
              <w:rFonts w:cs="Arial"/>
            </w:rPr>
            <w:instrText xml:space="preserve"> TOC \h \u \z \t "Heading 1,1,Heading 2,2,Heading 3,3,"</w:instrText>
          </w:r>
          <w:r w:rsidRPr="003570FF">
            <w:rPr>
              <w:rFonts w:cs="Arial"/>
            </w:rPr>
            <w:fldChar w:fldCharType="separate"/>
          </w:r>
          <w:hyperlink w:anchor="_Toc242884562" w:history="1">
            <w:r w:rsidR="00D1350E" w:rsidRPr="005F4AE8">
              <w:rPr>
                <w:rStyle w:val="Hyperlink"/>
                <w:noProof/>
              </w:rPr>
              <w:t>1. Introduction</w:t>
            </w:r>
            <w:r w:rsidR="00D1350E">
              <w:rPr>
                <w:noProof/>
                <w:webHidden/>
              </w:rPr>
              <w:tab/>
            </w:r>
            <w:r w:rsidR="00D1350E">
              <w:rPr>
                <w:noProof/>
                <w:webHidden/>
              </w:rPr>
              <w:fldChar w:fldCharType="begin"/>
            </w:r>
            <w:r w:rsidR="00D1350E">
              <w:rPr>
                <w:noProof/>
                <w:webHidden/>
              </w:rPr>
              <w:instrText xml:space="preserve"> PAGEREF _Toc242884562 \h </w:instrText>
            </w:r>
            <w:r w:rsidR="00D1350E">
              <w:rPr>
                <w:noProof/>
                <w:webHidden/>
              </w:rPr>
            </w:r>
            <w:r w:rsidR="00D1350E">
              <w:rPr>
                <w:noProof/>
                <w:webHidden/>
              </w:rPr>
              <w:fldChar w:fldCharType="separate"/>
            </w:r>
            <w:r w:rsidR="00D1350E">
              <w:rPr>
                <w:noProof/>
                <w:webHidden/>
              </w:rPr>
              <w:t>2</w:t>
            </w:r>
            <w:r w:rsidR="00D1350E">
              <w:rPr>
                <w:noProof/>
                <w:webHidden/>
              </w:rPr>
              <w:fldChar w:fldCharType="end"/>
            </w:r>
          </w:hyperlink>
        </w:p>
        <w:p w:rsidR="00D1350E" w:rsidRDefault="00D1350E">
          <w:pPr>
            <w:pStyle w:val="TOC1"/>
            <w:tabs>
              <w:tab w:val="right" w:leader="dot" w:pos="9350"/>
            </w:tabs>
            <w:rPr>
              <w:rFonts w:asciiTheme="minorHAnsi" w:eastAsiaTheme="minorEastAsia" w:hAnsiTheme="minorHAnsi" w:cs="Shruti"/>
              <w:noProof/>
              <w:sz w:val="22"/>
              <w:szCs w:val="22"/>
              <w:lang w:eastAsia="en-US" w:bidi="gu-IN"/>
            </w:rPr>
          </w:pPr>
          <w:hyperlink w:anchor="_Toc242884563" w:history="1">
            <w:r w:rsidRPr="005F4AE8">
              <w:rPr>
                <w:rStyle w:val="Hyperlink"/>
                <w:noProof/>
              </w:rPr>
              <w:t>2. Task A: Designing Innovative Working Practices</w:t>
            </w:r>
            <w:r>
              <w:rPr>
                <w:noProof/>
                <w:webHidden/>
              </w:rPr>
              <w:tab/>
            </w:r>
            <w:r>
              <w:rPr>
                <w:noProof/>
                <w:webHidden/>
              </w:rPr>
              <w:fldChar w:fldCharType="begin"/>
            </w:r>
            <w:r>
              <w:rPr>
                <w:noProof/>
                <w:webHidden/>
              </w:rPr>
              <w:instrText xml:space="preserve"> PAGEREF _Toc242884563 \h </w:instrText>
            </w:r>
            <w:r>
              <w:rPr>
                <w:noProof/>
                <w:webHidden/>
              </w:rPr>
            </w:r>
            <w:r>
              <w:rPr>
                <w:noProof/>
                <w:webHidden/>
              </w:rPr>
              <w:fldChar w:fldCharType="separate"/>
            </w:r>
            <w:r>
              <w:rPr>
                <w:noProof/>
                <w:webHidden/>
              </w:rPr>
              <w:t>2</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64" w:history="1">
            <w:r w:rsidRPr="005F4AE8">
              <w:rPr>
                <w:rStyle w:val="Hyperlink"/>
                <w:noProof/>
              </w:rPr>
              <w:t>2.1 Traditional Work Design versus Contemporary Innovative Practices</w:t>
            </w:r>
            <w:r>
              <w:rPr>
                <w:noProof/>
                <w:webHidden/>
              </w:rPr>
              <w:tab/>
            </w:r>
            <w:r>
              <w:rPr>
                <w:noProof/>
                <w:webHidden/>
              </w:rPr>
              <w:fldChar w:fldCharType="begin"/>
            </w:r>
            <w:r>
              <w:rPr>
                <w:noProof/>
                <w:webHidden/>
              </w:rPr>
              <w:instrText xml:space="preserve"> PAGEREF _Toc242884564 \h </w:instrText>
            </w:r>
            <w:r>
              <w:rPr>
                <w:noProof/>
                <w:webHidden/>
              </w:rPr>
            </w:r>
            <w:r>
              <w:rPr>
                <w:noProof/>
                <w:webHidden/>
              </w:rPr>
              <w:fldChar w:fldCharType="separate"/>
            </w:r>
            <w:r>
              <w:rPr>
                <w:noProof/>
                <w:webHidden/>
              </w:rPr>
              <w:t>2</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65" w:history="1">
            <w:r w:rsidRPr="005F4AE8">
              <w:rPr>
                <w:rStyle w:val="Hyperlink"/>
                <w:noProof/>
              </w:rPr>
              <w:t>2.2 Design Principle and Problem Linkage</w:t>
            </w:r>
            <w:r>
              <w:rPr>
                <w:noProof/>
                <w:webHidden/>
              </w:rPr>
              <w:tab/>
            </w:r>
            <w:r>
              <w:rPr>
                <w:noProof/>
                <w:webHidden/>
              </w:rPr>
              <w:fldChar w:fldCharType="begin"/>
            </w:r>
            <w:r>
              <w:rPr>
                <w:noProof/>
                <w:webHidden/>
              </w:rPr>
              <w:instrText xml:space="preserve"> PAGEREF _Toc242884565 \h </w:instrText>
            </w:r>
            <w:r>
              <w:rPr>
                <w:noProof/>
                <w:webHidden/>
              </w:rPr>
            </w:r>
            <w:r>
              <w:rPr>
                <w:noProof/>
                <w:webHidden/>
              </w:rPr>
              <w:fldChar w:fldCharType="separate"/>
            </w:r>
            <w:r>
              <w:rPr>
                <w:noProof/>
                <w:webHidden/>
              </w:rPr>
              <w:t>3</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66" w:history="1">
            <w:r w:rsidRPr="005F4AE8">
              <w:rPr>
                <w:rStyle w:val="Hyperlink"/>
                <w:noProof/>
              </w:rPr>
              <w:t>2.3 Integrated Innovative Working Framework for NHSX</w:t>
            </w:r>
            <w:r>
              <w:rPr>
                <w:noProof/>
                <w:webHidden/>
              </w:rPr>
              <w:tab/>
            </w:r>
            <w:r>
              <w:rPr>
                <w:noProof/>
                <w:webHidden/>
              </w:rPr>
              <w:fldChar w:fldCharType="begin"/>
            </w:r>
            <w:r>
              <w:rPr>
                <w:noProof/>
                <w:webHidden/>
              </w:rPr>
              <w:instrText xml:space="preserve"> PAGEREF _Toc242884566 \h </w:instrText>
            </w:r>
            <w:r>
              <w:rPr>
                <w:noProof/>
                <w:webHidden/>
              </w:rPr>
            </w:r>
            <w:r>
              <w:rPr>
                <w:noProof/>
                <w:webHidden/>
              </w:rPr>
              <w:fldChar w:fldCharType="separate"/>
            </w:r>
            <w:r>
              <w:rPr>
                <w:noProof/>
                <w:webHidden/>
              </w:rPr>
              <w:t>4</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67" w:history="1">
            <w:r w:rsidRPr="005F4AE8">
              <w:rPr>
                <w:rStyle w:val="Hyperlink"/>
                <w:noProof/>
              </w:rPr>
              <w:t>2.4 Cross-Functional and Agile Collaboration</w:t>
            </w:r>
            <w:r>
              <w:rPr>
                <w:noProof/>
                <w:webHidden/>
              </w:rPr>
              <w:tab/>
            </w:r>
            <w:r>
              <w:rPr>
                <w:noProof/>
                <w:webHidden/>
              </w:rPr>
              <w:fldChar w:fldCharType="begin"/>
            </w:r>
            <w:r>
              <w:rPr>
                <w:noProof/>
                <w:webHidden/>
              </w:rPr>
              <w:instrText xml:space="preserve"> PAGEREF _Toc242884567 \h </w:instrText>
            </w:r>
            <w:r>
              <w:rPr>
                <w:noProof/>
                <w:webHidden/>
              </w:rPr>
            </w:r>
            <w:r>
              <w:rPr>
                <w:noProof/>
                <w:webHidden/>
              </w:rPr>
              <w:fldChar w:fldCharType="separate"/>
            </w:r>
            <w:r>
              <w:rPr>
                <w:noProof/>
                <w:webHidden/>
              </w:rPr>
              <w:t>5</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68" w:history="1">
            <w:r w:rsidRPr="005F4AE8">
              <w:rPr>
                <w:rStyle w:val="Hyperlink"/>
                <w:noProof/>
              </w:rPr>
              <w:t>2.5 Flexible and Technology-Enabled Working</w:t>
            </w:r>
            <w:r>
              <w:rPr>
                <w:noProof/>
                <w:webHidden/>
              </w:rPr>
              <w:tab/>
            </w:r>
            <w:r>
              <w:rPr>
                <w:noProof/>
                <w:webHidden/>
              </w:rPr>
              <w:fldChar w:fldCharType="begin"/>
            </w:r>
            <w:r>
              <w:rPr>
                <w:noProof/>
                <w:webHidden/>
              </w:rPr>
              <w:instrText xml:space="preserve"> PAGEREF _Toc242884568 \h </w:instrText>
            </w:r>
            <w:r>
              <w:rPr>
                <w:noProof/>
                <w:webHidden/>
              </w:rPr>
            </w:r>
            <w:r>
              <w:rPr>
                <w:noProof/>
                <w:webHidden/>
              </w:rPr>
              <w:fldChar w:fldCharType="separate"/>
            </w:r>
            <w:r>
              <w:rPr>
                <w:noProof/>
                <w:webHidden/>
              </w:rPr>
              <w:t>6</w:t>
            </w:r>
            <w:r>
              <w:rPr>
                <w:noProof/>
                <w:webHidden/>
              </w:rPr>
              <w:fldChar w:fldCharType="end"/>
            </w:r>
          </w:hyperlink>
        </w:p>
        <w:p w:rsidR="00D1350E" w:rsidRDefault="00D1350E">
          <w:pPr>
            <w:pStyle w:val="TOC1"/>
            <w:tabs>
              <w:tab w:val="right" w:leader="dot" w:pos="9350"/>
            </w:tabs>
            <w:rPr>
              <w:rFonts w:asciiTheme="minorHAnsi" w:eastAsiaTheme="minorEastAsia" w:hAnsiTheme="minorHAnsi" w:cs="Shruti"/>
              <w:noProof/>
              <w:sz w:val="22"/>
              <w:szCs w:val="22"/>
              <w:lang w:eastAsia="en-US" w:bidi="gu-IN"/>
            </w:rPr>
          </w:pPr>
          <w:hyperlink w:anchor="_Toc242884569" w:history="1">
            <w:r w:rsidRPr="005F4AE8">
              <w:rPr>
                <w:rStyle w:val="Hyperlink"/>
                <w:noProof/>
              </w:rPr>
              <w:t>3. Task B: Breeding an Environment Where Talent May Grow</w:t>
            </w:r>
            <w:r>
              <w:rPr>
                <w:noProof/>
                <w:webHidden/>
              </w:rPr>
              <w:tab/>
            </w:r>
            <w:r>
              <w:rPr>
                <w:noProof/>
                <w:webHidden/>
              </w:rPr>
              <w:fldChar w:fldCharType="begin"/>
            </w:r>
            <w:r>
              <w:rPr>
                <w:noProof/>
                <w:webHidden/>
              </w:rPr>
              <w:instrText xml:space="preserve"> PAGEREF _Toc242884569 \h </w:instrText>
            </w:r>
            <w:r>
              <w:rPr>
                <w:noProof/>
                <w:webHidden/>
              </w:rPr>
            </w:r>
            <w:r>
              <w:rPr>
                <w:noProof/>
                <w:webHidden/>
              </w:rPr>
              <w:fldChar w:fldCharType="separate"/>
            </w:r>
            <w:r>
              <w:rPr>
                <w:noProof/>
                <w:webHidden/>
              </w:rPr>
              <w:t>6</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70" w:history="1">
            <w:r w:rsidRPr="005F4AE8">
              <w:rPr>
                <w:rStyle w:val="Hyperlink"/>
                <w:noProof/>
              </w:rPr>
              <w:t>3.1 Creating an Environment Where Talent Flourishes</w:t>
            </w:r>
            <w:r>
              <w:rPr>
                <w:noProof/>
                <w:webHidden/>
              </w:rPr>
              <w:tab/>
            </w:r>
            <w:r>
              <w:rPr>
                <w:noProof/>
                <w:webHidden/>
              </w:rPr>
              <w:fldChar w:fldCharType="begin"/>
            </w:r>
            <w:r>
              <w:rPr>
                <w:noProof/>
                <w:webHidden/>
              </w:rPr>
              <w:instrText xml:space="preserve"> PAGEREF _Toc242884570 \h </w:instrText>
            </w:r>
            <w:r>
              <w:rPr>
                <w:noProof/>
                <w:webHidden/>
              </w:rPr>
            </w:r>
            <w:r>
              <w:rPr>
                <w:noProof/>
                <w:webHidden/>
              </w:rPr>
              <w:fldChar w:fldCharType="separate"/>
            </w:r>
            <w:r>
              <w:rPr>
                <w:noProof/>
                <w:webHidden/>
              </w:rPr>
              <w:t>6</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71" w:history="1">
            <w:r w:rsidRPr="005F4AE8">
              <w:rPr>
                <w:rStyle w:val="Hyperlink"/>
                <w:noProof/>
              </w:rPr>
              <w:t>3.2 Strategic Talent Growth Ecosystem for NHSX</w:t>
            </w:r>
            <w:r>
              <w:rPr>
                <w:noProof/>
                <w:webHidden/>
              </w:rPr>
              <w:tab/>
            </w:r>
            <w:r>
              <w:rPr>
                <w:noProof/>
                <w:webHidden/>
              </w:rPr>
              <w:fldChar w:fldCharType="begin"/>
            </w:r>
            <w:r>
              <w:rPr>
                <w:noProof/>
                <w:webHidden/>
              </w:rPr>
              <w:instrText xml:space="preserve"> PAGEREF _Toc242884571 \h </w:instrText>
            </w:r>
            <w:r>
              <w:rPr>
                <w:noProof/>
                <w:webHidden/>
              </w:rPr>
            </w:r>
            <w:r>
              <w:rPr>
                <w:noProof/>
                <w:webHidden/>
              </w:rPr>
              <w:fldChar w:fldCharType="separate"/>
            </w:r>
            <w:r>
              <w:rPr>
                <w:noProof/>
                <w:webHidden/>
              </w:rPr>
              <w:t>7</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72" w:history="1">
            <w:r w:rsidRPr="005F4AE8">
              <w:rPr>
                <w:rStyle w:val="Hyperlink"/>
                <w:noProof/>
              </w:rPr>
              <w:t>3.3 Learning, Psychological Safety and Growth Mindset</w:t>
            </w:r>
            <w:r>
              <w:rPr>
                <w:noProof/>
                <w:webHidden/>
              </w:rPr>
              <w:tab/>
            </w:r>
            <w:r>
              <w:rPr>
                <w:noProof/>
                <w:webHidden/>
              </w:rPr>
              <w:fldChar w:fldCharType="begin"/>
            </w:r>
            <w:r>
              <w:rPr>
                <w:noProof/>
                <w:webHidden/>
              </w:rPr>
              <w:instrText xml:space="preserve"> PAGEREF _Toc242884572 \h </w:instrText>
            </w:r>
            <w:r>
              <w:rPr>
                <w:noProof/>
                <w:webHidden/>
              </w:rPr>
            </w:r>
            <w:r>
              <w:rPr>
                <w:noProof/>
                <w:webHidden/>
              </w:rPr>
              <w:fldChar w:fldCharType="separate"/>
            </w:r>
            <w:r>
              <w:rPr>
                <w:noProof/>
                <w:webHidden/>
              </w:rPr>
              <w:t>9</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73" w:history="1">
            <w:r w:rsidRPr="005F4AE8">
              <w:rPr>
                <w:rStyle w:val="Hyperlink"/>
                <w:noProof/>
              </w:rPr>
              <w:t>3.4 Employee Experience, Job Crafting and Motivation</w:t>
            </w:r>
            <w:r>
              <w:rPr>
                <w:noProof/>
                <w:webHidden/>
              </w:rPr>
              <w:tab/>
            </w:r>
            <w:r>
              <w:rPr>
                <w:noProof/>
                <w:webHidden/>
              </w:rPr>
              <w:fldChar w:fldCharType="begin"/>
            </w:r>
            <w:r>
              <w:rPr>
                <w:noProof/>
                <w:webHidden/>
              </w:rPr>
              <w:instrText xml:space="preserve"> PAGEREF _Toc242884573 \h </w:instrText>
            </w:r>
            <w:r>
              <w:rPr>
                <w:noProof/>
                <w:webHidden/>
              </w:rPr>
            </w:r>
            <w:r>
              <w:rPr>
                <w:noProof/>
                <w:webHidden/>
              </w:rPr>
              <w:fldChar w:fldCharType="separate"/>
            </w:r>
            <w:r>
              <w:rPr>
                <w:noProof/>
                <w:webHidden/>
              </w:rPr>
              <w:t>9</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74" w:history="1">
            <w:r w:rsidRPr="005F4AE8">
              <w:rPr>
                <w:rStyle w:val="Hyperlink"/>
                <w:noProof/>
              </w:rPr>
              <w:t>3.5 Talent Retention and Performance</w:t>
            </w:r>
            <w:r>
              <w:rPr>
                <w:noProof/>
                <w:webHidden/>
              </w:rPr>
              <w:tab/>
            </w:r>
            <w:r>
              <w:rPr>
                <w:noProof/>
                <w:webHidden/>
              </w:rPr>
              <w:fldChar w:fldCharType="begin"/>
            </w:r>
            <w:r>
              <w:rPr>
                <w:noProof/>
                <w:webHidden/>
              </w:rPr>
              <w:instrText xml:space="preserve"> PAGEREF _Toc242884574 \h </w:instrText>
            </w:r>
            <w:r>
              <w:rPr>
                <w:noProof/>
                <w:webHidden/>
              </w:rPr>
            </w:r>
            <w:r>
              <w:rPr>
                <w:noProof/>
                <w:webHidden/>
              </w:rPr>
              <w:fldChar w:fldCharType="separate"/>
            </w:r>
            <w:r>
              <w:rPr>
                <w:noProof/>
                <w:webHidden/>
              </w:rPr>
              <w:t>10</w:t>
            </w:r>
            <w:r>
              <w:rPr>
                <w:noProof/>
                <w:webHidden/>
              </w:rPr>
              <w:fldChar w:fldCharType="end"/>
            </w:r>
          </w:hyperlink>
        </w:p>
        <w:p w:rsidR="00D1350E" w:rsidRDefault="00D1350E">
          <w:pPr>
            <w:pStyle w:val="TOC1"/>
            <w:tabs>
              <w:tab w:val="right" w:leader="dot" w:pos="9350"/>
            </w:tabs>
            <w:rPr>
              <w:rFonts w:asciiTheme="minorHAnsi" w:eastAsiaTheme="minorEastAsia" w:hAnsiTheme="minorHAnsi" w:cs="Shruti"/>
              <w:noProof/>
              <w:sz w:val="22"/>
              <w:szCs w:val="22"/>
              <w:lang w:eastAsia="en-US" w:bidi="gu-IN"/>
            </w:rPr>
          </w:pPr>
          <w:hyperlink w:anchor="_Toc242884575" w:history="1">
            <w:r w:rsidRPr="005F4AE8">
              <w:rPr>
                <w:rStyle w:val="Hyperlink"/>
                <w:noProof/>
              </w:rPr>
              <w:t>4. Task C: Reflective Report</w:t>
            </w:r>
            <w:r>
              <w:rPr>
                <w:noProof/>
                <w:webHidden/>
              </w:rPr>
              <w:tab/>
            </w:r>
            <w:r>
              <w:rPr>
                <w:noProof/>
                <w:webHidden/>
              </w:rPr>
              <w:fldChar w:fldCharType="begin"/>
            </w:r>
            <w:r>
              <w:rPr>
                <w:noProof/>
                <w:webHidden/>
              </w:rPr>
              <w:instrText xml:space="preserve"> PAGEREF _Toc242884575 \h </w:instrText>
            </w:r>
            <w:r>
              <w:rPr>
                <w:noProof/>
                <w:webHidden/>
              </w:rPr>
            </w:r>
            <w:r>
              <w:rPr>
                <w:noProof/>
                <w:webHidden/>
              </w:rPr>
              <w:fldChar w:fldCharType="separate"/>
            </w:r>
            <w:r>
              <w:rPr>
                <w:noProof/>
                <w:webHidden/>
              </w:rPr>
              <w:t>10</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76" w:history="1">
            <w:r w:rsidRPr="005F4AE8">
              <w:rPr>
                <w:rStyle w:val="Hyperlink"/>
                <w:noProof/>
              </w:rPr>
              <w:t>4.1 AI as a Strategic HRM Decision-Support Tool</w:t>
            </w:r>
            <w:r>
              <w:rPr>
                <w:noProof/>
                <w:webHidden/>
              </w:rPr>
              <w:tab/>
            </w:r>
            <w:r>
              <w:rPr>
                <w:noProof/>
                <w:webHidden/>
              </w:rPr>
              <w:fldChar w:fldCharType="begin"/>
            </w:r>
            <w:r>
              <w:rPr>
                <w:noProof/>
                <w:webHidden/>
              </w:rPr>
              <w:instrText xml:space="preserve"> PAGEREF _Toc242884576 \h </w:instrText>
            </w:r>
            <w:r>
              <w:rPr>
                <w:noProof/>
                <w:webHidden/>
              </w:rPr>
            </w:r>
            <w:r>
              <w:rPr>
                <w:noProof/>
                <w:webHidden/>
              </w:rPr>
              <w:fldChar w:fldCharType="separate"/>
            </w:r>
            <w:r>
              <w:rPr>
                <w:noProof/>
                <w:webHidden/>
              </w:rPr>
              <w:t>10</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77" w:history="1">
            <w:r w:rsidRPr="005F4AE8">
              <w:rPr>
                <w:rStyle w:val="Hyperlink"/>
                <w:noProof/>
              </w:rPr>
              <w:t>4.2 Reflection on Three Uses of AI</w:t>
            </w:r>
            <w:r>
              <w:rPr>
                <w:noProof/>
                <w:webHidden/>
              </w:rPr>
              <w:tab/>
            </w:r>
            <w:r>
              <w:rPr>
                <w:noProof/>
                <w:webHidden/>
              </w:rPr>
              <w:fldChar w:fldCharType="begin"/>
            </w:r>
            <w:r>
              <w:rPr>
                <w:noProof/>
                <w:webHidden/>
              </w:rPr>
              <w:instrText xml:space="preserve"> PAGEREF _Toc242884577 \h </w:instrText>
            </w:r>
            <w:r>
              <w:rPr>
                <w:noProof/>
                <w:webHidden/>
              </w:rPr>
            </w:r>
            <w:r>
              <w:rPr>
                <w:noProof/>
                <w:webHidden/>
              </w:rPr>
              <w:fldChar w:fldCharType="separate"/>
            </w:r>
            <w:r>
              <w:rPr>
                <w:noProof/>
                <w:webHidden/>
              </w:rPr>
              <w:t>11</w:t>
            </w:r>
            <w:r>
              <w:rPr>
                <w:noProof/>
                <w:webHidden/>
              </w:rPr>
              <w:fldChar w:fldCharType="end"/>
            </w:r>
          </w:hyperlink>
        </w:p>
        <w:p w:rsidR="00D1350E" w:rsidRDefault="00D1350E">
          <w:pPr>
            <w:pStyle w:val="TOC2"/>
            <w:tabs>
              <w:tab w:val="right" w:leader="dot" w:pos="9350"/>
            </w:tabs>
            <w:rPr>
              <w:rFonts w:asciiTheme="minorHAnsi" w:eastAsiaTheme="minorEastAsia" w:hAnsiTheme="minorHAnsi" w:cs="Shruti"/>
              <w:noProof/>
              <w:sz w:val="22"/>
              <w:szCs w:val="22"/>
              <w:lang w:eastAsia="en-US" w:bidi="gu-IN"/>
            </w:rPr>
          </w:pPr>
          <w:hyperlink w:anchor="_Toc242884578" w:history="1">
            <w:r w:rsidRPr="005F4AE8">
              <w:rPr>
                <w:rStyle w:val="Hyperlink"/>
                <w:noProof/>
              </w:rPr>
              <w:t>4.3 Personal Capability Development Plan</w:t>
            </w:r>
            <w:r>
              <w:rPr>
                <w:noProof/>
                <w:webHidden/>
              </w:rPr>
              <w:tab/>
            </w:r>
            <w:r>
              <w:rPr>
                <w:noProof/>
                <w:webHidden/>
              </w:rPr>
              <w:fldChar w:fldCharType="begin"/>
            </w:r>
            <w:r>
              <w:rPr>
                <w:noProof/>
                <w:webHidden/>
              </w:rPr>
              <w:instrText xml:space="preserve"> PAGEREF _Toc242884578 \h </w:instrText>
            </w:r>
            <w:r>
              <w:rPr>
                <w:noProof/>
                <w:webHidden/>
              </w:rPr>
            </w:r>
            <w:r>
              <w:rPr>
                <w:noProof/>
                <w:webHidden/>
              </w:rPr>
              <w:fldChar w:fldCharType="separate"/>
            </w:r>
            <w:r>
              <w:rPr>
                <w:noProof/>
                <w:webHidden/>
              </w:rPr>
              <w:t>11</w:t>
            </w:r>
            <w:r>
              <w:rPr>
                <w:noProof/>
                <w:webHidden/>
              </w:rPr>
              <w:fldChar w:fldCharType="end"/>
            </w:r>
          </w:hyperlink>
        </w:p>
        <w:p w:rsidR="00D1350E" w:rsidRDefault="00D1350E">
          <w:pPr>
            <w:pStyle w:val="TOC1"/>
            <w:tabs>
              <w:tab w:val="right" w:leader="dot" w:pos="9350"/>
            </w:tabs>
            <w:rPr>
              <w:rFonts w:asciiTheme="minorHAnsi" w:eastAsiaTheme="minorEastAsia" w:hAnsiTheme="minorHAnsi" w:cs="Shruti"/>
              <w:noProof/>
              <w:sz w:val="22"/>
              <w:szCs w:val="22"/>
              <w:lang w:eastAsia="en-US" w:bidi="gu-IN"/>
            </w:rPr>
          </w:pPr>
          <w:hyperlink w:anchor="_Toc242884579" w:history="1">
            <w:r w:rsidRPr="005F4AE8">
              <w:rPr>
                <w:rStyle w:val="Hyperlink"/>
                <w:noProof/>
              </w:rPr>
              <w:t>5. Conclusion</w:t>
            </w:r>
            <w:r>
              <w:rPr>
                <w:noProof/>
                <w:webHidden/>
              </w:rPr>
              <w:tab/>
            </w:r>
            <w:r>
              <w:rPr>
                <w:noProof/>
                <w:webHidden/>
              </w:rPr>
              <w:fldChar w:fldCharType="begin"/>
            </w:r>
            <w:r>
              <w:rPr>
                <w:noProof/>
                <w:webHidden/>
              </w:rPr>
              <w:instrText xml:space="preserve"> PAGEREF _Toc242884579 \h </w:instrText>
            </w:r>
            <w:r>
              <w:rPr>
                <w:noProof/>
                <w:webHidden/>
              </w:rPr>
            </w:r>
            <w:r>
              <w:rPr>
                <w:noProof/>
                <w:webHidden/>
              </w:rPr>
              <w:fldChar w:fldCharType="separate"/>
            </w:r>
            <w:r>
              <w:rPr>
                <w:noProof/>
                <w:webHidden/>
              </w:rPr>
              <w:t>12</w:t>
            </w:r>
            <w:r>
              <w:rPr>
                <w:noProof/>
                <w:webHidden/>
              </w:rPr>
              <w:fldChar w:fldCharType="end"/>
            </w:r>
          </w:hyperlink>
        </w:p>
        <w:p w:rsidR="00D1350E" w:rsidRDefault="00D1350E">
          <w:pPr>
            <w:pStyle w:val="TOC1"/>
            <w:tabs>
              <w:tab w:val="right" w:leader="dot" w:pos="9350"/>
            </w:tabs>
            <w:rPr>
              <w:rFonts w:asciiTheme="minorHAnsi" w:eastAsiaTheme="minorEastAsia" w:hAnsiTheme="minorHAnsi" w:cs="Shruti"/>
              <w:noProof/>
              <w:sz w:val="22"/>
              <w:szCs w:val="22"/>
              <w:lang w:eastAsia="en-US" w:bidi="gu-IN"/>
            </w:rPr>
          </w:pPr>
          <w:hyperlink w:anchor="_Toc242884580" w:history="1">
            <w:r w:rsidRPr="005F4AE8">
              <w:rPr>
                <w:rStyle w:val="Hyperlink"/>
                <w:noProof/>
              </w:rPr>
              <w:t>Reference List</w:t>
            </w:r>
            <w:r>
              <w:rPr>
                <w:noProof/>
                <w:webHidden/>
              </w:rPr>
              <w:tab/>
            </w:r>
            <w:r>
              <w:rPr>
                <w:noProof/>
                <w:webHidden/>
              </w:rPr>
              <w:fldChar w:fldCharType="begin"/>
            </w:r>
            <w:r>
              <w:rPr>
                <w:noProof/>
                <w:webHidden/>
              </w:rPr>
              <w:instrText xml:space="preserve"> PAGEREF _Toc242884580 \h </w:instrText>
            </w:r>
            <w:r>
              <w:rPr>
                <w:noProof/>
                <w:webHidden/>
              </w:rPr>
            </w:r>
            <w:r>
              <w:rPr>
                <w:noProof/>
                <w:webHidden/>
              </w:rPr>
              <w:fldChar w:fldCharType="separate"/>
            </w:r>
            <w:r>
              <w:rPr>
                <w:noProof/>
                <w:webHidden/>
              </w:rPr>
              <w:t>13</w:t>
            </w:r>
            <w:r>
              <w:rPr>
                <w:noProof/>
                <w:webHidden/>
              </w:rPr>
              <w:fldChar w:fldCharType="end"/>
            </w:r>
          </w:hyperlink>
        </w:p>
        <w:p w:rsidR="005D4EC4" w:rsidRPr="00C07D93" w:rsidRDefault="003570FF" w:rsidP="005D4EC4">
          <w:r w:rsidRPr="00C07D93">
            <w:fldChar w:fldCharType="end"/>
          </w:r>
        </w:p>
      </w:sdtContent>
    </w:sdt>
    <w:p w:rsidR="005D4EC4" w:rsidRPr="00C07D93" w:rsidRDefault="005D4EC4" w:rsidP="005D4EC4">
      <w:r w:rsidRPr="00C07D93">
        <w:br w:type="page"/>
      </w:r>
    </w:p>
    <w:p w:rsidR="005D4EC4" w:rsidRPr="00C07D93" w:rsidRDefault="005D4EC4" w:rsidP="005D4EC4">
      <w:pPr>
        <w:pStyle w:val="Heading1"/>
      </w:pPr>
      <w:bookmarkStart w:id="1" w:name="_Toc242884562"/>
      <w:r w:rsidRPr="00C07D93">
        <w:lastRenderedPageBreak/>
        <w:t>1. Introduction</w:t>
      </w:r>
      <w:bookmarkEnd w:id="1"/>
    </w:p>
    <w:p w:rsidR="005D4EC4" w:rsidRPr="00C07D93" w:rsidRDefault="005D4EC4" w:rsidP="005D4EC4">
      <w:bookmarkStart w:id="2" w:name="_heading=h.n4xrx2wtuqwb" w:colFirst="0" w:colLast="0"/>
      <w:bookmarkEnd w:id="2"/>
      <w:r w:rsidRPr="00C07D93">
        <w:t xml:space="preserve">The number of employees at NexSpace Health Systems (NHSX) is 600 in the UK, India and the UAE. The opportunities are in rapid growth and AI investment, whereas hierarchy, lack of experimentation, low levels of collaboration, low career growth and wellbeing pressures can inhibit performance (NexSpace Health Systems (NHSX), 2026). Redesigned work, involvement, learning, psychological safety and responsible AI use are therefore needed as a sustainable advantage. </w:t>
      </w:r>
    </w:p>
    <w:p w:rsidR="005D4EC4" w:rsidRPr="00C07D93" w:rsidRDefault="005D4EC4" w:rsidP="005D4EC4">
      <w:pPr>
        <w:rPr>
          <w:sz w:val="28"/>
          <w:szCs w:val="28"/>
        </w:rPr>
      </w:pPr>
      <w:bookmarkStart w:id="3" w:name="_heading=h.t77lo543t9ur" w:colFirst="0" w:colLast="0"/>
      <w:bookmarkEnd w:id="3"/>
      <w:r w:rsidRPr="00C07D93">
        <w:t xml:space="preserve">There are three tasks in this report. </w:t>
      </w:r>
      <w:r w:rsidRPr="00C07D93">
        <w:rPr>
          <w:b/>
          <w:bCs/>
        </w:rPr>
        <w:t>Task A</w:t>
      </w:r>
      <w:r w:rsidRPr="00C07D93">
        <w:t xml:space="preserve"> explores innovative working practices such as agile teams, and bounded autonomy and flexible, technology supported working, to enhance working together, decision making and experimentation. </w:t>
      </w:r>
      <w:r w:rsidRPr="00C07D93">
        <w:rPr>
          <w:b/>
          <w:bCs/>
        </w:rPr>
        <w:t xml:space="preserve">Task B </w:t>
      </w:r>
      <w:r w:rsidRPr="00C07D93">
        <w:t xml:space="preserve">suggests a strategic growth in the talent ecosystem, based on skills identification, employee development, internal mobility, psychological safety, wellbeing and talent retention. </w:t>
      </w:r>
      <w:r w:rsidRPr="00C07D93">
        <w:rPr>
          <w:b/>
          <w:bCs/>
        </w:rPr>
        <w:t>Task C</w:t>
      </w:r>
      <w:r w:rsidRPr="00C07D93">
        <w:t xml:space="preserve"> offers a reflective analysis of AI as a tool for HR decisions, explores three uses of AI in academic and career development and offers a personal cap capability development plan. Finally, the report underscores the importance of integrated work design, talent development, and responsible adoption of AI, to enhance NHSX's innovative performance, employee experience, and long-term success.</w:t>
      </w:r>
    </w:p>
    <w:p w:rsidR="005D4EC4" w:rsidRPr="00C07D93" w:rsidRDefault="005D4EC4" w:rsidP="005D4EC4">
      <w:pPr>
        <w:pStyle w:val="Heading1"/>
      </w:pPr>
      <w:bookmarkStart w:id="4" w:name="_Toc242884563"/>
      <w:r w:rsidRPr="00C07D93">
        <w:t>2. Task A: Designing Innovative Working Practices</w:t>
      </w:r>
      <w:bookmarkEnd w:id="4"/>
    </w:p>
    <w:p w:rsidR="005D4EC4" w:rsidRPr="00C07D93" w:rsidRDefault="005D4EC4" w:rsidP="005D4EC4">
      <w:pPr>
        <w:pStyle w:val="Heading2"/>
        <w:spacing w:before="0" w:after="0"/>
      </w:pPr>
      <w:bookmarkStart w:id="5" w:name="_Toc242884564"/>
      <w:r w:rsidRPr="00C07D93">
        <w:t>2.1 Traditional Work Design versus Contemporary Innovative Practices</w:t>
      </w:r>
      <w:bookmarkEnd w:id="5"/>
    </w:p>
    <w:p w:rsidR="005D4EC4" w:rsidRPr="00C07D93" w:rsidRDefault="005D4EC4" w:rsidP="005D4EC4">
      <w:pPr>
        <w:rPr>
          <w:sz w:val="28"/>
          <w:szCs w:val="28"/>
        </w:rPr>
      </w:pPr>
      <w:r w:rsidRPr="00C07D93">
        <w:t xml:space="preserve">Authoritative, standardised procedures and close control are beneficial in healthcare where regulation is required, and are key elements of traditional work design. The same features form the problems that the Board has identified at NHSX. Product decisions get carried up the chain of management; product decisions are delayed; not much experimentation takes place. Meanwhile, clinicians, engineers, data specialists and commercial staff are working in separate functional silos, when digital health innovation requires them to get their various pieces of knowledge together. </w:t>
      </w:r>
    </w:p>
    <w:p w:rsidR="005D4EC4" w:rsidRPr="00C07D93" w:rsidRDefault="005D4EC4" w:rsidP="005D4EC4">
      <w:pPr>
        <w:jc w:val="center"/>
      </w:pPr>
      <w:r w:rsidRPr="00C07D93">
        <w:rPr>
          <w:noProof/>
          <w:lang w:eastAsia="en-US" w:bidi="gu-IN"/>
        </w:rPr>
        <w:lastRenderedPageBreak/>
        <w:drawing>
          <wp:inline distT="114300" distB="114300" distL="114300" distR="114300">
            <wp:extent cx="5943600" cy="24638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463800"/>
                    </a:xfrm>
                    <a:prstGeom prst="rect">
                      <a:avLst/>
                    </a:prstGeom>
                    <a:ln w="25400">
                      <a:solidFill>
                        <a:srgbClr val="000000"/>
                      </a:solidFill>
                      <a:prstDash val="solid"/>
                    </a:ln>
                  </pic:spPr>
                </pic:pic>
              </a:graphicData>
            </a:graphic>
          </wp:inline>
        </w:drawing>
      </w:r>
    </w:p>
    <w:p w:rsidR="005D4EC4" w:rsidRPr="00C07D93" w:rsidRDefault="005D4EC4" w:rsidP="005D4EC4">
      <w:pPr>
        <w:jc w:val="center"/>
        <w:rPr>
          <w:b/>
          <w:bCs/>
        </w:rPr>
      </w:pPr>
      <w:r w:rsidRPr="00C07D93">
        <w:rPr>
          <w:b/>
          <w:bCs/>
        </w:rPr>
        <w:t xml:space="preserve">Figure 1: Percentage of employers reporting positive impact on job quality </w:t>
      </w:r>
    </w:p>
    <w:p w:rsidR="005D4EC4" w:rsidRPr="00C07D93" w:rsidRDefault="005D4EC4" w:rsidP="005D4EC4">
      <w:pPr>
        <w:jc w:val="center"/>
      </w:pPr>
      <w:r w:rsidRPr="00C07D93">
        <w:t>(Source: OECD, 2025)</w:t>
      </w:r>
    </w:p>
    <w:p w:rsidR="005D4EC4" w:rsidRPr="00C07D93" w:rsidRDefault="005D4EC4" w:rsidP="005D4EC4">
      <w:r w:rsidRPr="00C07D93">
        <w:t xml:space="preserve">This applies more to contemporary work design. Huang </w:t>
      </w:r>
      <w:r w:rsidRPr="00C07D93">
        <w:rPr>
          <w:i/>
          <w:iCs/>
        </w:rPr>
        <w:t>et al.,</w:t>
      </w:r>
      <w:r w:rsidRPr="00C07D93">
        <w:t xml:space="preserve"> (2023) emphasize that high-performance work systems (HPWS) construct capability through training and participation (TPM), performance management, and that these systems are related to employee creativity and organisational performance. They also embrace innovation through the facilitation of developing the dynamic capabilities of organisations to deal with change (Mehralian </w:t>
      </w:r>
      <w:r w:rsidRPr="00C07D93">
        <w:rPr>
          <w:i/>
          <w:iCs/>
        </w:rPr>
        <w:t>et al.,</w:t>
      </w:r>
      <w:r w:rsidRPr="00C07D93">
        <w:t xml:space="preserve"> 2023). But HPWS can also be another control mechanism when targets become the dominant focus on experimentation, which requires high involvement of the employees to provide information, voice and responsibility for problem solving. Agile working comes with short cycles and quick feedback and is linked to team performance and engagement but results will vary based on the quality of management (Peeters </w:t>
      </w:r>
      <w:r w:rsidRPr="00C07D93">
        <w:rPr>
          <w:i/>
          <w:iCs/>
        </w:rPr>
        <w:t xml:space="preserve">et al., </w:t>
      </w:r>
      <w:r w:rsidRPr="00C07D93">
        <w:t>2022).</w:t>
      </w:r>
      <w:r w:rsidRPr="00C07D93">
        <w:rPr>
          <w:sz w:val="23"/>
          <w:szCs w:val="23"/>
        </w:rPr>
        <w:t xml:space="preserve"> </w:t>
      </w:r>
    </w:p>
    <w:p w:rsidR="005D4EC4" w:rsidRPr="00C07D93" w:rsidRDefault="005D4EC4" w:rsidP="005D4EC4">
      <w:pPr>
        <w:pStyle w:val="Heading2"/>
        <w:spacing w:before="0" w:after="0"/>
      </w:pPr>
      <w:bookmarkStart w:id="6" w:name="_Toc242884565"/>
      <w:r w:rsidRPr="00C07D93">
        <w:t>2.2 Design Principle and Problem Linkage</w:t>
      </w:r>
      <w:bookmarkEnd w:id="6"/>
    </w:p>
    <w:p w:rsidR="005D4EC4" w:rsidRPr="00C07D93" w:rsidRDefault="005D4EC4" w:rsidP="005D4EC4">
      <w:r w:rsidRPr="00C07D93">
        <w:t xml:space="preserve">The practices below are based on sociotechnical thinking, where technology and social arrangements must go hand-in-hand in their design. The traditional examples of this are in the realm of new technology that is implemented without consideration of work groups that results in a decline in performance (Trist and Bamforth, 1951). Technology will only enhance the work when roles, decision rights and the support they need change as well as the technology.To amplify the impact of technology on work, roles, decision rights and support need to be redesigned. The practices are all focused on a </w:t>
      </w:r>
      <w:r w:rsidRPr="00C07D93">
        <w:lastRenderedPageBreak/>
        <w:t xml:space="preserve">specific NHSX problem and collectively they constitute a single model. Table 1 summarises the links.  </w:t>
      </w:r>
    </w:p>
    <w:p w:rsidR="005D4EC4" w:rsidRPr="00C07D93" w:rsidRDefault="005D4EC4" w:rsidP="005D4EC4">
      <w:r w:rsidRPr="00C07D93">
        <w:rPr>
          <w:sz w:val="23"/>
          <w:szCs w:val="23"/>
        </w:rPr>
        <w:br/>
      </w:r>
      <w:r w:rsidRPr="00C07D93">
        <w:rPr>
          <w:b/>
          <w:bCs/>
          <w:sz w:val="23"/>
          <w:szCs w:val="23"/>
        </w:rPr>
        <w:t xml:space="preserve">Table 1 : Evaluation of NHXS problems </w:t>
      </w:r>
    </w:p>
    <w:tbl>
      <w:tblPr>
        <w:tblStyle w:val="MediumGrid2-Accent2"/>
        <w:tblW w:w="9360" w:type="dxa"/>
        <w:tblLayout w:type="fixed"/>
        <w:tblLook w:val="0600"/>
      </w:tblPr>
      <w:tblGrid>
        <w:gridCol w:w="3120"/>
        <w:gridCol w:w="3120"/>
        <w:gridCol w:w="3120"/>
      </w:tblGrid>
      <w:tr w:rsidR="005D4EC4" w:rsidRPr="00C07D93" w:rsidTr="004A71DA">
        <w:trPr>
          <w:trHeight w:val="567"/>
        </w:trPr>
        <w:tc>
          <w:tcPr>
            <w:tcW w:w="3120" w:type="dxa"/>
            <w:tcBorders>
              <w:top w:val="single" w:sz="12" w:space="0" w:color="auto"/>
              <w:left w:val="single" w:sz="12" w:space="0" w:color="auto"/>
              <w:bottom w:val="single" w:sz="6" w:space="0" w:color="auto"/>
              <w:right w:val="single" w:sz="6" w:space="0" w:color="auto"/>
            </w:tcBorders>
            <w:shd w:val="clear" w:color="auto" w:fill="B2A1C7" w:themeFill="accent4" w:themeFillTint="99"/>
            <w:vAlign w:val="center"/>
          </w:tcPr>
          <w:p w:rsidR="005D4EC4" w:rsidRPr="00836260" w:rsidRDefault="005D4EC4" w:rsidP="004A71DA">
            <w:pPr>
              <w:widowControl w:val="0"/>
              <w:pBdr>
                <w:top w:val="nil"/>
                <w:left w:val="nil"/>
                <w:bottom w:val="nil"/>
                <w:right w:val="nil"/>
                <w:between w:val="nil"/>
              </w:pBdr>
              <w:jc w:val="center"/>
              <w:rPr>
                <w:b/>
                <w:bCs/>
                <w:sz w:val="28"/>
                <w:szCs w:val="28"/>
              </w:rPr>
            </w:pPr>
            <w:r w:rsidRPr="00836260">
              <w:rPr>
                <w:b/>
                <w:bCs/>
                <w:sz w:val="28"/>
                <w:szCs w:val="28"/>
              </w:rPr>
              <w:t>NHSX PROBLEM</w:t>
            </w:r>
          </w:p>
        </w:tc>
        <w:tc>
          <w:tcPr>
            <w:tcW w:w="3120" w:type="dxa"/>
            <w:tcBorders>
              <w:top w:val="single" w:sz="12" w:space="0" w:color="auto"/>
              <w:left w:val="single" w:sz="6" w:space="0" w:color="auto"/>
              <w:bottom w:val="single" w:sz="6" w:space="0" w:color="auto"/>
              <w:right w:val="single" w:sz="6" w:space="0" w:color="auto"/>
            </w:tcBorders>
            <w:shd w:val="clear" w:color="auto" w:fill="B2A1C7" w:themeFill="accent4" w:themeFillTint="99"/>
            <w:vAlign w:val="center"/>
          </w:tcPr>
          <w:p w:rsidR="005D4EC4" w:rsidRPr="00836260" w:rsidRDefault="005D4EC4" w:rsidP="004A71DA">
            <w:pPr>
              <w:widowControl w:val="0"/>
              <w:pBdr>
                <w:top w:val="nil"/>
                <w:left w:val="nil"/>
                <w:bottom w:val="nil"/>
                <w:right w:val="nil"/>
                <w:between w:val="nil"/>
              </w:pBdr>
              <w:jc w:val="center"/>
              <w:rPr>
                <w:b/>
                <w:bCs/>
                <w:sz w:val="28"/>
                <w:szCs w:val="28"/>
              </w:rPr>
            </w:pPr>
            <w:r w:rsidRPr="00836260">
              <w:rPr>
                <w:b/>
                <w:bCs/>
                <w:sz w:val="28"/>
                <w:szCs w:val="28"/>
              </w:rPr>
              <w:t>PRACTICE</w:t>
            </w:r>
          </w:p>
        </w:tc>
        <w:tc>
          <w:tcPr>
            <w:tcW w:w="3120" w:type="dxa"/>
            <w:tcBorders>
              <w:top w:val="single" w:sz="12" w:space="0" w:color="auto"/>
              <w:left w:val="single" w:sz="6" w:space="0" w:color="auto"/>
              <w:bottom w:val="single" w:sz="6" w:space="0" w:color="auto"/>
              <w:right w:val="single" w:sz="12" w:space="0" w:color="auto"/>
            </w:tcBorders>
            <w:shd w:val="clear" w:color="auto" w:fill="B2A1C7" w:themeFill="accent4" w:themeFillTint="99"/>
            <w:vAlign w:val="center"/>
          </w:tcPr>
          <w:p w:rsidR="005D4EC4" w:rsidRPr="00836260" w:rsidRDefault="005D4EC4" w:rsidP="004A71DA">
            <w:pPr>
              <w:widowControl w:val="0"/>
              <w:pBdr>
                <w:top w:val="nil"/>
                <w:left w:val="nil"/>
                <w:bottom w:val="nil"/>
                <w:right w:val="nil"/>
                <w:between w:val="nil"/>
              </w:pBdr>
              <w:jc w:val="center"/>
              <w:rPr>
                <w:b/>
                <w:bCs/>
                <w:sz w:val="28"/>
                <w:szCs w:val="28"/>
              </w:rPr>
            </w:pPr>
            <w:r w:rsidRPr="00836260">
              <w:rPr>
                <w:b/>
                <w:bCs/>
                <w:sz w:val="28"/>
                <w:szCs w:val="28"/>
              </w:rPr>
              <w:t>HOW IT HELPS</w:t>
            </w:r>
          </w:p>
        </w:tc>
      </w:tr>
      <w:tr w:rsidR="005D4EC4" w:rsidRPr="00C07D93" w:rsidTr="004A71DA">
        <w:tc>
          <w:tcPr>
            <w:tcW w:w="3120" w:type="dxa"/>
            <w:tcBorders>
              <w:top w:val="single" w:sz="6" w:space="0" w:color="auto"/>
              <w:left w:val="single" w:sz="12" w:space="0" w:color="auto"/>
              <w:bottom w:val="single" w:sz="6" w:space="0" w:color="auto"/>
              <w:right w:val="single" w:sz="6" w:space="0" w:color="auto"/>
            </w:tcBorders>
            <w:vAlign w:val="center"/>
          </w:tcPr>
          <w:p w:rsidR="005D4EC4" w:rsidRPr="00836260" w:rsidRDefault="005D4EC4" w:rsidP="004A71DA">
            <w:pPr>
              <w:widowControl w:val="0"/>
              <w:pBdr>
                <w:top w:val="nil"/>
                <w:left w:val="nil"/>
                <w:bottom w:val="nil"/>
                <w:right w:val="nil"/>
                <w:between w:val="nil"/>
              </w:pBdr>
              <w:jc w:val="center"/>
              <w:rPr>
                <w:sz w:val="24"/>
                <w:szCs w:val="24"/>
              </w:rPr>
            </w:pPr>
            <w:r w:rsidRPr="00836260">
              <w:rPr>
                <w:sz w:val="24"/>
                <w:szCs w:val="24"/>
              </w:rPr>
              <w:t>Slow, hierarchical decisions</w:t>
            </w:r>
          </w:p>
        </w:tc>
        <w:tc>
          <w:tcPr>
            <w:tcW w:w="3120" w:type="dxa"/>
            <w:tcBorders>
              <w:top w:val="single" w:sz="6" w:space="0" w:color="auto"/>
              <w:left w:val="single" w:sz="6" w:space="0" w:color="auto"/>
              <w:bottom w:val="single" w:sz="6" w:space="0" w:color="auto"/>
              <w:right w:val="single" w:sz="6" w:space="0" w:color="auto"/>
            </w:tcBorders>
            <w:vAlign w:val="center"/>
          </w:tcPr>
          <w:p w:rsidR="005D4EC4" w:rsidRPr="00836260" w:rsidRDefault="005D4EC4" w:rsidP="004A71DA">
            <w:pPr>
              <w:widowControl w:val="0"/>
              <w:pBdr>
                <w:top w:val="nil"/>
                <w:left w:val="nil"/>
                <w:bottom w:val="nil"/>
                <w:right w:val="nil"/>
                <w:between w:val="nil"/>
              </w:pBdr>
              <w:jc w:val="center"/>
              <w:rPr>
                <w:sz w:val="24"/>
                <w:szCs w:val="24"/>
              </w:rPr>
            </w:pPr>
            <w:r w:rsidRPr="00836260">
              <w:rPr>
                <w:sz w:val="24"/>
                <w:szCs w:val="24"/>
              </w:rPr>
              <w:t>Cross-functional agile teams; bounded autonomy</w:t>
            </w:r>
          </w:p>
        </w:tc>
        <w:tc>
          <w:tcPr>
            <w:tcW w:w="3120" w:type="dxa"/>
            <w:tcBorders>
              <w:top w:val="single" w:sz="6" w:space="0" w:color="auto"/>
              <w:left w:val="single" w:sz="6" w:space="0" w:color="auto"/>
              <w:bottom w:val="single" w:sz="6" w:space="0" w:color="auto"/>
              <w:right w:val="single" w:sz="12" w:space="0" w:color="auto"/>
            </w:tcBorders>
            <w:vAlign w:val="center"/>
          </w:tcPr>
          <w:p w:rsidR="005D4EC4" w:rsidRPr="00836260" w:rsidRDefault="005D4EC4" w:rsidP="004A71DA">
            <w:pPr>
              <w:widowControl w:val="0"/>
              <w:pBdr>
                <w:top w:val="nil"/>
                <w:left w:val="nil"/>
                <w:bottom w:val="nil"/>
                <w:right w:val="nil"/>
                <w:between w:val="nil"/>
              </w:pBdr>
              <w:jc w:val="center"/>
              <w:rPr>
                <w:sz w:val="24"/>
                <w:szCs w:val="24"/>
              </w:rPr>
            </w:pPr>
            <w:r w:rsidRPr="00836260">
              <w:rPr>
                <w:sz w:val="24"/>
                <w:szCs w:val="24"/>
              </w:rPr>
              <w:t>Decisions made where knowledge sits</w:t>
            </w:r>
          </w:p>
        </w:tc>
      </w:tr>
      <w:tr w:rsidR="005D4EC4" w:rsidRPr="00C07D93" w:rsidTr="004A71DA">
        <w:tc>
          <w:tcPr>
            <w:tcW w:w="3120" w:type="dxa"/>
            <w:tcBorders>
              <w:top w:val="single" w:sz="6" w:space="0" w:color="auto"/>
              <w:left w:val="single" w:sz="12" w:space="0" w:color="auto"/>
              <w:bottom w:val="single" w:sz="6" w:space="0" w:color="auto"/>
              <w:right w:val="single" w:sz="6" w:space="0" w:color="auto"/>
            </w:tcBorders>
            <w:vAlign w:val="center"/>
          </w:tcPr>
          <w:p w:rsidR="005D4EC4" w:rsidRPr="00836260" w:rsidRDefault="005D4EC4" w:rsidP="004A71DA">
            <w:pPr>
              <w:widowControl w:val="0"/>
              <w:pBdr>
                <w:top w:val="nil"/>
                <w:left w:val="nil"/>
                <w:bottom w:val="nil"/>
                <w:right w:val="nil"/>
                <w:between w:val="nil"/>
              </w:pBdr>
              <w:jc w:val="center"/>
              <w:rPr>
                <w:sz w:val="24"/>
                <w:szCs w:val="24"/>
              </w:rPr>
            </w:pPr>
            <w:r w:rsidRPr="00836260">
              <w:rPr>
                <w:sz w:val="24"/>
                <w:szCs w:val="24"/>
              </w:rPr>
              <w:t>Limited experimentation</w:t>
            </w:r>
          </w:p>
        </w:tc>
        <w:tc>
          <w:tcPr>
            <w:tcW w:w="3120" w:type="dxa"/>
            <w:tcBorders>
              <w:top w:val="single" w:sz="6" w:space="0" w:color="auto"/>
              <w:left w:val="single" w:sz="6" w:space="0" w:color="auto"/>
              <w:bottom w:val="single" w:sz="6" w:space="0" w:color="auto"/>
              <w:right w:val="single" w:sz="6" w:space="0" w:color="auto"/>
            </w:tcBorders>
            <w:vAlign w:val="center"/>
          </w:tcPr>
          <w:p w:rsidR="005D4EC4" w:rsidRPr="00836260" w:rsidRDefault="005D4EC4" w:rsidP="004A71DA">
            <w:pPr>
              <w:widowControl w:val="0"/>
              <w:pBdr>
                <w:top w:val="nil"/>
                <w:left w:val="nil"/>
                <w:bottom w:val="nil"/>
                <w:right w:val="nil"/>
                <w:between w:val="nil"/>
              </w:pBdr>
              <w:jc w:val="center"/>
              <w:rPr>
                <w:sz w:val="24"/>
                <w:szCs w:val="24"/>
              </w:rPr>
            </w:pPr>
            <w:r w:rsidRPr="00836260">
              <w:rPr>
                <w:sz w:val="24"/>
                <w:szCs w:val="24"/>
              </w:rPr>
              <w:t>Sprints and retrospectives</w:t>
            </w:r>
          </w:p>
        </w:tc>
        <w:tc>
          <w:tcPr>
            <w:tcW w:w="3120" w:type="dxa"/>
            <w:tcBorders>
              <w:top w:val="single" w:sz="6" w:space="0" w:color="auto"/>
              <w:left w:val="single" w:sz="6" w:space="0" w:color="auto"/>
              <w:bottom w:val="single" w:sz="6" w:space="0" w:color="auto"/>
              <w:right w:val="single" w:sz="12" w:space="0" w:color="auto"/>
            </w:tcBorders>
            <w:vAlign w:val="center"/>
          </w:tcPr>
          <w:p w:rsidR="005D4EC4" w:rsidRPr="00836260" w:rsidRDefault="005D4EC4" w:rsidP="004A71DA">
            <w:pPr>
              <w:widowControl w:val="0"/>
              <w:pBdr>
                <w:top w:val="nil"/>
                <w:left w:val="nil"/>
                <w:bottom w:val="nil"/>
                <w:right w:val="nil"/>
                <w:between w:val="nil"/>
              </w:pBdr>
              <w:jc w:val="center"/>
              <w:rPr>
                <w:sz w:val="24"/>
                <w:szCs w:val="24"/>
              </w:rPr>
            </w:pPr>
            <w:r w:rsidRPr="00836260">
              <w:rPr>
                <w:sz w:val="24"/>
                <w:szCs w:val="24"/>
              </w:rPr>
              <w:t>Low-cost testing and learning</w:t>
            </w:r>
          </w:p>
        </w:tc>
      </w:tr>
      <w:tr w:rsidR="005D4EC4" w:rsidRPr="00C07D93" w:rsidTr="004A71DA">
        <w:tc>
          <w:tcPr>
            <w:tcW w:w="3120" w:type="dxa"/>
            <w:tcBorders>
              <w:top w:val="single" w:sz="6" w:space="0" w:color="auto"/>
              <w:left w:val="single" w:sz="12" w:space="0" w:color="auto"/>
              <w:bottom w:val="single" w:sz="12" w:space="0" w:color="auto"/>
              <w:right w:val="single" w:sz="6" w:space="0" w:color="auto"/>
            </w:tcBorders>
            <w:vAlign w:val="center"/>
          </w:tcPr>
          <w:p w:rsidR="005D4EC4" w:rsidRPr="00836260" w:rsidRDefault="005D4EC4" w:rsidP="004A71DA">
            <w:pPr>
              <w:widowControl w:val="0"/>
              <w:pBdr>
                <w:top w:val="nil"/>
                <w:left w:val="nil"/>
                <w:bottom w:val="nil"/>
                <w:right w:val="nil"/>
                <w:between w:val="nil"/>
              </w:pBdr>
              <w:jc w:val="center"/>
              <w:rPr>
                <w:sz w:val="24"/>
                <w:szCs w:val="24"/>
              </w:rPr>
            </w:pPr>
            <w:r w:rsidRPr="00836260">
              <w:rPr>
                <w:sz w:val="24"/>
                <w:szCs w:val="24"/>
              </w:rPr>
              <w:t>Weak working collaboration</w:t>
            </w:r>
          </w:p>
        </w:tc>
        <w:tc>
          <w:tcPr>
            <w:tcW w:w="3120" w:type="dxa"/>
            <w:tcBorders>
              <w:top w:val="single" w:sz="6" w:space="0" w:color="auto"/>
              <w:left w:val="single" w:sz="6" w:space="0" w:color="auto"/>
              <w:bottom w:val="single" w:sz="12" w:space="0" w:color="auto"/>
              <w:right w:val="single" w:sz="6" w:space="0" w:color="auto"/>
            </w:tcBorders>
            <w:vAlign w:val="center"/>
          </w:tcPr>
          <w:p w:rsidR="005D4EC4" w:rsidRPr="00836260" w:rsidRDefault="005D4EC4" w:rsidP="004A71DA">
            <w:pPr>
              <w:widowControl w:val="0"/>
              <w:pBdr>
                <w:top w:val="nil"/>
                <w:left w:val="nil"/>
                <w:bottom w:val="nil"/>
                <w:right w:val="nil"/>
                <w:between w:val="nil"/>
              </w:pBdr>
              <w:jc w:val="center"/>
              <w:rPr>
                <w:sz w:val="24"/>
                <w:szCs w:val="24"/>
              </w:rPr>
            </w:pPr>
            <w:r w:rsidRPr="00836260">
              <w:rPr>
                <w:sz w:val="24"/>
                <w:szCs w:val="24"/>
              </w:rPr>
              <w:t>Task-based flexible working with digital tools</w:t>
            </w:r>
          </w:p>
        </w:tc>
        <w:tc>
          <w:tcPr>
            <w:tcW w:w="3120" w:type="dxa"/>
            <w:tcBorders>
              <w:top w:val="single" w:sz="6" w:space="0" w:color="auto"/>
              <w:left w:val="single" w:sz="6" w:space="0" w:color="auto"/>
              <w:bottom w:val="single" w:sz="12" w:space="0" w:color="auto"/>
              <w:right w:val="single" w:sz="12" w:space="0" w:color="auto"/>
            </w:tcBorders>
            <w:vAlign w:val="center"/>
          </w:tcPr>
          <w:p w:rsidR="005D4EC4" w:rsidRPr="00836260" w:rsidRDefault="005D4EC4" w:rsidP="004A71DA">
            <w:pPr>
              <w:widowControl w:val="0"/>
              <w:pBdr>
                <w:top w:val="nil"/>
                <w:left w:val="nil"/>
                <w:bottom w:val="nil"/>
                <w:right w:val="nil"/>
                <w:between w:val="nil"/>
              </w:pBdr>
              <w:jc w:val="center"/>
              <w:rPr>
                <w:sz w:val="24"/>
                <w:szCs w:val="24"/>
              </w:rPr>
            </w:pPr>
            <w:r w:rsidRPr="00836260">
              <w:rPr>
                <w:sz w:val="24"/>
                <w:szCs w:val="24"/>
              </w:rPr>
              <w:t>Coordination across the UK, India and UAE</w:t>
            </w:r>
          </w:p>
        </w:tc>
      </w:tr>
    </w:tbl>
    <w:p w:rsidR="00836260" w:rsidRPr="00836260" w:rsidRDefault="00836260" w:rsidP="005D4EC4">
      <w:pPr>
        <w:pStyle w:val="Heading2"/>
        <w:spacing w:before="0" w:after="0"/>
        <w:rPr>
          <w:sz w:val="14"/>
          <w:szCs w:val="14"/>
        </w:rPr>
      </w:pPr>
    </w:p>
    <w:p w:rsidR="005D4EC4" w:rsidRPr="00C07D93" w:rsidRDefault="005D4EC4" w:rsidP="005D4EC4">
      <w:pPr>
        <w:pStyle w:val="Heading2"/>
        <w:spacing w:before="0" w:after="0"/>
      </w:pPr>
      <w:bookmarkStart w:id="7" w:name="_Toc242884566"/>
      <w:r w:rsidRPr="00C07D93">
        <w:t>2.3 Integrated Innovative Working Framework for NHSX</w:t>
      </w:r>
      <w:bookmarkEnd w:id="7"/>
    </w:p>
    <w:p w:rsidR="005D4EC4" w:rsidRPr="00C07D93" w:rsidRDefault="005D4EC4" w:rsidP="005D4EC4">
      <w:r w:rsidRPr="00C07D93">
        <w:t>NHSX should create agile product teams of software developers, AI specialists, clinicians, product managers and customers. Since each team has the knowledge to make the decision, issues don't 'rise up the ladder' and decisions are made more rapidly. Building clinical decision-support tools is especially not a task for the technical staff, because a clinical knowledge of safety, usability and acceptance are needed. Short sprints and retrospectives deal with limited experimentation, as teams experiment on a low-cost basis and learn from the mistakes in their experiments.</w:t>
      </w:r>
    </w:p>
    <w:p w:rsidR="005D4EC4" w:rsidRPr="00C07D93" w:rsidRDefault="005D4EC4" w:rsidP="005D4EC4">
      <w:pPr>
        <w:rPr>
          <w:sz w:val="28"/>
          <w:szCs w:val="28"/>
        </w:rPr>
      </w:pPr>
      <w:r w:rsidRPr="00C07D93">
        <w:t xml:space="preserve">Problems can occur from cross-functional teams; role conflict and meeting overload, so each cross-functional team should have a charter, clearly-defined decision rights, and an accountable product lead. A high level governance body should ensure that autonomy does not compromise accountability with regard to patient safety, legal compliance and significant investments. It is also important for top management to support this partnership as it helps to boost innovation through HPWS (Wang </w:t>
      </w:r>
      <w:r w:rsidRPr="00C07D93">
        <w:rPr>
          <w:i/>
          <w:iCs/>
        </w:rPr>
        <w:t xml:space="preserve">et al., </w:t>
      </w:r>
      <w:r w:rsidRPr="00C07D93">
        <w:t>2024) when senior management shows innovation in HR.</w:t>
      </w:r>
    </w:p>
    <w:p w:rsidR="005D4EC4" w:rsidRPr="00C07D93" w:rsidRDefault="005D4EC4" w:rsidP="005D4EC4">
      <w:pPr>
        <w:jc w:val="center"/>
      </w:pPr>
      <w:r w:rsidRPr="00C07D93">
        <w:rPr>
          <w:noProof/>
          <w:lang w:eastAsia="en-US" w:bidi="gu-IN"/>
        </w:rPr>
        <w:lastRenderedPageBreak/>
        <w:drawing>
          <wp:inline distT="114300" distB="114300" distL="114300" distR="114300">
            <wp:extent cx="4257675" cy="4257675"/>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257675" cy="4257675"/>
                    </a:xfrm>
                    <a:prstGeom prst="rect">
                      <a:avLst/>
                    </a:prstGeom>
                    <a:ln w="25400">
                      <a:solidFill>
                        <a:srgbClr val="000000"/>
                      </a:solidFill>
                      <a:prstDash val="solid"/>
                    </a:ln>
                  </pic:spPr>
                </pic:pic>
              </a:graphicData>
            </a:graphic>
          </wp:inline>
        </w:drawing>
      </w:r>
    </w:p>
    <w:p w:rsidR="005D4EC4" w:rsidRPr="00C07D93" w:rsidRDefault="005D4EC4" w:rsidP="005D4EC4">
      <w:pPr>
        <w:jc w:val="center"/>
        <w:rPr>
          <w:b/>
          <w:bCs/>
        </w:rPr>
      </w:pPr>
      <w:r w:rsidRPr="00C07D93">
        <w:rPr>
          <w:b/>
          <w:bCs/>
        </w:rPr>
        <w:t>Figure 2: Agile Human-Capital Working Framework</w:t>
      </w:r>
    </w:p>
    <w:p w:rsidR="005D4EC4" w:rsidRPr="00C07D93" w:rsidRDefault="005D4EC4" w:rsidP="005D4EC4">
      <w:pPr>
        <w:jc w:val="center"/>
      </w:pPr>
      <w:r w:rsidRPr="00C07D93">
        <w:t>(Self-Created)</w:t>
      </w:r>
    </w:p>
    <w:p w:rsidR="005D4EC4" w:rsidRPr="00C07D93" w:rsidRDefault="005D4EC4" w:rsidP="005D4EC4">
      <w:r w:rsidRPr="00C07D93">
        <w:t>The framework is also indicative of sociotechnical thinking: NHSX must harmonise people, technology and work processes. The use of AI should not be seen as necessarily advantageous, as HR technologies can introduce risks related to fairness, transparency or employees' trust (Bujold</w:t>
      </w:r>
      <w:r w:rsidRPr="00C07D93">
        <w:rPr>
          <w:i/>
          <w:iCs/>
        </w:rPr>
        <w:t xml:space="preserve"> et al.,</w:t>
      </w:r>
      <w:r w:rsidRPr="00C07D93">
        <w:t xml:space="preserve"> 2024). Innovation must thus be based on the performance and safety of human beings.</w:t>
      </w:r>
    </w:p>
    <w:p w:rsidR="005D4EC4" w:rsidRPr="00C07D93" w:rsidRDefault="005D4EC4" w:rsidP="005D4EC4">
      <w:pPr>
        <w:pStyle w:val="Heading2"/>
        <w:spacing w:before="0" w:after="0"/>
      </w:pPr>
      <w:bookmarkStart w:id="8" w:name="_Toc242884567"/>
      <w:r w:rsidRPr="00C07D93">
        <w:t>2.4 Cross-Functional and Agile Collaboration</w:t>
      </w:r>
      <w:bookmarkEnd w:id="8"/>
    </w:p>
    <w:p w:rsidR="005D4EC4" w:rsidRPr="00C07D93" w:rsidRDefault="005D4EC4" w:rsidP="005D4EC4">
      <w:r w:rsidRPr="00C07D93">
        <w:t xml:space="preserve">Bounded autonomy enables employees to act to solve problems and make improvements within a framework of patient safety, data protection, regulation and strategy. Managers establish goals and limitations, not all the methods. It takes decisions to knowledge, and turns autonomy into a performance tool, not a loss of control. For instance, a team might agree to accept simple design changes if their risk is under a certain level that they agree on, and refer the riskier changes to the personal </w:t>
      </w:r>
      <w:r w:rsidRPr="00C07D93">
        <w:lastRenderedPageBreak/>
        <w:t>data and/or clinical safety areas. The balance is important because AI has the potential to boost productivity and working life, but can also pose challenges to autonomy, privacy and fairness (OECD, 2024). In the healthcare technology realm, speed cannot trump safety, and autonomy should go hand-in-hand with training, and human accountability.</w:t>
      </w:r>
    </w:p>
    <w:p w:rsidR="005D4EC4" w:rsidRPr="00C07D93" w:rsidRDefault="005D4EC4" w:rsidP="005D4EC4">
      <w:pPr>
        <w:pStyle w:val="Heading2"/>
        <w:spacing w:before="0" w:after="0"/>
      </w:pPr>
      <w:bookmarkStart w:id="9" w:name="_Toc242884568"/>
      <w:r w:rsidRPr="00C07D93">
        <w:t>2.5 Flexible and Technology-Enabled Working</w:t>
      </w:r>
      <w:bookmarkEnd w:id="9"/>
    </w:p>
    <w:p w:rsidR="005D4EC4" w:rsidRPr="00C07D93" w:rsidRDefault="005D4EC4" w:rsidP="005D4EC4">
      <w:r w:rsidRPr="00C07D93">
        <w:t xml:space="preserve">NHSX should adopt a different approach to flexible working from home vs office to a task based approach. In-person (or virtual) time and remote time suits focused technical work and planned for innovation and relationship building. The performance in flexible technology based models can be enhanced by flexibility and autonomy, but this will depend on the design and management of the work (Kumar </w:t>
      </w:r>
      <w:r w:rsidRPr="00C07D93">
        <w:rPr>
          <w:i/>
          <w:iCs/>
        </w:rPr>
        <w:t xml:space="preserve">et al., </w:t>
      </w:r>
      <w:r w:rsidRPr="00C07D93">
        <w:t>2026). However, not all collaboration is created equal, and the quality of the collaboration should be assessed.</w:t>
      </w:r>
    </w:p>
    <w:p w:rsidR="005D4EC4" w:rsidRPr="00C07D93" w:rsidRDefault="005D4EC4" w:rsidP="005D4EC4">
      <w:pPr>
        <w:rPr>
          <w:sz w:val="28"/>
          <w:szCs w:val="28"/>
        </w:rPr>
      </w:pPr>
      <w:r w:rsidRPr="00C07D93">
        <w:t xml:space="preserve">Technology is a means to an end. A short core overlap window should be used for live work, and shared project boards. The goal is to create quality time together, not required. Working management is not only a one-time policy, but a continuous process of coordination which is facilitated by the use of communication norms and common platforms (Wiatr and Skowron-Mielnik, 2023). Digital solutions that enable and augment human capability, rather than replacing it, play a key role in HRM 5.0 (Capolupo </w:t>
      </w:r>
      <w:r w:rsidRPr="00C07D93">
        <w:rPr>
          <w:i/>
          <w:iCs/>
        </w:rPr>
        <w:t>et al.,</w:t>
      </w:r>
      <w:r w:rsidRPr="00C07D93">
        <w:t xml:space="preserve"> 2025).</w:t>
      </w:r>
    </w:p>
    <w:p w:rsidR="005D4EC4" w:rsidRPr="00C07D93" w:rsidRDefault="005D4EC4" w:rsidP="005D4EC4">
      <w:pPr>
        <w:pStyle w:val="Heading1"/>
      </w:pPr>
      <w:bookmarkStart w:id="10" w:name="_Toc242884569"/>
      <w:r w:rsidRPr="00C07D93">
        <w:t>3. Task B: Breeding an Environment Where Talent May Grow</w:t>
      </w:r>
      <w:bookmarkEnd w:id="10"/>
    </w:p>
    <w:p w:rsidR="005D4EC4" w:rsidRPr="00C07D93" w:rsidRDefault="005D4EC4" w:rsidP="005D4EC4">
      <w:pPr>
        <w:pStyle w:val="Heading2"/>
        <w:spacing w:before="0" w:after="0"/>
      </w:pPr>
      <w:bookmarkStart w:id="11" w:name="_Toc242884570"/>
      <w:r w:rsidRPr="00C07D93">
        <w:t>3.1 Creating an Environment Where Talent Flourishes</w:t>
      </w:r>
      <w:bookmarkEnd w:id="11"/>
    </w:p>
    <w:p w:rsidR="005D4EC4" w:rsidRPr="00C07D93" w:rsidRDefault="005D4EC4" w:rsidP="005D4EC4">
      <w:r w:rsidRPr="00C07D93">
        <w:t>Talent is by no means confined to the few high performers. Develops through learning, opportunity and support provided by organisational systems. The issues that affect NHST's talent are poor career development, lack of learning opportunities, stress in wellbeing and unclear expectations of performance. Each of these is answered in the ecosystem below.</w:t>
      </w:r>
    </w:p>
    <w:p w:rsidR="005D4EC4" w:rsidRPr="00C07D93" w:rsidRDefault="005D4EC4" w:rsidP="005D4EC4">
      <w:r w:rsidRPr="00836260">
        <w:rPr>
          <w:b/>
          <w:bCs/>
        </w:rPr>
        <w:t>Learning opportunities:</w:t>
      </w:r>
      <w:r w:rsidRPr="00C07D93">
        <w:t xml:space="preserve"> </w:t>
      </w:r>
      <w:r w:rsidR="00836260">
        <w:t xml:space="preserve"> </w:t>
      </w:r>
      <w:r w:rsidRPr="00C07D93">
        <w:t xml:space="preserve">In the context of learning, a learning organisation, as defined by Senge, is characterised by continuous and shared learning, which is based on team learning and systems thinking as described by Simanjuntak </w:t>
      </w:r>
      <w:r w:rsidRPr="00C07D93">
        <w:rPr>
          <w:i/>
          <w:iCs/>
        </w:rPr>
        <w:t xml:space="preserve">et al. </w:t>
      </w:r>
      <w:r w:rsidRPr="00C07D93">
        <w:t xml:space="preserve">(2023). For NHSX, it </w:t>
      </w:r>
      <w:r w:rsidRPr="00C07D93">
        <w:lastRenderedPageBreak/>
        <w:t>is about learning together with each other, not with one another but within the AI projects.</w:t>
      </w:r>
    </w:p>
    <w:p w:rsidR="005D4EC4" w:rsidRPr="00C07D93" w:rsidRDefault="005D4EC4" w:rsidP="005D4EC4">
      <w:r w:rsidRPr="00836260">
        <w:rPr>
          <w:b/>
          <w:bCs/>
        </w:rPr>
        <w:t>Wellbeing and stress on performance: Working Conditions:</w:t>
      </w:r>
      <w:r w:rsidRPr="00836260">
        <w:t xml:space="preserve"> </w:t>
      </w:r>
      <w:r w:rsidRPr="00C07D93">
        <w:t>Psychological safety enables people to question, to be honest about their errors, and to voice concerns without facing criticism. This is important because staff are likely to have to challenge the unsafe outputs of AI. It encourages innovative behavior and silence restricts new ideas (Çetin, 2025). Managers need to take action on concerns that otherwise there will be a loss of trust.</w:t>
      </w:r>
    </w:p>
    <w:p w:rsidR="005D4EC4" w:rsidRPr="00C07D93" w:rsidRDefault="005D4EC4" w:rsidP="005D4EC4">
      <w:pPr>
        <w:rPr>
          <w:sz w:val="28"/>
          <w:szCs w:val="28"/>
        </w:rPr>
      </w:pPr>
      <w:r w:rsidRPr="00C07D93">
        <w:t>Career progression. High-performer turnover is addressed in pathways and internal mobility as described in Stage 4.</w:t>
      </w:r>
    </w:p>
    <w:p w:rsidR="005D4EC4" w:rsidRPr="00C07D93" w:rsidRDefault="005D4EC4" w:rsidP="005D4EC4">
      <w:pPr>
        <w:pStyle w:val="Heading2"/>
        <w:spacing w:before="0" w:after="0"/>
      </w:pPr>
      <w:bookmarkStart w:id="12" w:name="_Toc242884571"/>
      <w:r w:rsidRPr="00C07D93">
        <w:t>3.2 Strategic Talent Growth Ecosystem for NHSX</w:t>
      </w:r>
      <w:bookmarkEnd w:id="12"/>
    </w:p>
    <w:p w:rsidR="005D4EC4" w:rsidRPr="00C07D93" w:rsidRDefault="005D4EC4" w:rsidP="005D4EC4">
      <w:r w:rsidRPr="00C07D93">
        <w:t xml:space="preserve">To develop a five-stage </w:t>
      </w:r>
      <w:r w:rsidRPr="00C07D93">
        <w:rPr>
          <w:b/>
          <w:bCs/>
        </w:rPr>
        <w:t>Talent Growth Ecosystem: Identify, Develop, Deploy, Retain and Measure</w:t>
      </w:r>
      <w:r w:rsidRPr="00C07D93">
        <w:t>, NHSX needs to do so.</w:t>
      </w:r>
    </w:p>
    <w:p w:rsidR="005D4EC4" w:rsidRPr="00C07D93" w:rsidRDefault="005D4EC4" w:rsidP="005D4EC4">
      <w:r w:rsidRPr="00D4285D">
        <w:rPr>
          <w:b/>
          <w:bCs/>
        </w:rPr>
        <w:t>Stage 1 – Identify:</w:t>
      </w:r>
      <w:r w:rsidRPr="00C07D93">
        <w:rPr>
          <w:b/>
          <w:bCs/>
          <w:i/>
          <w:iCs/>
        </w:rPr>
        <w:t xml:space="preserve"> </w:t>
      </w:r>
      <w:r w:rsidRPr="00C07D93">
        <w:t>Skills auditing should be undertaken via competency frameworks, performance evidence, career aspirations and skills gaps analysis, using these tools to inform and support NHSX's work. These will reveal existing capacity and/or gaps in the field of AI, digital health and leadership. Development should not be limited to the top performers that will make development an unequal opportunity; and people practices should be aligned to the organisation's needs (Yildiz and Esmer, 2023).</w:t>
      </w:r>
    </w:p>
    <w:p w:rsidR="005D4EC4" w:rsidRPr="00C07D93" w:rsidRDefault="005D4EC4" w:rsidP="005D4EC4">
      <w:r w:rsidRPr="00D4285D">
        <w:rPr>
          <w:b/>
          <w:bCs/>
        </w:rPr>
        <w:t>Stage 2 – Develop:</w:t>
      </w:r>
      <w:r w:rsidRPr="00C07D93">
        <w:rPr>
          <w:b/>
          <w:bCs/>
          <w:i/>
          <w:iCs/>
        </w:rPr>
        <w:t xml:space="preserve"> </w:t>
      </w:r>
      <w:r w:rsidRPr="00C07D93">
        <w:t xml:space="preserve">All staff to have an individual development plan in digital learning, AI and data skills, mentoring/coaching and cross-functional projects. The creativity and the performance of the organization are fostered by employee development and involvement (Huang </w:t>
      </w:r>
      <w:r w:rsidRPr="00C07D93">
        <w:rPr>
          <w:i/>
          <w:iCs/>
        </w:rPr>
        <w:t xml:space="preserve">et al., </w:t>
      </w:r>
      <w:r w:rsidRPr="00C07D93">
        <w:t xml:space="preserve">2023). There should be a strong emphasis on learning time being included in working time as programmes can take place outside of working hours, otherwise they will be an added burden, and managers should be judged partly on the learning outcomes from the programme. Sharing the choice of projects and the formulation of a part of the work with employees fosters autonomy, competence and relatedness (Olafsen </w:t>
      </w:r>
      <w:r w:rsidRPr="00C07D93">
        <w:rPr>
          <w:i/>
          <w:iCs/>
        </w:rPr>
        <w:t>et al.,</w:t>
      </w:r>
      <w:r w:rsidRPr="00C07D93">
        <w:t xml:space="preserve"> 2025). Any such job crafting will remain within the parameters of workload, team roles, patient safety and regulatory requirements.</w:t>
      </w:r>
    </w:p>
    <w:p w:rsidR="005D4EC4" w:rsidRPr="00C07D93" w:rsidRDefault="005D4EC4" w:rsidP="005D4EC4">
      <w:r w:rsidRPr="00D4285D">
        <w:rPr>
          <w:b/>
          <w:bCs/>
        </w:rPr>
        <w:t>Stage 3 – Deploy:</w:t>
      </w:r>
      <w:r w:rsidR="00D4285D">
        <w:rPr>
          <w:b/>
          <w:bCs/>
        </w:rPr>
        <w:t xml:space="preserve"> </w:t>
      </w:r>
      <w:r w:rsidRPr="00C07D93">
        <w:t xml:space="preserve">Learning is transformed into capability by stretching assignments, innovation projects, international teams and job rotation. They also develop dynamic </w:t>
      </w:r>
      <w:r w:rsidRPr="00C07D93">
        <w:lastRenderedPageBreak/>
        <w:t xml:space="preserve">capabilities, instead of an accumulation of skills in single functions (Mehralian </w:t>
      </w:r>
      <w:r w:rsidRPr="00C07D93">
        <w:rPr>
          <w:i/>
          <w:iCs/>
        </w:rPr>
        <w:t>et al.,</w:t>
      </w:r>
      <w:r w:rsidRPr="00C07D93">
        <w:t xml:space="preserve"> 2023). The deployment of Cross-Border enhances cooperation between the UK, India and UAE.</w:t>
      </w:r>
    </w:p>
    <w:p w:rsidR="005D4EC4" w:rsidRPr="00C07D93" w:rsidRDefault="005D4EC4" w:rsidP="005D4EC4">
      <w:r w:rsidRPr="00C07D93">
        <w:rPr>
          <w:b/>
          <w:bCs/>
        </w:rPr>
        <w:t>Stage 4 – Retain</w:t>
      </w:r>
      <w:r w:rsidRPr="00C07D93">
        <w:t>: Strong specialists should be able to move up the ladder without taking on managerial responsibilities; there should be an internal portal of opportunities to promote opportunities and jobs in all three countries. Learning through recognition, mentoring and leadership exposure promotes progression. Wellbeing should be considered as a part of talent management as the HR practices have impact on wellbeing and sustainable performance (Bhoir and Sinha, 2024). It is safeguarded by realistic workloads, manager's support, and psychological safety. Learning, collaboration and wellbeing should be included as part of the process of achieving high performance, rather than high output, otherwise it will be unsustainable.</w:t>
      </w:r>
    </w:p>
    <w:p w:rsidR="005D4EC4" w:rsidRPr="00C07D93" w:rsidRDefault="005D4EC4" w:rsidP="005D4EC4">
      <w:r w:rsidRPr="007B612C">
        <w:rPr>
          <w:b/>
          <w:bCs/>
        </w:rPr>
        <w:t>Stage 5 –Measure</w:t>
      </w:r>
      <w:r w:rsidRPr="007B612C">
        <w:t>:</w:t>
      </w:r>
      <w:r w:rsidRPr="00C07D93">
        <w:t xml:space="preserve"> Internal promotion, voluntary turnover, learning participation, skills certification, engagement, innovation participation, internal mobility and critical-skill coverage are some of the internal aspects that NHSX needs to track. These indicators should be reviewed by the managers quarterly, and gaps should be addressed. </w:t>
      </w:r>
    </w:p>
    <w:p w:rsidR="005D4EC4" w:rsidRPr="00C07D93" w:rsidRDefault="005D4EC4" w:rsidP="005D4EC4">
      <w:pPr>
        <w:jc w:val="center"/>
      </w:pPr>
      <w:r w:rsidRPr="00C07D93">
        <w:rPr>
          <w:noProof/>
          <w:lang w:eastAsia="en-US" w:bidi="gu-IN"/>
        </w:rPr>
        <w:drawing>
          <wp:inline distT="114300" distB="114300" distL="114300" distR="114300">
            <wp:extent cx="5943600" cy="3118582"/>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b="5099"/>
                    <a:stretch>
                      <a:fillRect/>
                    </a:stretch>
                  </pic:blipFill>
                  <pic:spPr>
                    <a:xfrm>
                      <a:off x="0" y="0"/>
                      <a:ext cx="5943600" cy="3118582"/>
                    </a:xfrm>
                    <a:prstGeom prst="rect">
                      <a:avLst/>
                    </a:prstGeom>
                    <a:ln w="25400">
                      <a:solidFill>
                        <a:srgbClr val="000000"/>
                      </a:solidFill>
                      <a:prstDash val="solid"/>
                    </a:ln>
                  </pic:spPr>
                </pic:pic>
              </a:graphicData>
            </a:graphic>
          </wp:inline>
        </w:drawing>
      </w:r>
    </w:p>
    <w:p w:rsidR="005D4EC4" w:rsidRPr="00C07D93" w:rsidRDefault="005D4EC4" w:rsidP="005D4EC4">
      <w:pPr>
        <w:jc w:val="center"/>
        <w:rPr>
          <w:b/>
          <w:bCs/>
        </w:rPr>
      </w:pPr>
      <w:r w:rsidRPr="00C07D93">
        <w:rPr>
          <w:b/>
          <w:bCs/>
        </w:rPr>
        <w:t>Figure 4: Talent Ecosystem</w:t>
      </w:r>
    </w:p>
    <w:p w:rsidR="005D4EC4" w:rsidRPr="00C07D93" w:rsidRDefault="005D4EC4" w:rsidP="005D4EC4">
      <w:pPr>
        <w:jc w:val="center"/>
      </w:pPr>
      <w:r w:rsidRPr="00C07D93">
        <w:t>(Self-Created)</w:t>
      </w:r>
    </w:p>
    <w:p w:rsidR="005D4EC4" w:rsidRPr="00C07D93" w:rsidRDefault="005D4EC4" w:rsidP="005D4EC4">
      <w:r w:rsidRPr="00C07D93">
        <w:lastRenderedPageBreak/>
        <w:t>While reducing turnover is a good indicator of retention, there should also be tracking of contribution to innovation and progression in leadership.</w:t>
      </w:r>
    </w:p>
    <w:p w:rsidR="005D4EC4" w:rsidRPr="00C07D93" w:rsidRDefault="005D4EC4" w:rsidP="005D4EC4">
      <w:pPr>
        <w:rPr>
          <w:b/>
          <w:bCs/>
        </w:rPr>
      </w:pPr>
      <w:r w:rsidRPr="00C07D93">
        <w:rPr>
          <w:b/>
          <w:bCs/>
        </w:rPr>
        <w:t>Table 2: Measurement of the feedback</w:t>
      </w:r>
    </w:p>
    <w:tbl>
      <w:tblPr>
        <w:tblStyle w:val="MediumGrid2-Accent5"/>
        <w:tblW w:w="9360" w:type="dxa"/>
        <w:tblLayout w:type="fixed"/>
        <w:tblLook w:val="0600"/>
      </w:tblPr>
      <w:tblGrid>
        <w:gridCol w:w="3120"/>
        <w:gridCol w:w="3120"/>
        <w:gridCol w:w="3120"/>
      </w:tblGrid>
      <w:tr w:rsidR="005D4EC4" w:rsidRPr="00C07D93" w:rsidTr="004A71DA">
        <w:tc>
          <w:tcPr>
            <w:tcW w:w="3120" w:type="dxa"/>
            <w:tcBorders>
              <w:top w:val="single" w:sz="6" w:space="0" w:color="auto"/>
              <w:left w:val="single" w:sz="6" w:space="0" w:color="auto"/>
              <w:bottom w:val="single" w:sz="6" w:space="0" w:color="auto"/>
              <w:right w:val="single" w:sz="6" w:space="0" w:color="auto"/>
            </w:tcBorders>
            <w:shd w:val="clear" w:color="auto" w:fill="B2A1C7" w:themeFill="accent4" w:themeFillTint="99"/>
          </w:tcPr>
          <w:p w:rsidR="005D4EC4" w:rsidRPr="004A71DA" w:rsidRDefault="005D4EC4" w:rsidP="00EF6D13">
            <w:pPr>
              <w:widowControl w:val="0"/>
              <w:pBdr>
                <w:top w:val="nil"/>
                <w:left w:val="nil"/>
                <w:bottom w:val="nil"/>
                <w:right w:val="nil"/>
                <w:between w:val="nil"/>
              </w:pBdr>
              <w:jc w:val="center"/>
              <w:rPr>
                <w:b/>
                <w:bCs/>
                <w:sz w:val="24"/>
                <w:szCs w:val="24"/>
              </w:rPr>
            </w:pPr>
            <w:r w:rsidRPr="004A71DA">
              <w:rPr>
                <w:b/>
                <w:bCs/>
                <w:sz w:val="24"/>
                <w:szCs w:val="24"/>
              </w:rPr>
              <w:t>Prombles</w:t>
            </w:r>
          </w:p>
        </w:tc>
        <w:tc>
          <w:tcPr>
            <w:tcW w:w="3120" w:type="dxa"/>
            <w:tcBorders>
              <w:top w:val="single" w:sz="6" w:space="0" w:color="auto"/>
              <w:left w:val="single" w:sz="6" w:space="0" w:color="auto"/>
              <w:bottom w:val="single" w:sz="6" w:space="0" w:color="auto"/>
              <w:right w:val="single" w:sz="6" w:space="0" w:color="auto"/>
            </w:tcBorders>
            <w:shd w:val="clear" w:color="auto" w:fill="B2A1C7" w:themeFill="accent4" w:themeFillTint="99"/>
          </w:tcPr>
          <w:p w:rsidR="005D4EC4" w:rsidRPr="004A71DA" w:rsidRDefault="005D4EC4" w:rsidP="00EF6D13">
            <w:pPr>
              <w:widowControl w:val="0"/>
              <w:pBdr>
                <w:top w:val="nil"/>
                <w:left w:val="nil"/>
                <w:bottom w:val="nil"/>
                <w:right w:val="nil"/>
                <w:between w:val="nil"/>
              </w:pBdr>
              <w:jc w:val="center"/>
              <w:rPr>
                <w:b/>
                <w:bCs/>
                <w:sz w:val="24"/>
                <w:szCs w:val="24"/>
              </w:rPr>
            </w:pPr>
            <w:r w:rsidRPr="004A71DA">
              <w:rPr>
                <w:b/>
                <w:bCs/>
                <w:sz w:val="24"/>
                <w:szCs w:val="24"/>
              </w:rPr>
              <w:t>Stages</w:t>
            </w:r>
          </w:p>
        </w:tc>
        <w:tc>
          <w:tcPr>
            <w:tcW w:w="3120" w:type="dxa"/>
            <w:tcBorders>
              <w:top w:val="single" w:sz="6" w:space="0" w:color="auto"/>
              <w:left w:val="single" w:sz="6" w:space="0" w:color="auto"/>
              <w:bottom w:val="single" w:sz="6" w:space="0" w:color="auto"/>
              <w:right w:val="single" w:sz="6" w:space="0" w:color="auto"/>
            </w:tcBorders>
            <w:shd w:val="clear" w:color="auto" w:fill="B2A1C7" w:themeFill="accent4" w:themeFillTint="99"/>
          </w:tcPr>
          <w:p w:rsidR="005D4EC4" w:rsidRPr="004A71DA" w:rsidRDefault="005D4EC4" w:rsidP="00EF6D13">
            <w:pPr>
              <w:widowControl w:val="0"/>
              <w:pBdr>
                <w:top w:val="nil"/>
                <w:left w:val="nil"/>
                <w:bottom w:val="nil"/>
                <w:right w:val="nil"/>
                <w:between w:val="nil"/>
              </w:pBdr>
              <w:jc w:val="center"/>
              <w:rPr>
                <w:b/>
                <w:bCs/>
                <w:sz w:val="24"/>
                <w:szCs w:val="24"/>
              </w:rPr>
            </w:pPr>
            <w:r w:rsidRPr="004A71DA">
              <w:rPr>
                <w:b/>
                <w:bCs/>
                <w:sz w:val="24"/>
                <w:szCs w:val="24"/>
              </w:rPr>
              <w:t>Measures</w:t>
            </w:r>
          </w:p>
        </w:tc>
      </w:tr>
      <w:tr w:rsidR="005D4EC4" w:rsidRPr="00C07D93" w:rsidTr="004A71DA">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left"/>
              <w:rPr>
                <w:sz w:val="24"/>
                <w:szCs w:val="24"/>
              </w:rPr>
            </w:pPr>
            <w:r w:rsidRPr="004A71DA">
              <w:rPr>
                <w:sz w:val="24"/>
                <w:szCs w:val="24"/>
              </w:rPr>
              <w:t>Few learning opportunities</w:t>
            </w:r>
          </w:p>
        </w:tc>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center"/>
              <w:rPr>
                <w:sz w:val="24"/>
                <w:szCs w:val="24"/>
              </w:rPr>
            </w:pPr>
            <w:r w:rsidRPr="004A71DA">
              <w:rPr>
                <w:sz w:val="24"/>
                <w:szCs w:val="24"/>
              </w:rPr>
              <w:t>2,3</w:t>
            </w:r>
          </w:p>
        </w:tc>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left"/>
              <w:rPr>
                <w:sz w:val="24"/>
                <w:szCs w:val="24"/>
              </w:rPr>
            </w:pPr>
            <w:r w:rsidRPr="004A71DA">
              <w:rPr>
                <w:sz w:val="24"/>
                <w:szCs w:val="24"/>
              </w:rPr>
              <w:t>Learning participation, skills growth</w:t>
            </w:r>
          </w:p>
        </w:tc>
      </w:tr>
      <w:tr w:rsidR="005D4EC4" w:rsidRPr="00C07D93" w:rsidTr="004A71DA">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left"/>
              <w:rPr>
                <w:sz w:val="24"/>
                <w:szCs w:val="24"/>
              </w:rPr>
            </w:pPr>
            <w:r w:rsidRPr="004A71DA">
              <w:rPr>
                <w:sz w:val="24"/>
                <w:szCs w:val="24"/>
              </w:rPr>
              <w:t>Limited career progression</w:t>
            </w:r>
          </w:p>
        </w:tc>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center"/>
              <w:rPr>
                <w:sz w:val="24"/>
                <w:szCs w:val="24"/>
              </w:rPr>
            </w:pPr>
            <w:r w:rsidRPr="004A71DA">
              <w:rPr>
                <w:sz w:val="24"/>
                <w:szCs w:val="24"/>
              </w:rPr>
              <w:t>3,4</w:t>
            </w:r>
          </w:p>
        </w:tc>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left"/>
              <w:rPr>
                <w:sz w:val="24"/>
                <w:szCs w:val="24"/>
              </w:rPr>
            </w:pPr>
            <w:r w:rsidRPr="004A71DA">
              <w:rPr>
                <w:sz w:val="24"/>
                <w:szCs w:val="24"/>
              </w:rPr>
              <w:t>Internal promotion, mobility</w:t>
            </w:r>
          </w:p>
        </w:tc>
      </w:tr>
      <w:tr w:rsidR="005D4EC4" w:rsidRPr="00C07D93" w:rsidTr="004A71DA">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left"/>
              <w:rPr>
                <w:sz w:val="24"/>
                <w:szCs w:val="24"/>
              </w:rPr>
            </w:pPr>
            <w:r w:rsidRPr="004A71DA">
              <w:rPr>
                <w:sz w:val="24"/>
                <w:szCs w:val="24"/>
              </w:rPr>
              <w:t>Wellbeing pressure</w:t>
            </w:r>
          </w:p>
        </w:tc>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center"/>
              <w:rPr>
                <w:sz w:val="24"/>
                <w:szCs w:val="24"/>
              </w:rPr>
            </w:pPr>
            <w:r w:rsidRPr="004A71DA">
              <w:rPr>
                <w:sz w:val="24"/>
                <w:szCs w:val="24"/>
              </w:rPr>
              <w:t>4</w:t>
            </w:r>
          </w:p>
        </w:tc>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left"/>
              <w:rPr>
                <w:sz w:val="24"/>
                <w:szCs w:val="24"/>
              </w:rPr>
            </w:pPr>
            <w:r w:rsidRPr="004A71DA">
              <w:rPr>
                <w:sz w:val="24"/>
                <w:szCs w:val="24"/>
              </w:rPr>
              <w:t>Wellbeing and safety scores</w:t>
            </w:r>
          </w:p>
        </w:tc>
      </w:tr>
      <w:tr w:rsidR="005D4EC4" w:rsidRPr="00C07D93" w:rsidTr="004A71DA">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left"/>
              <w:rPr>
                <w:sz w:val="24"/>
                <w:szCs w:val="24"/>
              </w:rPr>
            </w:pPr>
            <w:r w:rsidRPr="004A71DA">
              <w:rPr>
                <w:sz w:val="24"/>
                <w:szCs w:val="24"/>
              </w:rPr>
              <w:t>Unclear performance expectations</w:t>
            </w:r>
          </w:p>
        </w:tc>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center"/>
              <w:rPr>
                <w:sz w:val="24"/>
                <w:szCs w:val="24"/>
              </w:rPr>
            </w:pPr>
            <w:r w:rsidRPr="004A71DA">
              <w:rPr>
                <w:sz w:val="24"/>
                <w:szCs w:val="24"/>
              </w:rPr>
              <w:t>1,4</w:t>
            </w:r>
          </w:p>
        </w:tc>
        <w:tc>
          <w:tcPr>
            <w:tcW w:w="3120" w:type="dxa"/>
            <w:tcBorders>
              <w:top w:val="single" w:sz="6" w:space="0" w:color="auto"/>
              <w:left w:val="single" w:sz="6" w:space="0" w:color="auto"/>
              <w:bottom w:val="single" w:sz="6" w:space="0" w:color="auto"/>
              <w:right w:val="single" w:sz="6" w:space="0" w:color="auto"/>
            </w:tcBorders>
          </w:tcPr>
          <w:p w:rsidR="005D4EC4" w:rsidRPr="004A71DA" w:rsidRDefault="005D4EC4" w:rsidP="00EF6D13">
            <w:pPr>
              <w:widowControl w:val="0"/>
              <w:pBdr>
                <w:top w:val="nil"/>
                <w:left w:val="nil"/>
                <w:bottom w:val="nil"/>
                <w:right w:val="nil"/>
                <w:between w:val="nil"/>
              </w:pBdr>
              <w:jc w:val="left"/>
              <w:rPr>
                <w:sz w:val="24"/>
                <w:szCs w:val="24"/>
              </w:rPr>
            </w:pPr>
            <w:r w:rsidRPr="004A71DA">
              <w:rPr>
                <w:sz w:val="24"/>
                <w:szCs w:val="24"/>
              </w:rPr>
              <w:t>Engagement, objective quality</w:t>
            </w:r>
          </w:p>
        </w:tc>
      </w:tr>
    </w:tbl>
    <w:p w:rsidR="005D4EC4" w:rsidRPr="00C07D93" w:rsidRDefault="005D4EC4" w:rsidP="005D4EC4">
      <w:pPr>
        <w:rPr>
          <w:sz w:val="23"/>
          <w:szCs w:val="23"/>
        </w:rPr>
      </w:pPr>
    </w:p>
    <w:p w:rsidR="005D4EC4" w:rsidRPr="00C07D93" w:rsidRDefault="005D4EC4" w:rsidP="005D4EC4">
      <w:pPr>
        <w:pStyle w:val="Heading2"/>
        <w:spacing w:before="0" w:after="0"/>
      </w:pPr>
      <w:bookmarkStart w:id="13" w:name="_Toc242884572"/>
      <w:r w:rsidRPr="00C07D93">
        <w:t>3.3 Learning, Psychological Safety and Growth Mindset</w:t>
      </w:r>
      <w:bookmarkEnd w:id="13"/>
    </w:p>
    <w:p w:rsidR="005D4EC4" w:rsidRPr="00C07D93" w:rsidRDefault="005D4EC4" w:rsidP="005D4EC4">
      <w:r w:rsidRPr="00C07D93">
        <w:t xml:space="preserve">NHSX ought to incorporate learning experiences with psychological safety, autonomy and managerial support since learning alone is not a sure way of developing capabilities. </w:t>
      </w:r>
    </w:p>
    <w:p w:rsidR="005D4EC4" w:rsidRPr="00C07D93" w:rsidRDefault="005D4EC4" w:rsidP="005D4EC4">
      <w:r w:rsidRPr="00C07D93">
        <w:t xml:space="preserve">Nonetheless, learning programmes may pose extra workload as they may be done outside the normal working hours. NHSX needs to set learning time in the working schedules and evaluate managers partially based on the results of development. This helps to promote autonomy, competence and relatedness by need crafting at work (Olafsen </w:t>
      </w:r>
      <w:r w:rsidRPr="00C07D93">
        <w:rPr>
          <w:i/>
          <w:iCs/>
        </w:rPr>
        <w:t xml:space="preserve">et al., </w:t>
      </w:r>
      <w:r w:rsidRPr="00C07D93">
        <w:t xml:space="preserve">2025). It is also an indication of HRM 5.0, where technology must enhance human abilities instead of cutting down on development through automation (Capolupo </w:t>
      </w:r>
      <w:r w:rsidRPr="00C07D93">
        <w:rPr>
          <w:i/>
          <w:iCs/>
        </w:rPr>
        <w:t>et al.,</w:t>
      </w:r>
      <w:r w:rsidRPr="00C07D93">
        <w:t xml:space="preserve"> 2025).</w:t>
      </w:r>
    </w:p>
    <w:p w:rsidR="005D4EC4" w:rsidRPr="00C07D93" w:rsidRDefault="005D4EC4" w:rsidP="005D4EC4">
      <w:pPr>
        <w:pStyle w:val="Heading2"/>
        <w:spacing w:before="0" w:after="0"/>
      </w:pPr>
      <w:bookmarkStart w:id="14" w:name="_Toc242884573"/>
      <w:r w:rsidRPr="00C07D93">
        <w:t>3.4 Employee Experience, Job Crafting and Motivation</w:t>
      </w:r>
      <w:bookmarkEnd w:id="14"/>
    </w:p>
    <w:p w:rsidR="005D4EC4" w:rsidRPr="00C07D93" w:rsidRDefault="005D4EC4" w:rsidP="005D4EC4">
      <w:r w:rsidRPr="00C07D93">
        <w:t xml:space="preserve">These are activities that enable employees to shape tasks, relationships, work approaches and the significance of work. Job crafting has the potential to enhance fit and motivation. In NHSX, employees were able to choose development projects, play their part in solving innovation problems and gain cross-functional expertise. This can enhance autonomy, competence and relatedness (Olafsen </w:t>
      </w:r>
      <w:r w:rsidRPr="00C07D93">
        <w:rPr>
          <w:i/>
          <w:iCs/>
        </w:rPr>
        <w:t>et al.,</w:t>
      </w:r>
      <w:r w:rsidRPr="00C07D93">
        <w:t xml:space="preserve"> 2025). But job crafting cannot imply unlimited choice. The alterations should be in harmony with workload, team roles and duties, patient safety and regulatory needs. </w:t>
      </w:r>
    </w:p>
    <w:p w:rsidR="005D4EC4" w:rsidRPr="00C07D93" w:rsidRDefault="005D4EC4" w:rsidP="005D4EC4">
      <w:pPr>
        <w:pStyle w:val="Heading2"/>
        <w:spacing w:before="0" w:after="0"/>
      </w:pPr>
      <w:bookmarkStart w:id="15" w:name="_Toc242884574"/>
      <w:r w:rsidRPr="00C07D93">
        <w:lastRenderedPageBreak/>
        <w:t>3.5 Talent Retention and Performance</w:t>
      </w:r>
      <w:bookmarkEnd w:id="15"/>
    </w:p>
    <w:p w:rsidR="005D4EC4" w:rsidRPr="00C07D93" w:rsidRDefault="005D4EC4" w:rsidP="005D4EC4">
      <w:r w:rsidRPr="00C07D93">
        <w:t>Career pathways, internal mobility, development plans, mentoring, exposure to leadership, international projects, recognition, and never-ending learning are some of the ways NHSX should deal with high-performer turnover. Lower turnover should not be considered as a measure of retention. The NHSX also needs to evaluate skills growth, intra-organisational mobility, contribution to innovation and advancement in leadership. An effective talent system thus ties the development of the employees to organisational capacity and performance.</w:t>
      </w:r>
    </w:p>
    <w:p w:rsidR="005D4EC4" w:rsidRPr="00C07D93" w:rsidRDefault="005D4EC4" w:rsidP="005D4EC4">
      <w:r w:rsidRPr="00C07D93">
        <w:rPr>
          <w:b/>
          <w:bCs/>
        </w:rPr>
        <w:t>Implementation</w:t>
      </w:r>
    </w:p>
    <w:p w:rsidR="005D4EC4" w:rsidRPr="00C07D93" w:rsidRDefault="005D4EC4" w:rsidP="005D4EC4">
      <w:pPr>
        <w:rPr>
          <w:sz w:val="28"/>
          <w:szCs w:val="28"/>
        </w:rPr>
      </w:pPr>
      <w:r w:rsidRPr="00C07D93">
        <w:t>NHSX should finalise the skills audit, implement development plan templates, coach managers on how to coach and create a culture of psychological safety and protect learning time in months one to three. It will start mentoring, communities of practice, dual career ladders, and the talent marketplace in 4-9 months, testing them out on two teams before rolling them out. The Board should look at the Table 2 measures, in conjunction with the feedback from employees, during months 10-12, and tweak the system. The delivery should be localised to local expectations in terms of hierarchy and feedback and progress should be reported annually to the Board at local level.</w:t>
      </w:r>
    </w:p>
    <w:p w:rsidR="005D4EC4" w:rsidRPr="00C07D93" w:rsidRDefault="005D4EC4" w:rsidP="005D4EC4">
      <w:pPr>
        <w:pStyle w:val="Heading1"/>
      </w:pPr>
      <w:bookmarkStart w:id="16" w:name="_Toc242884575"/>
      <w:r w:rsidRPr="00C07D93">
        <w:t>4. Task C: Reflective Report</w:t>
      </w:r>
      <w:bookmarkEnd w:id="16"/>
    </w:p>
    <w:p w:rsidR="005D4EC4" w:rsidRPr="00C07D93" w:rsidRDefault="005D4EC4" w:rsidP="005D4EC4">
      <w:pPr>
        <w:pStyle w:val="Heading2"/>
        <w:spacing w:before="0" w:after="0"/>
      </w:pPr>
      <w:bookmarkStart w:id="17" w:name="_Toc242884576"/>
      <w:r w:rsidRPr="00C07D93">
        <w:t>4.1 AI as a Strategic HRM Decision-Support Tool</w:t>
      </w:r>
      <w:bookmarkEnd w:id="17"/>
    </w:p>
    <w:p w:rsidR="005D4EC4" w:rsidRPr="00C07D93" w:rsidRDefault="005D4EC4" w:rsidP="005D4EC4">
      <w:pPr>
        <w:rPr>
          <w:sz w:val="28"/>
          <w:szCs w:val="28"/>
        </w:rPr>
      </w:pPr>
      <w:r w:rsidRPr="00C07D93">
        <w:t>I believe AI is a tool to support HRM and not to take the place of HR professionals. It can review workforce data, pinpoint skills gaps, find workforce turnover risk, customise learning for the individual, and inform workforce forecasting. But when utilized responsibly, it can be used in conjunction with HRM (Tursunbayeva, 2024). Yet, in the case of recruitment or performance measures, the underlying data can be biased, leading to unfair patterns and such employees' fairness and privacy as well as autonomy can also be affected (OECD, 2024). However, to make decisions regarding career, wellbeing and employment, empathy, contextual understanding and accountability are crucial and require human oversight and ethical governance, especially in the health sector (World Health Organisation, 2024).</w:t>
      </w:r>
    </w:p>
    <w:p w:rsidR="005D4EC4" w:rsidRPr="00C07D93" w:rsidRDefault="005D4EC4" w:rsidP="005D4EC4">
      <w:pPr>
        <w:pStyle w:val="Heading2"/>
        <w:spacing w:before="0" w:after="0"/>
      </w:pPr>
      <w:bookmarkStart w:id="18" w:name="_Toc242884577"/>
      <w:r w:rsidRPr="00C07D93">
        <w:lastRenderedPageBreak/>
        <w:t>4.2 Reflection on Three Uses of AI</w:t>
      </w:r>
      <w:bookmarkEnd w:id="18"/>
    </w:p>
    <w:p w:rsidR="005D4EC4" w:rsidRPr="00C07D93" w:rsidRDefault="005D4EC4" w:rsidP="005D4EC4">
      <w:r w:rsidRPr="00C07D93">
        <w:t>Academic writing and research. I organized arguments, provided explanations for theories and identified areas of weak evidence using AI. This helped me to organize complicated ideas and make comparisons of views. I also found that the results you get from AI are not necessarily correct and so I have to check against academic sources first before using.</w:t>
      </w:r>
    </w:p>
    <w:p w:rsidR="005D4EC4" w:rsidRPr="00C07D93" w:rsidRDefault="005D4EC4" w:rsidP="005D4EC4">
      <w:r w:rsidRPr="00C07D93">
        <w:t xml:space="preserve">Problem solving and analysis skills. I applied artificial intelligence to look at organisational issues from a number of perspectives and explored management theories. But blindly taking his advice would undermine my analytical thinking. Therefore, I consider its output as an element of the selection of academic evidence and the organizational context, on top of which I have to add the human control of the final decision, as described by Bujold </w:t>
      </w:r>
      <w:r w:rsidRPr="00C07D93">
        <w:rPr>
          <w:i/>
          <w:iCs/>
        </w:rPr>
        <w:t xml:space="preserve">et al. </w:t>
      </w:r>
      <w:r w:rsidRPr="00C07D93">
        <w:t>(2024).</w:t>
      </w:r>
    </w:p>
    <w:p w:rsidR="005D4EC4" w:rsidRPr="00C07D93" w:rsidRDefault="005D4EC4" w:rsidP="005D4EC4">
      <w:pPr>
        <w:rPr>
          <w:sz w:val="28"/>
          <w:szCs w:val="28"/>
        </w:rPr>
      </w:pPr>
      <w:r w:rsidRPr="00C07D93">
        <w:t>Professional development. I used AI to enhance the structure of presentations, rehearse and prepare for my career. It gave me insight into areas that I need to build up my confidence, analysis and communication in.</w:t>
      </w:r>
    </w:p>
    <w:p w:rsidR="005D4EC4" w:rsidRPr="00C07D93" w:rsidRDefault="005D4EC4" w:rsidP="005D4EC4">
      <w:pPr>
        <w:pStyle w:val="Heading2"/>
        <w:spacing w:before="0" w:after="0"/>
      </w:pPr>
      <w:bookmarkStart w:id="19" w:name="_Toc242884578"/>
      <w:r w:rsidRPr="00C07D93">
        <w:t>4.3 Personal Capability Development Plan</w:t>
      </w:r>
      <w:bookmarkEnd w:id="19"/>
    </w:p>
    <w:p w:rsidR="005D4EC4" w:rsidRPr="00C07D93" w:rsidRDefault="005D4EC4" w:rsidP="005D4EC4">
      <w:r w:rsidRPr="00C07D93">
        <w:t>I will get four skills in the next 6-12 months.</w:t>
      </w:r>
    </w:p>
    <w:p w:rsidR="005D4EC4" w:rsidRPr="00C07D93" w:rsidRDefault="005D4EC4" w:rsidP="005D4EC4">
      <w:r w:rsidRPr="007B612C">
        <w:rPr>
          <w:b/>
          <w:bCs/>
        </w:rPr>
        <w:t>Academic writing and critical analysis:</w:t>
      </w:r>
      <w:r w:rsidRPr="00C07D93">
        <w:t xml:space="preserve"> will write regular short critical reviews of journal article and will scrutinise all points made by AI against the source article.</w:t>
      </w:r>
    </w:p>
    <w:p w:rsidR="005D4EC4" w:rsidRPr="00C07D93" w:rsidRDefault="005D4EC4" w:rsidP="005D4EC4">
      <w:r w:rsidRPr="007B612C">
        <w:rPr>
          <w:b/>
          <w:bCs/>
        </w:rPr>
        <w:t>Problem solving:</w:t>
      </w:r>
      <w:r w:rsidRPr="00C07D93">
        <w:rPr>
          <w:b/>
          <w:bCs/>
          <w:i/>
          <w:iCs/>
          <w:u w:val="single"/>
        </w:rPr>
        <w:t xml:space="preserve"> </w:t>
      </w:r>
      <w:r w:rsidRPr="00C07D93">
        <w:t>I will use HR case studies to compare so that I can come up with my own decision, after considering what AI has provided and what I have learnt through Academic research.</w:t>
      </w:r>
    </w:p>
    <w:p w:rsidR="005D4EC4" w:rsidRPr="00C07D93" w:rsidRDefault="005D4EC4" w:rsidP="005D4EC4">
      <w:r w:rsidRPr="007B612C">
        <w:rPr>
          <w:b/>
          <w:bCs/>
        </w:rPr>
        <w:t>Communication and leadership:</w:t>
      </w:r>
      <w:r w:rsidRPr="00C07D93">
        <w:t xml:space="preserve"> I will make presentations, participate in exercises of stakeholders and solicit feedback on all occasions to monitor improvement.</w:t>
      </w:r>
    </w:p>
    <w:p w:rsidR="005D4EC4" w:rsidRPr="00C07D93" w:rsidRDefault="005D4EC4" w:rsidP="005D4EC4">
      <w:r w:rsidRPr="007B612C">
        <w:rPr>
          <w:b/>
          <w:bCs/>
        </w:rPr>
        <w:t>Responsible AI:</w:t>
      </w:r>
      <w:r w:rsidRPr="00C07D93">
        <w:t xml:space="preserve"> I will learn about bias, privacy, governance and ethics in decision making and apply them to actual HR situations.</w:t>
      </w:r>
    </w:p>
    <w:p w:rsidR="005D4EC4" w:rsidRPr="00C07D93" w:rsidRDefault="005D4EC4" w:rsidP="005D4EC4">
      <w:pPr>
        <w:rPr>
          <w:sz w:val="28"/>
          <w:szCs w:val="28"/>
        </w:rPr>
      </w:pPr>
      <w:r w:rsidRPr="00C07D93">
        <w:t>Progress will be assessed and reviewed every three months by completion of case studies, presentations given and feedback received. All of these should contribute to enhancing my employability skills and maintaining a balance between technical skill and judgement, empathy and professional responsibility.</w:t>
      </w:r>
    </w:p>
    <w:p w:rsidR="005D4EC4" w:rsidRPr="00C07D93" w:rsidRDefault="005D4EC4" w:rsidP="005D4EC4">
      <w:pPr>
        <w:pStyle w:val="Heading1"/>
      </w:pPr>
      <w:bookmarkStart w:id="20" w:name="_Toc242884579"/>
      <w:r w:rsidRPr="00C07D93">
        <w:lastRenderedPageBreak/>
        <w:t>5. Conclusion</w:t>
      </w:r>
      <w:bookmarkEnd w:id="20"/>
    </w:p>
    <w:p w:rsidR="005D4EC4" w:rsidRPr="00C07D93" w:rsidRDefault="005D4EC4" w:rsidP="005D4EC4">
      <w:bookmarkStart w:id="21" w:name="_heading=h.6tuch5tceu8a" w:colFirst="0" w:colLast="0"/>
      <w:bookmarkEnd w:id="21"/>
      <w:r w:rsidRPr="00C07D93">
        <w:t>The potential offered by NHSX relies on human potential and technology. Responsiveness can be enhanced with the help of Agile, cross-functional and flexible work, whereas talent can be developed with the help of learning, psychological safety, autonomy and career development. HR decisions can be enhanced by responsible AI, yet human judgment has to be at the core. Work design, talent development, wellbeing and ethical technology are thus what is needed for sustainable performance.</w:t>
      </w:r>
      <w:r w:rsidRPr="00C07D93">
        <w:br w:type="page"/>
      </w:r>
    </w:p>
    <w:p w:rsidR="005D4EC4" w:rsidRPr="00C07D93" w:rsidRDefault="005D4EC4" w:rsidP="005D4EC4">
      <w:pPr>
        <w:pStyle w:val="Heading1"/>
      </w:pPr>
      <w:bookmarkStart w:id="22" w:name="_Toc242884580"/>
      <w:r w:rsidRPr="00C07D93">
        <w:lastRenderedPageBreak/>
        <w:t>Reference List</w:t>
      </w:r>
      <w:bookmarkEnd w:id="22"/>
    </w:p>
    <w:p w:rsidR="005D4EC4" w:rsidRPr="00C07D93" w:rsidRDefault="005D4EC4" w:rsidP="004A71DA">
      <w:r w:rsidRPr="00C07D93">
        <w:rPr>
          <w:color w:val="222222"/>
        </w:rPr>
        <w:t>Bhoir, M. and Sinha, V., (2024). Employee well-being human resource practices: a sy</w:t>
      </w:r>
      <w:r w:rsidRPr="00C07D93">
        <w:rPr>
          <w:color w:val="222222"/>
        </w:rPr>
        <w:t>s</w:t>
      </w:r>
      <w:r w:rsidRPr="00C07D93">
        <w:rPr>
          <w:color w:val="222222"/>
        </w:rPr>
        <w:t xml:space="preserve">tematic literature review and directions for future research. </w:t>
      </w:r>
      <w:r w:rsidRPr="00C07D93">
        <w:rPr>
          <w:i/>
          <w:iCs/>
          <w:color w:val="222222"/>
        </w:rPr>
        <w:t>Future Business Journal</w:t>
      </w:r>
      <w:r w:rsidRPr="00C07D93">
        <w:rPr>
          <w:color w:val="222222"/>
        </w:rPr>
        <w:t xml:space="preserve">, </w:t>
      </w:r>
      <w:r w:rsidRPr="00C07D93">
        <w:rPr>
          <w:i/>
          <w:iCs/>
          <w:color w:val="222222"/>
        </w:rPr>
        <w:t>10</w:t>
      </w:r>
      <w:r w:rsidRPr="00C07D93">
        <w:rPr>
          <w:color w:val="222222"/>
        </w:rPr>
        <w:t>(1), p.95.</w:t>
      </w:r>
      <w:hyperlink r:id="rId11">
        <w:r w:rsidRPr="00C07D93">
          <w:rPr>
            <w:color w:val="1155CC"/>
            <w:u w:val="single"/>
          </w:rPr>
          <w:t>https://link.springer.com/article/10.1186/s43093-024-00382-w</w:t>
        </w:r>
      </w:hyperlink>
    </w:p>
    <w:p w:rsidR="005D4EC4" w:rsidRPr="00C07D93" w:rsidRDefault="005D4EC4" w:rsidP="004A71DA">
      <w:r w:rsidRPr="00C07D93">
        <w:rPr>
          <w:color w:val="222222"/>
        </w:rPr>
        <w:t>Bujold, A., Roberge-Maltais, I., Parent-Rocheleau, X., Boasen, J., Sénécal, S. and Léger, P.M., (2024). Responsible artificial intelligence in human resources manag</w:t>
      </w:r>
      <w:r w:rsidRPr="00C07D93">
        <w:rPr>
          <w:color w:val="222222"/>
        </w:rPr>
        <w:t>e</w:t>
      </w:r>
      <w:r w:rsidRPr="00C07D93">
        <w:rPr>
          <w:color w:val="222222"/>
        </w:rPr>
        <w:t xml:space="preserve">ment: a review of the empirical literature. </w:t>
      </w:r>
      <w:r w:rsidRPr="00C07D93">
        <w:rPr>
          <w:i/>
          <w:iCs/>
          <w:color w:val="222222"/>
        </w:rPr>
        <w:t>AI and Ethics</w:t>
      </w:r>
      <w:r w:rsidRPr="00C07D93">
        <w:rPr>
          <w:color w:val="222222"/>
        </w:rPr>
        <w:t xml:space="preserve">, </w:t>
      </w:r>
      <w:r w:rsidRPr="00C07D93">
        <w:rPr>
          <w:i/>
          <w:iCs/>
          <w:color w:val="222222"/>
        </w:rPr>
        <w:t>4</w:t>
      </w:r>
      <w:r w:rsidRPr="00C07D93">
        <w:rPr>
          <w:color w:val="222222"/>
        </w:rPr>
        <w:t>(4), pp.1185-1200.</w:t>
      </w:r>
      <w:hyperlink r:id="rId12">
        <w:r w:rsidRPr="00C07D93">
          <w:rPr>
            <w:color w:val="1155CC"/>
            <w:u w:val="single"/>
          </w:rPr>
          <w:t>https://link.springer.com/article/10.1007/s43681-023-00325-1</w:t>
        </w:r>
      </w:hyperlink>
    </w:p>
    <w:p w:rsidR="005D4EC4" w:rsidRPr="00C07D93" w:rsidRDefault="005D4EC4" w:rsidP="004A71DA">
      <w:r w:rsidRPr="00C07D93">
        <w:rPr>
          <w:color w:val="222222"/>
        </w:rPr>
        <w:t xml:space="preserve">Capolupo, N., Maione, G. and Supino, S., (2025). The anatomy of human resource management (HRM) 5.0. A bibliometric review of practices and workforce skills. </w:t>
      </w:r>
      <w:r w:rsidRPr="00C07D93">
        <w:rPr>
          <w:i/>
          <w:iCs/>
          <w:color w:val="222222"/>
        </w:rPr>
        <w:t>The TQM Journal</w:t>
      </w:r>
      <w:r w:rsidRPr="00C07D93">
        <w:rPr>
          <w:color w:val="222222"/>
        </w:rPr>
        <w:t>, pp.1-23.</w:t>
      </w:r>
      <w:hyperlink r:id="rId13">
        <w:r w:rsidRPr="00C07D93">
          <w:rPr>
            <w:color w:val="1155CC"/>
            <w:u w:val="single"/>
          </w:rPr>
          <w:t>https://www.emerald.com/tqm/article-abstract/doi/10.1108/TQM-07-2025-0402/1303221</w:t>
        </w:r>
      </w:hyperlink>
    </w:p>
    <w:p w:rsidR="005D4EC4" w:rsidRPr="00C07D93" w:rsidRDefault="005D4EC4" w:rsidP="004A71DA">
      <w:r w:rsidRPr="00C07D93">
        <w:rPr>
          <w:color w:val="222222"/>
        </w:rPr>
        <w:t xml:space="preserve">Çetin, O.İ., (2025). The silence of new ideas: examining the impact of psychological safety on innovative behaviors in a tech company scenario. </w:t>
      </w:r>
      <w:r w:rsidRPr="00C07D93">
        <w:rPr>
          <w:i/>
          <w:iCs/>
          <w:color w:val="222222"/>
        </w:rPr>
        <w:t>Anadolu Üniversitesi Me</w:t>
      </w:r>
      <w:r w:rsidRPr="00C07D93">
        <w:rPr>
          <w:i/>
          <w:iCs/>
          <w:color w:val="222222"/>
        </w:rPr>
        <w:t>s</w:t>
      </w:r>
      <w:r w:rsidRPr="00C07D93">
        <w:rPr>
          <w:i/>
          <w:iCs/>
          <w:color w:val="222222"/>
        </w:rPr>
        <w:t>leki Eğitim ve Uygulama Dergisi</w:t>
      </w:r>
      <w:r w:rsidRPr="00C07D93">
        <w:rPr>
          <w:color w:val="222222"/>
        </w:rPr>
        <w:t xml:space="preserve">, </w:t>
      </w:r>
      <w:r w:rsidRPr="00C07D93">
        <w:rPr>
          <w:i/>
          <w:iCs/>
          <w:color w:val="222222"/>
        </w:rPr>
        <w:t>4</w:t>
      </w:r>
      <w:r w:rsidRPr="00C07D93">
        <w:rPr>
          <w:color w:val="222222"/>
        </w:rPr>
        <w:t>(2), pp.146-171.</w:t>
      </w:r>
      <w:hyperlink r:id="rId14">
        <w:r w:rsidRPr="00C07D93">
          <w:rPr>
            <w:color w:val="1155CC"/>
            <w:u w:val="single"/>
          </w:rPr>
          <w:t>https://dergipark.org.tr/en/pub/anameud/article/1641430</w:t>
        </w:r>
      </w:hyperlink>
    </w:p>
    <w:p w:rsidR="005D4EC4" w:rsidRPr="00C07D93" w:rsidRDefault="005D4EC4" w:rsidP="004A71DA">
      <w:r w:rsidRPr="00C07D93">
        <w:rPr>
          <w:color w:val="222222"/>
        </w:rPr>
        <w:t xml:space="preserve">Huang, B., Sardeshmukh, S., Benson, J. and Zhu, Y., (2023). High performance work systems, employee creativity and organizational performance in the education sector. </w:t>
      </w:r>
      <w:r w:rsidRPr="00C07D93">
        <w:rPr>
          <w:i/>
          <w:iCs/>
          <w:color w:val="222222"/>
        </w:rPr>
        <w:t>The InTernaTIonal Journal of human resource managemenT</w:t>
      </w:r>
      <w:r w:rsidRPr="00C07D93">
        <w:rPr>
          <w:color w:val="222222"/>
        </w:rPr>
        <w:t xml:space="preserve">, </w:t>
      </w:r>
      <w:r w:rsidRPr="00C07D93">
        <w:rPr>
          <w:i/>
          <w:iCs/>
          <w:color w:val="222222"/>
        </w:rPr>
        <w:t>34</w:t>
      </w:r>
      <w:r w:rsidRPr="00C07D93">
        <w:rPr>
          <w:color w:val="222222"/>
        </w:rPr>
        <w:t>(9), pp.1876-1905.</w:t>
      </w:r>
      <w:hyperlink r:id="rId15">
        <w:r w:rsidRPr="00C07D93">
          <w:rPr>
            <w:color w:val="1155CC"/>
            <w:u w:val="single"/>
          </w:rPr>
          <w:t>https://www.tandfonline.com/doi/abs/10.1080/09585192.2022.2054283</w:t>
        </w:r>
      </w:hyperlink>
    </w:p>
    <w:p w:rsidR="005D4EC4" w:rsidRPr="00C07D93" w:rsidRDefault="005D4EC4" w:rsidP="004A71DA">
      <w:r w:rsidRPr="00C07D93">
        <w:rPr>
          <w:color w:val="222222"/>
        </w:rPr>
        <w:t>Kumar, S., Malhotra, D., Sohbaty, Z. and Sultan, A., (2026). Impact of hybrid work mo</w:t>
      </w:r>
      <w:r w:rsidRPr="00C07D93">
        <w:rPr>
          <w:color w:val="222222"/>
        </w:rPr>
        <w:t>d</w:t>
      </w:r>
      <w:r w:rsidRPr="00C07D93">
        <w:rPr>
          <w:color w:val="222222"/>
        </w:rPr>
        <w:t xml:space="preserve">els on job performance: a study through the lens of workplace flexibility and self-determination theories. </w:t>
      </w:r>
      <w:r w:rsidRPr="00C07D93">
        <w:rPr>
          <w:i/>
          <w:iCs/>
          <w:color w:val="222222"/>
        </w:rPr>
        <w:t>International Journal of Organization Theory &amp; Behavior</w:t>
      </w:r>
      <w:r w:rsidRPr="00C07D93">
        <w:rPr>
          <w:color w:val="222222"/>
        </w:rPr>
        <w:t>, pp.1-21.</w:t>
      </w:r>
      <w:hyperlink r:id="rId16">
        <w:r w:rsidRPr="00C07D93">
          <w:rPr>
            <w:color w:val="1155CC"/>
            <w:u w:val="single"/>
          </w:rPr>
          <w:t>https://www.emerald.com/ijotb/article-abstract/doi/10.1108/IJOTB-07-2025-0215/1336251</w:t>
        </w:r>
      </w:hyperlink>
    </w:p>
    <w:p w:rsidR="005D4EC4" w:rsidRPr="00C07D93" w:rsidRDefault="005D4EC4" w:rsidP="004A71DA">
      <w:r w:rsidRPr="00C07D93">
        <w:rPr>
          <w:color w:val="222222"/>
        </w:rPr>
        <w:t>Mehralian, G., Sheikhi, S., Zatzick, C. and Babapour, J., (2023). The dynamic capability view in exploring the relationship between high-performance work systems and innov</w:t>
      </w:r>
      <w:r w:rsidRPr="00C07D93">
        <w:rPr>
          <w:color w:val="222222"/>
        </w:rPr>
        <w:t>a</w:t>
      </w:r>
      <w:r w:rsidRPr="00C07D93">
        <w:rPr>
          <w:color w:val="222222"/>
        </w:rPr>
        <w:t xml:space="preserve">tion performance. </w:t>
      </w:r>
      <w:r w:rsidRPr="00C07D93">
        <w:rPr>
          <w:i/>
          <w:iCs/>
          <w:color w:val="222222"/>
        </w:rPr>
        <w:t>The International Journal of Human Resource Management</w:t>
      </w:r>
      <w:r w:rsidRPr="00C07D93">
        <w:rPr>
          <w:color w:val="222222"/>
        </w:rPr>
        <w:t xml:space="preserve">, </w:t>
      </w:r>
      <w:r w:rsidRPr="00C07D93">
        <w:rPr>
          <w:i/>
          <w:iCs/>
          <w:color w:val="222222"/>
        </w:rPr>
        <w:t>34</w:t>
      </w:r>
      <w:r w:rsidR="004A71DA">
        <w:rPr>
          <w:color w:val="222222"/>
        </w:rPr>
        <w:t xml:space="preserve">(18), </w:t>
      </w:r>
      <w:r w:rsidRPr="00C07D93">
        <w:rPr>
          <w:color w:val="222222"/>
        </w:rPr>
        <w:t>pp.3555-3584.</w:t>
      </w:r>
      <w:hyperlink r:id="rId17">
        <w:r w:rsidRPr="00C07D93">
          <w:rPr>
            <w:color w:val="1155CC"/>
            <w:u w:val="single"/>
          </w:rPr>
          <w:t>https://www.tandfonline.com/doi/abs/10.1080/09585192.2022.2138494</w:t>
        </w:r>
      </w:hyperlink>
    </w:p>
    <w:p w:rsidR="005D4EC4" w:rsidRPr="00C07D93" w:rsidRDefault="005D4EC4" w:rsidP="004A71DA">
      <w:r w:rsidRPr="00C07D93">
        <w:lastRenderedPageBreak/>
        <w:t xml:space="preserve">NexSpace Health Systems (NHSX), (2026). </w:t>
      </w:r>
      <w:r w:rsidRPr="00C07D93">
        <w:rPr>
          <w:i/>
          <w:iCs/>
        </w:rPr>
        <w:t xml:space="preserve">About Us. </w:t>
      </w:r>
      <w:r w:rsidRPr="00C07D93">
        <w:t xml:space="preserve"> Available at: </w:t>
      </w:r>
      <w:hyperlink r:id="rId18">
        <w:r w:rsidRPr="00C07D93">
          <w:rPr>
            <w:color w:val="1155CC"/>
            <w:u w:val="single"/>
          </w:rPr>
          <w:t>https://www.nex-intelligence.org/about</w:t>
        </w:r>
      </w:hyperlink>
      <w:r w:rsidRPr="00C07D93">
        <w:t>. [Accessed on: 06.10.2026].</w:t>
      </w:r>
    </w:p>
    <w:p w:rsidR="005D4EC4" w:rsidRPr="00C07D93" w:rsidRDefault="005D4EC4" w:rsidP="004A71DA">
      <w:r w:rsidRPr="00C07D93">
        <w:t xml:space="preserve">OECD, (2024). </w:t>
      </w:r>
      <w:r w:rsidRPr="00C07D93">
        <w:rPr>
          <w:i/>
          <w:iCs/>
        </w:rPr>
        <w:t>Using AI in the workplace: Opportunities, risks and policy responses</w:t>
      </w:r>
      <w:r w:rsidR="00656545">
        <w:t xml:space="preserve">. Available </w:t>
      </w:r>
      <w:r w:rsidRPr="00C07D93">
        <w:t xml:space="preserve">at: </w:t>
      </w:r>
      <w:hyperlink r:id="rId19">
        <w:r w:rsidRPr="00C07D93">
          <w:rPr>
            <w:color w:val="1155CC"/>
            <w:u w:val="single"/>
          </w:rPr>
          <w:t>https://www.oecd.org/content/dam/oecd/en/publications/reports/2024/03/using-ai-in-the-workplace_02d6890a/73d417f9-en.pdf</w:t>
        </w:r>
      </w:hyperlink>
      <w:r w:rsidRPr="00C07D93">
        <w:t>. [Accessed on: 06.10.2026].</w:t>
      </w:r>
    </w:p>
    <w:p w:rsidR="005D4EC4" w:rsidRPr="00C07D93" w:rsidRDefault="005D4EC4" w:rsidP="004A71DA">
      <w:r w:rsidRPr="00C07D93">
        <w:rPr>
          <w:color w:val="222222"/>
        </w:rPr>
        <w:t>Olafsen, A.H., Marescaux, B.P. and Kujanpää, M., (2025). Crafting for autonomy, co</w:t>
      </w:r>
      <w:r w:rsidRPr="00C07D93">
        <w:rPr>
          <w:color w:val="222222"/>
        </w:rPr>
        <w:t>m</w:t>
      </w:r>
      <w:r w:rsidRPr="00C07D93">
        <w:rPr>
          <w:color w:val="222222"/>
        </w:rPr>
        <w:t>petence, and relatedness: A self</w:t>
      </w:r>
      <w:r w:rsidRPr="00C07D93">
        <w:rPr>
          <w:rFonts w:ascii="Cambria Math" w:eastAsia="Cambria Math" w:hAnsi="Cambria Math"/>
          <w:color w:val="222222"/>
        </w:rPr>
        <w:t>‐</w:t>
      </w:r>
      <w:r w:rsidRPr="00C07D93">
        <w:rPr>
          <w:color w:val="222222"/>
        </w:rPr>
        <w:t xml:space="preserve">determination theory model of need crafting at work. </w:t>
      </w:r>
      <w:r w:rsidRPr="00C07D93">
        <w:rPr>
          <w:i/>
          <w:iCs/>
          <w:color w:val="222222"/>
        </w:rPr>
        <w:t>Applied Psychology</w:t>
      </w:r>
      <w:r w:rsidRPr="00C07D93">
        <w:rPr>
          <w:color w:val="222222"/>
        </w:rPr>
        <w:t xml:space="preserve">, </w:t>
      </w:r>
      <w:r w:rsidRPr="00C07D93">
        <w:rPr>
          <w:i/>
          <w:iCs/>
          <w:color w:val="222222"/>
        </w:rPr>
        <w:t>74</w:t>
      </w:r>
      <w:r w:rsidRPr="00C07D93">
        <w:rPr>
          <w:color w:val="222222"/>
        </w:rPr>
        <w:t>(1), p.e12570.</w:t>
      </w:r>
      <w:hyperlink r:id="rId20">
        <w:r w:rsidRPr="00C07D93">
          <w:rPr>
            <w:color w:val="1155CC"/>
            <w:u w:val="single"/>
          </w:rPr>
          <w:t>https://iaap-journals.onlinelibrary.wiley.com/doi/abs/10.1111/apps.12570</w:t>
        </w:r>
      </w:hyperlink>
    </w:p>
    <w:p w:rsidR="005D4EC4" w:rsidRPr="00C07D93" w:rsidRDefault="005D4EC4" w:rsidP="004A71DA">
      <w:r w:rsidRPr="00C07D93">
        <w:rPr>
          <w:color w:val="222222"/>
        </w:rPr>
        <w:t xml:space="preserve">Peeters, T., Van De Voorde, K. and Paauwe, J., (2022). The effects of working agile on team performance and engagement. </w:t>
      </w:r>
      <w:r w:rsidRPr="00C07D93">
        <w:rPr>
          <w:i/>
          <w:iCs/>
          <w:color w:val="222222"/>
        </w:rPr>
        <w:t>Team Performance Management: An International Journal</w:t>
      </w:r>
      <w:r w:rsidRPr="00C07D93">
        <w:rPr>
          <w:color w:val="222222"/>
        </w:rPr>
        <w:t xml:space="preserve">, </w:t>
      </w:r>
      <w:r w:rsidRPr="00C07D93">
        <w:rPr>
          <w:i/>
          <w:iCs/>
          <w:color w:val="222222"/>
        </w:rPr>
        <w:t>28</w:t>
      </w:r>
      <w:r w:rsidRPr="00C07D93">
        <w:rPr>
          <w:color w:val="222222"/>
        </w:rPr>
        <w:t>(1-2), pp.61-78.</w:t>
      </w:r>
      <w:hyperlink r:id="rId21">
        <w:r w:rsidRPr="00C07D93">
          <w:rPr>
            <w:color w:val="1155CC"/>
            <w:u w:val="single"/>
          </w:rPr>
          <w:t>https://www.emerald.com/tpm/article/28/1-2/61/456310</w:t>
        </w:r>
      </w:hyperlink>
    </w:p>
    <w:p w:rsidR="005D4EC4" w:rsidRPr="00C07D93" w:rsidRDefault="005D4EC4" w:rsidP="004A71DA">
      <w:r w:rsidRPr="00C07D93">
        <w:rPr>
          <w:color w:val="222222"/>
        </w:rPr>
        <w:t>Simanjuntak, J.M., Heriyanto and Hasibuan, N., (2023). Continuous assessment of P</w:t>
      </w:r>
      <w:r w:rsidRPr="00C07D93">
        <w:rPr>
          <w:color w:val="222222"/>
        </w:rPr>
        <w:t>e</w:t>
      </w:r>
      <w:r w:rsidRPr="00C07D93">
        <w:rPr>
          <w:color w:val="222222"/>
        </w:rPr>
        <w:t xml:space="preserve">ter Senge's learning organization model for improving the quality of Christian higher education in Indonesia. </w:t>
      </w:r>
      <w:r w:rsidRPr="00C07D93">
        <w:rPr>
          <w:i/>
          <w:iCs/>
          <w:color w:val="222222"/>
        </w:rPr>
        <w:t>Teaching Theology &amp; Religion</w:t>
      </w:r>
      <w:r w:rsidRPr="00C07D93">
        <w:rPr>
          <w:color w:val="222222"/>
        </w:rPr>
        <w:t xml:space="preserve">, </w:t>
      </w:r>
      <w:r w:rsidRPr="00C07D93">
        <w:rPr>
          <w:i/>
          <w:iCs/>
          <w:color w:val="222222"/>
        </w:rPr>
        <w:t>26</w:t>
      </w:r>
      <w:r w:rsidRPr="00C07D93">
        <w:rPr>
          <w:color w:val="222222"/>
        </w:rPr>
        <w:t>(1), pp.15-28.</w:t>
      </w:r>
      <w:hyperlink r:id="rId22">
        <w:r w:rsidRPr="00C07D93">
          <w:rPr>
            <w:color w:val="1155CC"/>
            <w:u w:val="single"/>
          </w:rPr>
          <w:t>https://onlinelibrary.wiley.com/doi/abs/10.1111/teth.12630</w:t>
        </w:r>
      </w:hyperlink>
    </w:p>
    <w:p w:rsidR="005D4EC4" w:rsidRPr="00C07D93" w:rsidRDefault="005D4EC4" w:rsidP="004A71DA">
      <w:r w:rsidRPr="00C07D93">
        <w:rPr>
          <w:color w:val="222222"/>
        </w:rPr>
        <w:t xml:space="preserve">Tursunbayeva, A., (2024). Augmenting human resource management with artificial intelligence. </w:t>
      </w:r>
      <w:r w:rsidRPr="00C07D93">
        <w:rPr>
          <w:i/>
          <w:iCs/>
          <w:color w:val="222222"/>
        </w:rPr>
        <w:t>Towards an inclusive, sustainable, and responsible f</w:t>
      </w:r>
      <w:r w:rsidRPr="00C07D93">
        <w:rPr>
          <w:i/>
          <w:iCs/>
          <w:color w:val="222222"/>
        </w:rPr>
        <w:t>u</w:t>
      </w:r>
      <w:r w:rsidRPr="00C07D93">
        <w:rPr>
          <w:i/>
          <w:iCs/>
          <w:color w:val="222222"/>
        </w:rPr>
        <w:t>ture</w:t>
      </w:r>
      <w:r w:rsidRPr="00C07D93">
        <w:rPr>
          <w:color w:val="222222"/>
        </w:rPr>
        <w:t>.</w:t>
      </w:r>
      <w:hyperlink r:id="rId23">
        <w:r w:rsidRPr="00C07D93">
          <w:rPr>
            <w:color w:val="1155CC"/>
            <w:u w:val="single"/>
          </w:rPr>
          <w:t>https://link.springer.com/content/pdf/10.1007/978-3-031-75266-7.pdf</w:t>
        </w:r>
      </w:hyperlink>
    </w:p>
    <w:p w:rsidR="005D4EC4" w:rsidRPr="00C07D93" w:rsidRDefault="005D4EC4" w:rsidP="004A71DA">
      <w:r w:rsidRPr="00C07D93">
        <w:rPr>
          <w:color w:val="222222"/>
        </w:rPr>
        <w:t>Wang, P., Chen, X. and Lawler, J.J., (2024). Linking top management’s HR focus to i</w:t>
      </w:r>
      <w:r w:rsidRPr="00C07D93">
        <w:rPr>
          <w:color w:val="222222"/>
        </w:rPr>
        <w:t>n</w:t>
      </w:r>
      <w:r w:rsidRPr="00C07D93">
        <w:rPr>
          <w:color w:val="222222"/>
        </w:rPr>
        <w:t xml:space="preserve">novation: The role of ownership structures and high-performance work systems. </w:t>
      </w:r>
      <w:r w:rsidRPr="00C07D93">
        <w:rPr>
          <w:i/>
          <w:iCs/>
          <w:color w:val="222222"/>
        </w:rPr>
        <w:t>The InTernaTIonal Journal of human resource managemenT</w:t>
      </w:r>
      <w:r w:rsidRPr="00C07D93">
        <w:rPr>
          <w:color w:val="222222"/>
        </w:rPr>
        <w:t xml:space="preserve">, </w:t>
      </w:r>
      <w:r w:rsidRPr="00C07D93">
        <w:rPr>
          <w:i/>
          <w:iCs/>
          <w:color w:val="222222"/>
        </w:rPr>
        <w:t>35</w:t>
      </w:r>
      <w:r w:rsidRPr="00C07D93">
        <w:rPr>
          <w:color w:val="222222"/>
        </w:rPr>
        <w:t>(13), pp.2259-2282.</w:t>
      </w:r>
      <w:hyperlink r:id="rId24">
        <w:r w:rsidRPr="00C07D93">
          <w:rPr>
            <w:color w:val="1155CC"/>
            <w:u w:val="single"/>
          </w:rPr>
          <w:t>https://www.tandfonline.com/doi/abs/10.1080/09585192.2024.2331585</w:t>
        </w:r>
      </w:hyperlink>
    </w:p>
    <w:p w:rsidR="005D4EC4" w:rsidRPr="00C07D93" w:rsidRDefault="005D4EC4" w:rsidP="004A71DA">
      <w:r w:rsidRPr="00C07D93">
        <w:rPr>
          <w:color w:val="222222"/>
        </w:rPr>
        <w:t>Wiatr, A. and Skowron-Mielnik, B., (2023). Hybrid team m</w:t>
      </w:r>
      <w:r w:rsidR="00D1350E">
        <w:rPr>
          <w:color w:val="222222"/>
        </w:rPr>
        <w:t xml:space="preserve">anagement: The long and winding </w:t>
      </w:r>
      <w:r w:rsidRPr="00C07D93">
        <w:rPr>
          <w:color w:val="222222"/>
        </w:rPr>
        <w:t xml:space="preserve">road. </w:t>
      </w:r>
      <w:r w:rsidRPr="00C07D93">
        <w:rPr>
          <w:i/>
          <w:iCs/>
          <w:color w:val="222222"/>
        </w:rPr>
        <w:t>Organizational Dynamics</w:t>
      </w:r>
      <w:r w:rsidRPr="00C07D93">
        <w:rPr>
          <w:color w:val="222222"/>
        </w:rPr>
        <w:t xml:space="preserve">, </w:t>
      </w:r>
      <w:r w:rsidRPr="00C07D93">
        <w:rPr>
          <w:i/>
          <w:iCs/>
          <w:color w:val="222222"/>
        </w:rPr>
        <w:t>52</w:t>
      </w:r>
      <w:r w:rsidRPr="00C07D93">
        <w:rPr>
          <w:color w:val="222222"/>
        </w:rPr>
        <w:t>(1), p.100936.</w:t>
      </w:r>
      <w:hyperlink r:id="rId25">
        <w:r w:rsidRPr="00C07D93">
          <w:rPr>
            <w:color w:val="1155CC"/>
            <w:u w:val="single"/>
          </w:rPr>
          <w:t>https://www.sciencedirect.com/science/article/pii/S0090261622000432</w:t>
        </w:r>
      </w:hyperlink>
    </w:p>
    <w:p w:rsidR="005D4EC4" w:rsidRPr="00C07D93" w:rsidRDefault="005D4EC4" w:rsidP="004A71DA">
      <w:r w:rsidRPr="00C07D93">
        <w:t xml:space="preserve">World Health Organisation. (2024). </w:t>
      </w:r>
      <w:r w:rsidRPr="00C07D93">
        <w:rPr>
          <w:i/>
          <w:iCs/>
        </w:rPr>
        <w:t>Artificial Intelligence for Health</w:t>
      </w:r>
      <w:r w:rsidRPr="00C07D93">
        <w:t xml:space="preserve">. Available at: </w:t>
      </w:r>
      <w:hyperlink r:id="rId26">
        <w:r w:rsidRPr="00C07D93">
          <w:rPr>
            <w:color w:val="1155CC"/>
            <w:u w:val="single"/>
          </w:rPr>
          <w:t>https://www.who.int/publications/m/item/artificial-intelligence-for-health</w:t>
        </w:r>
      </w:hyperlink>
      <w:r w:rsidRPr="00C07D93">
        <w:t>. [Accessed on: 06.10.2026].</w:t>
      </w:r>
    </w:p>
    <w:p w:rsidR="005D4EC4" w:rsidRPr="00C07D93" w:rsidRDefault="005D4EC4" w:rsidP="004A71DA">
      <w:r w:rsidRPr="00C07D93">
        <w:lastRenderedPageBreak/>
        <w:t xml:space="preserve">World Health Organisation. (2024). </w:t>
      </w:r>
      <w:r w:rsidRPr="00C07D93">
        <w:rPr>
          <w:i/>
          <w:iCs/>
        </w:rPr>
        <w:t>Ethics and governance of artificial intelligence for health: Guidance on large multi-modal models</w:t>
      </w:r>
      <w:r w:rsidRPr="00C07D93">
        <w:t xml:space="preserve">.   </w:t>
      </w:r>
      <w:r w:rsidRPr="00C07D93">
        <w:rPr>
          <w:i/>
          <w:iCs/>
        </w:rPr>
        <w:t>Artificial Intelligence for Health</w:t>
      </w:r>
      <w:r w:rsidRPr="00C07D93">
        <w:t>. Avail</w:t>
      </w:r>
      <w:r w:rsidRPr="00C07D93">
        <w:t>a</w:t>
      </w:r>
      <w:r w:rsidRPr="00C07D93">
        <w:t xml:space="preserve">ble at: </w:t>
      </w:r>
      <w:hyperlink r:id="rId27">
        <w:r w:rsidRPr="00C07D93">
          <w:rPr>
            <w:color w:val="1155CC"/>
            <w:u w:val="single"/>
          </w:rPr>
          <w:t>https://www.who.int/publications/i/item/9789240084759</w:t>
        </w:r>
      </w:hyperlink>
      <w:r w:rsidRPr="00C07D93">
        <w:t>. [Accessed on: 06.10.2026].</w:t>
      </w:r>
    </w:p>
    <w:p w:rsidR="005D4EC4" w:rsidRPr="00C07D93" w:rsidRDefault="005D4EC4" w:rsidP="004A71DA">
      <w:r w:rsidRPr="00C07D93">
        <w:t xml:space="preserve">World Health Organization Regional Office for Europe, (2025). </w:t>
      </w:r>
      <w:r w:rsidRPr="00C07D93">
        <w:rPr>
          <w:i/>
          <w:iCs/>
        </w:rPr>
        <w:t>Artificial intelligence is reshaping health systems: Country profiles</w:t>
      </w:r>
      <w:r w:rsidRPr="00C07D93">
        <w:t xml:space="preserve">. Available at: </w:t>
      </w:r>
      <w:hyperlink r:id="rId28">
        <w:r w:rsidRPr="00C07D93">
          <w:rPr>
            <w:color w:val="1155CC"/>
            <w:u w:val="single"/>
          </w:rPr>
          <w:t>https://www.who.int/europe/publications/i/item/WHO-EURO-2025-12707-52481-81470</w:t>
        </w:r>
      </w:hyperlink>
      <w:r w:rsidRPr="00C07D93">
        <w:t>. [Accessed on: 06.10.2026].</w:t>
      </w:r>
    </w:p>
    <w:p w:rsidR="005D4EC4" w:rsidRPr="00C07D93" w:rsidRDefault="005D4EC4" w:rsidP="004A71DA">
      <w:r w:rsidRPr="00C07D93">
        <w:rPr>
          <w:color w:val="222222"/>
        </w:rPr>
        <w:t>Yildiz, R.O. and Esmer, S., (2023). Talent management strategies and functions: a sy</w:t>
      </w:r>
      <w:r w:rsidRPr="00C07D93">
        <w:rPr>
          <w:color w:val="222222"/>
        </w:rPr>
        <w:t>s</w:t>
      </w:r>
      <w:r w:rsidRPr="00C07D93">
        <w:rPr>
          <w:color w:val="222222"/>
        </w:rPr>
        <w:t xml:space="preserve">tematic review. </w:t>
      </w:r>
      <w:r w:rsidRPr="00C07D93">
        <w:rPr>
          <w:i/>
          <w:iCs/>
          <w:color w:val="222222"/>
        </w:rPr>
        <w:t>Industrial and commercial training</w:t>
      </w:r>
      <w:r w:rsidRPr="00C07D93">
        <w:rPr>
          <w:color w:val="222222"/>
        </w:rPr>
        <w:t xml:space="preserve">, </w:t>
      </w:r>
      <w:r w:rsidRPr="00C07D93">
        <w:rPr>
          <w:i/>
          <w:iCs/>
          <w:color w:val="222222"/>
        </w:rPr>
        <w:t>55</w:t>
      </w:r>
      <w:r w:rsidRPr="00C07D93">
        <w:rPr>
          <w:color w:val="222222"/>
        </w:rPr>
        <w:t>(1), pp.93-111.</w:t>
      </w:r>
      <w:hyperlink r:id="rId29">
        <w:r w:rsidRPr="00C07D93">
          <w:rPr>
            <w:color w:val="1155CC"/>
            <w:u w:val="single"/>
          </w:rPr>
          <w:t>https://www.emerald.com/ict/article/55/1/93/108143</w:t>
        </w:r>
      </w:hyperlink>
    </w:p>
    <w:p w:rsidR="005D4EC4" w:rsidRPr="00C07D93" w:rsidRDefault="005D4EC4" w:rsidP="004A71DA">
      <w:pPr>
        <w:jc w:val="left"/>
      </w:pPr>
    </w:p>
    <w:p w:rsidR="005D4EC4" w:rsidRDefault="005D4EC4" w:rsidP="004A71DA">
      <w:pPr>
        <w:jc w:val="left"/>
      </w:pPr>
    </w:p>
    <w:p w:rsidR="005D4EC4" w:rsidRDefault="005D4EC4" w:rsidP="004A71DA">
      <w:pPr>
        <w:jc w:val="left"/>
      </w:pPr>
    </w:p>
    <w:p w:rsidR="005D4EC4" w:rsidRDefault="005D4EC4"/>
    <w:p w:rsidR="005D4EC4" w:rsidRDefault="005D4EC4"/>
    <w:p w:rsidR="005D4EC4" w:rsidRDefault="005D4EC4"/>
    <w:p w:rsidR="005D4EC4" w:rsidRDefault="005D4EC4"/>
    <w:p w:rsidR="005D4EC4" w:rsidRDefault="005D4EC4"/>
    <w:p w:rsidR="005D4EC4" w:rsidRDefault="005D4EC4"/>
    <w:p w:rsidR="00E727AD" w:rsidRDefault="00E727AD"/>
    <w:sectPr w:rsidR="00E727AD" w:rsidSect="00836260">
      <w:headerReference w:type="default" r:id="rId30"/>
      <w:footerReference w:type="default" r:id="rId31"/>
      <w:pgSz w:w="12240" w:h="15840"/>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2403" w:rsidRDefault="00652403" w:rsidP="00836260">
      <w:pPr>
        <w:spacing w:line="240" w:lineRule="auto"/>
      </w:pPr>
      <w:r>
        <w:separator/>
      </w:r>
    </w:p>
  </w:endnote>
  <w:endnote w:type="continuationSeparator" w:id="1">
    <w:p w:rsidR="00652403" w:rsidRDefault="00652403" w:rsidP="0083626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1"/>
    <w:family w:val="roman"/>
    <w:notTrueType/>
    <w:pitch w:val="variable"/>
    <w:sig w:usb0="00002000" w:usb1="00000000" w:usb2="00000000" w:usb3="00000000" w:csb0="0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6024"/>
      <w:docPartObj>
        <w:docPartGallery w:val="Page Numbers (Bottom of Page)"/>
        <w:docPartUnique/>
      </w:docPartObj>
    </w:sdtPr>
    <w:sdtContent>
      <w:p w:rsidR="00836260" w:rsidRDefault="00836260">
        <w:pPr>
          <w:pStyle w:val="Footer"/>
        </w:pPr>
        <w:r>
          <w:rPr>
            <w:noProof/>
            <w:lang w:eastAsia="zh-TW"/>
          </w:rPr>
          <w:pict>
            <v:group id="_x0000_s3084" style="position:absolute;left:0;text-align:left;margin-left:0;margin-top:0;width:611.15pt;height:15pt;z-index:251660288;mso-width-percent:1000;mso-position-horizontal:center;mso-position-horizontal-relative:page;mso-position-vertical:center;mso-position-vertical-relative:bottom-margin-area;mso-width-percent:1000" coordorigin=",14970" coordsize="12255,300">
              <v:shapetype id="_x0000_t202" coordsize="21600,21600" o:spt="202" path="m,l,21600r21600,l21600,xe">
                <v:stroke joinstyle="miter"/>
                <v:path gradientshapeok="t" o:connecttype="rect"/>
              </v:shapetype>
              <v:shape id="_x0000_s3085" type="#_x0000_t202" style="position:absolute;left:10803;top:14982;width:659;height:288" filled="f" stroked="f">
                <v:textbox style="mso-next-textbox:#_x0000_s3085" inset="0,0,0,0">
                  <w:txbxContent>
                    <w:p w:rsidR="00836260" w:rsidRDefault="00836260">
                      <w:pPr>
                        <w:jc w:val="center"/>
                      </w:pPr>
                      <w:fldSimple w:instr=" PAGE    \* MERGEFORMAT ">
                        <w:r w:rsidR="00D1350E" w:rsidRPr="00D1350E">
                          <w:rPr>
                            <w:noProof/>
                            <w:color w:val="8C8C8C" w:themeColor="background1" w:themeShade="8C"/>
                          </w:rPr>
                          <w:t>14</w:t>
                        </w:r>
                      </w:fldSimple>
                    </w:p>
                  </w:txbxContent>
                </v:textbox>
              </v:shape>
              <v:group id="_x0000_s3086" style="position:absolute;top:14970;width:12255;height:230;flip:x" coordorigin="-8,14978" coordsize="12255,23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x0000_s3087" type="#_x0000_t34" style="position:absolute;left:-8;top:14978;width:1260;height:230;flip:y" o:connectortype="elbow" adj=",1024457,257" strokecolor="#a5a5a5 [2092]"/>
                <v:shape id="_x0000_s3088" type="#_x0000_t34" style="position:absolute;left:1252;top:14978;width:10995;height:230;rotation:180" o:connectortype="elbow" adj="20904,-1024457,-24046" strokecolor="#a5a5a5 [2092]"/>
              </v:group>
              <w10:wrap anchorx="page" anchory="page"/>
            </v:group>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2403" w:rsidRDefault="00652403" w:rsidP="00836260">
      <w:pPr>
        <w:spacing w:line="240" w:lineRule="auto"/>
      </w:pPr>
      <w:r>
        <w:separator/>
      </w:r>
    </w:p>
  </w:footnote>
  <w:footnote w:type="continuationSeparator" w:id="1">
    <w:p w:rsidR="00652403" w:rsidRDefault="00652403" w:rsidP="00836260">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6260" w:rsidRDefault="0083626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hdrShapeDefaults>
    <o:shapedefaults v:ext="edit" spidmax="4098"/>
    <o:shapelayout v:ext="edit">
      <o:idmap v:ext="edit" data="3"/>
      <o:rules v:ext="edit">
        <o:r id="V:Rule5" type="connector" idref="#_x0000_s3087"/>
        <o:r id="V:Rule6" type="connector" idref="#_x0000_s3088"/>
      </o:rules>
    </o:shapelayout>
  </w:hdrShapeDefaults>
  <w:footnotePr>
    <w:footnote w:id="0"/>
    <w:footnote w:id="1"/>
  </w:footnotePr>
  <w:endnotePr>
    <w:endnote w:id="0"/>
    <w:endnote w:id="1"/>
  </w:endnotePr>
  <w:compat/>
  <w:rsids>
    <w:rsidRoot w:val="005D4EC4"/>
    <w:rsid w:val="003570FF"/>
    <w:rsid w:val="004A71DA"/>
    <w:rsid w:val="005D4EC4"/>
    <w:rsid w:val="00652403"/>
    <w:rsid w:val="00656545"/>
    <w:rsid w:val="007B612C"/>
    <w:rsid w:val="00836260"/>
    <w:rsid w:val="00D1350E"/>
    <w:rsid w:val="00D4285D"/>
    <w:rsid w:val="00E727AD"/>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D4EC4"/>
    <w:pPr>
      <w:spacing w:after="0" w:line="360" w:lineRule="auto"/>
      <w:jc w:val="both"/>
    </w:pPr>
    <w:rPr>
      <w:rFonts w:ascii="Arial" w:eastAsia="Arial" w:hAnsi="Arial" w:cs="Arial"/>
      <w:sz w:val="24"/>
      <w:szCs w:val="24"/>
      <w:lang w:eastAsia="en-IN" w:bidi="ar-SA"/>
    </w:rPr>
  </w:style>
  <w:style w:type="paragraph" w:styleId="Heading1">
    <w:name w:val="heading 1"/>
    <w:basedOn w:val="Normal"/>
    <w:next w:val="Normal"/>
    <w:link w:val="Heading1Char"/>
    <w:rsid w:val="005D4EC4"/>
    <w:pPr>
      <w:keepNext/>
      <w:keepLines/>
      <w:outlineLvl w:val="0"/>
    </w:pPr>
    <w:rPr>
      <w:b/>
      <w:bCs/>
      <w:sz w:val="28"/>
      <w:szCs w:val="28"/>
    </w:rPr>
  </w:style>
  <w:style w:type="paragraph" w:styleId="Heading2">
    <w:name w:val="heading 2"/>
    <w:basedOn w:val="Normal"/>
    <w:next w:val="Normal"/>
    <w:link w:val="Heading2Char"/>
    <w:rsid w:val="005D4EC4"/>
    <w:pPr>
      <w:keepNext/>
      <w:keepLines/>
      <w:spacing w:before="240" w:after="240"/>
      <w:outlineLvl w:val="1"/>
    </w:pPr>
    <w:rPr>
      <w:b/>
      <w:bCs/>
      <w:sz w:val="26"/>
      <w:szCs w:val="26"/>
    </w:rPr>
  </w:style>
  <w:style w:type="paragraph" w:styleId="Heading3">
    <w:name w:val="heading 3"/>
    <w:basedOn w:val="Normal"/>
    <w:next w:val="Normal"/>
    <w:link w:val="Heading3Char"/>
    <w:uiPriority w:val="9"/>
    <w:semiHidden/>
    <w:unhideWhenUsed/>
    <w:qFormat/>
    <w:rsid w:val="00836260"/>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4EC4"/>
    <w:pPr>
      <w:spacing w:line="240" w:lineRule="auto"/>
      <w:jc w:val="left"/>
    </w:pPr>
    <w:rPr>
      <w:rFonts w:ascii="Tahoma" w:eastAsiaTheme="minorHAnsi" w:hAnsi="Tahoma" w:cs="Tahoma"/>
      <w:sz w:val="16"/>
      <w:szCs w:val="16"/>
      <w:lang w:eastAsia="en-US" w:bidi="gu-IN"/>
    </w:rPr>
  </w:style>
  <w:style w:type="character" w:customStyle="1" w:styleId="BalloonTextChar">
    <w:name w:val="Balloon Text Char"/>
    <w:basedOn w:val="DefaultParagraphFont"/>
    <w:link w:val="BalloonText"/>
    <w:uiPriority w:val="99"/>
    <w:semiHidden/>
    <w:rsid w:val="005D4EC4"/>
    <w:rPr>
      <w:rFonts w:ascii="Tahoma" w:hAnsi="Tahoma" w:cs="Tahoma"/>
      <w:sz w:val="16"/>
      <w:szCs w:val="16"/>
    </w:rPr>
  </w:style>
  <w:style w:type="character" w:customStyle="1" w:styleId="Heading1Char">
    <w:name w:val="Heading 1 Char"/>
    <w:basedOn w:val="DefaultParagraphFont"/>
    <w:link w:val="Heading1"/>
    <w:rsid w:val="005D4EC4"/>
    <w:rPr>
      <w:rFonts w:ascii="Arial" w:eastAsia="Arial" w:hAnsi="Arial" w:cs="Arial"/>
      <w:b/>
      <w:bCs/>
      <w:sz w:val="28"/>
      <w:szCs w:val="28"/>
      <w:lang w:eastAsia="en-IN" w:bidi="ar-SA"/>
    </w:rPr>
  </w:style>
  <w:style w:type="character" w:customStyle="1" w:styleId="Heading2Char">
    <w:name w:val="Heading 2 Char"/>
    <w:basedOn w:val="DefaultParagraphFont"/>
    <w:link w:val="Heading2"/>
    <w:rsid w:val="005D4EC4"/>
    <w:rPr>
      <w:rFonts w:ascii="Arial" w:eastAsia="Arial" w:hAnsi="Arial" w:cs="Arial"/>
      <w:b/>
      <w:bCs/>
      <w:sz w:val="26"/>
      <w:szCs w:val="26"/>
      <w:lang w:eastAsia="en-IN" w:bidi="ar-SA"/>
    </w:rPr>
  </w:style>
  <w:style w:type="paragraph" w:styleId="TOC1">
    <w:name w:val="toc 1"/>
    <w:basedOn w:val="Normal"/>
    <w:next w:val="Normal"/>
    <w:autoRedefine/>
    <w:uiPriority w:val="39"/>
    <w:unhideWhenUsed/>
    <w:rsid w:val="005D4EC4"/>
    <w:pPr>
      <w:spacing w:after="100"/>
    </w:pPr>
    <w:rPr>
      <w:rFonts w:cs="Mangal"/>
      <w:szCs w:val="21"/>
    </w:rPr>
  </w:style>
  <w:style w:type="paragraph" w:styleId="TOC2">
    <w:name w:val="toc 2"/>
    <w:basedOn w:val="Normal"/>
    <w:next w:val="Normal"/>
    <w:autoRedefine/>
    <w:uiPriority w:val="39"/>
    <w:unhideWhenUsed/>
    <w:rsid w:val="005D4EC4"/>
    <w:pPr>
      <w:spacing w:after="100"/>
      <w:ind w:left="240"/>
    </w:pPr>
    <w:rPr>
      <w:rFonts w:cs="Mangal"/>
      <w:szCs w:val="21"/>
    </w:rPr>
  </w:style>
  <w:style w:type="character" w:styleId="Hyperlink">
    <w:name w:val="Hyperlink"/>
    <w:basedOn w:val="DefaultParagraphFont"/>
    <w:uiPriority w:val="99"/>
    <w:unhideWhenUsed/>
    <w:rsid w:val="005D4EC4"/>
    <w:rPr>
      <w:color w:val="0000FF" w:themeColor="hyperlink"/>
      <w:u w:val="single"/>
    </w:rPr>
  </w:style>
  <w:style w:type="paragraph" w:styleId="Header">
    <w:name w:val="header"/>
    <w:basedOn w:val="Normal"/>
    <w:link w:val="HeaderChar"/>
    <w:uiPriority w:val="99"/>
    <w:semiHidden/>
    <w:unhideWhenUsed/>
    <w:rsid w:val="0083626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36260"/>
    <w:rPr>
      <w:rFonts w:ascii="Arial" w:eastAsia="Arial" w:hAnsi="Arial" w:cs="Arial"/>
      <w:sz w:val="24"/>
      <w:szCs w:val="24"/>
      <w:lang w:eastAsia="en-IN" w:bidi="ar-SA"/>
    </w:rPr>
  </w:style>
  <w:style w:type="paragraph" w:styleId="Footer">
    <w:name w:val="footer"/>
    <w:basedOn w:val="Normal"/>
    <w:link w:val="FooterChar"/>
    <w:uiPriority w:val="99"/>
    <w:unhideWhenUsed/>
    <w:rsid w:val="00836260"/>
    <w:pPr>
      <w:tabs>
        <w:tab w:val="center" w:pos="4680"/>
        <w:tab w:val="right" w:pos="9360"/>
      </w:tabs>
      <w:spacing w:line="240" w:lineRule="auto"/>
    </w:pPr>
  </w:style>
  <w:style w:type="character" w:customStyle="1" w:styleId="FooterChar">
    <w:name w:val="Footer Char"/>
    <w:basedOn w:val="DefaultParagraphFont"/>
    <w:link w:val="Footer"/>
    <w:uiPriority w:val="99"/>
    <w:rsid w:val="00836260"/>
    <w:rPr>
      <w:rFonts w:ascii="Arial" w:eastAsia="Arial" w:hAnsi="Arial" w:cs="Arial"/>
      <w:sz w:val="24"/>
      <w:szCs w:val="24"/>
      <w:lang w:eastAsia="en-IN" w:bidi="ar-SA"/>
    </w:rPr>
  </w:style>
  <w:style w:type="character" w:customStyle="1" w:styleId="Heading3Char">
    <w:name w:val="Heading 3 Char"/>
    <w:basedOn w:val="DefaultParagraphFont"/>
    <w:link w:val="Heading3"/>
    <w:uiPriority w:val="9"/>
    <w:semiHidden/>
    <w:rsid w:val="00836260"/>
    <w:rPr>
      <w:rFonts w:asciiTheme="majorHAnsi" w:eastAsiaTheme="majorEastAsia" w:hAnsiTheme="majorHAnsi" w:cstheme="majorBidi"/>
      <w:b/>
      <w:bCs/>
      <w:color w:val="4F81BD" w:themeColor="accent1"/>
      <w:sz w:val="24"/>
      <w:szCs w:val="24"/>
      <w:lang w:eastAsia="en-IN" w:bidi="ar-SA"/>
    </w:rPr>
  </w:style>
  <w:style w:type="table" w:styleId="MediumGrid2-Accent2">
    <w:name w:val="Medium Grid 2 Accent 2"/>
    <w:basedOn w:val="TableNormal"/>
    <w:uiPriority w:val="68"/>
    <w:rsid w:val="0083626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4A71DA"/>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character" w:styleId="LineNumber">
    <w:name w:val="line number"/>
    <w:basedOn w:val="DefaultParagraphFont"/>
    <w:uiPriority w:val="99"/>
    <w:semiHidden/>
    <w:unhideWhenUsed/>
    <w:rsid w:val="00D1350E"/>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merald.com/tqm/article-abstract/doi/10.1108/TQM-07-2025-0402/1303221" TargetMode="External"/><Relationship Id="rId18" Type="http://schemas.openxmlformats.org/officeDocument/2006/relationships/hyperlink" Target="https://www.nex-intelligence.org/about" TargetMode="External"/><Relationship Id="rId26" Type="http://schemas.openxmlformats.org/officeDocument/2006/relationships/hyperlink" Target="https://www.who.int/publications/m/item/artificial-intelligence-for-health" TargetMode="External"/><Relationship Id="rId3" Type="http://schemas.openxmlformats.org/officeDocument/2006/relationships/settings" Target="settings.xml"/><Relationship Id="rId21" Type="http://schemas.openxmlformats.org/officeDocument/2006/relationships/hyperlink" Target="https://www.emerald.com/tpm/article/28/1-2/61/456310" TargetMode="External"/><Relationship Id="rId7" Type="http://schemas.openxmlformats.org/officeDocument/2006/relationships/image" Target="media/image1.png"/><Relationship Id="rId12" Type="http://schemas.openxmlformats.org/officeDocument/2006/relationships/hyperlink" Target="https://link.springer.com/article/10.1007/s43681-023-00325-1" TargetMode="External"/><Relationship Id="rId17" Type="http://schemas.openxmlformats.org/officeDocument/2006/relationships/hyperlink" Target="https://www.tandfonline.com/doi/abs/10.1080/09585192.2022.2138494" TargetMode="External"/><Relationship Id="rId25" Type="http://schemas.openxmlformats.org/officeDocument/2006/relationships/hyperlink" Target="https://www.sciencedirect.com/science/article/pii/S0090261622000432"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merald.com/ijotb/article-abstract/doi/10.1108/IJOTB-07-2025-0215/1336251" TargetMode="External"/><Relationship Id="rId20" Type="http://schemas.openxmlformats.org/officeDocument/2006/relationships/hyperlink" Target="https://iaap-journals.onlinelibrary.wiley.com/doi/abs/10.1111/apps.12570" TargetMode="External"/><Relationship Id="rId29" Type="http://schemas.openxmlformats.org/officeDocument/2006/relationships/hyperlink" Target="https://www.emerald.com/ict/article/55/1/93/10814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186/s43093-024-00382-w" TargetMode="External"/><Relationship Id="rId24" Type="http://schemas.openxmlformats.org/officeDocument/2006/relationships/hyperlink" Target="https://www.tandfonline.com/doi/abs/10.1080/09585192.2024.2331585"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andfonline.com/doi/abs/10.1080/09585192.2022.2054283" TargetMode="External"/><Relationship Id="rId23" Type="http://schemas.openxmlformats.org/officeDocument/2006/relationships/hyperlink" Target="https://link.springer.com/content/pdf/10.1007/978-3-031-75266-7.pdf" TargetMode="External"/><Relationship Id="rId28" Type="http://schemas.openxmlformats.org/officeDocument/2006/relationships/hyperlink" Target="https://www.who.int/europe/publications/i/item/WHO-EURO-2025-12707-52481-81470" TargetMode="External"/><Relationship Id="rId10" Type="http://schemas.openxmlformats.org/officeDocument/2006/relationships/image" Target="media/image4.png"/><Relationship Id="rId19" Type="http://schemas.openxmlformats.org/officeDocument/2006/relationships/hyperlink" Target="https://www.oecd.org/content/dam/oecd/en/publications/reports/2024/03/using-ai-in-the-workplace_02d6890a/73d417f9-en.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ergipark.org.tr/en/pub/anameud/article/1641430" TargetMode="External"/><Relationship Id="rId22" Type="http://schemas.openxmlformats.org/officeDocument/2006/relationships/hyperlink" Target="https://onlinelibrary.wiley.com/doi/abs/10.1111/teth.12630" TargetMode="External"/><Relationship Id="rId27" Type="http://schemas.openxmlformats.org/officeDocument/2006/relationships/hyperlink" Target="https://www.who.int/publications/i/item/9789240084759"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E28CCB-C07C-44E6-8C4C-9A11948D9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16</Pages>
  <Words>4138</Words>
  <Characters>23589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abc</cp:lastModifiedBy>
  <cp:revision>7</cp:revision>
  <dcterms:created xsi:type="dcterms:W3CDTF">2026-10-14T12:04:00Z</dcterms:created>
  <dcterms:modified xsi:type="dcterms:W3CDTF">2026-10-14T14:41:00Z</dcterms:modified>
</cp:coreProperties>
</file>