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olor w:val="4472C4" w:themeColor="accent1"/>
          <w:sz w:val="24"/>
        </w:rPr>
        <w:id w:val="-985473747"/>
        <w:docPartObj>
          <w:docPartGallery w:val="Cover Pages"/>
          <w:docPartUnique/>
        </w:docPartObj>
      </w:sdtPr>
      <w:sdtEndPr>
        <w:rPr>
          <w:color w:val="000000" w:themeColor="text1"/>
        </w:rPr>
      </w:sdtEndPr>
      <w:sdtContent>
        <w:p w14:paraId="7C984ED8" w14:textId="25E31642" w:rsidR="00D1183F" w:rsidRDefault="00D1183F">
          <w:pPr>
            <w:pStyle w:val="NoSpacing"/>
            <w:spacing w:before="1540" w:after="240"/>
            <w:jc w:val="center"/>
            <w:rPr>
              <w:color w:val="4472C4" w:themeColor="accent1"/>
            </w:rPr>
          </w:pPr>
        </w:p>
        <w:sdt>
          <w:sdtPr>
            <w:rPr>
              <w:rFonts w:ascii="Times New Roman" w:eastAsiaTheme="majorEastAsia" w:hAnsi="Times New Roman" w:cs="Times New Roman"/>
              <w:caps/>
              <w:color w:val="000000" w:themeColor="text1"/>
              <w:sz w:val="32"/>
              <w:szCs w:val="32"/>
            </w:rPr>
            <w:alias w:val="Title"/>
            <w:tag w:val=""/>
            <w:id w:val="1735040861"/>
            <w:placeholder>
              <w:docPart w:val="C77644E08B0A4C729AF611C7BFB93761"/>
            </w:placeholder>
            <w:dataBinding w:prefixMappings="xmlns:ns0='http://purl.org/dc/elements/1.1/' xmlns:ns1='http://schemas.openxmlformats.org/package/2006/metadata/core-properties' " w:xpath="/ns1:coreProperties[1]/ns0:title[1]" w:storeItemID="{6C3C8BC8-F283-45AE-878A-BAB7291924A1}"/>
            <w:text/>
          </w:sdtPr>
          <w:sdtEndPr/>
          <w:sdtContent>
            <w:p w14:paraId="7A15AB3A" w14:textId="4DF5D5C3" w:rsidR="00D1183F" w:rsidRPr="00D871C8" w:rsidRDefault="007B5E83">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000000" w:themeColor="text1"/>
                  <w:sz w:val="32"/>
                  <w:szCs w:val="32"/>
                </w:rPr>
              </w:pPr>
              <w:r w:rsidRPr="007B5E83">
                <w:rPr>
                  <w:rFonts w:ascii="Times New Roman" w:eastAsiaTheme="majorEastAsia" w:hAnsi="Times New Roman" w:cs="Times New Roman"/>
                  <w:caps/>
                  <w:color w:val="000000" w:themeColor="text1"/>
                  <w:sz w:val="32"/>
                  <w:szCs w:val="32"/>
                </w:rPr>
                <w:t>Reflective Portfolio: My Journey in Gastronomy Through Volunteering at FoodCycle</w:t>
              </w:r>
            </w:p>
          </w:sdtContent>
        </w:sdt>
        <w:p w14:paraId="2C56CC87" w14:textId="7CFEF1C7" w:rsidR="00D1183F" w:rsidRDefault="00D1183F">
          <w:pPr>
            <w:pStyle w:val="NoSpacing"/>
            <w:jc w:val="center"/>
            <w:rPr>
              <w:color w:val="4472C4" w:themeColor="accent1"/>
              <w:sz w:val="28"/>
              <w:szCs w:val="28"/>
            </w:rPr>
          </w:pPr>
        </w:p>
        <w:p w14:paraId="18F125A5" w14:textId="599D7FF8" w:rsidR="00D1183F" w:rsidRDefault="00D1183F">
          <w:pPr>
            <w:pStyle w:val="NoSpacing"/>
            <w:spacing w:before="480"/>
            <w:jc w:val="center"/>
            <w:rPr>
              <w:color w:val="4472C4" w:themeColor="accent1"/>
            </w:rPr>
          </w:pPr>
        </w:p>
        <w:p w14:paraId="58DC364A" w14:textId="3F5B7F65" w:rsidR="00D1183F" w:rsidRDefault="00D1183F">
          <w:pPr>
            <w:spacing w:line="259" w:lineRule="auto"/>
            <w:jc w:val="left"/>
            <w:rPr>
              <w:rFonts w:asciiTheme="majorHAnsi" w:eastAsiaTheme="majorEastAsia" w:hAnsiTheme="majorHAnsi" w:cstheme="majorBidi"/>
              <w:color w:val="2F5496" w:themeColor="accent1" w:themeShade="BF"/>
              <w:sz w:val="32"/>
              <w:szCs w:val="32"/>
            </w:rPr>
          </w:pPr>
          <w:r>
            <w:br w:type="page"/>
          </w:r>
        </w:p>
      </w:sdtContent>
    </w:sdt>
    <w:sdt>
      <w:sdtPr>
        <w:rPr>
          <w:rFonts w:ascii="Times New Roman" w:eastAsiaTheme="minorHAnsi" w:hAnsi="Times New Roman" w:cstheme="minorBidi"/>
          <w:color w:val="000000" w:themeColor="text1"/>
          <w:sz w:val="24"/>
          <w:szCs w:val="22"/>
        </w:rPr>
        <w:id w:val="-1711877014"/>
        <w:docPartObj>
          <w:docPartGallery w:val="Table of Contents"/>
          <w:docPartUnique/>
        </w:docPartObj>
      </w:sdtPr>
      <w:sdtEndPr>
        <w:rPr>
          <w:b/>
          <w:bCs/>
          <w:noProof/>
        </w:rPr>
      </w:sdtEndPr>
      <w:sdtContent>
        <w:p w14:paraId="3D2F1FB1" w14:textId="233F924C" w:rsidR="00B0252E" w:rsidRDefault="00B0252E">
          <w:pPr>
            <w:pStyle w:val="TOCHeading"/>
          </w:pPr>
          <w:r>
            <w:t>Table of Contents</w:t>
          </w:r>
        </w:p>
        <w:p w14:paraId="71F749D4" w14:textId="0C401D8C" w:rsidR="006546FF" w:rsidRDefault="00B0252E">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191586339" w:history="1">
            <w:r w:rsidR="006546FF" w:rsidRPr="00860F9D">
              <w:rPr>
                <w:rStyle w:val="Hyperlink"/>
                <w:noProof/>
              </w:rPr>
              <w:t>Introduction</w:t>
            </w:r>
            <w:r w:rsidR="006546FF">
              <w:rPr>
                <w:noProof/>
                <w:webHidden/>
              </w:rPr>
              <w:tab/>
            </w:r>
            <w:r w:rsidR="006546FF">
              <w:rPr>
                <w:noProof/>
                <w:webHidden/>
              </w:rPr>
              <w:fldChar w:fldCharType="begin"/>
            </w:r>
            <w:r w:rsidR="006546FF">
              <w:rPr>
                <w:noProof/>
                <w:webHidden/>
              </w:rPr>
              <w:instrText xml:space="preserve"> PAGEREF _Toc191586339 \h </w:instrText>
            </w:r>
            <w:r w:rsidR="006546FF">
              <w:rPr>
                <w:noProof/>
                <w:webHidden/>
              </w:rPr>
            </w:r>
            <w:r w:rsidR="006546FF">
              <w:rPr>
                <w:noProof/>
                <w:webHidden/>
              </w:rPr>
              <w:fldChar w:fldCharType="separate"/>
            </w:r>
            <w:r w:rsidR="006546FF">
              <w:rPr>
                <w:noProof/>
                <w:webHidden/>
              </w:rPr>
              <w:t>1</w:t>
            </w:r>
            <w:r w:rsidR="006546FF">
              <w:rPr>
                <w:noProof/>
                <w:webHidden/>
              </w:rPr>
              <w:fldChar w:fldCharType="end"/>
            </w:r>
          </w:hyperlink>
        </w:p>
        <w:p w14:paraId="36D848B8" w14:textId="6FADE7AC" w:rsidR="006546FF" w:rsidRDefault="006546FF">
          <w:pPr>
            <w:pStyle w:val="TOC1"/>
            <w:tabs>
              <w:tab w:val="right" w:leader="dot" w:pos="9350"/>
            </w:tabs>
            <w:rPr>
              <w:rFonts w:asciiTheme="minorHAnsi" w:eastAsiaTheme="minorEastAsia" w:hAnsiTheme="minorHAnsi"/>
              <w:noProof/>
              <w:color w:val="auto"/>
              <w:sz w:val="22"/>
            </w:rPr>
          </w:pPr>
          <w:hyperlink w:anchor="_Toc191586340" w:history="1">
            <w:r w:rsidRPr="00860F9D">
              <w:rPr>
                <w:rStyle w:val="Hyperlink"/>
                <w:noProof/>
              </w:rPr>
              <w:t>Element 1 – First Impression</w:t>
            </w:r>
            <w:r>
              <w:rPr>
                <w:noProof/>
                <w:webHidden/>
              </w:rPr>
              <w:tab/>
            </w:r>
            <w:r>
              <w:rPr>
                <w:noProof/>
                <w:webHidden/>
              </w:rPr>
              <w:fldChar w:fldCharType="begin"/>
            </w:r>
            <w:r>
              <w:rPr>
                <w:noProof/>
                <w:webHidden/>
              </w:rPr>
              <w:instrText xml:space="preserve"> PAGEREF _Toc191586340 \h </w:instrText>
            </w:r>
            <w:r>
              <w:rPr>
                <w:noProof/>
                <w:webHidden/>
              </w:rPr>
            </w:r>
            <w:r>
              <w:rPr>
                <w:noProof/>
                <w:webHidden/>
              </w:rPr>
              <w:fldChar w:fldCharType="separate"/>
            </w:r>
            <w:r>
              <w:rPr>
                <w:noProof/>
                <w:webHidden/>
              </w:rPr>
              <w:t>1</w:t>
            </w:r>
            <w:r>
              <w:rPr>
                <w:noProof/>
                <w:webHidden/>
              </w:rPr>
              <w:fldChar w:fldCharType="end"/>
            </w:r>
          </w:hyperlink>
        </w:p>
        <w:p w14:paraId="226A9AAE" w14:textId="401C086D" w:rsidR="006546FF" w:rsidRDefault="006546FF">
          <w:pPr>
            <w:pStyle w:val="TOC1"/>
            <w:tabs>
              <w:tab w:val="right" w:leader="dot" w:pos="9350"/>
            </w:tabs>
            <w:rPr>
              <w:rFonts w:asciiTheme="minorHAnsi" w:eastAsiaTheme="minorEastAsia" w:hAnsiTheme="minorHAnsi"/>
              <w:noProof/>
              <w:color w:val="auto"/>
              <w:sz w:val="22"/>
            </w:rPr>
          </w:pPr>
          <w:hyperlink w:anchor="_Toc191586341" w:history="1">
            <w:r w:rsidRPr="00860F9D">
              <w:rPr>
                <w:rStyle w:val="Hyperlink"/>
                <w:noProof/>
              </w:rPr>
              <w:t>Element 2 – Wine Knowledge</w:t>
            </w:r>
            <w:r>
              <w:rPr>
                <w:noProof/>
                <w:webHidden/>
              </w:rPr>
              <w:tab/>
            </w:r>
            <w:r>
              <w:rPr>
                <w:noProof/>
                <w:webHidden/>
              </w:rPr>
              <w:fldChar w:fldCharType="begin"/>
            </w:r>
            <w:r>
              <w:rPr>
                <w:noProof/>
                <w:webHidden/>
              </w:rPr>
              <w:instrText xml:space="preserve"> PAGEREF _Toc191586341 \h </w:instrText>
            </w:r>
            <w:r>
              <w:rPr>
                <w:noProof/>
                <w:webHidden/>
              </w:rPr>
            </w:r>
            <w:r>
              <w:rPr>
                <w:noProof/>
                <w:webHidden/>
              </w:rPr>
              <w:fldChar w:fldCharType="separate"/>
            </w:r>
            <w:r>
              <w:rPr>
                <w:noProof/>
                <w:webHidden/>
              </w:rPr>
              <w:t>2</w:t>
            </w:r>
            <w:r>
              <w:rPr>
                <w:noProof/>
                <w:webHidden/>
              </w:rPr>
              <w:fldChar w:fldCharType="end"/>
            </w:r>
          </w:hyperlink>
        </w:p>
        <w:p w14:paraId="6EBCC4E6" w14:textId="6735ED15" w:rsidR="006546FF" w:rsidRDefault="006546FF">
          <w:pPr>
            <w:pStyle w:val="TOC1"/>
            <w:tabs>
              <w:tab w:val="right" w:leader="dot" w:pos="9350"/>
            </w:tabs>
            <w:rPr>
              <w:rFonts w:asciiTheme="minorHAnsi" w:eastAsiaTheme="minorEastAsia" w:hAnsiTheme="minorHAnsi"/>
              <w:noProof/>
              <w:color w:val="auto"/>
              <w:sz w:val="22"/>
            </w:rPr>
          </w:pPr>
          <w:hyperlink w:anchor="_Toc191586342" w:history="1">
            <w:r w:rsidRPr="00860F9D">
              <w:rPr>
                <w:rStyle w:val="Hyperlink"/>
                <w:noProof/>
              </w:rPr>
              <w:t>Element 3 – Customer Communication Skills</w:t>
            </w:r>
            <w:r>
              <w:rPr>
                <w:noProof/>
                <w:webHidden/>
              </w:rPr>
              <w:tab/>
            </w:r>
            <w:r>
              <w:rPr>
                <w:noProof/>
                <w:webHidden/>
              </w:rPr>
              <w:fldChar w:fldCharType="begin"/>
            </w:r>
            <w:r>
              <w:rPr>
                <w:noProof/>
                <w:webHidden/>
              </w:rPr>
              <w:instrText xml:space="preserve"> PAGEREF _Toc191586342 \h </w:instrText>
            </w:r>
            <w:r>
              <w:rPr>
                <w:noProof/>
                <w:webHidden/>
              </w:rPr>
            </w:r>
            <w:r>
              <w:rPr>
                <w:noProof/>
                <w:webHidden/>
              </w:rPr>
              <w:fldChar w:fldCharType="separate"/>
            </w:r>
            <w:r>
              <w:rPr>
                <w:noProof/>
                <w:webHidden/>
              </w:rPr>
              <w:t>2</w:t>
            </w:r>
            <w:r>
              <w:rPr>
                <w:noProof/>
                <w:webHidden/>
              </w:rPr>
              <w:fldChar w:fldCharType="end"/>
            </w:r>
          </w:hyperlink>
        </w:p>
        <w:p w14:paraId="5ADA9487" w14:textId="0AB1E462" w:rsidR="006546FF" w:rsidRDefault="006546FF">
          <w:pPr>
            <w:pStyle w:val="TOC1"/>
            <w:tabs>
              <w:tab w:val="right" w:leader="dot" w:pos="9350"/>
            </w:tabs>
            <w:rPr>
              <w:rFonts w:asciiTheme="minorHAnsi" w:eastAsiaTheme="minorEastAsia" w:hAnsiTheme="minorHAnsi"/>
              <w:noProof/>
              <w:color w:val="auto"/>
              <w:sz w:val="22"/>
            </w:rPr>
          </w:pPr>
          <w:hyperlink w:anchor="_Toc191586343" w:history="1">
            <w:r w:rsidRPr="00860F9D">
              <w:rPr>
                <w:rStyle w:val="Hyperlink"/>
                <w:noProof/>
              </w:rPr>
              <w:t>Element 4 – Reflection</w:t>
            </w:r>
            <w:r>
              <w:rPr>
                <w:noProof/>
                <w:webHidden/>
              </w:rPr>
              <w:tab/>
            </w:r>
            <w:r>
              <w:rPr>
                <w:noProof/>
                <w:webHidden/>
              </w:rPr>
              <w:fldChar w:fldCharType="begin"/>
            </w:r>
            <w:r>
              <w:rPr>
                <w:noProof/>
                <w:webHidden/>
              </w:rPr>
              <w:instrText xml:space="preserve"> PAGEREF _Toc191586343 \h </w:instrText>
            </w:r>
            <w:r>
              <w:rPr>
                <w:noProof/>
                <w:webHidden/>
              </w:rPr>
            </w:r>
            <w:r>
              <w:rPr>
                <w:noProof/>
                <w:webHidden/>
              </w:rPr>
              <w:fldChar w:fldCharType="separate"/>
            </w:r>
            <w:r>
              <w:rPr>
                <w:noProof/>
                <w:webHidden/>
              </w:rPr>
              <w:t>3</w:t>
            </w:r>
            <w:r>
              <w:rPr>
                <w:noProof/>
                <w:webHidden/>
              </w:rPr>
              <w:fldChar w:fldCharType="end"/>
            </w:r>
          </w:hyperlink>
        </w:p>
        <w:p w14:paraId="0E80EB51" w14:textId="7197C2D1" w:rsidR="006546FF" w:rsidRDefault="006546FF">
          <w:pPr>
            <w:pStyle w:val="TOC1"/>
            <w:tabs>
              <w:tab w:val="right" w:leader="dot" w:pos="9350"/>
            </w:tabs>
            <w:rPr>
              <w:rFonts w:asciiTheme="minorHAnsi" w:eastAsiaTheme="minorEastAsia" w:hAnsiTheme="minorHAnsi"/>
              <w:noProof/>
              <w:color w:val="auto"/>
              <w:sz w:val="22"/>
            </w:rPr>
          </w:pPr>
          <w:hyperlink w:anchor="_Toc191586344" w:history="1">
            <w:r w:rsidRPr="00860F9D">
              <w:rPr>
                <w:rStyle w:val="Hyperlink"/>
                <w:noProof/>
              </w:rPr>
              <w:t>Element 5 – Leading to the Future</w:t>
            </w:r>
            <w:r>
              <w:rPr>
                <w:noProof/>
                <w:webHidden/>
              </w:rPr>
              <w:tab/>
            </w:r>
            <w:r>
              <w:rPr>
                <w:noProof/>
                <w:webHidden/>
              </w:rPr>
              <w:fldChar w:fldCharType="begin"/>
            </w:r>
            <w:r>
              <w:rPr>
                <w:noProof/>
                <w:webHidden/>
              </w:rPr>
              <w:instrText xml:space="preserve"> PAGEREF _Toc191586344 \h </w:instrText>
            </w:r>
            <w:r>
              <w:rPr>
                <w:noProof/>
                <w:webHidden/>
              </w:rPr>
            </w:r>
            <w:r>
              <w:rPr>
                <w:noProof/>
                <w:webHidden/>
              </w:rPr>
              <w:fldChar w:fldCharType="separate"/>
            </w:r>
            <w:r>
              <w:rPr>
                <w:noProof/>
                <w:webHidden/>
              </w:rPr>
              <w:t>4</w:t>
            </w:r>
            <w:r>
              <w:rPr>
                <w:noProof/>
                <w:webHidden/>
              </w:rPr>
              <w:fldChar w:fldCharType="end"/>
            </w:r>
          </w:hyperlink>
        </w:p>
        <w:p w14:paraId="02D047F7" w14:textId="4062A2FD" w:rsidR="006546FF" w:rsidRDefault="006546FF">
          <w:pPr>
            <w:pStyle w:val="TOC1"/>
            <w:tabs>
              <w:tab w:val="right" w:leader="dot" w:pos="9350"/>
            </w:tabs>
            <w:rPr>
              <w:rFonts w:asciiTheme="minorHAnsi" w:eastAsiaTheme="minorEastAsia" w:hAnsiTheme="minorHAnsi"/>
              <w:noProof/>
              <w:color w:val="auto"/>
              <w:sz w:val="22"/>
            </w:rPr>
          </w:pPr>
          <w:hyperlink w:anchor="_Toc191586345" w:history="1">
            <w:r w:rsidRPr="00860F9D">
              <w:rPr>
                <w:rStyle w:val="Hyperlink"/>
                <w:noProof/>
              </w:rPr>
              <w:t>Element 6 – Viva</w:t>
            </w:r>
            <w:r>
              <w:rPr>
                <w:noProof/>
                <w:webHidden/>
              </w:rPr>
              <w:tab/>
            </w:r>
            <w:r>
              <w:rPr>
                <w:noProof/>
                <w:webHidden/>
              </w:rPr>
              <w:fldChar w:fldCharType="begin"/>
            </w:r>
            <w:r>
              <w:rPr>
                <w:noProof/>
                <w:webHidden/>
              </w:rPr>
              <w:instrText xml:space="preserve"> PAGEREF _Toc191586345 \h </w:instrText>
            </w:r>
            <w:r>
              <w:rPr>
                <w:noProof/>
                <w:webHidden/>
              </w:rPr>
            </w:r>
            <w:r>
              <w:rPr>
                <w:noProof/>
                <w:webHidden/>
              </w:rPr>
              <w:fldChar w:fldCharType="separate"/>
            </w:r>
            <w:r>
              <w:rPr>
                <w:noProof/>
                <w:webHidden/>
              </w:rPr>
              <w:t>4</w:t>
            </w:r>
            <w:r>
              <w:rPr>
                <w:noProof/>
                <w:webHidden/>
              </w:rPr>
              <w:fldChar w:fldCharType="end"/>
            </w:r>
          </w:hyperlink>
        </w:p>
        <w:p w14:paraId="0B65716D" w14:textId="582F4B95" w:rsidR="006546FF" w:rsidRDefault="006546FF">
          <w:pPr>
            <w:pStyle w:val="TOC1"/>
            <w:tabs>
              <w:tab w:val="right" w:leader="dot" w:pos="9350"/>
            </w:tabs>
            <w:rPr>
              <w:rFonts w:asciiTheme="minorHAnsi" w:eastAsiaTheme="minorEastAsia" w:hAnsiTheme="minorHAnsi"/>
              <w:noProof/>
              <w:color w:val="auto"/>
              <w:sz w:val="22"/>
            </w:rPr>
          </w:pPr>
          <w:hyperlink w:anchor="_Toc191586346" w:history="1">
            <w:r w:rsidRPr="00860F9D">
              <w:rPr>
                <w:rStyle w:val="Hyperlink"/>
                <w:noProof/>
              </w:rPr>
              <w:t>Conclusion</w:t>
            </w:r>
            <w:r>
              <w:rPr>
                <w:noProof/>
                <w:webHidden/>
              </w:rPr>
              <w:tab/>
            </w:r>
            <w:r>
              <w:rPr>
                <w:noProof/>
                <w:webHidden/>
              </w:rPr>
              <w:fldChar w:fldCharType="begin"/>
            </w:r>
            <w:r>
              <w:rPr>
                <w:noProof/>
                <w:webHidden/>
              </w:rPr>
              <w:instrText xml:space="preserve"> PAGEREF _Toc191586346 \h </w:instrText>
            </w:r>
            <w:r>
              <w:rPr>
                <w:noProof/>
                <w:webHidden/>
              </w:rPr>
            </w:r>
            <w:r>
              <w:rPr>
                <w:noProof/>
                <w:webHidden/>
              </w:rPr>
              <w:fldChar w:fldCharType="separate"/>
            </w:r>
            <w:r>
              <w:rPr>
                <w:noProof/>
                <w:webHidden/>
              </w:rPr>
              <w:t>5</w:t>
            </w:r>
            <w:r>
              <w:rPr>
                <w:noProof/>
                <w:webHidden/>
              </w:rPr>
              <w:fldChar w:fldCharType="end"/>
            </w:r>
          </w:hyperlink>
        </w:p>
        <w:p w14:paraId="4DBD19E6" w14:textId="52FB1D67" w:rsidR="006546FF" w:rsidRDefault="006546FF">
          <w:pPr>
            <w:pStyle w:val="TOC1"/>
            <w:tabs>
              <w:tab w:val="right" w:leader="dot" w:pos="9350"/>
            </w:tabs>
            <w:rPr>
              <w:rFonts w:asciiTheme="minorHAnsi" w:eastAsiaTheme="minorEastAsia" w:hAnsiTheme="minorHAnsi"/>
              <w:noProof/>
              <w:color w:val="auto"/>
              <w:sz w:val="22"/>
            </w:rPr>
          </w:pPr>
          <w:hyperlink w:anchor="_Toc191586347" w:history="1">
            <w:r w:rsidRPr="00860F9D">
              <w:rPr>
                <w:rStyle w:val="Hyperlink"/>
                <w:noProof/>
              </w:rPr>
              <w:t>Reflection</w:t>
            </w:r>
            <w:r>
              <w:rPr>
                <w:noProof/>
                <w:webHidden/>
              </w:rPr>
              <w:tab/>
            </w:r>
            <w:r>
              <w:rPr>
                <w:noProof/>
                <w:webHidden/>
              </w:rPr>
              <w:fldChar w:fldCharType="begin"/>
            </w:r>
            <w:r>
              <w:rPr>
                <w:noProof/>
                <w:webHidden/>
              </w:rPr>
              <w:instrText xml:space="preserve"> PAGEREF _Toc191586347 \h </w:instrText>
            </w:r>
            <w:r>
              <w:rPr>
                <w:noProof/>
                <w:webHidden/>
              </w:rPr>
            </w:r>
            <w:r>
              <w:rPr>
                <w:noProof/>
                <w:webHidden/>
              </w:rPr>
              <w:fldChar w:fldCharType="separate"/>
            </w:r>
            <w:r>
              <w:rPr>
                <w:noProof/>
                <w:webHidden/>
              </w:rPr>
              <w:t>5</w:t>
            </w:r>
            <w:r>
              <w:rPr>
                <w:noProof/>
                <w:webHidden/>
              </w:rPr>
              <w:fldChar w:fldCharType="end"/>
            </w:r>
          </w:hyperlink>
        </w:p>
        <w:p w14:paraId="53DFAC94" w14:textId="6A9758F8" w:rsidR="00B0252E" w:rsidRDefault="00B0252E">
          <w:r>
            <w:rPr>
              <w:b/>
              <w:bCs/>
              <w:noProof/>
            </w:rPr>
            <w:fldChar w:fldCharType="end"/>
          </w:r>
        </w:p>
      </w:sdtContent>
    </w:sdt>
    <w:p w14:paraId="21E801E3" w14:textId="77777777" w:rsidR="00B0252E" w:rsidRDefault="00B0252E" w:rsidP="00214EEF">
      <w:pPr>
        <w:pStyle w:val="Heading1"/>
        <w:sectPr w:rsidR="00B0252E" w:rsidSect="00D1183F">
          <w:footerReference w:type="default" r:id="rId7"/>
          <w:pgSz w:w="12240" w:h="15840"/>
          <w:pgMar w:top="1440" w:right="1440" w:bottom="1440" w:left="1440" w:header="720" w:footer="720" w:gutter="0"/>
          <w:pgNumType w:start="0"/>
          <w:cols w:space="720"/>
          <w:titlePg/>
          <w:docGrid w:linePitch="360"/>
        </w:sectPr>
      </w:pPr>
    </w:p>
    <w:p w14:paraId="1339EEFC" w14:textId="2BF25BF0" w:rsidR="00214EEF" w:rsidRDefault="00214EEF" w:rsidP="00214EEF">
      <w:pPr>
        <w:pStyle w:val="Heading1"/>
      </w:pPr>
      <w:bookmarkStart w:id="0" w:name="_Toc191586339"/>
      <w:r>
        <w:lastRenderedPageBreak/>
        <w:t>Introduction</w:t>
      </w:r>
      <w:bookmarkEnd w:id="0"/>
    </w:p>
    <w:p w14:paraId="6D49A24B" w14:textId="679DCDF0" w:rsidR="00214EEF" w:rsidRDefault="00214EEF" w:rsidP="00214EEF">
      <w:r>
        <w:t xml:space="preserve">My passion for gastronomy is deeply rooted in my cultural background as a Sudanese Muslim woman and my desire to create meaningful experiences through food. This reflective portfolio explores my journey as a volunteer cook and host at </w:t>
      </w:r>
      <w:proofErr w:type="spellStart"/>
      <w:r>
        <w:t>FoodCycle</w:t>
      </w:r>
      <w:proofErr w:type="spellEnd"/>
      <w:r>
        <w:t>, a charity that transforms surplus food into nutritious three-course meals for diverse and often vulnerable members of the community. Through this experience, I have gained valuable skills in customer service, communication, self-management, and leadership, all of which are crucial for my future career in the gastronomy industry.</w:t>
      </w:r>
    </w:p>
    <w:p w14:paraId="61E6A414" w14:textId="6FCAD999" w:rsidR="00214EEF" w:rsidRDefault="00214EEF" w:rsidP="00214EEF">
      <w:r>
        <w:t>By reflecting on my experiences using Kolb’s Experiential Learning Cycle concrete experience, reflective observation, abstract conceptualization, and active experimentation I aim to showcase my personal growth and how my volunteer work has shaped my professional aspirations (Kolb, 1984). This portfolio will cover key areas such as first impressions, wine knowledge, customer communication skills, safeguarding and signposting, hosting events in a confined space, and my ability to create meals from scratch with limited ingredients.</w:t>
      </w:r>
    </w:p>
    <w:p w14:paraId="0C1F91AF" w14:textId="65329E0F" w:rsidR="00200E6B" w:rsidRDefault="00D40FB3" w:rsidP="00D40FB3">
      <w:pPr>
        <w:pStyle w:val="Heading1"/>
      </w:pPr>
      <w:bookmarkStart w:id="1" w:name="_Toc191586340"/>
      <w:r>
        <w:t>Element 1 – First Impression</w:t>
      </w:r>
      <w:bookmarkEnd w:id="1"/>
    </w:p>
    <w:p w14:paraId="3E379345" w14:textId="0DD5C44B" w:rsidR="00D40FB3" w:rsidRDefault="00D40FB3" w:rsidP="00D40FB3">
      <w:pPr>
        <w:rPr>
          <w:color w:val="auto"/>
        </w:rPr>
      </w:pPr>
      <w:r>
        <w:t xml:space="preserve">The first impression </w:t>
      </w:r>
      <w:r w:rsidR="00A804CC">
        <w:t>is to</w:t>
      </w:r>
      <w:r>
        <w:t xml:space="preserve"> leave a client </w:t>
      </w:r>
      <w:r w:rsidR="00A804CC">
        <w:t>with impressions that</w:t>
      </w:r>
      <w:r>
        <w:t xml:space="preserve"> </w:t>
      </w:r>
      <w:r w:rsidR="00A804CC">
        <w:t>set</w:t>
      </w:r>
      <w:r>
        <w:t xml:space="preserve"> the stage for their entire experience and will ultimately affect whether they feel satisfied or loyal to</w:t>
      </w:r>
      <w:r w:rsidR="00A804CC">
        <w:t xml:space="preserve">wards the </w:t>
      </w:r>
      <w:r>
        <w:t xml:space="preserve">business. The saying ‘It </w:t>
      </w:r>
      <w:r w:rsidRPr="00A804CC">
        <w:rPr>
          <w:i/>
          <w:iCs/>
        </w:rPr>
        <w:t>takes 7 seconds to make a first impression</w:t>
      </w:r>
      <w:r>
        <w:t xml:space="preserve">’ aligns with the findings of </w:t>
      </w:r>
      <w:r w:rsidR="00653456" w:rsidRPr="00A804CC">
        <w:t>Serenity</w:t>
      </w:r>
      <w:r w:rsidR="00653456">
        <w:t xml:space="preserve"> </w:t>
      </w:r>
      <w:r w:rsidR="00653456" w:rsidRPr="00A804CC">
        <w:t>(2018)</w:t>
      </w:r>
      <w:r w:rsidR="00653456">
        <w:t xml:space="preserve"> </w:t>
      </w:r>
      <w:r>
        <w:t>which state that we make quick judgments of others based on face structure, clothing, and body movements. During my placement, I noticed that customers who were met at the door tended to have greater customer satisfaction (</w:t>
      </w:r>
      <w:r w:rsidR="00B22D08" w:rsidRPr="00653456">
        <w:t>Themba</w:t>
      </w:r>
      <w:r w:rsidR="00B22D08">
        <w:t xml:space="preserve"> et al., </w:t>
      </w:r>
      <w:r w:rsidR="00B22D08" w:rsidRPr="00653456">
        <w:t>2019</w:t>
      </w:r>
      <w:r>
        <w:t>), which highlights the importance of positive first impressions and how that too can relate to service quality perceived by guests.</w:t>
      </w:r>
    </w:p>
    <w:p w14:paraId="75199E92" w14:textId="4235AB80" w:rsidR="00D40FB3" w:rsidRDefault="00D40FB3" w:rsidP="00D40FB3">
      <w:r>
        <w:t xml:space="preserve">However, the 7-second rule is not hard and fast. </w:t>
      </w:r>
      <w:proofErr w:type="spellStart"/>
      <w:r w:rsidR="00BF7C71" w:rsidRPr="00BF7C71">
        <w:t>Subaebasni</w:t>
      </w:r>
      <w:proofErr w:type="spellEnd"/>
      <w:r w:rsidR="00BF7C71">
        <w:t xml:space="preserve"> et al., (</w:t>
      </w:r>
      <w:r w:rsidR="00BF7C71" w:rsidRPr="00BF7C71">
        <w:t>2019</w:t>
      </w:r>
      <w:r w:rsidR="00BF7C71">
        <w:t xml:space="preserve">) </w:t>
      </w:r>
      <w:r>
        <w:t xml:space="preserve">contend that early impressions are less definitive than they might appear, refining through repeated encounters. Customer who is initially annoyed at the wait time might revise their impression if staff take the time to acknowledge the delay in an empathetic way, for instance. My experience supports this: a guest who was initially displeased by a reservation error later complimented the team’s efforts to resolve the situation, suggesting that first impressions are fluid. </w:t>
      </w:r>
    </w:p>
    <w:p w14:paraId="72E54571" w14:textId="12551952" w:rsidR="00D40FB3" w:rsidRDefault="00D40FB3" w:rsidP="00D40FB3">
      <w:r>
        <w:lastRenderedPageBreak/>
        <w:t xml:space="preserve">To lessen risks, I practiced mirroring positive body language and rehearsing the opening lines, </w:t>
      </w:r>
      <w:r>
        <w:t> </w:t>
      </w:r>
      <w:r>
        <w:t xml:space="preserve">in line with </w:t>
      </w:r>
      <w:r w:rsidR="00ED296C" w:rsidRPr="00022E9B">
        <w:t>Wang</w:t>
      </w:r>
      <w:r w:rsidR="00ED296C">
        <w:t xml:space="preserve"> </w:t>
      </w:r>
      <w:r w:rsidR="00ED296C" w:rsidRPr="00022E9B">
        <w:t xml:space="preserve">and Lee </w:t>
      </w:r>
      <w:r w:rsidR="00ED296C">
        <w:t>(</w:t>
      </w:r>
      <w:r w:rsidR="00ED296C" w:rsidRPr="00022E9B">
        <w:t>2020</w:t>
      </w:r>
      <w:r w:rsidR="00ED296C">
        <w:t>)</w:t>
      </w:r>
      <w:r>
        <w:t xml:space="preserve"> “seek first to understand.” Observations by supervisors mentioned my sections having higher rates of customer retention indicating some benefit from evidence practices during first contact.</w:t>
      </w:r>
    </w:p>
    <w:p w14:paraId="5C6624B7" w14:textId="559B5500" w:rsidR="0066383E" w:rsidRDefault="0066383E" w:rsidP="00D40FB3"/>
    <w:p w14:paraId="4318B6A5" w14:textId="19264CA6" w:rsidR="0066383E" w:rsidRDefault="0066383E" w:rsidP="00EF4DFC">
      <w:pPr>
        <w:pStyle w:val="Heading1"/>
      </w:pPr>
      <w:bookmarkStart w:id="2" w:name="_Toc191586341"/>
      <w:r>
        <w:t>Element 2 – Wine Knowledge</w:t>
      </w:r>
      <w:bookmarkEnd w:id="2"/>
    </w:p>
    <w:p w14:paraId="1A72A6AD" w14:textId="77777777" w:rsidR="00ED5917" w:rsidRDefault="0066383E" w:rsidP="0066383E">
      <w:r w:rsidRPr="0066383E">
        <w:t xml:space="preserve">Structured learning and real-world </w:t>
      </w:r>
      <w:r>
        <w:t>experience underpinning</w:t>
      </w:r>
      <w:r w:rsidRPr="0066383E">
        <w:t xml:space="preserve"> wine expertise. I took </w:t>
      </w:r>
      <w:r>
        <w:t>workshops on</w:t>
      </w:r>
      <w:r w:rsidRPr="0066383E">
        <w:t xml:space="preserve"> viticulture and resources like The World Atlas of Wine</w:t>
      </w:r>
      <w:r w:rsidR="00ED296C">
        <w:t xml:space="preserve"> </w:t>
      </w:r>
      <w:r w:rsidR="00ED5917">
        <w:t xml:space="preserve">by </w:t>
      </w:r>
      <w:r w:rsidR="00ED5917" w:rsidRPr="00ED296C">
        <w:t xml:space="preserve">Crane </w:t>
      </w:r>
      <w:r w:rsidR="00ED5917">
        <w:t>(</w:t>
      </w:r>
      <w:r w:rsidR="00ED5917" w:rsidRPr="00ED296C">
        <w:t>2019</w:t>
      </w:r>
      <w:r w:rsidR="00ED5917">
        <w:t xml:space="preserve">) </w:t>
      </w:r>
      <w:r w:rsidRPr="0066383E">
        <w:t xml:space="preserve">to learn more about the grapes of the region. </w:t>
      </w:r>
    </w:p>
    <w:p w14:paraId="72294CE5" w14:textId="601E3154" w:rsidR="0066383E" w:rsidRPr="0066383E" w:rsidRDefault="00ED5917" w:rsidP="0066383E">
      <w:r>
        <w:t>I</w:t>
      </w:r>
      <w:r w:rsidR="0066383E" w:rsidRPr="0066383E">
        <w:t xml:space="preserve"> </w:t>
      </w:r>
      <w:r w:rsidR="0066383E">
        <w:t>learned</w:t>
      </w:r>
      <w:r w:rsidR="0066383E" w:rsidRPr="0066383E">
        <w:t xml:space="preserve"> to communicate not in </w:t>
      </w:r>
      <w:r w:rsidR="0066383E">
        <w:t>technical jargon</w:t>
      </w:r>
      <w:r w:rsidR="0066383E" w:rsidRPr="0066383E">
        <w:t xml:space="preserve">, but in relatable storytelling. </w:t>
      </w:r>
      <w:r w:rsidR="0066383E">
        <w:t>According to</w:t>
      </w:r>
      <w:r w:rsidR="0066383E" w:rsidRPr="0066383E">
        <w:t xml:space="preserve"> my method, I did</w:t>
      </w:r>
      <w:r>
        <w:t xml:space="preserve"> no</w:t>
      </w:r>
      <w:r w:rsidR="0066383E" w:rsidRPr="0066383E">
        <w:t xml:space="preserve">t write </w:t>
      </w:r>
      <w:r w:rsidR="0066383E">
        <w:t>anything complicated but wrote things that made people understand the whole aspect.</w:t>
      </w:r>
      <w:r w:rsidR="0066383E" w:rsidRPr="0066383E">
        <w:t xml:space="preserve"> This led to </w:t>
      </w:r>
      <w:r w:rsidR="0066383E">
        <w:t xml:space="preserve">an </w:t>
      </w:r>
      <w:r w:rsidR="0066383E" w:rsidRPr="0066383E">
        <w:t xml:space="preserve">upsell increase, according to colleagues, which aligned </w:t>
      </w:r>
      <w:r w:rsidR="0066383E">
        <w:t>with narrative-based</w:t>
      </w:r>
      <w:r w:rsidR="0066383E" w:rsidRPr="0066383E">
        <w:t xml:space="preserve"> selling practices as noted by </w:t>
      </w:r>
      <w:r w:rsidRPr="00ED5917">
        <w:t>Júnior</w:t>
      </w:r>
      <w:r>
        <w:t xml:space="preserve"> et al., (</w:t>
      </w:r>
      <w:r w:rsidRPr="00ED5917">
        <w:t>2023</w:t>
      </w:r>
      <w:r>
        <w:t>)</w:t>
      </w:r>
      <w:r w:rsidR="0066383E" w:rsidRPr="0066383E">
        <w:t>.</w:t>
      </w:r>
    </w:p>
    <w:p w14:paraId="3577E1B5" w14:textId="45778F69" w:rsidR="0066383E" w:rsidRPr="0066383E" w:rsidRDefault="0066383E" w:rsidP="0066383E">
      <w:r w:rsidRPr="0066383E">
        <w:t xml:space="preserve">But the current wine list has a hole where </w:t>
      </w:r>
      <w:r>
        <w:t>seasonal diversity</w:t>
      </w:r>
      <w:r w:rsidRPr="0066383E">
        <w:t xml:space="preserve"> should be. </w:t>
      </w:r>
      <w:r>
        <w:t>Although it</w:t>
      </w:r>
      <w:r w:rsidRPr="0066383E">
        <w:t xml:space="preserve"> has hearty reds, lighter summer choices like Grüner Veltliner are missing. According to </w:t>
      </w:r>
      <w:proofErr w:type="spellStart"/>
      <w:r w:rsidR="00C64987" w:rsidRPr="00C64987">
        <w:t>Klemt</w:t>
      </w:r>
      <w:proofErr w:type="spellEnd"/>
      <w:r w:rsidR="00C64987">
        <w:t xml:space="preserve"> </w:t>
      </w:r>
      <w:r w:rsidR="00C64987" w:rsidRPr="00C64987">
        <w:t>(2023)</w:t>
      </w:r>
      <w:r w:rsidRPr="0066383E">
        <w:t xml:space="preserve">, dynamic menus incorporate this sort of changing lust. To address this, </w:t>
      </w:r>
      <w:r>
        <w:t>I pitched</w:t>
      </w:r>
      <w:r w:rsidRPr="0066383E">
        <w:t xml:space="preserve"> a quarterly review process to the manager, bolstered by customer feedback data showing</w:t>
      </w:r>
      <w:r>
        <w:t xml:space="preserve"> an</w:t>
      </w:r>
      <w:r w:rsidRPr="0066383E">
        <w:t xml:space="preserve"> </w:t>
      </w:r>
      <w:r>
        <w:t>increased</w:t>
      </w:r>
      <w:r w:rsidRPr="0066383E">
        <w:t xml:space="preserve"> interest in “summer-friendly wines.” Applying academic frameworks like </w:t>
      </w:r>
      <w:r w:rsidR="00811618" w:rsidRPr="005D7D83">
        <w:t>Kotler</w:t>
      </w:r>
      <w:r w:rsidR="00811618">
        <w:t xml:space="preserve"> et al.,</w:t>
      </w:r>
      <w:r w:rsidR="00811618" w:rsidRPr="005D7D83">
        <w:t xml:space="preserve"> </w:t>
      </w:r>
      <w:r w:rsidR="00811618">
        <w:t>(</w:t>
      </w:r>
      <w:r w:rsidR="00811618" w:rsidRPr="005D7D83">
        <w:t>2015</w:t>
      </w:r>
      <w:r w:rsidR="00811618">
        <w:t xml:space="preserve">) </w:t>
      </w:r>
      <w:r w:rsidRPr="0066383E">
        <w:t xml:space="preserve">marketing </w:t>
      </w:r>
      <w:r>
        <w:t>mix with</w:t>
      </w:r>
      <w:r w:rsidRPr="0066383E">
        <w:t xml:space="preserve"> practical metrics ensured my recommendations were both evidence-based and actionable.</w:t>
      </w:r>
    </w:p>
    <w:p w14:paraId="6D574462" w14:textId="77777777" w:rsidR="0066383E" w:rsidRDefault="0066383E" w:rsidP="00D40FB3"/>
    <w:p w14:paraId="771A4618" w14:textId="3CB296B0" w:rsidR="00D40FB3" w:rsidRDefault="00EF4DFC" w:rsidP="00EF4DFC">
      <w:pPr>
        <w:pStyle w:val="Heading1"/>
      </w:pPr>
      <w:bookmarkStart w:id="3" w:name="_Toc191586342"/>
      <w:r>
        <w:t>Element 3 – Customer Communication Skills</w:t>
      </w:r>
      <w:bookmarkEnd w:id="3"/>
    </w:p>
    <w:p w14:paraId="1287B35C" w14:textId="13C3F6B4" w:rsidR="002D5018" w:rsidRDefault="002D5018" w:rsidP="002D5018">
      <w:pPr>
        <w:rPr>
          <w:color w:val="auto"/>
        </w:rPr>
      </w:pPr>
      <w:r>
        <w:t>Active Listening and Empathy in Tourism in the SERVQUAL model</w:t>
      </w:r>
      <w:r w:rsidR="00811618">
        <w:t xml:space="preserve"> (</w:t>
      </w:r>
      <w:proofErr w:type="spellStart"/>
      <w:r w:rsidR="00811618" w:rsidRPr="00811618">
        <w:t>Maghsoodi</w:t>
      </w:r>
      <w:proofErr w:type="spellEnd"/>
      <w:r w:rsidR="00811618">
        <w:t xml:space="preserve"> et al., </w:t>
      </w:r>
      <w:r w:rsidR="00811618" w:rsidRPr="00811618">
        <w:t>2019</w:t>
      </w:r>
      <w:r w:rsidR="00811618">
        <w:t>)</w:t>
      </w:r>
      <w:r>
        <w:t xml:space="preserve">. At my placement, I transitioned from asking transactional questions to building a relationship through questions such as, “What brings you in today?” </w:t>
      </w:r>
    </w:p>
    <w:p w14:paraId="7AF89354" w14:textId="02E0F34D" w:rsidR="002D5018" w:rsidRDefault="002D5018" w:rsidP="002D5018">
      <w:r>
        <w:t xml:space="preserve">Colleagues commented that they noticed an improvement in my ability to help de-escalate conflict. This was when a guest complained about an order that had not been delivered for some time and I offered something free an appetizer and confirmed that he was right, a strategy approved by my </w:t>
      </w:r>
      <w:r>
        <w:lastRenderedPageBreak/>
        <w:t xml:space="preserve">findings with </w:t>
      </w:r>
      <w:r w:rsidR="00E25589" w:rsidRPr="00811618">
        <w:t>Pakurár</w:t>
      </w:r>
      <w:r w:rsidR="00E25589">
        <w:t xml:space="preserve"> et al.,</w:t>
      </w:r>
      <w:r w:rsidR="00E25589" w:rsidRPr="00811618">
        <w:t xml:space="preserve"> </w:t>
      </w:r>
      <w:r w:rsidR="00E25589">
        <w:t>(</w:t>
      </w:r>
      <w:r w:rsidR="00E25589" w:rsidRPr="00811618">
        <w:t>2019</w:t>
      </w:r>
      <w:r w:rsidR="00E25589">
        <w:t>)</w:t>
      </w:r>
      <w:r w:rsidR="00811618">
        <w:t xml:space="preserve"> </w:t>
      </w:r>
      <w:r>
        <w:t>advocate “service recovery” to maintain trust. This still sticks in my mind when I try to form an empathetic communication to turn a negative experience into a loyalty opportunity as a lesson from this experience that’s noted in my supervisor’s evaluation.</w:t>
      </w:r>
    </w:p>
    <w:p w14:paraId="2D390596" w14:textId="4C68B3CE" w:rsidR="002D5018" w:rsidRDefault="002D5018" w:rsidP="002D5018">
      <w:r>
        <w:t xml:space="preserve">I also learned to be mindful of non-verbal signs as well, such as nodding and maintaining eye contact to signal when I was listening. </w:t>
      </w:r>
      <w:r w:rsidR="001F56EB" w:rsidRPr="00E25589">
        <w:t>Wojtaszek</w:t>
      </w:r>
      <w:r w:rsidR="001F56EB">
        <w:t xml:space="preserve"> et al., (</w:t>
      </w:r>
      <w:r w:rsidR="001F56EB" w:rsidRPr="00E25589">
        <w:t>2024</w:t>
      </w:r>
      <w:r w:rsidR="001F56EB">
        <w:t xml:space="preserve">) </w:t>
      </w:r>
      <w:r>
        <w:t>found that non-verbal alignment increases perceived sincerity. The balance between verbal and non-verbal skills affects satisfaction, and my</w:t>
      </w:r>
      <w:r>
        <w:t> </w:t>
      </w:r>
      <w:r>
        <w:t>“approachable demeanor,” as highlighted in customer feedback forms, continued to play a role in my work.</w:t>
      </w:r>
    </w:p>
    <w:p w14:paraId="7D92236B" w14:textId="6A65B236" w:rsidR="002D5018" w:rsidRDefault="002D5018" w:rsidP="002D5018"/>
    <w:p w14:paraId="5A72A2A6" w14:textId="33338AD1" w:rsidR="002D5018" w:rsidRDefault="002D5018" w:rsidP="002D5018">
      <w:pPr>
        <w:pStyle w:val="Heading1"/>
      </w:pPr>
      <w:bookmarkStart w:id="4" w:name="_Toc191586343"/>
      <w:r>
        <w:t>Element 4 – Reflection</w:t>
      </w:r>
      <w:bookmarkEnd w:id="4"/>
    </w:p>
    <w:p w14:paraId="6BE6E4C3" w14:textId="0B9522A0" w:rsidR="002D5018" w:rsidRDefault="002D5018" w:rsidP="004F5A21">
      <w:pPr>
        <w:rPr>
          <w:color w:val="auto"/>
        </w:rPr>
      </w:pPr>
      <w:r>
        <w:t>Being placed here literally changed how I viewed hospitality as a living, evolving, solar-powered problem-solving industry. This relates to Kolb’s (1984) learning theory which centers around learning from experience: dealing with real-life scenarios, such as juggling peak hour rushes helped me to become more adaptable. One example is staff reallocation in the middle of a sudden dinner surge to reduce the average wait time, a lesson in resourcefulness that textbooks would</w:t>
      </w:r>
      <w:r w:rsidR="004D5FC1">
        <w:t xml:space="preserve"> </w:t>
      </w:r>
      <w:r>
        <w:t>n</w:t>
      </w:r>
      <w:r w:rsidR="004D5FC1">
        <w:t>o</w:t>
      </w:r>
      <w:r>
        <w:t xml:space="preserve">t carry </w:t>
      </w:r>
      <w:r w:rsidR="008E4E70">
        <w:t>(</w:t>
      </w:r>
      <w:r w:rsidR="008E4E70" w:rsidRPr="008E4E70">
        <w:t>Peters</w:t>
      </w:r>
      <w:r w:rsidR="008E4E70">
        <w:t xml:space="preserve"> et al., </w:t>
      </w:r>
      <w:r w:rsidR="008E4E70" w:rsidRPr="008E4E70">
        <w:t>2022</w:t>
      </w:r>
      <w:r w:rsidR="008E4E70">
        <w:t>)</w:t>
      </w:r>
      <w:r>
        <w:t>.</w:t>
      </w:r>
    </w:p>
    <w:p w14:paraId="13E2F5BE" w14:textId="343D96B4" w:rsidR="002D5018" w:rsidRDefault="002D5018" w:rsidP="004F5A21">
      <w:r>
        <w:t xml:space="preserve">The most significant impact was due to an appreciation of what was required, psychologically, of frontline roles. </w:t>
      </w:r>
      <w:r w:rsidR="001719A9" w:rsidRPr="00A30344">
        <w:t>Dunston</w:t>
      </w:r>
      <w:r w:rsidR="001719A9">
        <w:t>’s (</w:t>
      </w:r>
      <w:r w:rsidR="001719A9" w:rsidRPr="00A30344">
        <w:t>2020</w:t>
      </w:r>
      <w:r w:rsidR="001719A9">
        <w:t xml:space="preserve">) </w:t>
      </w:r>
      <w:r>
        <w:t>concept of “provisional selves” describes the way I first modeled myself on my confident mentors and then gradually internalized what I learned along the way. I had seen this shift in practice, too, when I had to resolve a reservation system outage on my own by using troubleshooting protocols; my manager described my independent efforts as “critical thinking in action.”</w:t>
      </w:r>
    </w:p>
    <w:p w14:paraId="04FA38E4" w14:textId="5829F186" w:rsidR="002D5018" w:rsidRDefault="002D5018" w:rsidP="004F5A21">
      <w:r>
        <w:t xml:space="preserve">The experience was largely positive, though there were small failures, such as speaking over team members in group briefings that highlighted my struggles with assertiveness. Flipping the “psychological safety” aspect of </w:t>
      </w:r>
      <w:r w:rsidR="00C06509" w:rsidRPr="001719A9">
        <w:t>Clark</w:t>
      </w:r>
      <w:r w:rsidR="00C06509">
        <w:t>’s</w:t>
      </w:r>
      <w:r w:rsidR="00C06509" w:rsidRPr="001719A9">
        <w:t xml:space="preserve"> </w:t>
      </w:r>
      <w:r w:rsidR="00C06509">
        <w:t>(</w:t>
      </w:r>
      <w:r w:rsidR="00C06509" w:rsidRPr="001719A9">
        <w:t>2020</w:t>
      </w:r>
      <w:r w:rsidR="00C06509">
        <w:t>)</w:t>
      </w:r>
      <w:r>
        <w:t>. Hence, I seek clarifications upfront to avoid making mistakes. This growth highlights the dualities of the industry: a demanding but rewarding place for those willing to devote themselves to lifelong learning.</w:t>
      </w:r>
    </w:p>
    <w:p w14:paraId="5DEF2FCD" w14:textId="3C09AB9B" w:rsidR="002D5018" w:rsidRDefault="002D5018" w:rsidP="002D5018"/>
    <w:p w14:paraId="5A0934DF" w14:textId="5B3AE44B" w:rsidR="002D5018" w:rsidRDefault="002D5018" w:rsidP="00A72B3A">
      <w:pPr>
        <w:pStyle w:val="Heading1"/>
      </w:pPr>
      <w:bookmarkStart w:id="5" w:name="_Toc191586344"/>
      <w:r>
        <w:lastRenderedPageBreak/>
        <w:t xml:space="preserve">Element 5 – </w:t>
      </w:r>
      <w:r w:rsidR="004F5A21">
        <w:t>Leading to the Future</w:t>
      </w:r>
      <w:bookmarkEnd w:id="5"/>
    </w:p>
    <w:p w14:paraId="557E50CC" w14:textId="2BBB07FF" w:rsidR="004F5A21" w:rsidRPr="004F5A21" w:rsidRDefault="004F5A21" w:rsidP="004F5A21">
      <w:r w:rsidRPr="004F5A21">
        <w:t xml:space="preserve">My goal in life is to grow into hospitality leadership roles specifically in operational management involving strategically aligning </w:t>
      </w:r>
      <w:r w:rsidR="00A72B3A">
        <w:t>organizational capabilities</w:t>
      </w:r>
      <w:r w:rsidRPr="004F5A21">
        <w:t xml:space="preserve"> to empower the team. As identified by </w:t>
      </w:r>
      <w:r w:rsidR="00CB2A10" w:rsidRPr="00CB2A10">
        <w:t>Carroll</w:t>
      </w:r>
      <w:r w:rsidR="00CB2A10">
        <w:t xml:space="preserve"> </w:t>
      </w:r>
      <w:r w:rsidR="00CB2A10" w:rsidRPr="00CB2A10">
        <w:t>and Gillen</w:t>
      </w:r>
      <w:r w:rsidR="00CB2A10">
        <w:t xml:space="preserve"> (</w:t>
      </w:r>
      <w:r w:rsidR="00CB2A10" w:rsidRPr="00CB2A10">
        <w:t>2019</w:t>
      </w:r>
      <w:r w:rsidR="00CB2A10">
        <w:t>)</w:t>
      </w:r>
      <w:r w:rsidRPr="004F5A21">
        <w:t xml:space="preserve">, the ideas of managerial roles as dynamic and interpersonal can be seen in the skills the description of </w:t>
      </w:r>
      <w:r w:rsidR="00A72B3A">
        <w:t>my placement</w:t>
      </w:r>
      <w:r w:rsidRPr="004F5A21">
        <w:t xml:space="preserve"> above identifies (Conflict resolution, </w:t>
      </w:r>
      <w:r w:rsidR="00A72B3A">
        <w:t xml:space="preserve">and </w:t>
      </w:r>
      <w:r w:rsidRPr="004F5A21">
        <w:t xml:space="preserve">resource allocation). Through </w:t>
      </w:r>
      <w:r w:rsidR="00A72B3A">
        <w:t xml:space="preserve">the </w:t>
      </w:r>
      <w:r w:rsidRPr="004F5A21">
        <w:t xml:space="preserve">mediation of staff disagreements regarding shift rotation, I learned to balance empathy with adherence to policy, a skill that </w:t>
      </w:r>
      <w:r w:rsidR="00A73B39" w:rsidRPr="00CB2A10">
        <w:t>Johnson and Johnson</w:t>
      </w:r>
      <w:r w:rsidR="00A73B39">
        <w:t xml:space="preserve"> (</w:t>
      </w:r>
      <w:r w:rsidR="00A73B39" w:rsidRPr="00CB2A10">
        <w:t>2024</w:t>
      </w:r>
      <w:r w:rsidR="00A73B39">
        <w:t>)</w:t>
      </w:r>
      <w:r w:rsidRPr="004F5A21">
        <w:t xml:space="preserve"> identifies as </w:t>
      </w:r>
      <w:r w:rsidR="00A72B3A">
        <w:t>fundamental to</w:t>
      </w:r>
      <w:r w:rsidRPr="004F5A21">
        <w:t xml:space="preserve"> the promotion of cohesive teams. This experience reinforced my desire to manage departments focused on human-centered problem-solving for </w:t>
      </w:r>
      <w:r w:rsidR="00A72B3A">
        <w:t>greater efficiency</w:t>
      </w:r>
      <w:r w:rsidRPr="004F5A21">
        <w:t>.</w:t>
      </w:r>
    </w:p>
    <w:p w14:paraId="69EE7A73" w14:textId="53DA3C4A" w:rsidR="004F5A21" w:rsidRPr="004F5A21" w:rsidRDefault="004F5A21" w:rsidP="004F5A21">
      <w:r w:rsidRPr="004F5A21">
        <w:t xml:space="preserve">The placement </w:t>
      </w:r>
      <w:r w:rsidR="00AC4CD0">
        <w:t xml:space="preserve">at </w:t>
      </w:r>
      <w:proofErr w:type="spellStart"/>
      <w:r w:rsidR="00AC4CD0">
        <w:t>FoodCycle</w:t>
      </w:r>
      <w:proofErr w:type="spellEnd"/>
      <w:r w:rsidR="00AC4CD0">
        <w:t xml:space="preserve"> </w:t>
      </w:r>
      <w:r w:rsidRPr="004F5A21">
        <w:t xml:space="preserve">also highlighted </w:t>
      </w:r>
      <w:r w:rsidR="00A72B3A">
        <w:t>how important</w:t>
      </w:r>
      <w:r w:rsidRPr="004F5A21">
        <w:t xml:space="preserve"> continuous learning is. </w:t>
      </w:r>
      <w:r w:rsidR="00AC4CD0">
        <w:t>However,</w:t>
      </w:r>
      <w:r w:rsidRPr="004F5A21">
        <w:t xml:space="preserve"> I do feel missing </w:t>
      </w:r>
      <w:r w:rsidR="00A72B3A">
        <w:t>pieces around</w:t>
      </w:r>
      <w:r w:rsidRPr="004F5A21">
        <w:t xml:space="preserve"> financial literacy, especially budgeting. To solve this issue, I will seek certifications in hospitality finance, </w:t>
      </w:r>
      <w:r w:rsidR="00A72B3A">
        <w:t xml:space="preserve">reflecting </w:t>
      </w:r>
      <w:r w:rsidR="0060176A" w:rsidRPr="00AC4CD0">
        <w:t>Motta</w:t>
      </w:r>
      <w:r w:rsidR="0060176A">
        <w:t xml:space="preserve"> </w:t>
      </w:r>
      <w:r w:rsidR="0060176A" w:rsidRPr="00AC4CD0">
        <w:t xml:space="preserve">and Sharma </w:t>
      </w:r>
      <w:r w:rsidR="0060176A">
        <w:t>(</w:t>
      </w:r>
      <w:r w:rsidR="0060176A" w:rsidRPr="00AC4CD0">
        <w:t>2020</w:t>
      </w:r>
      <w:r w:rsidR="0060176A">
        <w:t xml:space="preserve">) </w:t>
      </w:r>
      <w:r w:rsidRPr="004F5A21">
        <w:t xml:space="preserve">assertion that </w:t>
      </w:r>
      <w:r w:rsidR="00A72B3A">
        <w:t>interdisciplinary</w:t>
      </w:r>
      <w:r w:rsidRPr="004F5A21">
        <w:t xml:space="preserve"> knowledge serves as a track for career success.</w:t>
      </w:r>
    </w:p>
    <w:p w14:paraId="14C20EAC" w14:textId="11F9EC85" w:rsidR="002D5018" w:rsidRDefault="004F5A21" w:rsidP="002D5018">
      <w:r w:rsidRPr="004F5A21">
        <w:t xml:space="preserve">In light of </w:t>
      </w:r>
      <w:r w:rsidR="005D0D30" w:rsidRPr="0060176A">
        <w:t>Arnold</w:t>
      </w:r>
      <w:r w:rsidR="005D0D30">
        <w:t xml:space="preserve"> et al.,</w:t>
      </w:r>
      <w:r w:rsidR="005D0D30" w:rsidRPr="0060176A">
        <w:t xml:space="preserve"> </w:t>
      </w:r>
      <w:r w:rsidR="005D0D30">
        <w:t>(</w:t>
      </w:r>
      <w:r w:rsidR="005D0D30" w:rsidRPr="0060176A">
        <w:t>2019</w:t>
      </w:r>
      <w:r w:rsidR="005D0D30">
        <w:t>)</w:t>
      </w:r>
      <w:r w:rsidRPr="004F5A21">
        <w:t xml:space="preserve"> “career anchors,” my current career objective is to find roles that </w:t>
      </w:r>
      <w:r w:rsidR="00A72B3A">
        <w:t>combine creativity</w:t>
      </w:r>
      <w:r w:rsidRPr="004F5A21">
        <w:t xml:space="preserve"> and mentorship. For instance, conducting a redesign of a </w:t>
      </w:r>
      <w:r w:rsidR="00A72B3A">
        <w:t>staff training</w:t>
      </w:r>
      <w:r w:rsidRPr="004F5A21">
        <w:t xml:space="preserve"> module during my placement that lowered onboarding errors strengthened my enthusiasm for cultivating talent. In the future, I want to develop my style of leadership based on the principles </w:t>
      </w:r>
      <w:r w:rsidR="00A72B3A">
        <w:t>of servant</w:t>
      </w:r>
      <w:r w:rsidRPr="004F5A21">
        <w:t xml:space="preserve"> leadership, so that I will be able to create conditions for my future teams to flourish in psychologically safe settings.</w:t>
      </w:r>
    </w:p>
    <w:p w14:paraId="3352C554" w14:textId="096906C1" w:rsidR="002D5018" w:rsidRDefault="002D5018" w:rsidP="002D5018"/>
    <w:p w14:paraId="1D34C86C" w14:textId="198F02B2" w:rsidR="002D5018" w:rsidRDefault="002D5018" w:rsidP="00A72B3A">
      <w:pPr>
        <w:pStyle w:val="Heading1"/>
      </w:pPr>
      <w:bookmarkStart w:id="6" w:name="_Toc191586345"/>
      <w:r>
        <w:t xml:space="preserve">Element 6 </w:t>
      </w:r>
      <w:r w:rsidR="004F5A21">
        <w:t>–</w:t>
      </w:r>
      <w:r>
        <w:t xml:space="preserve"> </w:t>
      </w:r>
      <w:r w:rsidR="004F5A21">
        <w:t>Viva</w:t>
      </w:r>
      <w:bookmarkEnd w:id="6"/>
      <w:r w:rsidR="004F5A21">
        <w:t xml:space="preserve"> </w:t>
      </w:r>
    </w:p>
    <w:p w14:paraId="6D4FC5E3" w14:textId="69043294" w:rsidR="00A72B3A" w:rsidRDefault="00A72B3A" w:rsidP="00A72B3A">
      <w:r>
        <w:t xml:space="preserve">The Viva will represent an opportunity for me to synthesize theoretical frameworks with practical insights gained during my placement. At the heart of this discussion lies Kolb’s (1984) experiential learning cycle, reflecting my movement from adapting to demands at peak hours (concrete experience) to devising innovations such as dynamic staff scheduling (active experimentation). For instance, the application of </w:t>
      </w:r>
      <w:r w:rsidR="00083A6A" w:rsidRPr="005D0D30">
        <w:t>Lechuga</w:t>
      </w:r>
      <w:r w:rsidR="00083A6A">
        <w:t xml:space="preserve"> (</w:t>
      </w:r>
      <w:r w:rsidR="00083A6A" w:rsidRPr="005D0D30">
        <w:t>2023</w:t>
      </w:r>
      <w:r w:rsidR="00083A6A">
        <w:t>)</w:t>
      </w:r>
      <w:r>
        <w:t xml:space="preserve"> “service blueprinting” theory to abbreviate table turnover rates shows, how academic models can help fix operational inefficiencies.</w:t>
      </w:r>
    </w:p>
    <w:p w14:paraId="1E67259C" w14:textId="7AFD010E" w:rsidR="00A72B3A" w:rsidRDefault="00A72B3A" w:rsidP="00A72B3A">
      <w:r>
        <w:t>I will also emphasize the importance of reflective practice as a means to connect theory to practice. The critical incidents reflected in the portfolio</w:t>
      </w:r>
      <w:r w:rsidR="00B54FC7">
        <w:t xml:space="preserve"> include</w:t>
      </w:r>
      <w:r>
        <w:t>, for example, how I applied inventory discrepancy</w:t>
      </w:r>
      <w:r w:rsidR="00983EF9">
        <w:t xml:space="preserve"> </w:t>
      </w:r>
      <w:r w:rsidR="00B54FC7">
        <w:t>demonstrating</w:t>
      </w:r>
      <w:r>
        <w:t xml:space="preserve"> an application of structured problem-solving. </w:t>
      </w:r>
    </w:p>
    <w:p w14:paraId="07AD7290" w14:textId="720F7E0B" w:rsidR="00A72B3A" w:rsidRPr="00A72B3A" w:rsidRDefault="00A72B3A" w:rsidP="00A72B3A">
      <w:r w:rsidRPr="00A72B3A">
        <w:t xml:space="preserve">Set for Viva, I have prepared samples of communication, leadership, </w:t>
      </w:r>
      <w:r w:rsidR="00574C1A">
        <w:t xml:space="preserve">and </w:t>
      </w:r>
      <w:r w:rsidRPr="00A72B3A">
        <w:t xml:space="preserve">tech that have grown </w:t>
      </w:r>
      <w:r w:rsidR="00574C1A">
        <w:t>on me</w:t>
      </w:r>
      <w:r w:rsidRPr="00A72B3A">
        <w:t xml:space="preserve"> with the rigor of academia. By exploring my experiences in terms of theories such as SERVQUAL and emotional </w:t>
      </w:r>
      <w:r w:rsidR="00574C1A">
        <w:t>labor</w:t>
      </w:r>
      <w:r w:rsidRPr="00A72B3A">
        <w:t>, I will showcase this holistic vision of hospitality as art and as science.</w:t>
      </w:r>
    </w:p>
    <w:p w14:paraId="72C96030" w14:textId="77777777" w:rsidR="00A72B3A" w:rsidRPr="00A72B3A" w:rsidRDefault="00A72B3A" w:rsidP="00A72B3A"/>
    <w:p w14:paraId="2A4BA6EB" w14:textId="160672FB" w:rsidR="00EF4DFC" w:rsidRDefault="00A804CC" w:rsidP="00A804CC">
      <w:pPr>
        <w:pStyle w:val="Heading1"/>
      </w:pPr>
      <w:bookmarkStart w:id="7" w:name="_Toc191586346"/>
      <w:r>
        <w:t>Conclusion</w:t>
      </w:r>
      <w:bookmarkEnd w:id="7"/>
    </w:p>
    <w:p w14:paraId="559134B0" w14:textId="0C4500FC" w:rsidR="00463B8A" w:rsidRPr="00463B8A" w:rsidRDefault="00463B8A" w:rsidP="00463B8A">
      <w:r w:rsidRPr="00463B8A">
        <w:t xml:space="preserve">Showcasing growth in first impressions, wine knowledge, communication, and </w:t>
      </w:r>
      <w:r>
        <w:t>meticulous reflection</w:t>
      </w:r>
      <w:r w:rsidRPr="00463B8A">
        <w:t xml:space="preserve">, this portfolio embodies my transformative journey in hospitality. Alongside leadership experience and practical application of theory, these have </w:t>
      </w:r>
      <w:r>
        <w:t>prepared me</w:t>
      </w:r>
      <w:r w:rsidRPr="00463B8A">
        <w:t xml:space="preserve"> to tackle future roles with flexibility, compassion, and creativity and to arrive at meaningful contributions to a changing industry.</w:t>
      </w:r>
    </w:p>
    <w:p w14:paraId="1075C959" w14:textId="11BA1DB9" w:rsidR="00A804CC" w:rsidRDefault="00A804CC" w:rsidP="00A804CC"/>
    <w:p w14:paraId="2C12F323" w14:textId="05C4B822" w:rsidR="00A804CC" w:rsidRDefault="00A804CC" w:rsidP="00A804CC"/>
    <w:p w14:paraId="66D8A579" w14:textId="20510AD8" w:rsidR="00D2385D" w:rsidRDefault="00D2385D" w:rsidP="00A804CC"/>
    <w:p w14:paraId="6019CBEB" w14:textId="77777777" w:rsidR="00D2385D" w:rsidRDefault="00D2385D" w:rsidP="00A804CC"/>
    <w:p w14:paraId="035095FF" w14:textId="45971933" w:rsidR="00A804CC" w:rsidRDefault="00A804CC" w:rsidP="00A804CC"/>
    <w:p w14:paraId="50AE90E5" w14:textId="0591A1FC" w:rsidR="00A804CC" w:rsidRDefault="00A804CC" w:rsidP="00A804CC"/>
    <w:p w14:paraId="3EFFF3E0" w14:textId="77777777" w:rsidR="001F56EB" w:rsidRDefault="001F56EB" w:rsidP="00A804CC"/>
    <w:p w14:paraId="27337996" w14:textId="7CCC322D" w:rsidR="00A804CC" w:rsidRDefault="00A804CC" w:rsidP="00A804CC"/>
    <w:p w14:paraId="40ADDB83" w14:textId="748D9283" w:rsidR="00A804CC" w:rsidRDefault="00A804CC" w:rsidP="00A804CC">
      <w:pPr>
        <w:pStyle w:val="Heading1"/>
      </w:pPr>
      <w:bookmarkStart w:id="8" w:name="_Toc191586347"/>
      <w:r>
        <w:t>Reflection</w:t>
      </w:r>
      <w:bookmarkEnd w:id="8"/>
      <w:r>
        <w:t xml:space="preserve"> </w:t>
      </w:r>
    </w:p>
    <w:p w14:paraId="1EE69686" w14:textId="77777777" w:rsidR="001D143A" w:rsidRDefault="001D143A" w:rsidP="00811618">
      <w:r w:rsidRPr="0060176A">
        <w:t xml:space="preserve">Arnold, J., Coombs, C.R. and Gubler, M., </w:t>
      </w:r>
      <w:r>
        <w:t>(</w:t>
      </w:r>
      <w:r w:rsidRPr="0060176A">
        <w:t>2019</w:t>
      </w:r>
      <w:r>
        <w:t>)</w:t>
      </w:r>
      <w:r w:rsidRPr="0060176A">
        <w:t>. Career anchors and preferences for organizational career management: a study of information technology professionals in three European countries. </w:t>
      </w:r>
      <w:r w:rsidRPr="0060176A">
        <w:rPr>
          <w:i/>
          <w:iCs/>
        </w:rPr>
        <w:t>The International Journal of Human Resource Management</w:t>
      </w:r>
      <w:r w:rsidRPr="0060176A">
        <w:t>, </w:t>
      </w:r>
      <w:r w:rsidRPr="0060176A">
        <w:rPr>
          <w:i/>
          <w:iCs/>
        </w:rPr>
        <w:t>30</w:t>
      </w:r>
      <w:r w:rsidRPr="0060176A">
        <w:t>(22), pp.3190-3222.</w:t>
      </w:r>
    </w:p>
    <w:p w14:paraId="0F294316" w14:textId="77777777" w:rsidR="001D143A" w:rsidRDefault="001D143A" w:rsidP="00811618">
      <w:r w:rsidRPr="00CB2A10">
        <w:t xml:space="preserve">Carroll, S.J. and Gillen, D.J., </w:t>
      </w:r>
      <w:r>
        <w:t>(</w:t>
      </w:r>
      <w:r w:rsidRPr="00CB2A10">
        <w:t>2019</w:t>
      </w:r>
      <w:r>
        <w:t>)</w:t>
      </w:r>
      <w:r w:rsidRPr="00CB2A10">
        <w:t>. Are the classical management functions useful in describing managerial work?. In </w:t>
      </w:r>
      <w:r w:rsidRPr="00CB2A10">
        <w:rPr>
          <w:i/>
          <w:iCs/>
        </w:rPr>
        <w:t>Managerial work</w:t>
      </w:r>
      <w:r w:rsidRPr="00CB2A10">
        <w:t> (pp. 291-304). Routledge.</w:t>
      </w:r>
    </w:p>
    <w:p w14:paraId="3CFF6382" w14:textId="77777777" w:rsidR="001D143A" w:rsidRDefault="001D143A" w:rsidP="00811618">
      <w:r w:rsidRPr="001719A9">
        <w:t xml:space="preserve">Clark, T.R., </w:t>
      </w:r>
      <w:r>
        <w:t>(</w:t>
      </w:r>
      <w:r w:rsidRPr="001719A9">
        <w:t>2020</w:t>
      </w:r>
      <w:r>
        <w:t>)</w:t>
      </w:r>
      <w:r w:rsidRPr="001719A9">
        <w:t>. </w:t>
      </w:r>
      <w:r w:rsidRPr="001719A9">
        <w:rPr>
          <w:i/>
          <w:iCs/>
        </w:rPr>
        <w:t>The 4 stages of psychological safety: Defining the path to inclusion and innovation</w:t>
      </w:r>
      <w:r w:rsidRPr="001719A9">
        <w:t>. Berrett-Koehler Publishers.</w:t>
      </w:r>
    </w:p>
    <w:p w14:paraId="2C9934C4" w14:textId="77777777" w:rsidR="001D143A" w:rsidRDefault="001D143A" w:rsidP="00A804CC">
      <w:r w:rsidRPr="00ED296C">
        <w:t xml:space="preserve">Crane, T., </w:t>
      </w:r>
      <w:r>
        <w:t>(</w:t>
      </w:r>
      <w:r w:rsidRPr="00ED296C">
        <w:t>2019</w:t>
      </w:r>
      <w:r>
        <w:t>)</w:t>
      </w:r>
      <w:r w:rsidRPr="00ED296C">
        <w:t>. THE WORLD ATLAS OF WINE. </w:t>
      </w:r>
      <w:r w:rsidRPr="00ED296C">
        <w:rPr>
          <w:i/>
          <w:iCs/>
        </w:rPr>
        <w:t>TLS. Times Literary Supplement</w:t>
      </w:r>
      <w:r w:rsidRPr="00ED296C">
        <w:t>, (6090-6091), pp.46-47.</w:t>
      </w:r>
    </w:p>
    <w:p w14:paraId="0C8A0212" w14:textId="77777777" w:rsidR="001D143A" w:rsidRDefault="001D143A" w:rsidP="00811618">
      <w:r w:rsidRPr="00A30344">
        <w:t xml:space="preserve">Dunston, E., </w:t>
      </w:r>
      <w:r>
        <w:t>(</w:t>
      </w:r>
      <w:r w:rsidRPr="00A30344">
        <w:t>2020</w:t>
      </w:r>
      <w:r>
        <w:t>)</w:t>
      </w:r>
      <w:r w:rsidRPr="00A30344">
        <w:t>. Provisional selves, revolving teams &amp; temporary workspaces: A new workplace model for student affairs. </w:t>
      </w:r>
      <w:r w:rsidRPr="00A30344">
        <w:rPr>
          <w:i/>
          <w:iCs/>
        </w:rPr>
        <w:t>Iris Journal of Scholarship</w:t>
      </w:r>
      <w:r w:rsidRPr="00A30344">
        <w:t>, </w:t>
      </w:r>
      <w:r w:rsidRPr="00A30344">
        <w:rPr>
          <w:i/>
          <w:iCs/>
        </w:rPr>
        <w:t>2</w:t>
      </w:r>
      <w:r w:rsidRPr="00A30344">
        <w:t>, pp.21-25.</w:t>
      </w:r>
    </w:p>
    <w:p w14:paraId="257E2F3A" w14:textId="77777777" w:rsidR="001D143A" w:rsidRDefault="001D143A" w:rsidP="00811618">
      <w:r w:rsidRPr="00CB2A10">
        <w:t xml:space="preserve">Johnson, B. and Johnson, J., </w:t>
      </w:r>
      <w:r>
        <w:t>(</w:t>
      </w:r>
      <w:r w:rsidRPr="00CB2A10">
        <w:t>2024</w:t>
      </w:r>
      <w:r>
        <w:t>)</w:t>
      </w:r>
      <w:r w:rsidRPr="00CB2A10">
        <w:t>. </w:t>
      </w:r>
      <w:r w:rsidRPr="00CB2A10">
        <w:rPr>
          <w:i/>
          <w:iCs/>
        </w:rPr>
        <w:t>Finding Your Leadership Edge: Balancing Assertiveness and Compassion in Schools</w:t>
      </w:r>
      <w:r w:rsidRPr="00CB2A10">
        <w:t>. Taylor &amp; Francis.</w:t>
      </w:r>
    </w:p>
    <w:p w14:paraId="74E690DE" w14:textId="77777777" w:rsidR="001D143A" w:rsidRPr="00A804CC" w:rsidRDefault="001D143A" w:rsidP="00A804CC">
      <w:pPr>
        <w:rPr>
          <w:lang w:val="en-GB"/>
        </w:rPr>
      </w:pPr>
      <w:r w:rsidRPr="00ED5917">
        <w:t xml:space="preserve">Júnior, J.R.D.O., Limongi, R., Lim, W.M., Eastman, J.K. and Kumar, S., </w:t>
      </w:r>
      <w:r>
        <w:t>(</w:t>
      </w:r>
      <w:r w:rsidRPr="00ED5917">
        <w:t>2023</w:t>
      </w:r>
      <w:r>
        <w:t>)</w:t>
      </w:r>
      <w:r w:rsidRPr="00ED5917">
        <w:t>. A story to sell: The influence of storytelling on consumers' purchasing behavior. </w:t>
      </w:r>
      <w:r w:rsidRPr="00ED5917">
        <w:rPr>
          <w:i/>
          <w:iCs/>
        </w:rPr>
        <w:t>Psychology &amp; Marketing</w:t>
      </w:r>
      <w:r w:rsidRPr="00ED5917">
        <w:t>, </w:t>
      </w:r>
      <w:r w:rsidRPr="00ED5917">
        <w:rPr>
          <w:i/>
          <w:iCs/>
        </w:rPr>
        <w:t>40</w:t>
      </w:r>
      <w:r w:rsidRPr="00ED5917">
        <w:t>(2), pp.239-261.</w:t>
      </w:r>
    </w:p>
    <w:p w14:paraId="4C509BD2" w14:textId="77777777" w:rsidR="001D143A" w:rsidRPr="00C64987" w:rsidRDefault="001D143A" w:rsidP="00C64987">
      <w:proofErr w:type="spellStart"/>
      <w:r w:rsidRPr="00C64987">
        <w:t>Klemt</w:t>
      </w:r>
      <w:proofErr w:type="spellEnd"/>
      <w:r w:rsidRPr="00C64987">
        <w:t>, D. (2023)</w:t>
      </w:r>
      <w:r>
        <w:t>.</w:t>
      </w:r>
      <w:r w:rsidRPr="00C64987">
        <w:t> </w:t>
      </w:r>
      <w:r w:rsidRPr="00C64987">
        <w:rPr>
          <w:i/>
          <w:iCs/>
        </w:rPr>
        <w:t>Dynamic Pricing or Dynamic Menus?</w:t>
      </w:r>
      <w:r w:rsidRPr="00C64987">
        <w:t>, </w:t>
      </w:r>
      <w:r w:rsidRPr="00C64987">
        <w:rPr>
          <w:i/>
          <w:iCs/>
        </w:rPr>
        <w:t>LinkedIn</w:t>
      </w:r>
      <w:r w:rsidRPr="00C64987">
        <w:t>. Available at: https://www.linkedin.com/pulse/dynamic-pricing-menus-david-klemt-1c (Accessed: 27 February 2025).</w:t>
      </w:r>
    </w:p>
    <w:p w14:paraId="4B7694D7" w14:textId="77777777" w:rsidR="001D143A" w:rsidRDefault="001D143A" w:rsidP="00A804CC">
      <w:pPr>
        <w:rPr>
          <w:lang w:val="en-GB"/>
        </w:rPr>
      </w:pPr>
      <w:r w:rsidRPr="00A804CC">
        <w:rPr>
          <w:lang w:val="en-GB"/>
        </w:rPr>
        <w:t>Kolb, D.A. (1984)</w:t>
      </w:r>
      <w:r>
        <w:rPr>
          <w:lang w:val="en-GB"/>
        </w:rPr>
        <w:t>.</w:t>
      </w:r>
      <w:r w:rsidRPr="00A804CC">
        <w:rPr>
          <w:lang w:val="en-GB"/>
        </w:rPr>
        <w:t xml:space="preserve"> Experiential Learning: Experience as the Source of Learning and Development.</w:t>
      </w:r>
      <w:r>
        <w:rPr>
          <w:lang w:val="en-GB"/>
        </w:rPr>
        <w:t xml:space="preserve"> </w:t>
      </w:r>
      <w:r w:rsidRPr="00A804CC">
        <w:rPr>
          <w:lang w:val="en-GB"/>
        </w:rPr>
        <w:t>Englewood Cliffs, NJ: Prentice Hall.</w:t>
      </w:r>
    </w:p>
    <w:p w14:paraId="1F38D5DF" w14:textId="77777777" w:rsidR="001D143A" w:rsidRDefault="001D143A" w:rsidP="00A804CC">
      <w:r w:rsidRPr="005D7D83">
        <w:t xml:space="preserve">Kotler, P., Burton, S., Deans, K., Brown, L. and Armstrong, G., </w:t>
      </w:r>
      <w:r>
        <w:t>(</w:t>
      </w:r>
      <w:r w:rsidRPr="005D7D83">
        <w:t>2015</w:t>
      </w:r>
      <w:r>
        <w:t>)</w:t>
      </w:r>
      <w:r w:rsidRPr="005D7D83">
        <w:t>. </w:t>
      </w:r>
      <w:r w:rsidRPr="005D7D83">
        <w:rPr>
          <w:i/>
          <w:iCs/>
        </w:rPr>
        <w:t>Marketing</w:t>
      </w:r>
      <w:r w:rsidRPr="005D7D83">
        <w:t>. Pearson Higher Education AU.</w:t>
      </w:r>
    </w:p>
    <w:p w14:paraId="627196B7" w14:textId="77777777" w:rsidR="001D143A" w:rsidRPr="00A804CC" w:rsidRDefault="001D143A" w:rsidP="00811618">
      <w:r w:rsidRPr="005D0D30">
        <w:t xml:space="preserve">Lechuga, A.G., Robles, G.C., Soto, K.C.A. and Ackerman, M.A.M., </w:t>
      </w:r>
      <w:r>
        <w:t>(</w:t>
      </w:r>
      <w:r w:rsidRPr="005D0D30">
        <w:t>2023</w:t>
      </w:r>
      <w:r>
        <w:t>)</w:t>
      </w:r>
      <w:r w:rsidRPr="005D0D30">
        <w:t>. The integration of the business model canvas and the service blueprinting to assist the conceptual design of new product-service systems. </w:t>
      </w:r>
      <w:r w:rsidRPr="005D0D30">
        <w:rPr>
          <w:i/>
          <w:iCs/>
        </w:rPr>
        <w:t>Journal of Cleaner Production</w:t>
      </w:r>
      <w:r w:rsidRPr="005D0D30">
        <w:t>, </w:t>
      </w:r>
      <w:r w:rsidRPr="005D0D30">
        <w:rPr>
          <w:i/>
          <w:iCs/>
        </w:rPr>
        <w:t>415</w:t>
      </w:r>
      <w:r w:rsidRPr="005D0D30">
        <w:t>, p.137801.</w:t>
      </w:r>
    </w:p>
    <w:p w14:paraId="3AAFC7FE" w14:textId="77777777" w:rsidR="001D143A" w:rsidRDefault="001D143A" w:rsidP="00811618">
      <w:proofErr w:type="spellStart"/>
      <w:r w:rsidRPr="00811618">
        <w:t>Maghsoodi</w:t>
      </w:r>
      <w:proofErr w:type="spellEnd"/>
      <w:r w:rsidRPr="00811618">
        <w:t xml:space="preserve">, A.I., </w:t>
      </w:r>
      <w:proofErr w:type="spellStart"/>
      <w:r w:rsidRPr="00811618">
        <w:t>Saghaei</w:t>
      </w:r>
      <w:proofErr w:type="spellEnd"/>
      <w:r w:rsidRPr="00811618">
        <w:t xml:space="preserve">, A. and </w:t>
      </w:r>
      <w:proofErr w:type="spellStart"/>
      <w:r w:rsidRPr="00811618">
        <w:t>Hafezalkotob</w:t>
      </w:r>
      <w:proofErr w:type="spellEnd"/>
      <w:r w:rsidRPr="00811618">
        <w:t xml:space="preserve">, A., </w:t>
      </w:r>
      <w:r>
        <w:t>(</w:t>
      </w:r>
      <w:r w:rsidRPr="00811618">
        <w:t>2019</w:t>
      </w:r>
      <w:r>
        <w:t>)</w:t>
      </w:r>
      <w:r w:rsidRPr="00811618">
        <w:t>. Service quality measurement model integrating an extended SERVQUAL model and a hybrid decision support system. </w:t>
      </w:r>
      <w:r w:rsidRPr="00811618">
        <w:rPr>
          <w:i/>
          <w:iCs/>
        </w:rPr>
        <w:t>European Research on Management and Business Economics (ERMBE)</w:t>
      </w:r>
      <w:r w:rsidRPr="00811618">
        <w:t>, </w:t>
      </w:r>
      <w:r w:rsidRPr="00811618">
        <w:rPr>
          <w:i/>
          <w:iCs/>
        </w:rPr>
        <w:t>25</w:t>
      </w:r>
      <w:r w:rsidRPr="00811618">
        <w:t>(3), pp.151-164.</w:t>
      </w:r>
    </w:p>
    <w:p w14:paraId="04982921" w14:textId="77777777" w:rsidR="001D143A" w:rsidRDefault="001D143A" w:rsidP="00811618">
      <w:r w:rsidRPr="00AC4CD0">
        <w:t xml:space="preserve">Motta, V. and Sharma, A., </w:t>
      </w:r>
      <w:r>
        <w:t>(</w:t>
      </w:r>
      <w:r w:rsidRPr="00AC4CD0">
        <w:t>2020</w:t>
      </w:r>
      <w:r>
        <w:t>)</w:t>
      </w:r>
      <w:r w:rsidRPr="00AC4CD0">
        <w:t>. Lending technologies and access to finance for SMEs in the hospitality industry. </w:t>
      </w:r>
      <w:r w:rsidRPr="00AC4CD0">
        <w:rPr>
          <w:i/>
          <w:iCs/>
        </w:rPr>
        <w:t>International Journal of Hospitality Management</w:t>
      </w:r>
      <w:r w:rsidRPr="00AC4CD0">
        <w:t>, </w:t>
      </w:r>
      <w:r w:rsidRPr="00AC4CD0">
        <w:rPr>
          <w:i/>
          <w:iCs/>
        </w:rPr>
        <w:t>86</w:t>
      </w:r>
      <w:r w:rsidRPr="00AC4CD0">
        <w:t>, p.102371.</w:t>
      </w:r>
    </w:p>
    <w:p w14:paraId="5C6E7FE6" w14:textId="77777777" w:rsidR="001D143A" w:rsidRDefault="001D143A" w:rsidP="00811618">
      <w:r w:rsidRPr="00811618">
        <w:t xml:space="preserve">Pakurár, M., Haddad, H., Nagy, J., Popp, J. and Oláh, J., </w:t>
      </w:r>
      <w:r>
        <w:t>(</w:t>
      </w:r>
      <w:r w:rsidRPr="00811618">
        <w:t>2019</w:t>
      </w:r>
      <w:r>
        <w:t>)</w:t>
      </w:r>
      <w:r w:rsidRPr="00811618">
        <w:t>. The service quality dimensions that affect customer satisfaction in the Jordanian banking sector. </w:t>
      </w:r>
      <w:r w:rsidRPr="00811618">
        <w:rPr>
          <w:i/>
          <w:iCs/>
        </w:rPr>
        <w:t>Sustainability</w:t>
      </w:r>
      <w:r w:rsidRPr="00811618">
        <w:t>, </w:t>
      </w:r>
      <w:r w:rsidRPr="00811618">
        <w:rPr>
          <w:i/>
          <w:iCs/>
        </w:rPr>
        <w:t>11</w:t>
      </w:r>
      <w:r w:rsidRPr="00811618">
        <w:t>(4), p.1113.</w:t>
      </w:r>
    </w:p>
    <w:p w14:paraId="162D7B24" w14:textId="77777777" w:rsidR="001D143A" w:rsidRDefault="001D143A" w:rsidP="00811618">
      <w:r w:rsidRPr="008E4E70">
        <w:t xml:space="preserve">Peters, L.E., Shannon, G., Kelman, I. and Meriläinen, E., </w:t>
      </w:r>
      <w:r>
        <w:t>(</w:t>
      </w:r>
      <w:r w:rsidRPr="008E4E70">
        <w:t>2022</w:t>
      </w:r>
      <w:r>
        <w:t>)</w:t>
      </w:r>
      <w:r w:rsidRPr="008E4E70">
        <w:t>. Toward resourcefulness: pathways for community positive health. </w:t>
      </w:r>
      <w:r w:rsidRPr="008E4E70">
        <w:rPr>
          <w:i/>
          <w:iCs/>
        </w:rPr>
        <w:t>Global Health Promotion</w:t>
      </w:r>
      <w:r w:rsidRPr="008E4E70">
        <w:t>, </w:t>
      </w:r>
      <w:r w:rsidRPr="008E4E70">
        <w:rPr>
          <w:i/>
          <w:iCs/>
        </w:rPr>
        <w:t>29</w:t>
      </w:r>
      <w:r w:rsidRPr="008E4E70">
        <w:t>(3), pp.5-13.</w:t>
      </w:r>
    </w:p>
    <w:p w14:paraId="69D9CCB9" w14:textId="77777777" w:rsidR="001D143A" w:rsidRDefault="001D143A" w:rsidP="00A804CC">
      <w:r w:rsidRPr="00A804CC">
        <w:t>Serenity</w:t>
      </w:r>
      <w:r>
        <w:t>,</w:t>
      </w:r>
      <w:r w:rsidRPr="00A804CC">
        <w:t xml:space="preserve"> G</w:t>
      </w:r>
      <w:r>
        <w:t>.</w:t>
      </w:r>
      <w:r w:rsidRPr="00A804CC">
        <w:t xml:space="preserve">(2018). You And Your Business Have 7 Seconds To Make A First Impression: Here’s How To Succeed. </w:t>
      </w:r>
      <w:r w:rsidRPr="00A804CC">
        <w:rPr>
          <w:i/>
          <w:iCs/>
        </w:rPr>
        <w:t>Forbes</w:t>
      </w:r>
      <w:r w:rsidRPr="00A804CC">
        <w:t>. [online] 20 Jun. Available at: https://www.forbes.com/sites/serenitygibbons/2018/06/19/you-have-7-seconds-to-make-a-first-impression-heres-how-to-succeed/ [Accessed 2</w:t>
      </w:r>
      <w:r>
        <w:t>6</w:t>
      </w:r>
      <w:r w:rsidRPr="00A804CC">
        <w:t xml:space="preserve"> Feb. 2025].</w:t>
      </w:r>
    </w:p>
    <w:p w14:paraId="638FBB55" w14:textId="77777777" w:rsidR="001D143A" w:rsidRPr="00A804CC" w:rsidRDefault="001D143A" w:rsidP="00A804CC">
      <w:proofErr w:type="spellStart"/>
      <w:r w:rsidRPr="00BF7C71">
        <w:t>Subaebasni</w:t>
      </w:r>
      <w:proofErr w:type="spellEnd"/>
      <w:r w:rsidRPr="00BF7C71">
        <w:t xml:space="preserve">, S., </w:t>
      </w:r>
      <w:proofErr w:type="spellStart"/>
      <w:r w:rsidRPr="00BF7C71">
        <w:t>Risnawaty</w:t>
      </w:r>
      <w:proofErr w:type="spellEnd"/>
      <w:r w:rsidRPr="00BF7C71">
        <w:t xml:space="preserve">, H. and Wicaksono, A.A., </w:t>
      </w:r>
      <w:r>
        <w:t>(</w:t>
      </w:r>
      <w:r w:rsidRPr="00BF7C71">
        <w:t>2019</w:t>
      </w:r>
      <w:r>
        <w:t>)</w:t>
      </w:r>
      <w:r w:rsidRPr="00BF7C71">
        <w:t>. Effect of brand image, the quality and price on customer satisfaction and implications for customer loyalty PT Strait Liner Express in Jakarta. </w:t>
      </w:r>
      <w:r w:rsidRPr="00BF7C71">
        <w:rPr>
          <w:i/>
          <w:iCs/>
        </w:rPr>
        <w:t>International review of management and marketing</w:t>
      </w:r>
      <w:r w:rsidRPr="00BF7C71">
        <w:t>, </w:t>
      </w:r>
      <w:r w:rsidRPr="00BF7C71">
        <w:rPr>
          <w:i/>
          <w:iCs/>
        </w:rPr>
        <w:t>9</w:t>
      </w:r>
      <w:r w:rsidRPr="00BF7C71">
        <w:t>(1), p.90.</w:t>
      </w:r>
    </w:p>
    <w:p w14:paraId="1C129BD3" w14:textId="77777777" w:rsidR="001D143A" w:rsidRDefault="001D143A" w:rsidP="00A804CC">
      <w:r w:rsidRPr="00653456">
        <w:t xml:space="preserve">Themba, O.S., Razak, N. and </w:t>
      </w:r>
      <w:proofErr w:type="spellStart"/>
      <w:r w:rsidRPr="00653456">
        <w:t>Sjahruddin</w:t>
      </w:r>
      <w:proofErr w:type="spellEnd"/>
      <w:r w:rsidRPr="00653456">
        <w:t xml:space="preserve">, H., </w:t>
      </w:r>
      <w:r>
        <w:t>(</w:t>
      </w:r>
      <w:r w:rsidRPr="00653456">
        <w:t>2019</w:t>
      </w:r>
      <w:r>
        <w:t>)</w:t>
      </w:r>
      <w:r w:rsidRPr="00653456">
        <w:t>. Increasing customers’ loyalty. The contribution of marketing strategy, service quality and customer satisfaction. </w:t>
      </w:r>
      <w:r w:rsidRPr="00653456">
        <w:rPr>
          <w:i/>
          <w:iCs/>
        </w:rPr>
        <w:t>Archives of Business Research</w:t>
      </w:r>
      <w:r w:rsidRPr="00653456">
        <w:t>, </w:t>
      </w:r>
      <w:r w:rsidRPr="00653456">
        <w:rPr>
          <w:i/>
          <w:iCs/>
        </w:rPr>
        <w:t>7</w:t>
      </w:r>
      <w:r w:rsidRPr="00653456">
        <w:t>(2).</w:t>
      </w:r>
    </w:p>
    <w:p w14:paraId="10F0AF5E" w14:textId="77777777" w:rsidR="001D143A" w:rsidRDefault="001D143A" w:rsidP="00A804CC">
      <w:r w:rsidRPr="00022E9B">
        <w:t xml:space="preserve">Wang, T. and Lee, F.Y., </w:t>
      </w:r>
      <w:r>
        <w:t>(</w:t>
      </w:r>
      <w:r w:rsidRPr="00022E9B">
        <w:t>2020</w:t>
      </w:r>
      <w:r>
        <w:t>)</w:t>
      </w:r>
      <w:r w:rsidRPr="00022E9B">
        <w:t>. Examining customer engagement and brand intimacy in social media context. </w:t>
      </w:r>
      <w:r w:rsidRPr="00022E9B">
        <w:rPr>
          <w:i/>
          <w:iCs/>
        </w:rPr>
        <w:t>Journal of retailing and consumer services</w:t>
      </w:r>
      <w:r w:rsidRPr="00022E9B">
        <w:t>, </w:t>
      </w:r>
      <w:r w:rsidRPr="00022E9B">
        <w:rPr>
          <w:i/>
          <w:iCs/>
        </w:rPr>
        <w:t>54</w:t>
      </w:r>
      <w:r w:rsidRPr="00022E9B">
        <w:t>, p.102035.</w:t>
      </w:r>
    </w:p>
    <w:p w14:paraId="7C846816" w14:textId="77777777" w:rsidR="001D143A" w:rsidRDefault="001D143A" w:rsidP="00811618">
      <w:r w:rsidRPr="00E25589">
        <w:t xml:space="preserve">Wojtaszek, H., Wójcik-Czerniawska, A., Mastalerz, M. and </w:t>
      </w:r>
      <w:proofErr w:type="spellStart"/>
      <w:r w:rsidRPr="00E25589">
        <w:t>Stępień</w:t>
      </w:r>
      <w:proofErr w:type="spellEnd"/>
      <w:r w:rsidRPr="00E25589">
        <w:t xml:space="preserve">, P., </w:t>
      </w:r>
      <w:r>
        <w:t>(</w:t>
      </w:r>
      <w:r w:rsidRPr="00E25589">
        <w:t>2024</w:t>
      </w:r>
      <w:r>
        <w:t>)</w:t>
      </w:r>
      <w:r w:rsidRPr="00E25589">
        <w:t>. The role of consistency in verbal and nonverbal communication: enhancing trust and team effectiveness in management.</w:t>
      </w:r>
    </w:p>
    <w:sectPr w:rsidR="001D143A" w:rsidSect="006546F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4E0E5" w14:textId="77777777" w:rsidR="00B650A4" w:rsidRDefault="00B650A4" w:rsidP="006546FF">
      <w:pPr>
        <w:spacing w:after="0" w:line="240" w:lineRule="auto"/>
      </w:pPr>
      <w:r>
        <w:separator/>
      </w:r>
    </w:p>
  </w:endnote>
  <w:endnote w:type="continuationSeparator" w:id="0">
    <w:p w14:paraId="690B3E55" w14:textId="77777777" w:rsidR="00B650A4" w:rsidRDefault="00B650A4" w:rsidP="00654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9252754"/>
      <w:docPartObj>
        <w:docPartGallery w:val="Page Numbers (Bottom of Page)"/>
        <w:docPartUnique/>
      </w:docPartObj>
    </w:sdtPr>
    <w:sdtEndPr>
      <w:rPr>
        <w:noProof/>
      </w:rPr>
    </w:sdtEndPr>
    <w:sdtContent>
      <w:p w14:paraId="2886AB3C" w14:textId="02D43E92" w:rsidR="006546FF" w:rsidRDefault="006546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809E2E" w14:textId="77777777" w:rsidR="006546FF" w:rsidRDefault="006546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98AB4" w14:textId="77777777" w:rsidR="00B650A4" w:rsidRDefault="00B650A4" w:rsidP="006546FF">
      <w:pPr>
        <w:spacing w:after="0" w:line="240" w:lineRule="auto"/>
      </w:pPr>
      <w:r>
        <w:separator/>
      </w:r>
    </w:p>
  </w:footnote>
  <w:footnote w:type="continuationSeparator" w:id="0">
    <w:p w14:paraId="01459CD9" w14:textId="77777777" w:rsidR="00B650A4" w:rsidRDefault="00B650A4" w:rsidP="006546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24"/>
    <w:rsid w:val="00022E9B"/>
    <w:rsid w:val="00083A6A"/>
    <w:rsid w:val="001719A9"/>
    <w:rsid w:val="001D143A"/>
    <w:rsid w:val="001F56EB"/>
    <w:rsid w:val="00200E6B"/>
    <w:rsid w:val="00205EF6"/>
    <w:rsid w:val="00214EEF"/>
    <w:rsid w:val="00244224"/>
    <w:rsid w:val="002D5018"/>
    <w:rsid w:val="002E7EDE"/>
    <w:rsid w:val="00463B8A"/>
    <w:rsid w:val="00474690"/>
    <w:rsid w:val="004D5FC1"/>
    <w:rsid w:val="004F1E47"/>
    <w:rsid w:val="004F5A21"/>
    <w:rsid w:val="00525DD9"/>
    <w:rsid w:val="00574C1A"/>
    <w:rsid w:val="005D0D30"/>
    <w:rsid w:val="005D7D83"/>
    <w:rsid w:val="0060176A"/>
    <w:rsid w:val="00653456"/>
    <w:rsid w:val="006546FF"/>
    <w:rsid w:val="0066383E"/>
    <w:rsid w:val="007B5E83"/>
    <w:rsid w:val="007F15F6"/>
    <w:rsid w:val="00811618"/>
    <w:rsid w:val="008E4E70"/>
    <w:rsid w:val="00951391"/>
    <w:rsid w:val="00983EF9"/>
    <w:rsid w:val="00A30344"/>
    <w:rsid w:val="00A72B3A"/>
    <w:rsid w:val="00A73B39"/>
    <w:rsid w:val="00A804CC"/>
    <w:rsid w:val="00AC4CD0"/>
    <w:rsid w:val="00B0252E"/>
    <w:rsid w:val="00B22D08"/>
    <w:rsid w:val="00B41EA8"/>
    <w:rsid w:val="00B54FC7"/>
    <w:rsid w:val="00B650A4"/>
    <w:rsid w:val="00BF7C71"/>
    <w:rsid w:val="00C06509"/>
    <w:rsid w:val="00C341DA"/>
    <w:rsid w:val="00C64987"/>
    <w:rsid w:val="00CB2A10"/>
    <w:rsid w:val="00D1183F"/>
    <w:rsid w:val="00D2385D"/>
    <w:rsid w:val="00D40FB3"/>
    <w:rsid w:val="00D871C8"/>
    <w:rsid w:val="00E25589"/>
    <w:rsid w:val="00ED296C"/>
    <w:rsid w:val="00ED5917"/>
    <w:rsid w:val="00EF4DFC"/>
    <w:rsid w:val="00FA7C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A576E"/>
  <w15:chartTrackingRefBased/>
  <w15:docId w15:val="{7DE3A350-DB00-4C90-8829-6751CE56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C9A"/>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25DD9"/>
    <w:pPr>
      <w:keepNext/>
      <w:keepLines/>
      <w:spacing w:before="240" w:after="240"/>
      <w:outlineLvl w:val="0"/>
    </w:pPr>
    <w:rPr>
      <w:rFonts w:eastAsiaTheme="majorEastAsia" w:cstheme="majorBidi"/>
      <w:b/>
      <w:i/>
      <w:sz w:val="32"/>
      <w:szCs w:val="32"/>
      <w:u w:val="single"/>
    </w:rPr>
  </w:style>
  <w:style w:type="paragraph" w:styleId="Heading2">
    <w:name w:val="heading 2"/>
    <w:basedOn w:val="Normal"/>
    <w:next w:val="Normal"/>
    <w:link w:val="Heading2Char"/>
    <w:uiPriority w:val="9"/>
    <w:semiHidden/>
    <w:unhideWhenUsed/>
    <w:qFormat/>
    <w:rsid w:val="00525DD9"/>
    <w:pPr>
      <w:keepNext/>
      <w:keepLines/>
      <w:spacing w:before="40" w:after="0"/>
      <w:outlineLvl w:val="1"/>
    </w:pPr>
    <w:rPr>
      <w:rFonts w:eastAsiaTheme="majorEastAsia" w:cstheme="majorBidi"/>
      <w:i/>
      <w:sz w:val="28"/>
      <w:szCs w:val="26"/>
      <w:u w:val="single"/>
    </w:rPr>
  </w:style>
  <w:style w:type="paragraph" w:styleId="Heading4">
    <w:name w:val="heading 4"/>
    <w:basedOn w:val="Normal"/>
    <w:next w:val="Normal"/>
    <w:link w:val="Heading4Char"/>
    <w:uiPriority w:val="9"/>
    <w:semiHidden/>
    <w:unhideWhenUsed/>
    <w:qFormat/>
    <w:rsid w:val="00C6498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DD9"/>
    <w:rPr>
      <w:rFonts w:ascii="Times New Roman" w:eastAsiaTheme="majorEastAsia" w:hAnsi="Times New Roman" w:cstheme="majorBidi"/>
      <w:b/>
      <w:i/>
      <w:color w:val="000000" w:themeColor="text1"/>
      <w:sz w:val="32"/>
      <w:szCs w:val="32"/>
      <w:u w:val="single"/>
    </w:rPr>
  </w:style>
  <w:style w:type="character" w:customStyle="1" w:styleId="Heading2Char">
    <w:name w:val="Heading 2 Char"/>
    <w:basedOn w:val="DefaultParagraphFont"/>
    <w:link w:val="Heading2"/>
    <w:uiPriority w:val="9"/>
    <w:semiHidden/>
    <w:rsid w:val="00525DD9"/>
    <w:rPr>
      <w:rFonts w:ascii="Times New Roman" w:eastAsiaTheme="majorEastAsia" w:hAnsi="Times New Roman" w:cstheme="majorBidi"/>
      <w:i/>
      <w:color w:val="000000" w:themeColor="text1"/>
      <w:sz w:val="28"/>
      <w:szCs w:val="26"/>
      <w:u w:val="single"/>
    </w:rPr>
  </w:style>
  <w:style w:type="paragraph" w:styleId="NormalWeb">
    <w:name w:val="Normal (Web)"/>
    <w:basedOn w:val="Normal"/>
    <w:uiPriority w:val="99"/>
    <w:semiHidden/>
    <w:unhideWhenUsed/>
    <w:rsid w:val="00D40FB3"/>
    <w:pPr>
      <w:spacing w:before="100" w:beforeAutospacing="1" w:after="100" w:afterAutospacing="1" w:line="240" w:lineRule="auto"/>
      <w:jc w:val="left"/>
    </w:pPr>
    <w:rPr>
      <w:rFonts w:eastAsia="Times New Roman" w:cs="Times New Roman"/>
      <w:color w:val="auto"/>
      <w:szCs w:val="24"/>
    </w:rPr>
  </w:style>
  <w:style w:type="character" w:customStyle="1" w:styleId="Heading4Char">
    <w:name w:val="Heading 4 Char"/>
    <w:basedOn w:val="DefaultParagraphFont"/>
    <w:link w:val="Heading4"/>
    <w:uiPriority w:val="9"/>
    <w:semiHidden/>
    <w:rsid w:val="00C64987"/>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1F56EB"/>
    <w:pPr>
      <w:ind w:left="720"/>
      <w:contextualSpacing/>
    </w:pPr>
  </w:style>
  <w:style w:type="paragraph" w:styleId="TOCHeading">
    <w:name w:val="TOC Heading"/>
    <w:basedOn w:val="Heading1"/>
    <w:next w:val="Normal"/>
    <w:uiPriority w:val="39"/>
    <w:unhideWhenUsed/>
    <w:qFormat/>
    <w:rsid w:val="00B0252E"/>
    <w:pPr>
      <w:spacing w:after="0" w:line="259" w:lineRule="auto"/>
      <w:jc w:val="left"/>
      <w:outlineLvl w:val="9"/>
    </w:pPr>
    <w:rPr>
      <w:rFonts w:asciiTheme="majorHAnsi" w:hAnsiTheme="majorHAnsi"/>
      <w:b w:val="0"/>
      <w:i w:val="0"/>
      <w:color w:val="2F5496" w:themeColor="accent1" w:themeShade="BF"/>
      <w:u w:val="none"/>
    </w:rPr>
  </w:style>
  <w:style w:type="paragraph" w:styleId="TOC1">
    <w:name w:val="toc 1"/>
    <w:basedOn w:val="Normal"/>
    <w:next w:val="Normal"/>
    <w:autoRedefine/>
    <w:uiPriority w:val="39"/>
    <w:unhideWhenUsed/>
    <w:rsid w:val="00B0252E"/>
    <w:pPr>
      <w:spacing w:after="100"/>
    </w:pPr>
  </w:style>
  <w:style w:type="character" w:styleId="Hyperlink">
    <w:name w:val="Hyperlink"/>
    <w:basedOn w:val="DefaultParagraphFont"/>
    <w:uiPriority w:val="99"/>
    <w:unhideWhenUsed/>
    <w:rsid w:val="00B0252E"/>
    <w:rPr>
      <w:color w:val="0563C1" w:themeColor="hyperlink"/>
      <w:u w:val="single"/>
    </w:rPr>
  </w:style>
  <w:style w:type="paragraph" w:styleId="Header">
    <w:name w:val="header"/>
    <w:basedOn w:val="Normal"/>
    <w:link w:val="HeaderChar"/>
    <w:uiPriority w:val="99"/>
    <w:unhideWhenUsed/>
    <w:rsid w:val="006546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46FF"/>
    <w:rPr>
      <w:rFonts w:ascii="Times New Roman" w:hAnsi="Times New Roman"/>
      <w:color w:val="000000" w:themeColor="text1"/>
      <w:sz w:val="24"/>
    </w:rPr>
  </w:style>
  <w:style w:type="paragraph" w:styleId="Footer">
    <w:name w:val="footer"/>
    <w:basedOn w:val="Normal"/>
    <w:link w:val="FooterChar"/>
    <w:uiPriority w:val="99"/>
    <w:unhideWhenUsed/>
    <w:rsid w:val="006546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46FF"/>
    <w:rPr>
      <w:rFonts w:ascii="Times New Roman" w:hAnsi="Times New Roman"/>
      <w:color w:val="000000" w:themeColor="text1"/>
      <w:sz w:val="24"/>
    </w:rPr>
  </w:style>
  <w:style w:type="paragraph" w:styleId="NoSpacing">
    <w:name w:val="No Spacing"/>
    <w:link w:val="NoSpacingChar"/>
    <w:uiPriority w:val="1"/>
    <w:qFormat/>
    <w:rsid w:val="00D1183F"/>
    <w:pPr>
      <w:spacing w:after="0" w:line="240" w:lineRule="auto"/>
    </w:pPr>
    <w:rPr>
      <w:rFonts w:eastAsiaTheme="minorEastAsia"/>
    </w:rPr>
  </w:style>
  <w:style w:type="character" w:customStyle="1" w:styleId="NoSpacingChar">
    <w:name w:val="No Spacing Char"/>
    <w:basedOn w:val="DefaultParagraphFont"/>
    <w:link w:val="NoSpacing"/>
    <w:uiPriority w:val="1"/>
    <w:rsid w:val="00D1183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17198">
      <w:bodyDiv w:val="1"/>
      <w:marLeft w:val="0"/>
      <w:marRight w:val="0"/>
      <w:marTop w:val="0"/>
      <w:marBottom w:val="0"/>
      <w:divBdr>
        <w:top w:val="none" w:sz="0" w:space="0" w:color="auto"/>
        <w:left w:val="none" w:sz="0" w:space="0" w:color="auto"/>
        <w:bottom w:val="none" w:sz="0" w:space="0" w:color="auto"/>
        <w:right w:val="none" w:sz="0" w:space="0" w:color="auto"/>
      </w:divBdr>
      <w:divsChild>
        <w:div w:id="652026575">
          <w:marLeft w:val="0"/>
          <w:marRight w:val="0"/>
          <w:marTop w:val="0"/>
          <w:marBottom w:val="0"/>
          <w:divBdr>
            <w:top w:val="none" w:sz="0" w:space="0" w:color="auto"/>
            <w:left w:val="none" w:sz="0" w:space="0" w:color="auto"/>
            <w:bottom w:val="none" w:sz="0" w:space="0" w:color="auto"/>
            <w:right w:val="none" w:sz="0" w:space="0" w:color="auto"/>
          </w:divBdr>
        </w:div>
      </w:divsChild>
    </w:div>
    <w:div w:id="142311286">
      <w:bodyDiv w:val="1"/>
      <w:marLeft w:val="0"/>
      <w:marRight w:val="0"/>
      <w:marTop w:val="0"/>
      <w:marBottom w:val="0"/>
      <w:divBdr>
        <w:top w:val="none" w:sz="0" w:space="0" w:color="auto"/>
        <w:left w:val="none" w:sz="0" w:space="0" w:color="auto"/>
        <w:bottom w:val="none" w:sz="0" w:space="0" w:color="auto"/>
        <w:right w:val="none" w:sz="0" w:space="0" w:color="auto"/>
      </w:divBdr>
    </w:div>
    <w:div w:id="351297436">
      <w:bodyDiv w:val="1"/>
      <w:marLeft w:val="0"/>
      <w:marRight w:val="0"/>
      <w:marTop w:val="0"/>
      <w:marBottom w:val="0"/>
      <w:divBdr>
        <w:top w:val="none" w:sz="0" w:space="0" w:color="auto"/>
        <w:left w:val="none" w:sz="0" w:space="0" w:color="auto"/>
        <w:bottom w:val="none" w:sz="0" w:space="0" w:color="auto"/>
        <w:right w:val="none" w:sz="0" w:space="0" w:color="auto"/>
      </w:divBdr>
    </w:div>
    <w:div w:id="372928887">
      <w:bodyDiv w:val="1"/>
      <w:marLeft w:val="0"/>
      <w:marRight w:val="0"/>
      <w:marTop w:val="0"/>
      <w:marBottom w:val="0"/>
      <w:divBdr>
        <w:top w:val="none" w:sz="0" w:space="0" w:color="auto"/>
        <w:left w:val="none" w:sz="0" w:space="0" w:color="auto"/>
        <w:bottom w:val="none" w:sz="0" w:space="0" w:color="auto"/>
        <w:right w:val="none" w:sz="0" w:space="0" w:color="auto"/>
      </w:divBdr>
    </w:div>
    <w:div w:id="667636121">
      <w:bodyDiv w:val="1"/>
      <w:marLeft w:val="0"/>
      <w:marRight w:val="0"/>
      <w:marTop w:val="0"/>
      <w:marBottom w:val="0"/>
      <w:divBdr>
        <w:top w:val="none" w:sz="0" w:space="0" w:color="auto"/>
        <w:left w:val="none" w:sz="0" w:space="0" w:color="auto"/>
        <w:bottom w:val="none" w:sz="0" w:space="0" w:color="auto"/>
        <w:right w:val="none" w:sz="0" w:space="0" w:color="auto"/>
      </w:divBdr>
    </w:div>
    <w:div w:id="926041661">
      <w:bodyDiv w:val="1"/>
      <w:marLeft w:val="0"/>
      <w:marRight w:val="0"/>
      <w:marTop w:val="0"/>
      <w:marBottom w:val="0"/>
      <w:divBdr>
        <w:top w:val="none" w:sz="0" w:space="0" w:color="auto"/>
        <w:left w:val="none" w:sz="0" w:space="0" w:color="auto"/>
        <w:bottom w:val="none" w:sz="0" w:space="0" w:color="auto"/>
        <w:right w:val="none" w:sz="0" w:space="0" w:color="auto"/>
      </w:divBdr>
    </w:div>
    <w:div w:id="970478358">
      <w:bodyDiv w:val="1"/>
      <w:marLeft w:val="0"/>
      <w:marRight w:val="0"/>
      <w:marTop w:val="0"/>
      <w:marBottom w:val="0"/>
      <w:divBdr>
        <w:top w:val="none" w:sz="0" w:space="0" w:color="auto"/>
        <w:left w:val="none" w:sz="0" w:space="0" w:color="auto"/>
        <w:bottom w:val="none" w:sz="0" w:space="0" w:color="auto"/>
        <w:right w:val="none" w:sz="0" w:space="0" w:color="auto"/>
      </w:divBdr>
      <w:divsChild>
        <w:div w:id="1781025488">
          <w:marLeft w:val="0"/>
          <w:marRight w:val="0"/>
          <w:marTop w:val="0"/>
          <w:marBottom w:val="0"/>
          <w:divBdr>
            <w:top w:val="none" w:sz="0" w:space="0" w:color="auto"/>
            <w:left w:val="none" w:sz="0" w:space="0" w:color="auto"/>
            <w:bottom w:val="none" w:sz="0" w:space="0" w:color="auto"/>
            <w:right w:val="none" w:sz="0" w:space="0" w:color="auto"/>
          </w:divBdr>
        </w:div>
      </w:divsChild>
    </w:div>
    <w:div w:id="1186553466">
      <w:bodyDiv w:val="1"/>
      <w:marLeft w:val="0"/>
      <w:marRight w:val="0"/>
      <w:marTop w:val="0"/>
      <w:marBottom w:val="0"/>
      <w:divBdr>
        <w:top w:val="none" w:sz="0" w:space="0" w:color="auto"/>
        <w:left w:val="none" w:sz="0" w:space="0" w:color="auto"/>
        <w:bottom w:val="none" w:sz="0" w:space="0" w:color="auto"/>
        <w:right w:val="none" w:sz="0" w:space="0" w:color="auto"/>
      </w:divBdr>
    </w:div>
    <w:div w:id="1214463359">
      <w:bodyDiv w:val="1"/>
      <w:marLeft w:val="0"/>
      <w:marRight w:val="0"/>
      <w:marTop w:val="0"/>
      <w:marBottom w:val="0"/>
      <w:divBdr>
        <w:top w:val="none" w:sz="0" w:space="0" w:color="auto"/>
        <w:left w:val="none" w:sz="0" w:space="0" w:color="auto"/>
        <w:bottom w:val="none" w:sz="0" w:space="0" w:color="auto"/>
        <w:right w:val="none" w:sz="0" w:space="0" w:color="auto"/>
      </w:divBdr>
    </w:div>
    <w:div w:id="1408531051">
      <w:bodyDiv w:val="1"/>
      <w:marLeft w:val="0"/>
      <w:marRight w:val="0"/>
      <w:marTop w:val="0"/>
      <w:marBottom w:val="0"/>
      <w:divBdr>
        <w:top w:val="none" w:sz="0" w:space="0" w:color="auto"/>
        <w:left w:val="none" w:sz="0" w:space="0" w:color="auto"/>
        <w:bottom w:val="none" w:sz="0" w:space="0" w:color="auto"/>
        <w:right w:val="none" w:sz="0" w:space="0" w:color="auto"/>
      </w:divBdr>
    </w:div>
    <w:div w:id="1454013993">
      <w:bodyDiv w:val="1"/>
      <w:marLeft w:val="0"/>
      <w:marRight w:val="0"/>
      <w:marTop w:val="0"/>
      <w:marBottom w:val="0"/>
      <w:divBdr>
        <w:top w:val="none" w:sz="0" w:space="0" w:color="auto"/>
        <w:left w:val="none" w:sz="0" w:space="0" w:color="auto"/>
        <w:bottom w:val="none" w:sz="0" w:space="0" w:color="auto"/>
        <w:right w:val="none" w:sz="0" w:space="0" w:color="auto"/>
      </w:divBdr>
    </w:div>
    <w:div w:id="1661543114">
      <w:bodyDiv w:val="1"/>
      <w:marLeft w:val="0"/>
      <w:marRight w:val="0"/>
      <w:marTop w:val="0"/>
      <w:marBottom w:val="0"/>
      <w:divBdr>
        <w:top w:val="none" w:sz="0" w:space="0" w:color="auto"/>
        <w:left w:val="none" w:sz="0" w:space="0" w:color="auto"/>
        <w:bottom w:val="none" w:sz="0" w:space="0" w:color="auto"/>
        <w:right w:val="none" w:sz="0" w:space="0" w:color="auto"/>
      </w:divBdr>
    </w:div>
    <w:div w:id="1750886054">
      <w:bodyDiv w:val="1"/>
      <w:marLeft w:val="0"/>
      <w:marRight w:val="0"/>
      <w:marTop w:val="0"/>
      <w:marBottom w:val="0"/>
      <w:divBdr>
        <w:top w:val="none" w:sz="0" w:space="0" w:color="auto"/>
        <w:left w:val="none" w:sz="0" w:space="0" w:color="auto"/>
        <w:bottom w:val="none" w:sz="0" w:space="0" w:color="auto"/>
        <w:right w:val="none" w:sz="0" w:space="0" w:color="auto"/>
      </w:divBdr>
    </w:div>
    <w:div w:id="1834225453">
      <w:bodyDiv w:val="1"/>
      <w:marLeft w:val="0"/>
      <w:marRight w:val="0"/>
      <w:marTop w:val="0"/>
      <w:marBottom w:val="0"/>
      <w:divBdr>
        <w:top w:val="none" w:sz="0" w:space="0" w:color="auto"/>
        <w:left w:val="none" w:sz="0" w:space="0" w:color="auto"/>
        <w:bottom w:val="none" w:sz="0" w:space="0" w:color="auto"/>
        <w:right w:val="none" w:sz="0" w:space="0" w:color="auto"/>
      </w:divBdr>
    </w:div>
    <w:div w:id="1844543305">
      <w:bodyDiv w:val="1"/>
      <w:marLeft w:val="0"/>
      <w:marRight w:val="0"/>
      <w:marTop w:val="0"/>
      <w:marBottom w:val="0"/>
      <w:divBdr>
        <w:top w:val="none" w:sz="0" w:space="0" w:color="auto"/>
        <w:left w:val="none" w:sz="0" w:space="0" w:color="auto"/>
        <w:bottom w:val="none" w:sz="0" w:space="0" w:color="auto"/>
        <w:right w:val="none" w:sz="0" w:space="0" w:color="auto"/>
      </w:divBdr>
    </w:div>
    <w:div w:id="2064332113">
      <w:bodyDiv w:val="1"/>
      <w:marLeft w:val="0"/>
      <w:marRight w:val="0"/>
      <w:marTop w:val="0"/>
      <w:marBottom w:val="0"/>
      <w:divBdr>
        <w:top w:val="none" w:sz="0" w:space="0" w:color="auto"/>
        <w:left w:val="none" w:sz="0" w:space="0" w:color="auto"/>
        <w:bottom w:val="none" w:sz="0" w:space="0" w:color="auto"/>
        <w:right w:val="none" w:sz="0" w:space="0" w:color="auto"/>
      </w:divBdr>
    </w:div>
    <w:div w:id="214338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glossaryDocument" Target="glossary/document.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77644E08B0A4C729AF611C7BFB93761"/>
        <w:category>
          <w:name w:val="General"/>
          <w:gallery w:val="placeholder"/>
        </w:category>
        <w:types>
          <w:type w:val="bbPlcHdr"/>
        </w:types>
        <w:behaviors>
          <w:behavior w:val="content"/>
        </w:behaviors>
        <w:guid w:val="{F6B6E785-3919-452B-B020-77871F8D8F84}"/>
      </w:docPartPr>
      <w:docPartBody>
        <w:p w:rsidR="000241CC" w:rsidRDefault="005E49DF" w:rsidP="005E49DF">
          <w:pPr>
            <w:pStyle w:val="C77644E08B0A4C729AF611C7BFB9376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9DF"/>
    <w:rsid w:val="000241CC"/>
    <w:rsid w:val="005E49DF"/>
    <w:rsid w:val="00624BB7"/>
    <w:rsid w:val="007C7AFB"/>
    <w:rsid w:val="00B41E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7644E08B0A4C729AF611C7BFB93761">
    <w:name w:val="C77644E08B0A4C729AF611C7BFB93761"/>
    <w:rsid w:val="005E49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A6943-17B8-4AF5-A769-10EAAD7EF94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2005</Words>
  <Characters>12522</Characters>
  <Application>Microsoft Office Word</Application>
  <DocSecurity>0</DocSecurity>
  <Lines>104</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 My Journey in Gastronomy Through Volunteering at FoodCycle</dc:title>
  <dc:subject/>
  <dc:creator>Xion Rahman</dc:creator>
  <cp:keywords/>
  <dc:description/>
  <cp:lastModifiedBy>Enas Belal</cp:lastModifiedBy>
  <cp:revision>2</cp:revision>
  <dcterms:created xsi:type="dcterms:W3CDTF">2025-02-28T12:49:00Z</dcterms:created>
  <dcterms:modified xsi:type="dcterms:W3CDTF">2025-02-28T12:49:00Z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3e7e004e0c896b01a003398e49263707620e220bb39ad0b37f7b7974de7fb4c7</vt:lpwstr>
  </property>
</Properties>
</file>