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8CB66F" w14:textId="77777777" w:rsidR="000C6C59" w:rsidRPr="0079261B" w:rsidRDefault="000C6C59" w:rsidP="000C6C59">
      <w:pPr>
        <w:spacing w:line="360" w:lineRule="auto"/>
        <w:jc w:val="center"/>
        <w:rPr>
          <w:rFonts w:ascii="Arial" w:hAnsi="Arial" w:cs="Arial"/>
        </w:rPr>
      </w:pPr>
      <w:r w:rsidRPr="0079261B">
        <w:rPr>
          <w:rFonts w:ascii="Arial" w:hAnsi="Arial" w:cs="Arial"/>
          <w:b/>
          <w:bCs/>
          <w:u w:val="single"/>
        </w:rPr>
        <w:t>Mental Health Vulnerabilities in the Criminal Justice System: A Critical and Theoretical Evaluation of Policy, Practice and Reform</w:t>
      </w:r>
      <w:r w:rsidRPr="0079261B">
        <w:rPr>
          <w:rFonts w:ascii="Arial" w:hAnsi="Arial" w:cs="Arial"/>
          <w:b/>
          <w:bCs/>
          <w:u w:val="single"/>
        </w:rPr>
        <w:br/>
      </w:r>
    </w:p>
    <w:p w14:paraId="073F9C6A" w14:textId="77777777" w:rsidR="000C6C59" w:rsidRPr="0079261B" w:rsidRDefault="000C6C59" w:rsidP="000C6C59">
      <w:pPr>
        <w:spacing w:line="360" w:lineRule="auto"/>
        <w:jc w:val="center"/>
        <w:rPr>
          <w:rFonts w:ascii="Arial" w:hAnsi="Arial" w:cs="Arial"/>
        </w:rPr>
      </w:pPr>
      <w:r w:rsidRPr="0079261B">
        <w:rPr>
          <w:rFonts w:ascii="Arial" w:hAnsi="Arial" w:cs="Arial"/>
          <w:b/>
          <w:bCs/>
        </w:rPr>
        <w:t>Maddison Morgan McCarthy</w:t>
      </w:r>
      <w:r w:rsidRPr="0079261B">
        <w:rPr>
          <w:rFonts w:ascii="Arial" w:hAnsi="Arial" w:cs="Arial"/>
        </w:rPr>
        <w:br/>
      </w:r>
      <w:r w:rsidRPr="0079261B">
        <w:rPr>
          <w:rFonts w:ascii="Arial" w:hAnsi="Arial" w:cs="Arial"/>
          <w:b/>
          <w:bCs/>
        </w:rPr>
        <w:t>Date:</w:t>
      </w:r>
      <w:r w:rsidRPr="0079261B">
        <w:rPr>
          <w:rFonts w:ascii="Arial" w:hAnsi="Arial" w:cs="Arial"/>
        </w:rPr>
        <w:t xml:space="preserve"> </w:t>
      </w:r>
      <w:r w:rsidRPr="0079261B">
        <w:rPr>
          <w:rFonts w:ascii="Arial" w:hAnsi="Arial" w:cs="Arial"/>
          <w:b/>
          <w:bCs/>
        </w:rPr>
        <w:t>May 01</w:t>
      </w:r>
      <w:r w:rsidRPr="0079261B">
        <w:rPr>
          <w:rFonts w:ascii="Arial" w:hAnsi="Arial" w:cs="Arial"/>
          <w:b/>
          <w:bCs/>
          <w:vertAlign w:val="superscript"/>
        </w:rPr>
        <w:t>st</w:t>
      </w:r>
      <w:r w:rsidRPr="0079261B">
        <w:rPr>
          <w:rFonts w:ascii="Arial" w:hAnsi="Arial" w:cs="Arial"/>
          <w:b/>
          <w:bCs/>
        </w:rPr>
        <w:t xml:space="preserve"> 2026</w:t>
      </w:r>
      <w:r w:rsidRPr="0079261B">
        <w:rPr>
          <w:rFonts w:ascii="Arial" w:hAnsi="Arial" w:cs="Arial"/>
        </w:rPr>
        <w:br/>
      </w:r>
      <w:r w:rsidRPr="0079261B">
        <w:rPr>
          <w:rFonts w:ascii="Arial" w:hAnsi="Arial" w:cs="Arial"/>
          <w:b/>
          <w:bCs/>
        </w:rPr>
        <w:t>Word Count:</w:t>
      </w:r>
      <w:r>
        <w:rPr>
          <w:rFonts w:ascii="Arial" w:hAnsi="Arial" w:cs="Arial"/>
          <w:b/>
          <w:bCs/>
        </w:rPr>
        <w:t xml:space="preserve"> 1379</w:t>
      </w:r>
    </w:p>
    <w:p w14:paraId="2E604B0D" w14:textId="77777777" w:rsidR="000C6C59" w:rsidRPr="0079261B" w:rsidRDefault="000C6C59" w:rsidP="000C6C59">
      <w:pPr>
        <w:spacing w:line="360" w:lineRule="auto"/>
        <w:rPr>
          <w:rFonts w:ascii="Arial" w:hAnsi="Arial" w:cs="Arial"/>
          <w:b/>
          <w:bCs/>
          <w:u w:val="single"/>
        </w:rPr>
      </w:pPr>
    </w:p>
    <w:p w14:paraId="3F2C0292" w14:textId="77777777" w:rsidR="000C6C59" w:rsidRPr="0079261B" w:rsidRDefault="000C6C59" w:rsidP="000C6C59">
      <w:pPr>
        <w:spacing w:line="360" w:lineRule="auto"/>
        <w:rPr>
          <w:rFonts w:ascii="Arial" w:hAnsi="Arial" w:cs="Arial"/>
          <w:b/>
          <w:bCs/>
          <w:u w:val="single"/>
        </w:rPr>
      </w:pPr>
    </w:p>
    <w:p w14:paraId="166B7482" w14:textId="77777777" w:rsidR="000C6C59" w:rsidRPr="0079261B" w:rsidRDefault="000C6C59" w:rsidP="000C6C59">
      <w:pPr>
        <w:spacing w:line="360" w:lineRule="auto"/>
        <w:rPr>
          <w:rFonts w:ascii="Arial" w:hAnsi="Arial" w:cs="Arial"/>
          <w:b/>
          <w:bCs/>
          <w:u w:val="single"/>
        </w:rPr>
      </w:pPr>
    </w:p>
    <w:p w14:paraId="33614E0F" w14:textId="77777777" w:rsidR="000C6C59" w:rsidRPr="0079261B" w:rsidRDefault="000C6C59" w:rsidP="000C6C59">
      <w:pPr>
        <w:spacing w:line="360" w:lineRule="auto"/>
        <w:rPr>
          <w:rFonts w:ascii="Arial" w:hAnsi="Arial" w:cs="Arial"/>
          <w:b/>
          <w:bCs/>
          <w:u w:val="single"/>
        </w:rPr>
      </w:pPr>
    </w:p>
    <w:p w14:paraId="36FC5D15" w14:textId="77777777" w:rsidR="000C6C59" w:rsidRPr="0079261B" w:rsidRDefault="000C6C59" w:rsidP="000C6C59">
      <w:pPr>
        <w:spacing w:line="360" w:lineRule="auto"/>
        <w:rPr>
          <w:rFonts w:ascii="Arial" w:hAnsi="Arial" w:cs="Arial"/>
          <w:b/>
          <w:bCs/>
          <w:u w:val="single"/>
        </w:rPr>
      </w:pPr>
    </w:p>
    <w:p w14:paraId="0A8BBAFC" w14:textId="77777777" w:rsidR="000C6C59" w:rsidRPr="0079261B" w:rsidRDefault="000C6C59" w:rsidP="000C6C59">
      <w:pPr>
        <w:spacing w:line="360" w:lineRule="auto"/>
        <w:rPr>
          <w:rFonts w:ascii="Arial" w:hAnsi="Arial" w:cs="Arial"/>
          <w:b/>
          <w:bCs/>
          <w:u w:val="single"/>
        </w:rPr>
      </w:pPr>
    </w:p>
    <w:p w14:paraId="2D910C8C" w14:textId="77777777" w:rsidR="000C6C59" w:rsidRPr="0079261B" w:rsidRDefault="000C6C59" w:rsidP="000C6C59">
      <w:pPr>
        <w:spacing w:line="360" w:lineRule="auto"/>
        <w:rPr>
          <w:rFonts w:ascii="Arial" w:hAnsi="Arial" w:cs="Arial"/>
          <w:b/>
          <w:bCs/>
          <w:u w:val="single"/>
        </w:rPr>
      </w:pPr>
    </w:p>
    <w:p w14:paraId="309B16C6" w14:textId="77777777" w:rsidR="000C6C59" w:rsidRPr="0079261B" w:rsidRDefault="000C6C59" w:rsidP="000C6C59">
      <w:pPr>
        <w:spacing w:line="360" w:lineRule="auto"/>
        <w:rPr>
          <w:rFonts w:ascii="Arial" w:hAnsi="Arial" w:cs="Arial"/>
          <w:b/>
          <w:bCs/>
          <w:u w:val="single"/>
        </w:rPr>
      </w:pPr>
    </w:p>
    <w:p w14:paraId="48C58172" w14:textId="77777777" w:rsidR="000C6C59" w:rsidRPr="0079261B" w:rsidRDefault="000C6C59" w:rsidP="000C6C59">
      <w:pPr>
        <w:spacing w:line="360" w:lineRule="auto"/>
        <w:rPr>
          <w:rFonts w:ascii="Arial" w:hAnsi="Arial" w:cs="Arial"/>
          <w:b/>
          <w:bCs/>
          <w:u w:val="single"/>
        </w:rPr>
      </w:pPr>
    </w:p>
    <w:p w14:paraId="5C03D23F" w14:textId="77777777" w:rsidR="000C6C59" w:rsidRPr="0079261B" w:rsidRDefault="000C6C59" w:rsidP="000C6C59">
      <w:pPr>
        <w:spacing w:line="360" w:lineRule="auto"/>
        <w:rPr>
          <w:rFonts w:ascii="Arial" w:hAnsi="Arial" w:cs="Arial"/>
          <w:b/>
          <w:bCs/>
          <w:u w:val="single"/>
        </w:rPr>
      </w:pPr>
    </w:p>
    <w:p w14:paraId="19A5A0F1" w14:textId="77777777" w:rsidR="000C6C59" w:rsidRPr="0079261B" w:rsidRDefault="000C6C59" w:rsidP="000C6C59">
      <w:pPr>
        <w:spacing w:line="360" w:lineRule="auto"/>
        <w:rPr>
          <w:rFonts w:ascii="Arial" w:hAnsi="Arial" w:cs="Arial"/>
          <w:b/>
          <w:bCs/>
          <w:u w:val="single"/>
        </w:rPr>
      </w:pPr>
    </w:p>
    <w:p w14:paraId="021C002B" w14:textId="77777777" w:rsidR="000C6C59" w:rsidRPr="0079261B" w:rsidRDefault="000C6C59" w:rsidP="000C6C59">
      <w:pPr>
        <w:spacing w:line="360" w:lineRule="auto"/>
        <w:rPr>
          <w:rFonts w:ascii="Arial" w:hAnsi="Arial" w:cs="Arial"/>
          <w:b/>
          <w:bCs/>
          <w:u w:val="single"/>
        </w:rPr>
      </w:pPr>
    </w:p>
    <w:p w14:paraId="073F1118" w14:textId="77777777" w:rsidR="000C6C59" w:rsidRPr="0079261B" w:rsidRDefault="000C6C59" w:rsidP="000C6C59">
      <w:pPr>
        <w:spacing w:line="360" w:lineRule="auto"/>
        <w:rPr>
          <w:rFonts w:ascii="Arial" w:hAnsi="Arial" w:cs="Arial"/>
          <w:b/>
          <w:bCs/>
          <w:u w:val="single"/>
        </w:rPr>
      </w:pPr>
    </w:p>
    <w:p w14:paraId="197F844A" w14:textId="77777777" w:rsidR="000C6C59" w:rsidRPr="0079261B" w:rsidRDefault="000C6C59" w:rsidP="000C6C59">
      <w:pPr>
        <w:spacing w:line="360" w:lineRule="auto"/>
        <w:rPr>
          <w:rFonts w:ascii="Arial" w:hAnsi="Arial" w:cs="Arial"/>
          <w:b/>
          <w:bCs/>
          <w:u w:val="single"/>
        </w:rPr>
      </w:pPr>
    </w:p>
    <w:p w14:paraId="4C02C8B0" w14:textId="77777777" w:rsidR="000C6C59" w:rsidRPr="0079261B" w:rsidRDefault="000C6C59" w:rsidP="000C6C59">
      <w:pPr>
        <w:spacing w:line="360" w:lineRule="auto"/>
        <w:rPr>
          <w:rFonts w:ascii="Arial" w:hAnsi="Arial" w:cs="Arial"/>
          <w:b/>
          <w:bCs/>
          <w:u w:val="single"/>
        </w:rPr>
      </w:pPr>
    </w:p>
    <w:p w14:paraId="21D9F346" w14:textId="77777777" w:rsidR="000C6C59" w:rsidRPr="0079261B" w:rsidRDefault="000C6C59" w:rsidP="000C6C59">
      <w:pPr>
        <w:spacing w:line="360" w:lineRule="auto"/>
        <w:rPr>
          <w:rFonts w:ascii="Arial" w:hAnsi="Arial" w:cs="Arial"/>
          <w:b/>
          <w:bCs/>
          <w:u w:val="single"/>
        </w:rPr>
      </w:pPr>
    </w:p>
    <w:p w14:paraId="415692CE" w14:textId="77777777" w:rsidR="000C6C59" w:rsidRPr="0079261B" w:rsidRDefault="000C6C59" w:rsidP="000C6C59">
      <w:pPr>
        <w:spacing w:line="360" w:lineRule="auto"/>
        <w:rPr>
          <w:rFonts w:ascii="Arial" w:hAnsi="Arial" w:cs="Arial"/>
          <w:b/>
          <w:bCs/>
          <w:u w:val="single"/>
        </w:rPr>
      </w:pPr>
    </w:p>
    <w:p w14:paraId="314AC287" w14:textId="77777777" w:rsidR="000C6C59" w:rsidRPr="0079261B" w:rsidRDefault="000C6C59" w:rsidP="000C6C59">
      <w:pPr>
        <w:spacing w:line="360" w:lineRule="auto"/>
        <w:rPr>
          <w:rFonts w:ascii="Arial" w:hAnsi="Arial" w:cs="Arial"/>
          <w:b/>
          <w:bCs/>
          <w:u w:val="single"/>
        </w:rPr>
      </w:pPr>
    </w:p>
    <w:p w14:paraId="1C1578C8" w14:textId="77777777" w:rsidR="000C6C59" w:rsidRPr="0079261B" w:rsidRDefault="000C6C59" w:rsidP="000C6C59">
      <w:pPr>
        <w:spacing w:line="360" w:lineRule="auto"/>
        <w:rPr>
          <w:rFonts w:ascii="Arial" w:hAnsi="Arial" w:cs="Arial"/>
          <w:b/>
          <w:bCs/>
          <w:u w:val="single"/>
        </w:rPr>
      </w:pPr>
    </w:p>
    <w:p w14:paraId="7EC74BEC" w14:textId="77777777" w:rsidR="000C6C59" w:rsidRPr="0079261B" w:rsidRDefault="000C6C59" w:rsidP="000C6C59">
      <w:pPr>
        <w:spacing w:line="360" w:lineRule="auto"/>
        <w:rPr>
          <w:rFonts w:ascii="Arial" w:hAnsi="Arial" w:cs="Arial"/>
          <w:b/>
          <w:bCs/>
          <w:u w:val="single"/>
        </w:rPr>
      </w:pPr>
    </w:p>
    <w:p w14:paraId="3EB89093" w14:textId="77777777" w:rsidR="000C6C59" w:rsidRPr="0079261B" w:rsidRDefault="000C6C59" w:rsidP="000C6C59">
      <w:pPr>
        <w:spacing w:line="360" w:lineRule="auto"/>
        <w:rPr>
          <w:rFonts w:ascii="Arial" w:hAnsi="Arial" w:cs="Arial"/>
          <w:b/>
          <w:bCs/>
          <w:u w:val="single"/>
        </w:rPr>
      </w:pPr>
      <w:r w:rsidRPr="0079261B">
        <w:rPr>
          <w:rFonts w:ascii="Arial" w:hAnsi="Arial" w:cs="Arial"/>
          <w:b/>
          <w:bCs/>
          <w:u w:val="single"/>
        </w:rPr>
        <w:t xml:space="preserve">Contents </w:t>
      </w:r>
    </w:p>
    <w:p w14:paraId="498F2A33" w14:textId="77777777" w:rsidR="000C6C59" w:rsidRPr="0079261B" w:rsidRDefault="000C6C59" w:rsidP="000C6C59">
      <w:pPr>
        <w:spacing w:line="360" w:lineRule="auto"/>
        <w:rPr>
          <w:rFonts w:ascii="Arial" w:hAnsi="Arial" w:cs="Arial"/>
          <w:b/>
          <w:bCs/>
        </w:rPr>
      </w:pPr>
      <w:r w:rsidRPr="0079261B">
        <w:rPr>
          <w:rFonts w:ascii="Arial" w:hAnsi="Arial" w:cs="Arial"/>
          <w:b/>
          <w:bCs/>
        </w:rPr>
        <w:t xml:space="preserve">1. Executive Summary </w:t>
      </w:r>
    </w:p>
    <w:p w14:paraId="1452B55B" w14:textId="77777777" w:rsidR="000C6C59" w:rsidRPr="0079261B" w:rsidRDefault="000C6C59" w:rsidP="000C6C59">
      <w:pPr>
        <w:spacing w:line="360" w:lineRule="auto"/>
        <w:rPr>
          <w:rFonts w:ascii="Arial" w:hAnsi="Arial" w:cs="Arial"/>
          <w:b/>
          <w:bCs/>
        </w:rPr>
      </w:pPr>
      <w:r w:rsidRPr="0079261B">
        <w:rPr>
          <w:rFonts w:ascii="Arial" w:hAnsi="Arial" w:cs="Arial"/>
          <w:b/>
          <w:bCs/>
        </w:rPr>
        <w:t xml:space="preserve">2. Findings </w:t>
      </w:r>
    </w:p>
    <w:p w14:paraId="44041AD5" w14:textId="77777777" w:rsidR="000C6C59" w:rsidRPr="0079261B" w:rsidRDefault="000C6C59" w:rsidP="000C6C59">
      <w:pPr>
        <w:spacing w:line="360" w:lineRule="auto"/>
        <w:ind w:firstLine="720"/>
        <w:rPr>
          <w:rFonts w:ascii="Arial" w:hAnsi="Arial" w:cs="Arial"/>
          <w:b/>
          <w:bCs/>
        </w:rPr>
      </w:pPr>
      <w:r w:rsidRPr="0079261B">
        <w:rPr>
          <w:rFonts w:ascii="Arial" w:hAnsi="Arial" w:cs="Arial"/>
          <w:b/>
          <w:bCs/>
        </w:rPr>
        <w:t>2.1 Mental Health Legislation Reform (Mental Health Act 1983)</w:t>
      </w:r>
    </w:p>
    <w:p w14:paraId="6C862EC0" w14:textId="77777777" w:rsidR="000C6C59" w:rsidRPr="0079261B" w:rsidRDefault="000C6C59" w:rsidP="000C6C59">
      <w:pPr>
        <w:spacing w:line="360" w:lineRule="auto"/>
        <w:ind w:firstLine="720"/>
        <w:rPr>
          <w:rFonts w:ascii="Arial" w:hAnsi="Arial" w:cs="Arial"/>
          <w:b/>
          <w:bCs/>
        </w:rPr>
      </w:pPr>
      <w:r w:rsidRPr="0079261B">
        <w:rPr>
          <w:rFonts w:ascii="Arial" w:hAnsi="Arial" w:cs="Arial"/>
          <w:b/>
          <w:bCs/>
        </w:rPr>
        <w:t>2.2 Liaison and Diversion Services (RAND evaluation)</w:t>
      </w:r>
    </w:p>
    <w:p w14:paraId="72BC5FA0" w14:textId="77777777" w:rsidR="000C6C59" w:rsidRPr="0079261B" w:rsidRDefault="000C6C59" w:rsidP="000C6C59">
      <w:pPr>
        <w:spacing w:line="360" w:lineRule="auto"/>
        <w:ind w:firstLine="720"/>
        <w:rPr>
          <w:rFonts w:ascii="Arial" w:hAnsi="Arial" w:cs="Arial"/>
          <w:b/>
          <w:bCs/>
        </w:rPr>
      </w:pPr>
      <w:r w:rsidRPr="0079261B">
        <w:rPr>
          <w:rFonts w:ascii="Arial" w:hAnsi="Arial" w:cs="Arial"/>
          <w:b/>
          <w:bCs/>
        </w:rPr>
        <w:t>2.3 Primary Care Mental Health Treatment Requirements (MHTRs)</w:t>
      </w:r>
    </w:p>
    <w:p w14:paraId="3FAD8246" w14:textId="77777777" w:rsidR="000C6C59" w:rsidRPr="0079261B" w:rsidRDefault="000C6C59" w:rsidP="000C6C59">
      <w:pPr>
        <w:spacing w:line="360" w:lineRule="auto"/>
        <w:ind w:firstLine="720"/>
        <w:rPr>
          <w:rFonts w:ascii="Arial" w:hAnsi="Arial" w:cs="Arial"/>
          <w:b/>
          <w:bCs/>
        </w:rPr>
      </w:pPr>
      <w:r w:rsidRPr="0079261B">
        <w:rPr>
          <w:rFonts w:ascii="Arial" w:hAnsi="Arial" w:cs="Arial"/>
          <w:b/>
          <w:bCs/>
        </w:rPr>
        <w:t>2.4 Offender Personality Disorder (OPD) Pathway</w:t>
      </w:r>
    </w:p>
    <w:p w14:paraId="7E6B88B9" w14:textId="77777777" w:rsidR="000C6C59" w:rsidRPr="0079261B" w:rsidRDefault="000C6C59" w:rsidP="000C6C59">
      <w:pPr>
        <w:spacing w:line="360" w:lineRule="auto"/>
        <w:ind w:firstLine="720"/>
        <w:rPr>
          <w:rFonts w:ascii="Arial" w:hAnsi="Arial" w:cs="Arial"/>
          <w:b/>
          <w:bCs/>
        </w:rPr>
      </w:pPr>
      <w:r w:rsidRPr="0079261B">
        <w:rPr>
          <w:rFonts w:ascii="Arial" w:hAnsi="Arial" w:cs="Arial"/>
          <w:b/>
          <w:bCs/>
        </w:rPr>
        <w:t>2.5 Human Rights and Welsh Government Action</w:t>
      </w:r>
    </w:p>
    <w:p w14:paraId="7E69247A" w14:textId="77777777" w:rsidR="000C6C59" w:rsidRPr="0079261B" w:rsidRDefault="000C6C59" w:rsidP="000C6C59">
      <w:pPr>
        <w:spacing w:line="360" w:lineRule="auto"/>
        <w:ind w:firstLine="720"/>
        <w:rPr>
          <w:rFonts w:ascii="Arial" w:hAnsi="Arial" w:cs="Arial"/>
          <w:b/>
          <w:bCs/>
        </w:rPr>
      </w:pPr>
      <w:r w:rsidRPr="0079261B">
        <w:rPr>
          <w:rFonts w:ascii="Arial" w:hAnsi="Arial" w:cs="Arial"/>
          <w:b/>
          <w:bCs/>
        </w:rPr>
        <w:t>2.6 Cross-cutting Theoretical Analysis</w:t>
      </w:r>
    </w:p>
    <w:p w14:paraId="22A96584" w14:textId="77777777" w:rsidR="000C6C59" w:rsidRPr="0079261B" w:rsidRDefault="000C6C59" w:rsidP="000C6C59">
      <w:pPr>
        <w:spacing w:line="360" w:lineRule="auto"/>
        <w:ind w:firstLine="720"/>
        <w:rPr>
          <w:rFonts w:ascii="Arial" w:hAnsi="Arial" w:cs="Arial"/>
          <w:b/>
          <w:bCs/>
        </w:rPr>
      </w:pPr>
      <w:r w:rsidRPr="0079261B">
        <w:rPr>
          <w:rFonts w:ascii="Arial" w:hAnsi="Arial" w:cs="Arial"/>
          <w:b/>
          <w:bCs/>
        </w:rPr>
        <w:t xml:space="preserve">2.7 Gaps in the Literature </w:t>
      </w:r>
    </w:p>
    <w:p w14:paraId="57A842E8" w14:textId="77777777" w:rsidR="000C6C59" w:rsidRPr="0079261B" w:rsidRDefault="000C6C59" w:rsidP="000C6C59">
      <w:pPr>
        <w:spacing w:line="360" w:lineRule="auto"/>
        <w:rPr>
          <w:rFonts w:ascii="Arial" w:hAnsi="Arial" w:cs="Arial"/>
          <w:b/>
          <w:bCs/>
        </w:rPr>
      </w:pPr>
      <w:r w:rsidRPr="0079261B">
        <w:rPr>
          <w:rFonts w:ascii="Arial" w:hAnsi="Arial" w:cs="Arial"/>
          <w:b/>
          <w:bCs/>
        </w:rPr>
        <w:t>3. Recommendations</w:t>
      </w:r>
    </w:p>
    <w:p w14:paraId="6D1BA2D5" w14:textId="77777777" w:rsidR="000C6C59" w:rsidRPr="0079261B" w:rsidRDefault="000C6C59" w:rsidP="000C6C59">
      <w:pPr>
        <w:spacing w:line="360" w:lineRule="auto"/>
        <w:rPr>
          <w:rFonts w:ascii="Arial" w:hAnsi="Arial" w:cs="Arial"/>
          <w:b/>
          <w:bCs/>
        </w:rPr>
      </w:pPr>
      <w:r w:rsidRPr="0079261B">
        <w:rPr>
          <w:rFonts w:ascii="Arial" w:hAnsi="Arial" w:cs="Arial"/>
          <w:b/>
          <w:bCs/>
        </w:rPr>
        <w:t>4. Reference List</w:t>
      </w:r>
    </w:p>
    <w:p w14:paraId="5842BC70" w14:textId="77777777" w:rsidR="000C6C59" w:rsidRPr="0079261B" w:rsidRDefault="000C6C59" w:rsidP="000C6C59">
      <w:pPr>
        <w:spacing w:line="360" w:lineRule="auto"/>
        <w:rPr>
          <w:rFonts w:ascii="Arial" w:hAnsi="Arial" w:cs="Arial"/>
          <w:b/>
          <w:bCs/>
          <w:u w:val="single"/>
        </w:rPr>
      </w:pPr>
    </w:p>
    <w:p w14:paraId="134406A8" w14:textId="77777777" w:rsidR="000C6C59" w:rsidRPr="0079261B" w:rsidRDefault="000C6C59" w:rsidP="000C6C59">
      <w:pPr>
        <w:spacing w:line="360" w:lineRule="auto"/>
        <w:rPr>
          <w:rFonts w:ascii="Arial" w:hAnsi="Arial" w:cs="Arial"/>
          <w:b/>
          <w:bCs/>
          <w:u w:val="single"/>
        </w:rPr>
      </w:pPr>
    </w:p>
    <w:p w14:paraId="33C01913" w14:textId="77777777" w:rsidR="000C6C59" w:rsidRPr="0079261B" w:rsidRDefault="000C6C59" w:rsidP="000C6C59">
      <w:pPr>
        <w:spacing w:line="360" w:lineRule="auto"/>
        <w:rPr>
          <w:rFonts w:ascii="Arial" w:hAnsi="Arial" w:cs="Arial"/>
        </w:rPr>
      </w:pPr>
    </w:p>
    <w:p w14:paraId="6B8EB0A9" w14:textId="77777777" w:rsidR="000C6C59" w:rsidRPr="0079261B" w:rsidRDefault="000C6C59" w:rsidP="000C6C59">
      <w:pPr>
        <w:spacing w:line="360" w:lineRule="auto"/>
        <w:rPr>
          <w:rFonts w:ascii="Arial" w:hAnsi="Arial" w:cs="Arial"/>
        </w:rPr>
      </w:pPr>
    </w:p>
    <w:p w14:paraId="5C1C3D87" w14:textId="77777777" w:rsidR="000C6C59" w:rsidRPr="0079261B" w:rsidRDefault="000C6C59" w:rsidP="000C6C59">
      <w:pPr>
        <w:spacing w:line="360" w:lineRule="auto"/>
        <w:rPr>
          <w:rFonts w:ascii="Arial" w:hAnsi="Arial" w:cs="Arial"/>
        </w:rPr>
      </w:pPr>
    </w:p>
    <w:p w14:paraId="427140BB" w14:textId="77777777" w:rsidR="000C6C59" w:rsidRPr="0079261B" w:rsidRDefault="000C6C59" w:rsidP="000C6C59">
      <w:pPr>
        <w:spacing w:line="360" w:lineRule="auto"/>
        <w:rPr>
          <w:rFonts w:ascii="Arial" w:hAnsi="Arial" w:cs="Arial"/>
        </w:rPr>
      </w:pPr>
    </w:p>
    <w:p w14:paraId="0DCD13DD" w14:textId="77777777" w:rsidR="000C6C59" w:rsidRPr="0079261B" w:rsidRDefault="000C6C59" w:rsidP="000C6C59">
      <w:pPr>
        <w:spacing w:line="360" w:lineRule="auto"/>
        <w:rPr>
          <w:rFonts w:ascii="Arial" w:hAnsi="Arial" w:cs="Arial"/>
        </w:rPr>
      </w:pPr>
    </w:p>
    <w:p w14:paraId="0F7FB52B" w14:textId="77777777" w:rsidR="000C6C59" w:rsidRPr="0079261B" w:rsidRDefault="000C6C59" w:rsidP="000C6C59">
      <w:pPr>
        <w:spacing w:line="360" w:lineRule="auto"/>
        <w:rPr>
          <w:rFonts w:ascii="Arial" w:hAnsi="Arial" w:cs="Arial"/>
        </w:rPr>
      </w:pPr>
    </w:p>
    <w:p w14:paraId="3155E8B8" w14:textId="77777777" w:rsidR="000C6C59" w:rsidRPr="0079261B" w:rsidRDefault="000C6C59" w:rsidP="000C6C59">
      <w:pPr>
        <w:spacing w:line="360" w:lineRule="auto"/>
        <w:rPr>
          <w:rFonts w:ascii="Arial" w:hAnsi="Arial" w:cs="Arial"/>
        </w:rPr>
      </w:pPr>
    </w:p>
    <w:p w14:paraId="47CDBA3A" w14:textId="77777777" w:rsidR="000C6C59" w:rsidRPr="0079261B" w:rsidRDefault="000C6C59" w:rsidP="000C6C59">
      <w:pPr>
        <w:spacing w:line="360" w:lineRule="auto"/>
        <w:rPr>
          <w:rFonts w:ascii="Arial" w:hAnsi="Arial" w:cs="Arial"/>
        </w:rPr>
      </w:pPr>
    </w:p>
    <w:p w14:paraId="3A6E25AD" w14:textId="77777777" w:rsidR="000C6C59" w:rsidRPr="0079261B" w:rsidRDefault="000C6C59" w:rsidP="000C6C59">
      <w:pPr>
        <w:spacing w:line="360" w:lineRule="auto"/>
        <w:rPr>
          <w:rFonts w:ascii="Arial" w:hAnsi="Arial" w:cs="Arial"/>
          <w:b/>
          <w:bCs/>
          <w:u w:val="single"/>
        </w:rPr>
      </w:pPr>
    </w:p>
    <w:p w14:paraId="2EA83930" w14:textId="77777777" w:rsidR="000C6C59" w:rsidRPr="0079261B" w:rsidRDefault="000C6C59" w:rsidP="000C6C59">
      <w:pPr>
        <w:spacing w:line="360" w:lineRule="auto"/>
        <w:rPr>
          <w:rFonts w:ascii="Arial" w:hAnsi="Arial" w:cs="Arial"/>
          <w:b/>
          <w:bCs/>
          <w:u w:val="single"/>
        </w:rPr>
      </w:pPr>
    </w:p>
    <w:p w14:paraId="06A6AA07" w14:textId="77777777" w:rsidR="000C6C59" w:rsidRPr="0079261B" w:rsidRDefault="000C6C59" w:rsidP="000C6C59">
      <w:pPr>
        <w:spacing w:line="360" w:lineRule="auto"/>
        <w:rPr>
          <w:rFonts w:ascii="Arial" w:hAnsi="Arial" w:cs="Arial"/>
          <w:b/>
          <w:bCs/>
          <w:u w:val="single"/>
        </w:rPr>
      </w:pPr>
      <w:r w:rsidRPr="0079261B">
        <w:rPr>
          <w:rFonts w:ascii="Arial" w:hAnsi="Arial" w:cs="Arial"/>
          <w:b/>
          <w:bCs/>
          <w:u w:val="single"/>
        </w:rPr>
        <w:t>1. Executive Summary</w:t>
      </w:r>
    </w:p>
    <w:p w14:paraId="42D57BE0" w14:textId="77777777" w:rsidR="000C6C59" w:rsidRPr="0079261B" w:rsidRDefault="000C6C59" w:rsidP="000C6C59">
      <w:pPr>
        <w:spacing w:line="360" w:lineRule="auto"/>
        <w:rPr>
          <w:rFonts w:ascii="Arial" w:hAnsi="Arial" w:cs="Arial"/>
        </w:rPr>
      </w:pPr>
      <w:r w:rsidRPr="0079261B">
        <w:rPr>
          <w:rFonts w:ascii="Arial" w:hAnsi="Arial" w:cs="Arial"/>
        </w:rPr>
        <w:t xml:space="preserve">In England and Wales, there is an overrepresentation of people with mental health vulnerabilities within the criminal justice system (CJS). This reflects structural gaps across health, social </w:t>
      </w:r>
      <w:proofErr w:type="gramStart"/>
      <w:r w:rsidRPr="0079261B">
        <w:rPr>
          <w:rFonts w:ascii="Arial" w:hAnsi="Arial" w:cs="Arial"/>
        </w:rPr>
        <w:t>care</w:t>
      </w:r>
      <w:proofErr w:type="gramEnd"/>
      <w:r w:rsidRPr="0079261B">
        <w:rPr>
          <w:rFonts w:ascii="Arial" w:hAnsi="Arial" w:cs="Arial"/>
        </w:rPr>
        <w:t xml:space="preserve"> and criminal justice systems (Senedd Research, 2024). The CJS can sometimes play a constructive role in identifying and supporting individuals with unmet mental health needs who might otherwise remain unknown or excluded from services. However, reliance on the CJS as a gateway to care reflects systemic failure rather than effective design and despite reforms such as Liaison and Diversion (L&amp;D) services, Mental Health Treatment Requirements (MHTRs), the Offender Personality Disorder (OPD) pathway and proposed reforms to the Mental Health Act 1983, many individuals with mental health vulnerabilities still enter the CJS because of limited access to early intervention and lack of community mental health support (RAND, 2021; </w:t>
      </w:r>
      <w:proofErr w:type="spellStart"/>
      <w:r w:rsidRPr="0079261B">
        <w:rPr>
          <w:rFonts w:ascii="Arial" w:hAnsi="Arial" w:cs="Arial"/>
        </w:rPr>
        <w:t>Callender</w:t>
      </w:r>
      <w:proofErr w:type="spellEnd"/>
      <w:r w:rsidRPr="0079261B">
        <w:rPr>
          <w:rFonts w:ascii="Arial" w:hAnsi="Arial" w:cs="Arial"/>
        </w:rPr>
        <w:t xml:space="preserve"> et al., 2025). </w:t>
      </w:r>
    </w:p>
    <w:p w14:paraId="12FE1619" w14:textId="77777777" w:rsidR="000C6C59" w:rsidRPr="0079261B" w:rsidRDefault="000C6C59" w:rsidP="000C6C59">
      <w:pPr>
        <w:spacing w:line="360" w:lineRule="auto"/>
        <w:rPr>
          <w:rFonts w:ascii="Arial" w:hAnsi="Arial" w:cs="Arial"/>
        </w:rPr>
      </w:pPr>
    </w:p>
    <w:p w14:paraId="38A268C4" w14:textId="77777777" w:rsidR="000C6C59" w:rsidRPr="0079261B" w:rsidRDefault="000C6C59" w:rsidP="000C6C59">
      <w:pPr>
        <w:spacing w:line="360" w:lineRule="auto"/>
        <w:rPr>
          <w:rFonts w:ascii="Arial" w:hAnsi="Arial" w:cs="Arial"/>
        </w:rPr>
      </w:pPr>
      <w:r w:rsidRPr="0079261B">
        <w:rPr>
          <w:rFonts w:ascii="Arial" w:hAnsi="Arial" w:cs="Arial"/>
        </w:rPr>
        <w:t xml:space="preserve">Theoretically, this pattern can be understood through labelling theory (Becker, 1963), procedural justice theory (Tyler, 2006) and Foucauldian perspectives on surveillance and disciplinary power (Foucault, 1977). Together, these frameworks show how systems designed to support may also reinforce exclusion, </w:t>
      </w:r>
      <w:proofErr w:type="gramStart"/>
      <w:r w:rsidRPr="0079261B">
        <w:rPr>
          <w:rFonts w:ascii="Arial" w:hAnsi="Arial" w:cs="Arial"/>
        </w:rPr>
        <w:t>stigma</w:t>
      </w:r>
      <w:proofErr w:type="gramEnd"/>
      <w:r w:rsidRPr="0079261B">
        <w:rPr>
          <w:rFonts w:ascii="Arial" w:hAnsi="Arial" w:cs="Arial"/>
        </w:rPr>
        <w:t xml:space="preserve"> and control. Overall, the reforms have improved identification and support in some areas but not all. Without stronger integration, </w:t>
      </w:r>
      <w:proofErr w:type="gramStart"/>
      <w:r w:rsidRPr="0079261B">
        <w:rPr>
          <w:rFonts w:ascii="Arial" w:hAnsi="Arial" w:cs="Arial"/>
        </w:rPr>
        <w:t>investment</w:t>
      </w:r>
      <w:proofErr w:type="gramEnd"/>
      <w:r w:rsidRPr="0079261B">
        <w:rPr>
          <w:rFonts w:ascii="Arial" w:hAnsi="Arial" w:cs="Arial"/>
        </w:rPr>
        <w:t xml:space="preserve"> and use of lived experience, the system will likely continue reproducing inequality and crisis intervention.</w:t>
      </w:r>
    </w:p>
    <w:p w14:paraId="4999FD12" w14:textId="77777777" w:rsidR="000C6C59" w:rsidRPr="0079261B" w:rsidRDefault="000C6C59" w:rsidP="000C6C59">
      <w:pPr>
        <w:spacing w:line="360" w:lineRule="auto"/>
        <w:rPr>
          <w:rFonts w:ascii="Arial" w:hAnsi="Arial" w:cs="Arial"/>
        </w:rPr>
      </w:pPr>
    </w:p>
    <w:p w14:paraId="338E7B86" w14:textId="77777777" w:rsidR="000C6C59" w:rsidRPr="0079261B" w:rsidRDefault="000C6C59" w:rsidP="000C6C59">
      <w:pPr>
        <w:spacing w:line="360" w:lineRule="auto"/>
        <w:rPr>
          <w:rFonts w:ascii="Arial" w:hAnsi="Arial" w:cs="Arial"/>
          <w:b/>
          <w:bCs/>
          <w:u w:val="single"/>
        </w:rPr>
      </w:pPr>
      <w:r w:rsidRPr="0079261B">
        <w:rPr>
          <w:rFonts w:ascii="Arial" w:hAnsi="Arial" w:cs="Arial"/>
          <w:b/>
          <w:bCs/>
          <w:u w:val="single"/>
        </w:rPr>
        <w:t>2. Key Findings</w:t>
      </w:r>
    </w:p>
    <w:p w14:paraId="7C25914D" w14:textId="77777777" w:rsidR="000C6C59" w:rsidRPr="0079261B" w:rsidRDefault="000C6C59" w:rsidP="000C6C59">
      <w:pPr>
        <w:spacing w:line="360" w:lineRule="auto"/>
        <w:rPr>
          <w:rFonts w:ascii="Arial" w:hAnsi="Arial" w:cs="Arial"/>
          <w:b/>
          <w:bCs/>
        </w:rPr>
      </w:pPr>
      <w:r w:rsidRPr="0079261B">
        <w:rPr>
          <w:rFonts w:ascii="Arial" w:hAnsi="Arial" w:cs="Arial"/>
          <w:b/>
          <w:bCs/>
        </w:rPr>
        <w:t>2.1 Mental Health Legislation Reform (Mental Health Act 1983)</w:t>
      </w:r>
    </w:p>
    <w:p w14:paraId="48443E11" w14:textId="77777777" w:rsidR="000C6C59" w:rsidRPr="0079261B" w:rsidRDefault="000C6C59" w:rsidP="000C6C59">
      <w:pPr>
        <w:spacing w:line="360" w:lineRule="auto"/>
        <w:rPr>
          <w:rFonts w:ascii="Arial" w:hAnsi="Arial" w:cs="Arial"/>
        </w:rPr>
      </w:pPr>
      <w:r w:rsidRPr="0079261B">
        <w:rPr>
          <w:rFonts w:ascii="Arial" w:hAnsi="Arial" w:cs="Arial"/>
        </w:rPr>
        <w:t xml:space="preserve">Reforms to the Mental Health Act 1983 aim to reduce coercion, improve patient </w:t>
      </w:r>
      <w:proofErr w:type="gramStart"/>
      <w:r w:rsidRPr="0079261B">
        <w:rPr>
          <w:rFonts w:ascii="Arial" w:hAnsi="Arial" w:cs="Arial"/>
        </w:rPr>
        <w:t>autonomy</w:t>
      </w:r>
      <w:proofErr w:type="gramEnd"/>
      <w:r w:rsidRPr="0079261B">
        <w:rPr>
          <w:rFonts w:ascii="Arial" w:hAnsi="Arial" w:cs="Arial"/>
        </w:rPr>
        <w:t xml:space="preserve"> and address inequalities in detention. However, there is concern about the disproportionate use of compulsory detention for minority groups (Senedd Research, 2024). From a Foucauldian perspective, mental health law can be seen as a system of disciplinary power that regulates behaviour through classification and psychiatric </w:t>
      </w:r>
      <w:r w:rsidRPr="0079261B">
        <w:rPr>
          <w:rFonts w:ascii="Arial" w:hAnsi="Arial" w:cs="Arial"/>
        </w:rPr>
        <w:lastRenderedPageBreak/>
        <w:t>authority (Foucault, 1977). While the reform aims to modernise protections, structural limits in community care will reduce its impact (Thornicroft et al., 2016). This creates what Wacquant (2009) describes as “symbolic reformism,” where legal change does not match service capacity. Without community services able to support diversion from detention, legal reforms risk being largely procedural rather than transformative.</w:t>
      </w:r>
    </w:p>
    <w:p w14:paraId="7D0DFF31" w14:textId="77777777" w:rsidR="000C6C59" w:rsidRPr="0079261B" w:rsidRDefault="000C6C59" w:rsidP="000C6C59">
      <w:pPr>
        <w:spacing w:line="360" w:lineRule="auto"/>
        <w:rPr>
          <w:rFonts w:ascii="Arial" w:hAnsi="Arial" w:cs="Arial"/>
        </w:rPr>
      </w:pPr>
    </w:p>
    <w:p w14:paraId="1D040605" w14:textId="77777777" w:rsidR="000C6C59" w:rsidRPr="0079261B" w:rsidRDefault="000C6C59" w:rsidP="000C6C59">
      <w:pPr>
        <w:spacing w:line="360" w:lineRule="auto"/>
        <w:rPr>
          <w:rFonts w:ascii="Arial" w:hAnsi="Arial" w:cs="Arial"/>
          <w:b/>
          <w:bCs/>
        </w:rPr>
      </w:pPr>
      <w:r w:rsidRPr="0079261B">
        <w:rPr>
          <w:rFonts w:ascii="Arial" w:hAnsi="Arial" w:cs="Arial"/>
          <w:b/>
          <w:bCs/>
        </w:rPr>
        <w:t>2.2 Liaison and Diversion Services (RAND evaluation)</w:t>
      </w:r>
    </w:p>
    <w:p w14:paraId="3E67B406" w14:textId="77777777" w:rsidR="000C6C59" w:rsidRPr="0079261B" w:rsidRDefault="000C6C59" w:rsidP="000C6C59">
      <w:pPr>
        <w:spacing w:line="360" w:lineRule="auto"/>
        <w:rPr>
          <w:rFonts w:ascii="Arial" w:hAnsi="Arial" w:cs="Arial"/>
        </w:rPr>
      </w:pPr>
      <w:r w:rsidRPr="0079261B">
        <w:rPr>
          <w:rFonts w:ascii="Arial" w:hAnsi="Arial" w:cs="Arial"/>
        </w:rPr>
        <w:t>Liaison and Diversion (L&amp;D) services often identify mental health needs at early stages of contact within the CJS and improve referral rates into treatment (RAND, 2021). However, significant drop-off occurs between referral and treatment. Lipsky’s (1980) theory helps explain this gap, as frontline workers operate under pressure, with limited resources and competing priorities. From a risk society perspective (Beck, 1992), L&amp;D can be understood less as treatment and more as risk classification and management. While L&amp;D improves identification, it cannot and does not resolve the underlying gaps in community mental health services.</w:t>
      </w:r>
    </w:p>
    <w:p w14:paraId="2B722B97" w14:textId="77777777" w:rsidR="000C6C59" w:rsidRPr="0079261B" w:rsidRDefault="000C6C59" w:rsidP="000C6C59">
      <w:pPr>
        <w:spacing w:line="360" w:lineRule="auto"/>
        <w:rPr>
          <w:rFonts w:ascii="Arial" w:hAnsi="Arial" w:cs="Arial"/>
        </w:rPr>
      </w:pPr>
    </w:p>
    <w:p w14:paraId="55FEF86D" w14:textId="77777777" w:rsidR="000C6C59" w:rsidRPr="0079261B" w:rsidRDefault="000C6C59" w:rsidP="000C6C59">
      <w:pPr>
        <w:spacing w:line="360" w:lineRule="auto"/>
        <w:rPr>
          <w:rFonts w:ascii="Arial" w:hAnsi="Arial" w:cs="Arial"/>
          <w:b/>
          <w:bCs/>
        </w:rPr>
      </w:pPr>
      <w:r w:rsidRPr="0079261B">
        <w:rPr>
          <w:rFonts w:ascii="Arial" w:hAnsi="Arial" w:cs="Arial"/>
          <w:b/>
          <w:bCs/>
        </w:rPr>
        <w:t>2.3 Primary Care Mental Health Treatment Requirements (MHTRs)</w:t>
      </w:r>
    </w:p>
    <w:p w14:paraId="318D4CC2" w14:textId="77777777" w:rsidR="000C6C59" w:rsidRPr="0079261B" w:rsidRDefault="000C6C59" w:rsidP="000C6C59">
      <w:pPr>
        <w:spacing w:line="360" w:lineRule="auto"/>
        <w:rPr>
          <w:rFonts w:ascii="Arial" w:hAnsi="Arial" w:cs="Arial"/>
        </w:rPr>
      </w:pPr>
      <w:r w:rsidRPr="0079261B">
        <w:rPr>
          <w:rFonts w:ascii="Arial" w:hAnsi="Arial" w:cs="Arial"/>
        </w:rPr>
        <w:t>Mental Health Treatment Requirements (MHTRs) offer psychological treatment as part of community sentences. Evidence suggests that this can improve engagement with mental health services and in some cases reduce reoffending (</w:t>
      </w:r>
      <w:proofErr w:type="spellStart"/>
      <w:r w:rsidRPr="0079261B">
        <w:rPr>
          <w:rFonts w:ascii="Arial" w:hAnsi="Arial" w:cs="Arial"/>
        </w:rPr>
        <w:t>Callender</w:t>
      </w:r>
      <w:proofErr w:type="spellEnd"/>
      <w:r w:rsidRPr="0079261B">
        <w:rPr>
          <w:rFonts w:ascii="Arial" w:hAnsi="Arial" w:cs="Arial"/>
        </w:rPr>
        <w:t xml:space="preserve"> et al., 2025; Moore et al., 2019). However, uptake remains inconsistent. Jessop’s (2016) concept of rescaled governance helps explain uneven implementation, as local commissioning decisions produce variation in access. This leads to what is often called a “postcode lottery” in mental health support. Although MHTRs do represent a shift towards rehabilitation, their effectiveness is limited by inconsistent infrastructure and lack of long-term outcome data on recovery.</w:t>
      </w:r>
    </w:p>
    <w:p w14:paraId="14C67C2E" w14:textId="77777777" w:rsidR="000C6C59" w:rsidRPr="0079261B" w:rsidRDefault="000C6C59" w:rsidP="000C6C59">
      <w:pPr>
        <w:spacing w:line="360" w:lineRule="auto"/>
        <w:rPr>
          <w:rFonts w:ascii="Arial" w:hAnsi="Arial" w:cs="Arial"/>
        </w:rPr>
      </w:pPr>
    </w:p>
    <w:p w14:paraId="1D96B20D" w14:textId="77777777" w:rsidR="000C6C59" w:rsidRPr="0079261B" w:rsidRDefault="000C6C59" w:rsidP="000C6C59">
      <w:pPr>
        <w:spacing w:line="360" w:lineRule="auto"/>
        <w:rPr>
          <w:rFonts w:ascii="Arial" w:hAnsi="Arial" w:cs="Arial"/>
          <w:b/>
          <w:bCs/>
        </w:rPr>
      </w:pPr>
      <w:r w:rsidRPr="0079261B">
        <w:rPr>
          <w:rFonts w:ascii="Arial" w:hAnsi="Arial" w:cs="Arial"/>
          <w:b/>
          <w:bCs/>
        </w:rPr>
        <w:t>2.4 Offender Personality Disorder (OPD) Pathway</w:t>
      </w:r>
    </w:p>
    <w:p w14:paraId="39395F2F" w14:textId="77777777" w:rsidR="000C6C59" w:rsidRPr="0079261B" w:rsidRDefault="000C6C59" w:rsidP="000C6C59">
      <w:pPr>
        <w:spacing w:line="360" w:lineRule="auto"/>
        <w:rPr>
          <w:rFonts w:ascii="Arial" w:hAnsi="Arial" w:cs="Arial"/>
        </w:rPr>
      </w:pPr>
      <w:r w:rsidRPr="0079261B">
        <w:rPr>
          <w:rFonts w:ascii="Arial" w:hAnsi="Arial" w:cs="Arial"/>
        </w:rPr>
        <w:t xml:space="preserve">The OPD pathway integrates NHS England and HM Prison and Probation Service (HMPPS, 2023) approaches to manage individuals with complex personality needs. </w:t>
      </w:r>
      <w:r w:rsidRPr="0079261B">
        <w:rPr>
          <w:rFonts w:ascii="Arial" w:hAnsi="Arial" w:cs="Arial"/>
        </w:rPr>
        <w:lastRenderedPageBreak/>
        <w:t xml:space="preserve">It combines therapy with structured risk management (NHS England, 2023). While framed as trauma informed and rehabilitative, critics argue that it reflects a “culture of control” where psychological intervention becomes a form of governance (Garland, 2001). It provides structured support but also embeds individuals within systems of surveillance and risk classification. Challenges include workforce strain, continuity of care between prison and the community and limited long-term evaluation of outcomes. </w:t>
      </w:r>
    </w:p>
    <w:p w14:paraId="69056C55" w14:textId="77777777" w:rsidR="000C6C59" w:rsidRPr="0079261B" w:rsidRDefault="000C6C59" w:rsidP="000C6C59">
      <w:pPr>
        <w:spacing w:line="360" w:lineRule="auto"/>
        <w:rPr>
          <w:rFonts w:ascii="Arial" w:hAnsi="Arial" w:cs="Arial"/>
        </w:rPr>
      </w:pPr>
    </w:p>
    <w:p w14:paraId="1019E60D" w14:textId="77777777" w:rsidR="000C6C59" w:rsidRPr="0079261B" w:rsidRDefault="000C6C59" w:rsidP="000C6C59">
      <w:pPr>
        <w:spacing w:line="360" w:lineRule="auto"/>
        <w:rPr>
          <w:rFonts w:ascii="Arial" w:hAnsi="Arial" w:cs="Arial"/>
          <w:b/>
          <w:bCs/>
        </w:rPr>
      </w:pPr>
      <w:r w:rsidRPr="0079261B">
        <w:rPr>
          <w:rFonts w:ascii="Arial" w:hAnsi="Arial" w:cs="Arial"/>
          <w:b/>
          <w:bCs/>
        </w:rPr>
        <w:t>2.5 Human Rights and Welsh Government Action</w:t>
      </w:r>
    </w:p>
    <w:p w14:paraId="4C9B4D26" w14:textId="77777777" w:rsidR="000C6C59" w:rsidRPr="0079261B" w:rsidRDefault="000C6C59" w:rsidP="000C6C59">
      <w:pPr>
        <w:spacing w:line="360" w:lineRule="auto"/>
        <w:rPr>
          <w:rFonts w:ascii="Arial" w:hAnsi="Arial" w:cs="Arial"/>
        </w:rPr>
      </w:pPr>
      <w:r w:rsidRPr="0079261B">
        <w:rPr>
          <w:rFonts w:ascii="Arial" w:hAnsi="Arial" w:cs="Arial"/>
        </w:rPr>
        <w:t xml:space="preserve">The Welsh Government has strengthened its human rights approach in mental health policy recently, focusing on equality, </w:t>
      </w:r>
      <w:proofErr w:type="gramStart"/>
      <w:r w:rsidRPr="0079261B">
        <w:rPr>
          <w:rFonts w:ascii="Arial" w:hAnsi="Arial" w:cs="Arial"/>
        </w:rPr>
        <w:t>dignity</w:t>
      </w:r>
      <w:proofErr w:type="gramEnd"/>
      <w:r w:rsidRPr="0079261B">
        <w:rPr>
          <w:rFonts w:ascii="Arial" w:hAnsi="Arial" w:cs="Arial"/>
        </w:rPr>
        <w:t xml:space="preserve"> and non-discrimination (EHRC, 2025). This reflects a commitment to rights-based care but there is still a gap between policy and practice. </w:t>
      </w:r>
      <w:proofErr w:type="spellStart"/>
      <w:r w:rsidRPr="0079261B">
        <w:rPr>
          <w:rFonts w:ascii="Arial" w:hAnsi="Arial" w:cs="Arial"/>
        </w:rPr>
        <w:t>Merry’s</w:t>
      </w:r>
      <w:proofErr w:type="spellEnd"/>
      <w:r w:rsidRPr="0079261B">
        <w:rPr>
          <w:rFonts w:ascii="Arial" w:hAnsi="Arial" w:cs="Arial"/>
        </w:rPr>
        <w:t xml:space="preserve"> (2006) concept of a “translation gap” explains how human rights principles are often diluted when applied locally. While rights exist in policy, institutional constraints limit implementation. This highlights a broader issue: rights-based reforms are insufficient without structural investment in services that enable autonomy in practice.</w:t>
      </w:r>
    </w:p>
    <w:p w14:paraId="7CEB8F21" w14:textId="77777777" w:rsidR="000C6C59" w:rsidRPr="0079261B" w:rsidRDefault="000C6C59" w:rsidP="000C6C59">
      <w:pPr>
        <w:spacing w:line="360" w:lineRule="auto"/>
        <w:rPr>
          <w:rFonts w:ascii="Arial" w:hAnsi="Arial" w:cs="Arial"/>
        </w:rPr>
      </w:pPr>
    </w:p>
    <w:p w14:paraId="73DEED81" w14:textId="77777777" w:rsidR="000C6C59" w:rsidRPr="0079261B" w:rsidRDefault="000C6C59" w:rsidP="000C6C59">
      <w:pPr>
        <w:spacing w:line="360" w:lineRule="auto"/>
        <w:rPr>
          <w:rFonts w:ascii="Arial" w:hAnsi="Arial" w:cs="Arial"/>
          <w:b/>
          <w:bCs/>
        </w:rPr>
      </w:pPr>
      <w:r w:rsidRPr="0079261B">
        <w:rPr>
          <w:rFonts w:ascii="Arial" w:hAnsi="Arial" w:cs="Arial"/>
          <w:b/>
          <w:bCs/>
        </w:rPr>
        <w:t>2.6 Cross-cutting Theoretical Analysis</w:t>
      </w:r>
    </w:p>
    <w:p w14:paraId="4A4A6C1E" w14:textId="77777777" w:rsidR="000C6C59" w:rsidRPr="0079261B" w:rsidRDefault="000C6C59" w:rsidP="000C6C59">
      <w:pPr>
        <w:spacing w:line="360" w:lineRule="auto"/>
        <w:rPr>
          <w:rFonts w:ascii="Arial" w:hAnsi="Arial" w:cs="Arial"/>
        </w:rPr>
      </w:pPr>
      <w:r w:rsidRPr="0079261B">
        <w:rPr>
          <w:rFonts w:ascii="Arial" w:hAnsi="Arial" w:cs="Arial"/>
        </w:rPr>
        <w:t xml:space="preserve">Across all policy areas, a consistent issue is the structural overrepresentation of individuals with mental health vulnerabilities in the CJS. Labelling theory (Becker, 1963) suggests that involvement in the CJS can reinforce stigma and marginalisation by attaching deviant identities. However, labels can also provide access to services, showing a dual function of classification systems. Procedural justice theory (Tyler, 2006) highlights that fairness and legitimacy influence engagement with institutions. While specialised courts and diversion services can improve participation, barriers remain for those with complex mental health needs. Foucauldian theory (1977) shows how reforms often shift rather than reduce control. Mental health systems increasingly operate through surveillance, </w:t>
      </w:r>
      <w:proofErr w:type="gramStart"/>
      <w:r w:rsidRPr="0079261B">
        <w:rPr>
          <w:rFonts w:ascii="Arial" w:hAnsi="Arial" w:cs="Arial"/>
        </w:rPr>
        <w:t>classification</w:t>
      </w:r>
      <w:proofErr w:type="gramEnd"/>
      <w:r w:rsidRPr="0079261B">
        <w:rPr>
          <w:rFonts w:ascii="Arial" w:hAnsi="Arial" w:cs="Arial"/>
        </w:rPr>
        <w:t xml:space="preserve"> and risk management, blending care with control.</w:t>
      </w:r>
    </w:p>
    <w:p w14:paraId="24229749" w14:textId="77777777" w:rsidR="000C6C59" w:rsidRPr="0079261B" w:rsidRDefault="000C6C59" w:rsidP="000C6C59">
      <w:pPr>
        <w:spacing w:line="360" w:lineRule="auto"/>
        <w:rPr>
          <w:rFonts w:ascii="Arial" w:hAnsi="Arial" w:cs="Arial"/>
        </w:rPr>
      </w:pPr>
    </w:p>
    <w:p w14:paraId="5E12A3EF" w14:textId="77777777" w:rsidR="000C6C59" w:rsidRPr="0079261B" w:rsidRDefault="000C6C59" w:rsidP="000C6C59">
      <w:pPr>
        <w:spacing w:line="360" w:lineRule="auto"/>
        <w:rPr>
          <w:rFonts w:ascii="Arial" w:hAnsi="Arial" w:cs="Arial"/>
          <w:b/>
          <w:bCs/>
        </w:rPr>
      </w:pPr>
    </w:p>
    <w:p w14:paraId="0C27EE8E" w14:textId="77777777" w:rsidR="000C6C59" w:rsidRPr="0079261B" w:rsidRDefault="000C6C59" w:rsidP="000C6C59">
      <w:pPr>
        <w:spacing w:line="360" w:lineRule="auto"/>
        <w:rPr>
          <w:rFonts w:ascii="Arial" w:hAnsi="Arial" w:cs="Arial"/>
          <w:b/>
          <w:bCs/>
        </w:rPr>
      </w:pPr>
      <w:r w:rsidRPr="0079261B">
        <w:rPr>
          <w:rFonts w:ascii="Arial" w:hAnsi="Arial" w:cs="Arial"/>
          <w:b/>
          <w:bCs/>
        </w:rPr>
        <w:t xml:space="preserve">2.7 Gaps in the Literature </w:t>
      </w:r>
    </w:p>
    <w:p w14:paraId="72F7722F" w14:textId="77777777" w:rsidR="000C6C59" w:rsidRPr="0079261B" w:rsidRDefault="000C6C59" w:rsidP="000C6C59">
      <w:pPr>
        <w:spacing w:line="360" w:lineRule="auto"/>
        <w:rPr>
          <w:rFonts w:ascii="Arial" w:hAnsi="Arial" w:cs="Arial"/>
        </w:rPr>
      </w:pPr>
      <w:r w:rsidRPr="0079261B">
        <w:rPr>
          <w:rFonts w:ascii="Arial" w:hAnsi="Arial" w:cs="Arial"/>
        </w:rPr>
        <w:t xml:space="preserve">The key gap in literature on mental health and criminal justice policy is the lack of longitudinal research evaluating long-term outcomes of interventions such as Liaison and Diversion (L&amp;D) services, Mental Health Treatment Requirements (MHTRs) and the Offender Personality Disorder (OPD) pathway. The most available evidence focuses on short-term indicators such as referral rates, </w:t>
      </w:r>
      <w:proofErr w:type="gramStart"/>
      <w:r w:rsidRPr="0079261B">
        <w:rPr>
          <w:rFonts w:ascii="Arial" w:hAnsi="Arial" w:cs="Arial"/>
        </w:rPr>
        <w:t>engagement</w:t>
      </w:r>
      <w:proofErr w:type="gramEnd"/>
      <w:r w:rsidRPr="0079261B">
        <w:rPr>
          <w:rFonts w:ascii="Arial" w:hAnsi="Arial" w:cs="Arial"/>
        </w:rPr>
        <w:t xml:space="preserve"> or initial compliance, rather than sustained outcomes such as recovery or reduced reoffending (RAND, 2021; </w:t>
      </w:r>
      <w:proofErr w:type="spellStart"/>
      <w:r w:rsidRPr="0079261B">
        <w:rPr>
          <w:rFonts w:ascii="Arial" w:hAnsi="Arial" w:cs="Arial"/>
        </w:rPr>
        <w:t>Callender</w:t>
      </w:r>
      <w:proofErr w:type="spellEnd"/>
      <w:r w:rsidRPr="0079261B">
        <w:rPr>
          <w:rFonts w:ascii="Arial" w:hAnsi="Arial" w:cs="Arial"/>
        </w:rPr>
        <w:t xml:space="preserve"> et al., 2025). This limits the ability to assess whether reforms produce meaningful structural change or only short-term system effects.</w:t>
      </w:r>
    </w:p>
    <w:p w14:paraId="19E4628C" w14:textId="77777777" w:rsidR="000C6C59" w:rsidRPr="0079261B" w:rsidRDefault="000C6C59" w:rsidP="000C6C59">
      <w:pPr>
        <w:spacing w:line="360" w:lineRule="auto"/>
        <w:rPr>
          <w:rFonts w:ascii="Arial" w:hAnsi="Arial" w:cs="Arial"/>
        </w:rPr>
      </w:pPr>
    </w:p>
    <w:p w14:paraId="69A556DE" w14:textId="77777777" w:rsidR="000C6C59" w:rsidRPr="0079261B" w:rsidRDefault="000C6C59" w:rsidP="000C6C59">
      <w:pPr>
        <w:spacing w:line="360" w:lineRule="auto"/>
        <w:rPr>
          <w:rFonts w:ascii="Arial" w:hAnsi="Arial" w:cs="Arial"/>
        </w:rPr>
      </w:pPr>
      <w:r w:rsidRPr="0079261B">
        <w:rPr>
          <w:rFonts w:ascii="Arial" w:hAnsi="Arial" w:cs="Arial"/>
        </w:rPr>
        <w:t xml:space="preserve">A second gap is in the limited inclusion of lived experience within the evidence base which creates an imbalance in knowledge production, where systems are primarily understood from institutional perspectives rather than from those directly affected. There are also clear gaps in the use of intersectional analysis. While some evidence highlights racial disparities (e.g., Lammy Review, 2017), there is limited consistent integration of how overlapping inequalities such as race, class, </w:t>
      </w:r>
      <w:proofErr w:type="gramStart"/>
      <w:r w:rsidRPr="0079261B">
        <w:rPr>
          <w:rFonts w:ascii="Arial" w:hAnsi="Arial" w:cs="Arial"/>
        </w:rPr>
        <w:t>gender</w:t>
      </w:r>
      <w:proofErr w:type="gramEnd"/>
      <w:r w:rsidRPr="0079261B">
        <w:rPr>
          <w:rFonts w:ascii="Arial" w:hAnsi="Arial" w:cs="Arial"/>
        </w:rPr>
        <w:t xml:space="preserve"> and disability interact to shape pathways into the criminal justice system. This results in incomplete accounts of overrepresentation and reduces the explanatory depth of existing research. </w:t>
      </w:r>
    </w:p>
    <w:p w14:paraId="070283D4" w14:textId="77777777" w:rsidR="000C6C59" w:rsidRPr="0079261B" w:rsidRDefault="000C6C59" w:rsidP="000C6C59">
      <w:pPr>
        <w:spacing w:line="360" w:lineRule="auto"/>
        <w:rPr>
          <w:rFonts w:ascii="Arial" w:hAnsi="Arial" w:cs="Arial"/>
        </w:rPr>
      </w:pPr>
    </w:p>
    <w:p w14:paraId="06881531" w14:textId="77777777" w:rsidR="000C6C59" w:rsidRPr="0079261B" w:rsidRDefault="000C6C59" w:rsidP="000C6C59">
      <w:pPr>
        <w:spacing w:line="360" w:lineRule="auto"/>
        <w:rPr>
          <w:rFonts w:ascii="Arial" w:hAnsi="Arial" w:cs="Arial"/>
        </w:rPr>
      </w:pPr>
      <w:r w:rsidRPr="0079261B">
        <w:rPr>
          <w:rFonts w:ascii="Arial" w:hAnsi="Arial" w:cs="Arial"/>
        </w:rPr>
        <w:t>In addition, there is a persistent gap between policy design and implementation research. Although reforms are often developed at a strategic level, less attention is given to how they operate in practice across different localities. Variability in commissioning, workforce capacity and inter-agency coordination contributes to a “postcode lottery” in service provision, yet this implementation gap remains underexplored in much of the literature.</w:t>
      </w:r>
    </w:p>
    <w:p w14:paraId="2DA19C9E" w14:textId="77777777" w:rsidR="000C6C59" w:rsidRPr="0079261B" w:rsidRDefault="000C6C59" w:rsidP="000C6C59">
      <w:pPr>
        <w:spacing w:line="360" w:lineRule="auto"/>
        <w:rPr>
          <w:rFonts w:ascii="Arial" w:hAnsi="Arial" w:cs="Arial"/>
        </w:rPr>
      </w:pPr>
    </w:p>
    <w:p w14:paraId="2C022C7F" w14:textId="77777777" w:rsidR="000C6C59" w:rsidRPr="0079261B" w:rsidRDefault="000C6C59" w:rsidP="000C6C59">
      <w:pPr>
        <w:spacing w:line="360" w:lineRule="auto"/>
        <w:rPr>
          <w:rFonts w:ascii="Arial" w:hAnsi="Arial" w:cs="Arial"/>
          <w:b/>
          <w:bCs/>
        </w:rPr>
      </w:pPr>
    </w:p>
    <w:p w14:paraId="6A71C878" w14:textId="77777777" w:rsidR="000C6C59" w:rsidRPr="0079261B" w:rsidRDefault="000C6C59" w:rsidP="000C6C59">
      <w:pPr>
        <w:spacing w:line="360" w:lineRule="auto"/>
        <w:rPr>
          <w:rFonts w:ascii="Arial" w:hAnsi="Arial" w:cs="Arial"/>
          <w:b/>
          <w:bCs/>
        </w:rPr>
      </w:pPr>
    </w:p>
    <w:p w14:paraId="2A24969C" w14:textId="77777777" w:rsidR="000C6C59" w:rsidRPr="0079261B" w:rsidRDefault="000C6C59" w:rsidP="000C6C59">
      <w:pPr>
        <w:spacing w:line="360" w:lineRule="auto"/>
        <w:rPr>
          <w:rFonts w:ascii="Arial" w:hAnsi="Arial" w:cs="Arial"/>
          <w:b/>
          <w:bCs/>
        </w:rPr>
      </w:pPr>
      <w:r>
        <w:rPr>
          <w:rFonts w:ascii="Arial" w:hAnsi="Arial" w:cs="Arial"/>
          <w:b/>
          <w:bCs/>
        </w:rPr>
        <w:t>3</w:t>
      </w:r>
      <w:r w:rsidRPr="0079261B">
        <w:rPr>
          <w:rFonts w:ascii="Arial" w:hAnsi="Arial" w:cs="Arial"/>
          <w:b/>
          <w:bCs/>
        </w:rPr>
        <w:t>. Recommendations</w:t>
      </w:r>
    </w:p>
    <w:p w14:paraId="58B2B18B" w14:textId="77777777" w:rsidR="000C6C59" w:rsidRPr="0079261B" w:rsidRDefault="000C6C59" w:rsidP="000C6C59">
      <w:pPr>
        <w:pStyle w:val="NormalWeb"/>
        <w:spacing w:line="360" w:lineRule="auto"/>
        <w:rPr>
          <w:rFonts w:ascii="Arial" w:hAnsi="Arial" w:cs="Arial"/>
          <w:color w:val="000000"/>
        </w:rPr>
      </w:pPr>
      <w:r w:rsidRPr="0079261B">
        <w:rPr>
          <w:rFonts w:ascii="Arial" w:hAnsi="Arial" w:cs="Arial"/>
          <w:color w:val="000000"/>
        </w:rPr>
        <w:t>Despite policy emphasis on integration, coordination across health, social care and justice systems remains limited. Reports by the</w:t>
      </w:r>
      <w:r w:rsidRPr="0079261B">
        <w:rPr>
          <w:rStyle w:val="apple-converted-space"/>
          <w:rFonts w:ascii="Arial" w:eastAsiaTheme="majorEastAsia" w:hAnsi="Arial" w:cs="Arial"/>
          <w:color w:val="000000"/>
        </w:rPr>
        <w:t> </w:t>
      </w:r>
      <w:r w:rsidRPr="0079261B">
        <w:rPr>
          <w:rStyle w:val="whitespace-normal"/>
          <w:rFonts w:ascii="Arial" w:eastAsiaTheme="majorEastAsia" w:hAnsi="Arial" w:cs="Arial"/>
          <w:color w:val="000000"/>
        </w:rPr>
        <w:t>Care Quality Commission</w:t>
      </w:r>
      <w:r w:rsidRPr="0079261B">
        <w:rPr>
          <w:rStyle w:val="apple-converted-space"/>
          <w:rFonts w:ascii="Arial" w:eastAsiaTheme="majorEastAsia" w:hAnsi="Arial" w:cs="Arial"/>
          <w:color w:val="000000"/>
        </w:rPr>
        <w:t> </w:t>
      </w:r>
      <w:r w:rsidRPr="0079261B">
        <w:rPr>
          <w:rFonts w:ascii="Arial" w:hAnsi="Arial" w:cs="Arial"/>
          <w:color w:val="000000"/>
        </w:rPr>
        <w:t>(2020) and</w:t>
      </w:r>
      <w:r w:rsidRPr="0079261B">
        <w:rPr>
          <w:rStyle w:val="apple-converted-space"/>
          <w:rFonts w:ascii="Arial" w:eastAsiaTheme="majorEastAsia" w:hAnsi="Arial" w:cs="Arial"/>
          <w:color w:val="000000"/>
        </w:rPr>
        <w:t> </w:t>
      </w:r>
      <w:r w:rsidRPr="0079261B">
        <w:rPr>
          <w:rStyle w:val="whitespace-normal"/>
          <w:rFonts w:ascii="Arial" w:eastAsiaTheme="majorEastAsia" w:hAnsi="Arial" w:cs="Arial"/>
          <w:color w:val="000000"/>
        </w:rPr>
        <w:t>HM Inspectorate of Probation</w:t>
      </w:r>
      <w:r w:rsidRPr="0079261B">
        <w:rPr>
          <w:rStyle w:val="apple-converted-space"/>
          <w:rFonts w:ascii="Arial" w:eastAsiaTheme="majorEastAsia" w:hAnsi="Arial" w:cs="Arial"/>
          <w:color w:val="000000"/>
        </w:rPr>
        <w:t> </w:t>
      </w:r>
      <w:r w:rsidRPr="0079261B">
        <w:rPr>
          <w:rFonts w:ascii="Arial" w:hAnsi="Arial" w:cs="Arial"/>
          <w:color w:val="000000"/>
        </w:rPr>
        <w:t>(2021) identify discontinuity of care and poor information sharing as persistent barriers, contributing to repeated crisis cycles. Reform must prioritise structural change over procedural expansion. Evidence from</w:t>
      </w:r>
      <w:r w:rsidRPr="0079261B">
        <w:rPr>
          <w:rStyle w:val="apple-converted-space"/>
          <w:rFonts w:ascii="Arial" w:eastAsiaTheme="majorEastAsia" w:hAnsi="Arial" w:cs="Arial"/>
          <w:color w:val="000000"/>
        </w:rPr>
        <w:t> </w:t>
      </w:r>
      <w:r w:rsidRPr="0079261B">
        <w:rPr>
          <w:rStyle w:val="whitespace-normal"/>
          <w:rFonts w:ascii="Arial" w:eastAsiaTheme="majorEastAsia" w:hAnsi="Arial" w:cs="Arial"/>
          <w:color w:val="000000"/>
        </w:rPr>
        <w:t>The King's Fund</w:t>
      </w:r>
      <w:r w:rsidRPr="0079261B">
        <w:rPr>
          <w:rStyle w:val="apple-converted-space"/>
          <w:rFonts w:ascii="Arial" w:eastAsiaTheme="majorEastAsia" w:hAnsi="Arial" w:cs="Arial"/>
          <w:color w:val="000000"/>
        </w:rPr>
        <w:t> </w:t>
      </w:r>
      <w:r w:rsidRPr="0079261B">
        <w:rPr>
          <w:rFonts w:ascii="Arial" w:hAnsi="Arial" w:cs="Arial"/>
          <w:color w:val="000000"/>
        </w:rPr>
        <w:t>(2020) and the</w:t>
      </w:r>
      <w:r w:rsidRPr="0079261B">
        <w:rPr>
          <w:rStyle w:val="apple-converted-space"/>
          <w:rFonts w:ascii="Arial" w:eastAsiaTheme="majorEastAsia" w:hAnsi="Arial" w:cs="Arial"/>
          <w:color w:val="000000"/>
        </w:rPr>
        <w:t> </w:t>
      </w:r>
      <w:r w:rsidRPr="0079261B">
        <w:rPr>
          <w:rStyle w:val="whitespace-normal"/>
          <w:rFonts w:ascii="Arial" w:eastAsiaTheme="majorEastAsia" w:hAnsi="Arial" w:cs="Arial"/>
          <w:color w:val="000000"/>
        </w:rPr>
        <w:t>World Health Organization</w:t>
      </w:r>
      <w:r w:rsidRPr="0079261B">
        <w:rPr>
          <w:rStyle w:val="apple-converted-space"/>
          <w:rFonts w:ascii="Arial" w:eastAsiaTheme="majorEastAsia" w:hAnsi="Arial" w:cs="Arial"/>
          <w:color w:val="000000"/>
        </w:rPr>
        <w:t> </w:t>
      </w:r>
      <w:r w:rsidRPr="0079261B">
        <w:rPr>
          <w:rFonts w:ascii="Arial" w:hAnsi="Arial" w:cs="Arial"/>
          <w:color w:val="000000"/>
        </w:rPr>
        <w:t>(2021) demonstrates that investment in community-based and preventative services reduces crisis escalation and system contact.</w:t>
      </w:r>
    </w:p>
    <w:p w14:paraId="5A51F74A" w14:textId="77777777" w:rsidR="000C6C59" w:rsidRPr="0079261B" w:rsidRDefault="000C6C59" w:rsidP="000C6C59">
      <w:pPr>
        <w:pStyle w:val="NormalWeb"/>
        <w:spacing w:line="360" w:lineRule="auto"/>
        <w:rPr>
          <w:rFonts w:ascii="Arial" w:hAnsi="Arial" w:cs="Arial"/>
          <w:color w:val="000000"/>
        </w:rPr>
      </w:pPr>
    </w:p>
    <w:p w14:paraId="1588AAE7" w14:textId="77777777" w:rsidR="000C6C59" w:rsidRPr="0079261B" w:rsidRDefault="000C6C59" w:rsidP="000C6C59">
      <w:pPr>
        <w:pStyle w:val="NormalWeb"/>
        <w:spacing w:line="360" w:lineRule="auto"/>
        <w:rPr>
          <w:rFonts w:ascii="Arial" w:hAnsi="Arial" w:cs="Arial"/>
          <w:color w:val="000000"/>
        </w:rPr>
      </w:pPr>
      <w:r w:rsidRPr="0079261B">
        <w:rPr>
          <w:rFonts w:ascii="Arial" w:hAnsi="Arial" w:cs="Arial"/>
          <w:color w:val="000000"/>
        </w:rPr>
        <w:t>Key priorities include: developing integrated early intervention systems (NHS England, 2019); prioritising community-based prevention (World Health Organization, 2021); addressing risk-averse practice through workforce training and accountability (HM Inspectorate of Probation, 2021); embedding structurally informed trauma approaches (Centre for Mental Health, 2018); strengthening cross-agency governance (The King's Fund, 2020); incorporating lived experience in policy design (</w:t>
      </w:r>
      <w:r w:rsidRPr="0079261B">
        <w:rPr>
          <w:rStyle w:val="whitespace-normal"/>
          <w:rFonts w:ascii="Arial" w:eastAsiaTheme="majorEastAsia" w:hAnsi="Arial" w:cs="Arial"/>
          <w:color w:val="000000"/>
        </w:rPr>
        <w:t>National Survivor User Network</w:t>
      </w:r>
      <w:r w:rsidRPr="0079261B">
        <w:rPr>
          <w:rFonts w:ascii="Arial" w:hAnsi="Arial" w:cs="Arial"/>
          <w:color w:val="000000"/>
        </w:rPr>
        <w:t>, 2019); addressing intersectional inequalities (</w:t>
      </w:r>
      <w:r w:rsidRPr="0079261B">
        <w:rPr>
          <w:rStyle w:val="whitespace-normal"/>
          <w:rFonts w:ascii="Arial" w:eastAsiaTheme="majorEastAsia" w:hAnsi="Arial" w:cs="Arial"/>
          <w:color w:val="000000"/>
        </w:rPr>
        <w:t>NHS Race and Health Observatory</w:t>
      </w:r>
      <w:r w:rsidRPr="0079261B">
        <w:rPr>
          <w:rFonts w:ascii="Arial" w:hAnsi="Arial" w:cs="Arial"/>
          <w:color w:val="000000"/>
        </w:rPr>
        <w:t>, 2022); and expanding longitudinal, interdisciplinary research. Without these structural reforms, diversion initiatives will remain limited in impact</w:t>
      </w:r>
      <w:r>
        <w:rPr>
          <w:rFonts w:ascii="Arial" w:hAnsi="Arial" w:cs="Arial"/>
          <w:color w:val="000000"/>
        </w:rPr>
        <w:t xml:space="preserve"> </w:t>
      </w:r>
      <w:r w:rsidRPr="0079261B">
        <w:rPr>
          <w:rFonts w:ascii="Arial" w:hAnsi="Arial" w:cs="Arial"/>
          <w:color w:val="000000"/>
        </w:rPr>
        <w:t>and the CJS will continue to absorb unmet mental health need rather than operate as a system of last resort.</w:t>
      </w:r>
    </w:p>
    <w:p w14:paraId="37110B4D" w14:textId="77777777" w:rsidR="000C6C59" w:rsidRPr="0079261B" w:rsidRDefault="000C6C59" w:rsidP="000C6C59">
      <w:pPr>
        <w:spacing w:line="360" w:lineRule="auto"/>
        <w:rPr>
          <w:rFonts w:ascii="Arial" w:hAnsi="Arial" w:cs="Arial"/>
        </w:rPr>
      </w:pPr>
    </w:p>
    <w:p w14:paraId="23EB6955" w14:textId="77777777" w:rsidR="000C6C59" w:rsidRPr="0079261B" w:rsidRDefault="000C6C59" w:rsidP="000C6C59">
      <w:pPr>
        <w:spacing w:line="360" w:lineRule="auto"/>
        <w:rPr>
          <w:rFonts w:ascii="Arial" w:hAnsi="Arial" w:cs="Arial"/>
          <w:b/>
          <w:bCs/>
        </w:rPr>
      </w:pPr>
    </w:p>
    <w:p w14:paraId="1934ABFC" w14:textId="77777777" w:rsidR="000C6C59" w:rsidRPr="0079261B" w:rsidRDefault="000C6C59" w:rsidP="000C6C59">
      <w:pPr>
        <w:spacing w:line="360" w:lineRule="auto"/>
        <w:rPr>
          <w:rFonts w:ascii="Arial" w:hAnsi="Arial" w:cs="Arial"/>
          <w:b/>
          <w:bCs/>
        </w:rPr>
      </w:pPr>
    </w:p>
    <w:p w14:paraId="14B6AEAD" w14:textId="77777777" w:rsidR="000C6C59" w:rsidRPr="0079261B" w:rsidRDefault="000C6C59" w:rsidP="000C6C59">
      <w:pPr>
        <w:spacing w:line="360" w:lineRule="auto"/>
        <w:rPr>
          <w:rFonts w:ascii="Arial" w:hAnsi="Arial" w:cs="Arial"/>
          <w:b/>
          <w:bCs/>
        </w:rPr>
      </w:pPr>
    </w:p>
    <w:p w14:paraId="3F57EB4E" w14:textId="77777777" w:rsidR="000C6C59" w:rsidRPr="0079261B" w:rsidRDefault="000C6C59" w:rsidP="000C6C59">
      <w:pPr>
        <w:spacing w:line="360" w:lineRule="auto"/>
        <w:rPr>
          <w:rFonts w:ascii="Arial" w:hAnsi="Arial" w:cs="Arial"/>
          <w:b/>
          <w:bCs/>
        </w:rPr>
      </w:pPr>
    </w:p>
    <w:p w14:paraId="2AEADB9D" w14:textId="77777777" w:rsidR="000C6C59" w:rsidRPr="0079261B" w:rsidRDefault="000C6C59" w:rsidP="000C6C59">
      <w:pPr>
        <w:spacing w:line="360" w:lineRule="auto"/>
        <w:rPr>
          <w:rFonts w:ascii="Arial" w:hAnsi="Arial" w:cs="Arial"/>
          <w:b/>
          <w:bCs/>
        </w:rPr>
      </w:pPr>
    </w:p>
    <w:p w14:paraId="0EF7EC6E" w14:textId="77777777" w:rsidR="000C6C59" w:rsidRPr="0079261B" w:rsidRDefault="000C6C59" w:rsidP="000C6C59">
      <w:pPr>
        <w:spacing w:line="360" w:lineRule="auto"/>
        <w:rPr>
          <w:rFonts w:ascii="Arial" w:hAnsi="Arial" w:cs="Arial"/>
          <w:b/>
          <w:bCs/>
        </w:rPr>
      </w:pPr>
    </w:p>
    <w:p w14:paraId="5835FBFF" w14:textId="77777777" w:rsidR="000C6C59" w:rsidRPr="0079261B" w:rsidRDefault="000C6C59" w:rsidP="000C6C59">
      <w:pPr>
        <w:spacing w:line="360" w:lineRule="auto"/>
        <w:rPr>
          <w:rFonts w:ascii="Arial" w:hAnsi="Arial" w:cs="Arial"/>
          <w:b/>
          <w:bCs/>
        </w:rPr>
      </w:pPr>
    </w:p>
    <w:p w14:paraId="2A113CC8" w14:textId="77777777" w:rsidR="000C6C59" w:rsidRPr="0079261B" w:rsidRDefault="000C6C59" w:rsidP="000C6C59">
      <w:pPr>
        <w:spacing w:line="360" w:lineRule="auto"/>
        <w:jc w:val="center"/>
        <w:rPr>
          <w:rFonts w:ascii="Arial" w:hAnsi="Arial" w:cs="Arial"/>
          <w:b/>
          <w:bCs/>
        </w:rPr>
      </w:pPr>
      <w:r>
        <w:rPr>
          <w:rFonts w:ascii="Arial" w:hAnsi="Arial" w:cs="Arial"/>
          <w:b/>
          <w:bCs/>
        </w:rPr>
        <w:t>4.</w:t>
      </w:r>
      <w:r w:rsidRPr="0079261B">
        <w:rPr>
          <w:rFonts w:ascii="Arial" w:hAnsi="Arial" w:cs="Arial"/>
          <w:b/>
          <w:bCs/>
        </w:rPr>
        <w:t xml:space="preserve"> Reference List</w:t>
      </w:r>
    </w:p>
    <w:p w14:paraId="725581A5" w14:textId="77777777" w:rsidR="000C6C59" w:rsidRPr="0079261B" w:rsidRDefault="000C6C59" w:rsidP="000C6C59">
      <w:pPr>
        <w:spacing w:line="360" w:lineRule="auto"/>
        <w:rPr>
          <w:rFonts w:ascii="Arial" w:hAnsi="Arial" w:cs="Arial"/>
        </w:rPr>
      </w:pPr>
    </w:p>
    <w:p w14:paraId="555B9199" w14:textId="77777777" w:rsidR="000C6C59" w:rsidRPr="0079261B" w:rsidRDefault="000C6C59" w:rsidP="000C6C59">
      <w:pPr>
        <w:spacing w:line="360" w:lineRule="auto"/>
        <w:rPr>
          <w:rFonts w:ascii="Arial" w:hAnsi="Arial" w:cs="Arial"/>
        </w:rPr>
      </w:pPr>
      <w:r w:rsidRPr="0079261B">
        <w:rPr>
          <w:rFonts w:ascii="Arial" w:hAnsi="Arial" w:cs="Arial"/>
        </w:rPr>
        <w:t>Becker, H. (1963) Outsiders: Studies in the Sociology of Deviance. New York: Free Press.</w:t>
      </w:r>
    </w:p>
    <w:p w14:paraId="34ED81C2" w14:textId="77777777" w:rsidR="000C6C59" w:rsidRPr="0079261B" w:rsidRDefault="000C6C59" w:rsidP="000C6C59">
      <w:pPr>
        <w:spacing w:line="360" w:lineRule="auto"/>
        <w:rPr>
          <w:rFonts w:ascii="Arial" w:hAnsi="Arial" w:cs="Arial"/>
        </w:rPr>
      </w:pPr>
    </w:p>
    <w:p w14:paraId="1697CDE4" w14:textId="77777777" w:rsidR="000C6C59" w:rsidRPr="0079261B" w:rsidRDefault="000C6C59" w:rsidP="000C6C59">
      <w:pPr>
        <w:spacing w:line="360" w:lineRule="auto"/>
        <w:rPr>
          <w:rFonts w:ascii="Arial" w:hAnsi="Arial" w:cs="Arial"/>
        </w:rPr>
      </w:pPr>
      <w:r w:rsidRPr="0079261B">
        <w:rPr>
          <w:rFonts w:ascii="Arial" w:hAnsi="Arial" w:cs="Arial"/>
        </w:rPr>
        <w:t>Beck, U. (1992) Risk Society: Towards a New Modernity. London: Sage.</w:t>
      </w:r>
    </w:p>
    <w:p w14:paraId="58C25235" w14:textId="77777777" w:rsidR="000C6C59" w:rsidRPr="0079261B" w:rsidRDefault="000C6C59" w:rsidP="000C6C59">
      <w:pPr>
        <w:spacing w:line="360" w:lineRule="auto"/>
        <w:rPr>
          <w:rFonts w:ascii="Arial" w:hAnsi="Arial" w:cs="Arial"/>
        </w:rPr>
      </w:pPr>
    </w:p>
    <w:p w14:paraId="31D8A5CE" w14:textId="77777777" w:rsidR="000C6C59" w:rsidRPr="0079261B" w:rsidRDefault="000C6C59" w:rsidP="000C6C59">
      <w:pPr>
        <w:spacing w:line="360" w:lineRule="auto"/>
        <w:rPr>
          <w:rFonts w:ascii="Arial" w:hAnsi="Arial" w:cs="Arial"/>
        </w:rPr>
      </w:pPr>
      <w:proofErr w:type="spellStart"/>
      <w:r w:rsidRPr="0079261B">
        <w:rPr>
          <w:rFonts w:ascii="Arial" w:hAnsi="Arial" w:cs="Arial"/>
        </w:rPr>
        <w:t>Callender</w:t>
      </w:r>
      <w:proofErr w:type="spellEnd"/>
      <w:r w:rsidRPr="0079261B">
        <w:rPr>
          <w:rFonts w:ascii="Arial" w:hAnsi="Arial" w:cs="Arial"/>
        </w:rPr>
        <w:t xml:space="preserve">, J. et al. (2025) An Evaluation of Primary Care Mental Health Treatment Requirements in England and Wales. University of Northampton. Available at: </w:t>
      </w:r>
      <w:hyperlink r:id="rId4" w:history="1">
        <w:r w:rsidRPr="0079261B">
          <w:rPr>
            <w:rStyle w:val="Hyperlink"/>
            <w:rFonts w:ascii="Arial" w:hAnsi="Arial" w:cs="Arial"/>
          </w:rPr>
          <w:t>https://pure.northampton.ac.uk/ws/portalfiles/portal/87326113/Callender_et_al_2025_An_Evaluation_of_Prima</w:t>
        </w:r>
        <w:r w:rsidRPr="0079261B">
          <w:rPr>
            <w:rStyle w:val="Hyperlink"/>
            <w:rFonts w:ascii="Arial" w:hAnsi="Arial" w:cs="Arial"/>
          </w:rPr>
          <w:t>r</w:t>
        </w:r>
        <w:r w:rsidRPr="0079261B">
          <w:rPr>
            <w:rStyle w:val="Hyperlink"/>
            <w:rFonts w:ascii="Arial" w:hAnsi="Arial" w:cs="Arial"/>
          </w:rPr>
          <w:t>y_Care_Mental_Health_Treatment_Requirements_in_England_and_Wales.pdf</w:t>
        </w:r>
      </w:hyperlink>
    </w:p>
    <w:p w14:paraId="5F5D8E8D" w14:textId="77777777" w:rsidR="000C6C59" w:rsidRPr="0079261B" w:rsidRDefault="000C6C59" w:rsidP="000C6C59">
      <w:pPr>
        <w:spacing w:line="360" w:lineRule="auto"/>
        <w:rPr>
          <w:rFonts w:ascii="Arial" w:hAnsi="Arial" w:cs="Arial"/>
        </w:rPr>
      </w:pPr>
    </w:p>
    <w:p w14:paraId="23329256" w14:textId="77777777" w:rsidR="000C6C59" w:rsidRPr="0079261B" w:rsidRDefault="000C6C59" w:rsidP="000C6C59">
      <w:pPr>
        <w:pStyle w:val="NormalWeb"/>
        <w:spacing w:line="360" w:lineRule="auto"/>
        <w:rPr>
          <w:rFonts w:ascii="Arial" w:hAnsi="Arial" w:cs="Arial"/>
          <w:color w:val="000000"/>
        </w:rPr>
      </w:pPr>
      <w:r w:rsidRPr="0079261B">
        <w:rPr>
          <w:rFonts w:ascii="Arial" w:hAnsi="Arial" w:cs="Arial"/>
          <w:color w:val="000000"/>
        </w:rPr>
        <w:t>Care Quality Commission (2020)</w:t>
      </w:r>
      <w:r w:rsidRPr="0079261B">
        <w:rPr>
          <w:rStyle w:val="apple-converted-space"/>
          <w:rFonts w:ascii="Arial" w:eastAsiaTheme="majorEastAsia" w:hAnsi="Arial" w:cs="Arial"/>
          <w:color w:val="000000"/>
        </w:rPr>
        <w:t> </w:t>
      </w:r>
      <w:r w:rsidRPr="0079261B">
        <w:rPr>
          <w:rStyle w:val="Emphasis"/>
          <w:rFonts w:ascii="Arial" w:eastAsiaTheme="majorEastAsia" w:hAnsi="Arial" w:cs="Arial"/>
          <w:color w:val="000000"/>
        </w:rPr>
        <w:t>Review of mental health services in the criminal justice system</w:t>
      </w:r>
      <w:r w:rsidRPr="0079261B">
        <w:rPr>
          <w:rFonts w:ascii="Arial" w:hAnsi="Arial" w:cs="Arial"/>
          <w:color w:val="000000"/>
        </w:rPr>
        <w:t>. London: CQC.</w:t>
      </w:r>
    </w:p>
    <w:p w14:paraId="6624C249" w14:textId="77777777" w:rsidR="000C6C59" w:rsidRPr="0079261B" w:rsidRDefault="000C6C59" w:rsidP="000C6C59">
      <w:pPr>
        <w:spacing w:line="360" w:lineRule="auto"/>
        <w:rPr>
          <w:rFonts w:ascii="Arial" w:hAnsi="Arial" w:cs="Arial"/>
        </w:rPr>
      </w:pPr>
    </w:p>
    <w:p w14:paraId="2B3E4A94" w14:textId="77777777" w:rsidR="000C6C59" w:rsidRPr="0079261B" w:rsidRDefault="000C6C59" w:rsidP="000C6C59">
      <w:pPr>
        <w:spacing w:line="360" w:lineRule="auto"/>
        <w:rPr>
          <w:rFonts w:ascii="Arial" w:hAnsi="Arial" w:cs="Arial"/>
        </w:rPr>
      </w:pPr>
      <w:r w:rsidRPr="0079261B">
        <w:rPr>
          <w:rFonts w:ascii="Arial" w:hAnsi="Arial" w:cs="Arial"/>
        </w:rPr>
        <w:t xml:space="preserve">Centre for Mental Health (2024) Mental health and criminal justice: diversion and community care in England and Wales. Available at: </w:t>
      </w:r>
      <w:hyperlink r:id="rId5" w:history="1">
        <w:r w:rsidRPr="0079261B">
          <w:rPr>
            <w:rStyle w:val="Hyperlink"/>
            <w:rFonts w:ascii="Arial" w:hAnsi="Arial" w:cs="Arial"/>
          </w:rPr>
          <w:t>https://www.centreformentalhealth.org.uk/wp-content/uploads/2018/09/Centre_for_Mental_Health_MH_and_criminal_justice_PDF.pdf</w:t>
        </w:r>
      </w:hyperlink>
      <w:r w:rsidRPr="0079261B">
        <w:rPr>
          <w:rFonts w:ascii="Arial" w:hAnsi="Arial" w:cs="Arial"/>
        </w:rPr>
        <w:t xml:space="preserve"> </w:t>
      </w:r>
    </w:p>
    <w:p w14:paraId="0FBFE45D" w14:textId="77777777" w:rsidR="000C6C59" w:rsidRPr="0079261B" w:rsidRDefault="000C6C59" w:rsidP="000C6C59">
      <w:pPr>
        <w:spacing w:line="360" w:lineRule="auto"/>
        <w:rPr>
          <w:rFonts w:ascii="Arial" w:hAnsi="Arial" w:cs="Arial"/>
        </w:rPr>
      </w:pPr>
    </w:p>
    <w:p w14:paraId="4FA87A08" w14:textId="77777777" w:rsidR="000C6C59" w:rsidRPr="0079261B" w:rsidRDefault="000C6C59" w:rsidP="000C6C59">
      <w:pPr>
        <w:spacing w:line="360" w:lineRule="auto"/>
        <w:rPr>
          <w:rFonts w:ascii="Arial" w:hAnsi="Arial" w:cs="Arial"/>
        </w:rPr>
      </w:pPr>
      <w:r w:rsidRPr="0079261B">
        <w:rPr>
          <w:rFonts w:ascii="Arial" w:hAnsi="Arial" w:cs="Arial"/>
        </w:rPr>
        <w:t xml:space="preserve">Dean, M. (2010) </w:t>
      </w:r>
      <w:r w:rsidRPr="0079261B">
        <w:rPr>
          <w:rFonts w:ascii="Arial" w:hAnsi="Arial" w:cs="Arial"/>
          <w:i/>
          <w:iCs/>
        </w:rPr>
        <w:t>Governmentality: Power and Rule in Modern Society</w:t>
      </w:r>
      <w:r w:rsidRPr="0079261B">
        <w:rPr>
          <w:rFonts w:ascii="Arial" w:hAnsi="Arial" w:cs="Arial"/>
        </w:rPr>
        <w:t>. London: Sage.</w:t>
      </w:r>
    </w:p>
    <w:p w14:paraId="0D5E723B" w14:textId="77777777" w:rsidR="000C6C59" w:rsidRPr="0079261B" w:rsidRDefault="000C6C59" w:rsidP="000C6C59">
      <w:pPr>
        <w:spacing w:line="360" w:lineRule="auto"/>
        <w:rPr>
          <w:rFonts w:ascii="Arial" w:hAnsi="Arial" w:cs="Arial"/>
        </w:rPr>
      </w:pPr>
    </w:p>
    <w:p w14:paraId="7B50F56E" w14:textId="77777777" w:rsidR="000C6C59" w:rsidRPr="0079261B" w:rsidRDefault="000C6C59" w:rsidP="000C6C59">
      <w:pPr>
        <w:spacing w:line="360" w:lineRule="auto"/>
        <w:rPr>
          <w:rFonts w:ascii="Arial" w:hAnsi="Arial" w:cs="Arial"/>
        </w:rPr>
      </w:pPr>
      <w:r w:rsidRPr="0079261B">
        <w:rPr>
          <w:rFonts w:ascii="Arial" w:hAnsi="Arial" w:cs="Arial"/>
        </w:rPr>
        <w:t xml:space="preserve">Equality and Human Rights Commission (2025) </w:t>
      </w:r>
      <w:r w:rsidRPr="0079261B">
        <w:rPr>
          <w:rFonts w:ascii="Arial" w:hAnsi="Arial" w:cs="Arial"/>
          <w:i/>
          <w:iCs/>
        </w:rPr>
        <w:t>Mental health and human rights tracker: Welsh Government action</w:t>
      </w:r>
      <w:r w:rsidRPr="0079261B">
        <w:rPr>
          <w:rFonts w:ascii="Arial" w:hAnsi="Arial" w:cs="Arial"/>
        </w:rPr>
        <w:t xml:space="preserve">. Available at: </w:t>
      </w:r>
      <w:hyperlink r:id="rId6" w:history="1">
        <w:r w:rsidRPr="0079261B">
          <w:rPr>
            <w:rStyle w:val="Hyperlink"/>
            <w:rFonts w:ascii="Arial" w:hAnsi="Arial" w:cs="Arial"/>
          </w:rPr>
          <w:t>https://www.equalityhumanrights.com/human-rights/human-rights-tracker/mental-health-welsh-government-action</w:t>
        </w:r>
      </w:hyperlink>
    </w:p>
    <w:p w14:paraId="6BE47F69" w14:textId="77777777" w:rsidR="000C6C59" w:rsidRPr="0079261B" w:rsidRDefault="000C6C59" w:rsidP="000C6C59">
      <w:pPr>
        <w:spacing w:line="360" w:lineRule="auto"/>
        <w:rPr>
          <w:rFonts w:ascii="Arial" w:hAnsi="Arial" w:cs="Arial"/>
        </w:rPr>
      </w:pPr>
    </w:p>
    <w:p w14:paraId="37F8C220" w14:textId="77777777" w:rsidR="000C6C59" w:rsidRPr="0079261B" w:rsidRDefault="000C6C59" w:rsidP="000C6C59">
      <w:pPr>
        <w:spacing w:line="360" w:lineRule="auto"/>
        <w:rPr>
          <w:rFonts w:ascii="Arial" w:hAnsi="Arial" w:cs="Arial"/>
        </w:rPr>
      </w:pPr>
      <w:r w:rsidRPr="0079261B">
        <w:rPr>
          <w:rFonts w:ascii="Arial" w:hAnsi="Arial" w:cs="Arial"/>
        </w:rPr>
        <w:t xml:space="preserve">Foucault, M. (1977) </w:t>
      </w:r>
      <w:r w:rsidRPr="0079261B">
        <w:rPr>
          <w:rFonts w:ascii="Arial" w:hAnsi="Arial" w:cs="Arial"/>
          <w:i/>
          <w:iCs/>
        </w:rPr>
        <w:t>Discipline and Punish: The Birth of the Prison</w:t>
      </w:r>
      <w:r w:rsidRPr="0079261B">
        <w:rPr>
          <w:rFonts w:ascii="Arial" w:hAnsi="Arial" w:cs="Arial"/>
        </w:rPr>
        <w:t>. London: Allen Lane.</w:t>
      </w:r>
    </w:p>
    <w:p w14:paraId="5D3C1D84" w14:textId="77777777" w:rsidR="000C6C59" w:rsidRPr="0079261B" w:rsidRDefault="000C6C59" w:rsidP="000C6C59">
      <w:pPr>
        <w:spacing w:line="360" w:lineRule="auto"/>
        <w:rPr>
          <w:rFonts w:ascii="Arial" w:hAnsi="Arial" w:cs="Arial"/>
        </w:rPr>
      </w:pPr>
    </w:p>
    <w:p w14:paraId="66452D43" w14:textId="77777777" w:rsidR="000C6C59" w:rsidRPr="0079261B" w:rsidRDefault="000C6C59" w:rsidP="000C6C59">
      <w:pPr>
        <w:spacing w:line="360" w:lineRule="auto"/>
        <w:rPr>
          <w:rFonts w:ascii="Arial" w:hAnsi="Arial" w:cs="Arial"/>
        </w:rPr>
      </w:pPr>
      <w:r w:rsidRPr="0079261B">
        <w:rPr>
          <w:rFonts w:ascii="Arial" w:hAnsi="Arial" w:cs="Arial"/>
        </w:rPr>
        <w:t xml:space="preserve">Garland, D. (2001) </w:t>
      </w:r>
      <w:r w:rsidRPr="0079261B">
        <w:rPr>
          <w:rFonts w:ascii="Arial" w:hAnsi="Arial" w:cs="Arial"/>
          <w:i/>
          <w:iCs/>
        </w:rPr>
        <w:t>The Culture of Control: Crime and Social Order in Contemporary Society</w:t>
      </w:r>
      <w:r w:rsidRPr="0079261B">
        <w:rPr>
          <w:rFonts w:ascii="Arial" w:hAnsi="Arial" w:cs="Arial"/>
        </w:rPr>
        <w:t>. Oxford: Oxford University Press</w:t>
      </w:r>
    </w:p>
    <w:p w14:paraId="06E65B27" w14:textId="77777777" w:rsidR="000C6C59" w:rsidRPr="0079261B" w:rsidRDefault="000C6C59" w:rsidP="000C6C59">
      <w:pPr>
        <w:spacing w:line="360" w:lineRule="auto"/>
        <w:rPr>
          <w:rStyle w:val="Hyperlink"/>
          <w:rFonts w:ascii="Arial" w:eastAsiaTheme="majorEastAsia" w:hAnsi="Arial" w:cs="Arial"/>
        </w:rPr>
      </w:pPr>
      <w:r w:rsidRPr="0079261B">
        <w:rPr>
          <w:rFonts w:ascii="Arial" w:hAnsi="Arial" w:cs="Arial"/>
        </w:rPr>
        <w:t xml:space="preserve">Gooding, P. (2013) ‘Supported decision-making: A rights-based disability concept’, </w:t>
      </w:r>
      <w:r w:rsidRPr="0079261B">
        <w:rPr>
          <w:rFonts w:ascii="Arial" w:hAnsi="Arial" w:cs="Arial"/>
          <w:i/>
          <w:iCs/>
        </w:rPr>
        <w:t>University of New South Wales Law Journal</w:t>
      </w:r>
      <w:r w:rsidRPr="0079261B">
        <w:rPr>
          <w:rFonts w:ascii="Arial" w:hAnsi="Arial" w:cs="Arial"/>
        </w:rPr>
        <w:t xml:space="preserve">, 36(3), pp. 32–55. Available at: </w:t>
      </w:r>
      <w:hyperlink r:id="rId7" w:history="1">
        <w:r w:rsidRPr="0079261B">
          <w:rPr>
            <w:rStyle w:val="Hyperlink"/>
            <w:rFonts w:ascii="Arial" w:eastAsiaTheme="majorEastAsia" w:hAnsi="Arial" w:cs="Arial"/>
          </w:rPr>
          <w:t>https://doi.org/10.1080/13218719.2012.711683</w:t>
        </w:r>
      </w:hyperlink>
    </w:p>
    <w:p w14:paraId="4E43ABA7" w14:textId="77777777" w:rsidR="000C6C59" w:rsidRPr="0079261B" w:rsidRDefault="000C6C59" w:rsidP="000C6C59">
      <w:pPr>
        <w:spacing w:line="360" w:lineRule="auto"/>
        <w:rPr>
          <w:rStyle w:val="Hyperlink"/>
          <w:rFonts w:ascii="Arial" w:eastAsiaTheme="majorEastAsia" w:hAnsi="Arial" w:cs="Arial"/>
        </w:rPr>
      </w:pPr>
    </w:p>
    <w:p w14:paraId="151D0042" w14:textId="77777777" w:rsidR="000C6C59" w:rsidRPr="0079261B" w:rsidRDefault="000C6C59" w:rsidP="000C6C59">
      <w:pPr>
        <w:pStyle w:val="NormalWeb"/>
        <w:spacing w:line="360" w:lineRule="auto"/>
        <w:rPr>
          <w:rFonts w:ascii="Arial" w:hAnsi="Arial" w:cs="Arial"/>
          <w:color w:val="000000"/>
        </w:rPr>
      </w:pPr>
    </w:p>
    <w:p w14:paraId="149FAE9C" w14:textId="77777777" w:rsidR="000C6C59" w:rsidRPr="0079261B" w:rsidRDefault="000C6C59" w:rsidP="000C6C59">
      <w:pPr>
        <w:pStyle w:val="NormalWeb"/>
        <w:spacing w:line="360" w:lineRule="auto"/>
        <w:rPr>
          <w:rFonts w:ascii="Arial" w:hAnsi="Arial" w:cs="Arial"/>
          <w:color w:val="000000"/>
        </w:rPr>
      </w:pPr>
      <w:r w:rsidRPr="0079261B">
        <w:rPr>
          <w:rFonts w:ascii="Arial" w:hAnsi="Arial" w:cs="Arial"/>
          <w:color w:val="000000"/>
        </w:rPr>
        <w:t>HM Inspectorate of Probation (2021)</w:t>
      </w:r>
      <w:r w:rsidRPr="0079261B">
        <w:rPr>
          <w:rStyle w:val="apple-converted-space"/>
          <w:rFonts w:ascii="Arial" w:eastAsiaTheme="majorEastAsia" w:hAnsi="Arial" w:cs="Arial"/>
          <w:color w:val="000000"/>
        </w:rPr>
        <w:t> </w:t>
      </w:r>
      <w:r w:rsidRPr="0079261B">
        <w:rPr>
          <w:rStyle w:val="Emphasis"/>
          <w:rFonts w:ascii="Arial" w:eastAsiaTheme="majorEastAsia" w:hAnsi="Arial" w:cs="Arial"/>
          <w:color w:val="000000"/>
        </w:rPr>
        <w:t>A joint inspection of the criminal justice journey for individuals with mental health needs</w:t>
      </w:r>
      <w:r w:rsidRPr="0079261B">
        <w:rPr>
          <w:rFonts w:ascii="Arial" w:hAnsi="Arial" w:cs="Arial"/>
          <w:color w:val="000000"/>
        </w:rPr>
        <w:t>. London: HMIP.</w:t>
      </w:r>
    </w:p>
    <w:p w14:paraId="4CFA46DA" w14:textId="77777777" w:rsidR="000C6C59" w:rsidRPr="0079261B" w:rsidRDefault="000C6C59" w:rsidP="000C6C59">
      <w:pPr>
        <w:pStyle w:val="NormalWeb"/>
        <w:spacing w:line="360" w:lineRule="auto"/>
        <w:rPr>
          <w:rFonts w:ascii="Arial" w:hAnsi="Arial" w:cs="Arial"/>
          <w:color w:val="000000"/>
        </w:rPr>
      </w:pPr>
    </w:p>
    <w:p w14:paraId="387CEB2B" w14:textId="77777777" w:rsidR="000C6C59" w:rsidRPr="0079261B" w:rsidRDefault="000C6C59" w:rsidP="000C6C59">
      <w:pPr>
        <w:pStyle w:val="NormalWeb"/>
        <w:spacing w:line="360" w:lineRule="auto"/>
        <w:rPr>
          <w:rFonts w:ascii="Arial" w:hAnsi="Arial" w:cs="Arial"/>
          <w:color w:val="000000"/>
        </w:rPr>
      </w:pPr>
    </w:p>
    <w:p w14:paraId="2B569F86" w14:textId="77777777" w:rsidR="000C6C59" w:rsidRPr="0079261B" w:rsidRDefault="000C6C59" w:rsidP="000C6C59">
      <w:pPr>
        <w:spacing w:line="360" w:lineRule="auto"/>
        <w:rPr>
          <w:rFonts w:ascii="Arial" w:hAnsi="Arial" w:cs="Arial"/>
        </w:rPr>
      </w:pPr>
      <w:r w:rsidRPr="0079261B">
        <w:rPr>
          <w:rFonts w:ascii="Arial" w:hAnsi="Arial" w:cs="Arial"/>
        </w:rPr>
        <w:t>Hm Prison and probation service (2023</w:t>
      </w:r>
      <w:r w:rsidRPr="0079261B">
        <w:rPr>
          <w:rFonts w:ascii="Arial" w:hAnsi="Arial" w:cs="Arial"/>
          <w:i/>
          <w:iCs/>
        </w:rPr>
        <w:t>) The Offender Personality Disorder Pathway</w:t>
      </w:r>
      <w:r w:rsidRPr="0079261B">
        <w:rPr>
          <w:rFonts w:ascii="Arial" w:hAnsi="Arial" w:cs="Arial"/>
        </w:rPr>
        <w:t xml:space="preserve">. Available at: </w:t>
      </w:r>
      <w:hyperlink r:id="rId8" w:history="1">
        <w:r w:rsidRPr="0079261B">
          <w:rPr>
            <w:rStyle w:val="Hyperlink"/>
            <w:rFonts w:ascii="Arial" w:hAnsi="Arial" w:cs="Arial"/>
          </w:rPr>
          <w:t>https://www.england.nhs.uk/wp-content/uploads/2023/12/PRN00321-The-offender-personality-disorder-pathway-a-joint-strategy-for-2023-to-2028.pdf</w:t>
        </w:r>
      </w:hyperlink>
      <w:r w:rsidRPr="0079261B">
        <w:rPr>
          <w:rFonts w:ascii="Arial" w:hAnsi="Arial" w:cs="Arial"/>
        </w:rPr>
        <w:t xml:space="preserve"> </w:t>
      </w:r>
    </w:p>
    <w:p w14:paraId="3532956C" w14:textId="77777777" w:rsidR="000C6C59" w:rsidRPr="0079261B" w:rsidRDefault="000C6C59" w:rsidP="000C6C59">
      <w:pPr>
        <w:spacing w:line="360" w:lineRule="auto"/>
        <w:rPr>
          <w:rFonts w:ascii="Arial" w:eastAsiaTheme="majorEastAsia" w:hAnsi="Arial" w:cs="Arial"/>
          <w:u w:val="single"/>
        </w:rPr>
      </w:pPr>
      <w:r w:rsidRPr="0079261B">
        <w:rPr>
          <w:rFonts w:ascii="Arial" w:eastAsiaTheme="majorEastAsia" w:hAnsi="Arial" w:cs="Arial"/>
          <w:u w:val="single"/>
        </w:rPr>
        <w:t xml:space="preserve"> </w:t>
      </w:r>
    </w:p>
    <w:p w14:paraId="709B1D7C" w14:textId="77777777" w:rsidR="000C6C59" w:rsidRPr="0079261B" w:rsidRDefault="000C6C59" w:rsidP="000C6C59">
      <w:pPr>
        <w:spacing w:line="360" w:lineRule="auto"/>
        <w:rPr>
          <w:rFonts w:ascii="Arial" w:hAnsi="Arial" w:cs="Arial"/>
        </w:rPr>
      </w:pPr>
      <w:r w:rsidRPr="0079261B">
        <w:rPr>
          <w:rFonts w:ascii="Arial" w:hAnsi="Arial" w:cs="Arial"/>
        </w:rPr>
        <w:t xml:space="preserve">Jessop, B. (2016) </w:t>
      </w:r>
      <w:r w:rsidRPr="0079261B">
        <w:rPr>
          <w:rFonts w:ascii="Arial" w:hAnsi="Arial" w:cs="Arial"/>
          <w:i/>
          <w:iCs/>
        </w:rPr>
        <w:t>The State: Past, Present, Future</w:t>
      </w:r>
      <w:r w:rsidRPr="0079261B">
        <w:rPr>
          <w:rFonts w:ascii="Arial" w:hAnsi="Arial" w:cs="Arial"/>
        </w:rPr>
        <w:t>. Cambridge: Polity Press.</w:t>
      </w:r>
    </w:p>
    <w:p w14:paraId="09C7024E" w14:textId="77777777" w:rsidR="000C6C59" w:rsidRPr="0079261B" w:rsidRDefault="000C6C59" w:rsidP="000C6C59">
      <w:pPr>
        <w:spacing w:line="360" w:lineRule="auto"/>
        <w:rPr>
          <w:rFonts w:ascii="Arial" w:hAnsi="Arial" w:cs="Arial"/>
        </w:rPr>
      </w:pPr>
    </w:p>
    <w:p w14:paraId="32B01F29" w14:textId="77777777" w:rsidR="000C6C59" w:rsidRPr="0079261B" w:rsidRDefault="000C6C59" w:rsidP="000C6C59">
      <w:pPr>
        <w:spacing w:line="360" w:lineRule="auto"/>
        <w:rPr>
          <w:rFonts w:ascii="Arial" w:hAnsi="Arial" w:cs="Arial"/>
        </w:rPr>
      </w:pPr>
      <w:r w:rsidRPr="0079261B">
        <w:rPr>
          <w:rFonts w:ascii="Arial" w:hAnsi="Arial" w:cs="Arial"/>
        </w:rPr>
        <w:t xml:space="preserve">Lammy, D. (2017) </w:t>
      </w:r>
      <w:r w:rsidRPr="0079261B">
        <w:rPr>
          <w:rFonts w:ascii="Arial" w:hAnsi="Arial" w:cs="Arial"/>
          <w:i/>
          <w:iCs/>
        </w:rPr>
        <w:t>The Lammy Review. London: Ministry of Justice</w:t>
      </w:r>
      <w:r w:rsidRPr="0079261B">
        <w:rPr>
          <w:rFonts w:ascii="Arial" w:hAnsi="Arial" w:cs="Arial"/>
        </w:rPr>
        <w:t xml:space="preserve">. Available at: </w:t>
      </w:r>
      <w:hyperlink r:id="rId9" w:history="1">
        <w:r w:rsidRPr="0079261B">
          <w:rPr>
            <w:rStyle w:val="Hyperlink"/>
            <w:rFonts w:ascii="Arial" w:hAnsi="Arial" w:cs="Arial"/>
          </w:rPr>
          <w:t>https://www.gov.uk/government/publicati</w:t>
        </w:r>
        <w:bookmarkStart w:id="0" w:name="_Hlt228537345"/>
        <w:bookmarkStart w:id="1" w:name="_Hlt228537346"/>
        <w:r w:rsidRPr="0079261B">
          <w:rPr>
            <w:rStyle w:val="Hyperlink"/>
            <w:rFonts w:ascii="Arial" w:hAnsi="Arial" w:cs="Arial"/>
          </w:rPr>
          <w:t>o</w:t>
        </w:r>
        <w:bookmarkEnd w:id="0"/>
        <w:bookmarkEnd w:id="1"/>
        <w:r w:rsidRPr="0079261B">
          <w:rPr>
            <w:rStyle w:val="Hyperlink"/>
            <w:rFonts w:ascii="Arial" w:hAnsi="Arial" w:cs="Arial"/>
          </w:rPr>
          <w:t>ns/lammy-review-final-report</w:t>
        </w:r>
      </w:hyperlink>
    </w:p>
    <w:p w14:paraId="29A843E8" w14:textId="77777777" w:rsidR="000C6C59" w:rsidRPr="0079261B" w:rsidRDefault="000C6C59" w:rsidP="000C6C59">
      <w:pPr>
        <w:spacing w:line="360" w:lineRule="auto"/>
        <w:rPr>
          <w:rFonts w:ascii="Arial" w:hAnsi="Arial" w:cs="Arial"/>
        </w:rPr>
      </w:pPr>
    </w:p>
    <w:p w14:paraId="3741F738" w14:textId="77777777" w:rsidR="000C6C59" w:rsidRPr="0079261B" w:rsidRDefault="000C6C59" w:rsidP="000C6C59">
      <w:pPr>
        <w:spacing w:line="360" w:lineRule="auto"/>
        <w:rPr>
          <w:rFonts w:ascii="Arial" w:hAnsi="Arial" w:cs="Arial"/>
        </w:rPr>
      </w:pPr>
      <w:r w:rsidRPr="0079261B">
        <w:rPr>
          <w:rFonts w:ascii="Arial" w:hAnsi="Arial" w:cs="Arial"/>
        </w:rPr>
        <w:t xml:space="preserve">Lipsky, M. (1980) </w:t>
      </w:r>
      <w:r w:rsidRPr="0079261B">
        <w:rPr>
          <w:rFonts w:ascii="Arial" w:hAnsi="Arial" w:cs="Arial"/>
          <w:i/>
          <w:iCs/>
        </w:rPr>
        <w:t>Street-Level Bureaucracy: Dilemmas of the Individual in Public Services</w:t>
      </w:r>
      <w:r w:rsidRPr="0079261B">
        <w:rPr>
          <w:rFonts w:ascii="Arial" w:hAnsi="Arial" w:cs="Arial"/>
        </w:rPr>
        <w:t>. New York: Russell Sage Foundation.</w:t>
      </w:r>
    </w:p>
    <w:p w14:paraId="78B5F44F" w14:textId="77777777" w:rsidR="000C6C59" w:rsidRPr="0079261B" w:rsidRDefault="000C6C59" w:rsidP="000C6C59">
      <w:pPr>
        <w:spacing w:line="360" w:lineRule="auto"/>
        <w:rPr>
          <w:rFonts w:ascii="Arial" w:hAnsi="Arial" w:cs="Arial"/>
        </w:rPr>
      </w:pPr>
    </w:p>
    <w:p w14:paraId="776A7A26" w14:textId="77777777" w:rsidR="000C6C59" w:rsidRPr="0079261B" w:rsidRDefault="000C6C59" w:rsidP="000C6C59">
      <w:pPr>
        <w:spacing w:line="360" w:lineRule="auto"/>
        <w:rPr>
          <w:rFonts w:ascii="Arial" w:hAnsi="Arial" w:cs="Arial"/>
        </w:rPr>
      </w:pPr>
      <w:r w:rsidRPr="0079261B">
        <w:rPr>
          <w:rFonts w:ascii="Arial" w:hAnsi="Arial" w:cs="Arial"/>
        </w:rPr>
        <w:t xml:space="preserve">Merry, S.E. (2006) </w:t>
      </w:r>
      <w:r w:rsidRPr="0079261B">
        <w:rPr>
          <w:rFonts w:ascii="Arial" w:hAnsi="Arial" w:cs="Arial"/>
          <w:i/>
          <w:iCs/>
        </w:rPr>
        <w:t>Human Rights and Gender Violence: Translating International Law into Local Justice</w:t>
      </w:r>
      <w:r w:rsidRPr="0079261B">
        <w:rPr>
          <w:rFonts w:ascii="Arial" w:hAnsi="Arial" w:cs="Arial"/>
        </w:rPr>
        <w:t>. Chicago: University of Chicago Press.</w:t>
      </w:r>
    </w:p>
    <w:p w14:paraId="4ADD02F5" w14:textId="77777777" w:rsidR="000C6C59" w:rsidRPr="0079261B" w:rsidRDefault="000C6C59" w:rsidP="000C6C59">
      <w:pPr>
        <w:spacing w:line="360" w:lineRule="auto"/>
        <w:rPr>
          <w:rFonts w:ascii="Arial" w:hAnsi="Arial" w:cs="Arial"/>
        </w:rPr>
      </w:pPr>
    </w:p>
    <w:p w14:paraId="1BC75449" w14:textId="77777777" w:rsidR="000C6C59" w:rsidRPr="0079261B" w:rsidRDefault="000C6C59" w:rsidP="000C6C59">
      <w:pPr>
        <w:spacing w:line="360" w:lineRule="auto"/>
        <w:rPr>
          <w:rFonts w:ascii="Arial" w:hAnsi="Arial" w:cs="Arial"/>
        </w:rPr>
      </w:pPr>
      <w:r w:rsidRPr="0079261B">
        <w:rPr>
          <w:rFonts w:ascii="Arial" w:hAnsi="Arial" w:cs="Arial"/>
        </w:rPr>
        <w:t xml:space="preserve">Mental Health Act (1983 as </w:t>
      </w:r>
      <w:proofErr w:type="gramStart"/>
      <w:r w:rsidRPr="0079261B">
        <w:rPr>
          <w:rFonts w:ascii="Arial" w:hAnsi="Arial" w:cs="Arial"/>
        </w:rPr>
        <w:t>amended )</w:t>
      </w:r>
      <w:proofErr w:type="gramEnd"/>
      <w:r w:rsidRPr="0079261B">
        <w:rPr>
          <w:rFonts w:ascii="Arial" w:hAnsi="Arial" w:cs="Arial"/>
        </w:rPr>
        <w:t xml:space="preserve"> (c.20). Available at: </w:t>
      </w:r>
      <w:hyperlink r:id="rId10" w:history="1">
        <w:r w:rsidRPr="0079261B">
          <w:rPr>
            <w:rStyle w:val="Hyperlink"/>
            <w:rFonts w:ascii="Arial" w:hAnsi="Arial" w:cs="Arial"/>
            <w:color w:val="auto"/>
          </w:rPr>
          <w:t>https://www.legislation.gov.uk/u</w:t>
        </w:r>
        <w:r w:rsidRPr="0079261B">
          <w:rPr>
            <w:rStyle w:val="Hyperlink"/>
            <w:rFonts w:ascii="Arial" w:hAnsi="Arial" w:cs="Arial"/>
            <w:color w:val="auto"/>
          </w:rPr>
          <w:t>k</w:t>
        </w:r>
        <w:r w:rsidRPr="0079261B">
          <w:rPr>
            <w:rStyle w:val="Hyperlink"/>
            <w:rFonts w:ascii="Arial" w:hAnsi="Arial" w:cs="Arial"/>
            <w:color w:val="auto"/>
          </w:rPr>
          <w:t>pga/1983/20/contents</w:t>
        </w:r>
      </w:hyperlink>
      <w:r w:rsidRPr="0079261B">
        <w:rPr>
          <w:rFonts w:ascii="Arial" w:hAnsi="Arial" w:cs="Arial"/>
        </w:rPr>
        <w:t xml:space="preserve"> </w:t>
      </w:r>
    </w:p>
    <w:p w14:paraId="48F941D8" w14:textId="77777777" w:rsidR="000C6C59" w:rsidRPr="0079261B" w:rsidRDefault="000C6C59" w:rsidP="000C6C59">
      <w:pPr>
        <w:spacing w:line="360" w:lineRule="auto"/>
        <w:rPr>
          <w:rFonts w:ascii="Arial" w:hAnsi="Arial" w:cs="Arial"/>
        </w:rPr>
      </w:pPr>
    </w:p>
    <w:p w14:paraId="1D5FE6B2" w14:textId="77777777" w:rsidR="000C6C59" w:rsidRPr="0079261B" w:rsidRDefault="000C6C59" w:rsidP="000C6C59">
      <w:pPr>
        <w:spacing w:line="360" w:lineRule="auto"/>
        <w:rPr>
          <w:rFonts w:ascii="Arial" w:hAnsi="Arial" w:cs="Arial"/>
        </w:rPr>
      </w:pPr>
      <w:r w:rsidRPr="0079261B">
        <w:rPr>
          <w:rFonts w:ascii="Arial" w:hAnsi="Arial" w:cs="Arial"/>
        </w:rPr>
        <w:t xml:space="preserve">Moore, S.C., Cox, A., Booker, L., et al. (2019) </w:t>
      </w:r>
      <w:r w:rsidRPr="0079261B">
        <w:rPr>
          <w:rFonts w:ascii="Arial" w:hAnsi="Arial" w:cs="Arial"/>
          <w:i/>
          <w:iCs/>
        </w:rPr>
        <w:t>Impact of short custodial sentences, community orders and suspended sentence orders on reoffending</w:t>
      </w:r>
      <w:r w:rsidRPr="0079261B">
        <w:rPr>
          <w:rFonts w:ascii="Arial" w:hAnsi="Arial" w:cs="Arial"/>
        </w:rPr>
        <w:t xml:space="preserve">. London: Ministry of Justice. Available at: </w:t>
      </w:r>
      <w:hyperlink r:id="rId11" w:history="1">
        <w:r w:rsidRPr="0079261B">
          <w:rPr>
            <w:rStyle w:val="Hyperlink"/>
            <w:rFonts w:ascii="Arial" w:hAnsi="Arial" w:cs="Arial"/>
            <w:u w:val="none"/>
          </w:rPr>
          <w:t>https://www.gov.uk/government/publications/impact-of-short-custodial-sentences-community-orders-and-suspended-sentence-orders-on-reoffending</w:t>
        </w:r>
      </w:hyperlink>
      <w:r w:rsidRPr="0079261B">
        <w:rPr>
          <w:rFonts w:ascii="Arial" w:hAnsi="Arial" w:cs="Arial"/>
        </w:rPr>
        <w:t xml:space="preserve"> [Accessed: 28 April 2026]</w:t>
      </w:r>
    </w:p>
    <w:p w14:paraId="0321EB5F" w14:textId="77777777" w:rsidR="000C6C59" w:rsidRPr="0079261B" w:rsidRDefault="000C6C59" w:rsidP="000C6C59">
      <w:pPr>
        <w:pStyle w:val="NormalWeb"/>
        <w:spacing w:line="360" w:lineRule="auto"/>
        <w:rPr>
          <w:rFonts w:ascii="Arial" w:hAnsi="Arial" w:cs="Arial"/>
          <w:color w:val="000000"/>
        </w:rPr>
      </w:pPr>
    </w:p>
    <w:p w14:paraId="474F5189" w14:textId="77777777" w:rsidR="000C6C59" w:rsidRPr="0079261B" w:rsidRDefault="000C6C59" w:rsidP="000C6C59">
      <w:pPr>
        <w:pStyle w:val="NormalWeb"/>
        <w:spacing w:line="360" w:lineRule="auto"/>
        <w:rPr>
          <w:rFonts w:ascii="Arial" w:hAnsi="Arial" w:cs="Arial"/>
          <w:color w:val="000000"/>
        </w:rPr>
      </w:pPr>
      <w:r w:rsidRPr="0079261B">
        <w:rPr>
          <w:rFonts w:ascii="Arial" w:hAnsi="Arial" w:cs="Arial"/>
          <w:color w:val="000000"/>
        </w:rPr>
        <w:t>NHS England (2019)</w:t>
      </w:r>
      <w:r w:rsidRPr="0079261B">
        <w:rPr>
          <w:rStyle w:val="apple-converted-space"/>
          <w:rFonts w:ascii="Arial" w:eastAsiaTheme="majorEastAsia" w:hAnsi="Arial" w:cs="Arial"/>
          <w:color w:val="000000"/>
        </w:rPr>
        <w:t> </w:t>
      </w:r>
      <w:r w:rsidRPr="0079261B">
        <w:rPr>
          <w:rStyle w:val="Emphasis"/>
          <w:rFonts w:ascii="Arial" w:eastAsiaTheme="majorEastAsia" w:hAnsi="Arial" w:cs="Arial"/>
          <w:color w:val="000000"/>
        </w:rPr>
        <w:t>The NHS Long Term Plan</w:t>
      </w:r>
      <w:r w:rsidRPr="0079261B">
        <w:rPr>
          <w:rFonts w:ascii="Arial" w:hAnsi="Arial" w:cs="Arial"/>
          <w:color w:val="000000"/>
        </w:rPr>
        <w:t>. London: NHS England.</w:t>
      </w:r>
    </w:p>
    <w:p w14:paraId="48F7CD30" w14:textId="77777777" w:rsidR="000C6C59" w:rsidRPr="0079261B" w:rsidRDefault="000C6C59" w:rsidP="000C6C59">
      <w:pPr>
        <w:pStyle w:val="NormalWeb"/>
        <w:spacing w:line="360" w:lineRule="auto"/>
        <w:rPr>
          <w:rFonts w:ascii="Arial" w:hAnsi="Arial" w:cs="Arial"/>
          <w:color w:val="000000"/>
        </w:rPr>
      </w:pPr>
    </w:p>
    <w:p w14:paraId="658781CD" w14:textId="77777777" w:rsidR="000C6C59" w:rsidRPr="0079261B" w:rsidRDefault="000C6C59" w:rsidP="000C6C59">
      <w:pPr>
        <w:spacing w:line="360" w:lineRule="auto"/>
        <w:rPr>
          <w:rFonts w:ascii="Arial" w:hAnsi="Arial" w:cs="Arial"/>
        </w:rPr>
      </w:pPr>
      <w:r w:rsidRPr="0079261B">
        <w:rPr>
          <w:rFonts w:ascii="Arial" w:hAnsi="Arial" w:cs="Arial"/>
        </w:rPr>
        <w:t xml:space="preserve">NHS England (2023) </w:t>
      </w:r>
      <w:r w:rsidRPr="0079261B">
        <w:rPr>
          <w:rFonts w:ascii="Arial" w:hAnsi="Arial" w:cs="Arial"/>
          <w:i/>
          <w:iCs/>
        </w:rPr>
        <w:t>Offender Personality Disorder (OPD) Pathway: a joint Strategy 2023–2028</w:t>
      </w:r>
      <w:r w:rsidRPr="0079261B">
        <w:rPr>
          <w:rFonts w:ascii="Arial" w:hAnsi="Arial" w:cs="Arial"/>
        </w:rPr>
        <w:t xml:space="preserve">. Available at: </w:t>
      </w:r>
      <w:hyperlink r:id="rId12" w:history="1">
        <w:r w:rsidRPr="0079261B">
          <w:rPr>
            <w:rStyle w:val="Hyperlink"/>
            <w:rFonts w:ascii="Arial" w:hAnsi="Arial" w:cs="Arial"/>
            <w:color w:val="FF0000"/>
          </w:rPr>
          <w:t>https://www.england.nhs.uk/long-read/the-offender-personality-disorder-pathway/</w:t>
        </w:r>
      </w:hyperlink>
      <w:r w:rsidRPr="0079261B">
        <w:rPr>
          <w:rFonts w:ascii="Arial" w:hAnsi="Arial" w:cs="Arial"/>
          <w:color w:val="FF0000"/>
        </w:rPr>
        <w:t xml:space="preserve"> </w:t>
      </w:r>
    </w:p>
    <w:p w14:paraId="1A8B8DBC" w14:textId="77777777" w:rsidR="000C6C59" w:rsidRPr="0079261B" w:rsidRDefault="000C6C59" w:rsidP="000C6C59">
      <w:pPr>
        <w:tabs>
          <w:tab w:val="left" w:pos="3190"/>
        </w:tabs>
        <w:spacing w:line="360" w:lineRule="auto"/>
        <w:rPr>
          <w:rFonts w:ascii="Arial" w:hAnsi="Arial" w:cs="Arial"/>
        </w:rPr>
      </w:pPr>
      <w:r w:rsidRPr="0079261B">
        <w:rPr>
          <w:rFonts w:ascii="Arial" w:hAnsi="Arial" w:cs="Arial"/>
        </w:rPr>
        <w:t xml:space="preserve"> </w:t>
      </w:r>
      <w:r w:rsidRPr="0079261B">
        <w:rPr>
          <w:rFonts w:ascii="Arial" w:hAnsi="Arial" w:cs="Arial"/>
        </w:rPr>
        <w:tab/>
      </w:r>
    </w:p>
    <w:p w14:paraId="76C92D3A" w14:textId="2105C4A8" w:rsidR="000C6C59" w:rsidRPr="0079261B" w:rsidRDefault="000C6C59" w:rsidP="000C6C59">
      <w:pPr>
        <w:spacing w:line="360" w:lineRule="auto"/>
        <w:rPr>
          <w:rFonts w:ascii="Arial" w:hAnsi="Arial" w:cs="Arial"/>
        </w:rPr>
      </w:pPr>
      <w:r w:rsidRPr="0079261B">
        <w:rPr>
          <w:rFonts w:ascii="Arial" w:hAnsi="Arial" w:cs="Arial"/>
        </w:rPr>
        <w:t xml:space="preserve">NHS England (2025) </w:t>
      </w:r>
      <w:r w:rsidRPr="0079261B">
        <w:rPr>
          <w:rFonts w:ascii="Arial" w:hAnsi="Arial" w:cs="Arial"/>
          <w:i/>
          <w:iCs/>
        </w:rPr>
        <w:t>Liaison and Diversion services: National service specification and outcomes framework</w:t>
      </w:r>
      <w:r w:rsidRPr="0079261B">
        <w:rPr>
          <w:rFonts w:ascii="Arial" w:hAnsi="Arial" w:cs="Arial"/>
        </w:rPr>
        <w:t xml:space="preserve">. Available at: </w:t>
      </w:r>
      <w:hyperlink r:id="rId13" w:history="1">
        <w:r w:rsidRPr="00F36024">
          <w:rPr>
            <w:rStyle w:val="Hyperlink"/>
            <w:rFonts w:ascii="Arial" w:hAnsi="Arial" w:cs="Arial"/>
            <w:color w:val="auto"/>
          </w:rPr>
          <w:t>https://www.england.nhs.uk/commissioning/health-just/</w:t>
        </w:r>
      </w:hyperlink>
      <w:r w:rsidR="00F36024">
        <w:rPr>
          <w:rStyle w:val="Hyperlink"/>
          <w:rFonts w:ascii="Arial" w:hAnsi="Arial" w:cs="Arial"/>
          <w:color w:val="auto"/>
        </w:rPr>
        <w:t xml:space="preserve"> </w:t>
      </w:r>
    </w:p>
    <w:p w14:paraId="1ED8F24C" w14:textId="77777777" w:rsidR="000C6C59" w:rsidRPr="0079261B" w:rsidRDefault="000C6C59" w:rsidP="000C6C59">
      <w:pPr>
        <w:spacing w:line="360" w:lineRule="auto"/>
        <w:rPr>
          <w:rFonts w:ascii="Arial" w:hAnsi="Arial" w:cs="Arial"/>
        </w:rPr>
      </w:pPr>
    </w:p>
    <w:p w14:paraId="03D41A91" w14:textId="77777777" w:rsidR="000C6C59" w:rsidRPr="0079261B" w:rsidRDefault="000C6C59" w:rsidP="000C6C59">
      <w:pPr>
        <w:spacing w:line="360" w:lineRule="auto"/>
        <w:rPr>
          <w:rFonts w:ascii="Arial" w:hAnsi="Arial" w:cs="Arial"/>
        </w:rPr>
      </w:pPr>
      <w:r w:rsidRPr="0079261B">
        <w:rPr>
          <w:rFonts w:ascii="Arial" w:hAnsi="Arial" w:cs="Arial"/>
        </w:rPr>
        <w:t xml:space="preserve">Public Health England (2023) </w:t>
      </w:r>
      <w:r w:rsidRPr="0079261B">
        <w:rPr>
          <w:rFonts w:ascii="Arial" w:hAnsi="Arial" w:cs="Arial"/>
          <w:i/>
          <w:iCs/>
        </w:rPr>
        <w:t>Health and justice annual report: mental health in the criminal justice system</w:t>
      </w:r>
      <w:r w:rsidRPr="0079261B">
        <w:rPr>
          <w:rFonts w:ascii="Arial" w:hAnsi="Arial" w:cs="Arial"/>
        </w:rPr>
        <w:t xml:space="preserve">. Available at: </w:t>
      </w:r>
      <w:hyperlink r:id="rId14" w:history="1">
        <w:r w:rsidRPr="0079261B">
          <w:rPr>
            <w:rStyle w:val="Hyperlink"/>
            <w:rFonts w:ascii="Arial" w:hAnsi="Arial" w:cs="Arial"/>
          </w:rPr>
          <w:t>https://www.gov.uk/government/organisations/public-health-england</w:t>
        </w:r>
      </w:hyperlink>
    </w:p>
    <w:p w14:paraId="7B0BCEB1" w14:textId="77777777" w:rsidR="000C6C59" w:rsidRPr="0079261B" w:rsidRDefault="000C6C59" w:rsidP="000C6C59">
      <w:pPr>
        <w:spacing w:line="360" w:lineRule="auto"/>
        <w:rPr>
          <w:rFonts w:ascii="Arial" w:hAnsi="Arial" w:cs="Arial"/>
        </w:rPr>
      </w:pPr>
    </w:p>
    <w:p w14:paraId="0F0547FA" w14:textId="77777777" w:rsidR="000C6C59" w:rsidRPr="0079261B" w:rsidRDefault="000C6C59" w:rsidP="000C6C59">
      <w:pPr>
        <w:spacing w:line="360" w:lineRule="auto"/>
        <w:rPr>
          <w:rStyle w:val="Hyperlink"/>
          <w:rFonts w:ascii="Arial" w:hAnsi="Arial" w:cs="Arial"/>
        </w:rPr>
      </w:pPr>
      <w:r w:rsidRPr="0079261B">
        <w:rPr>
          <w:rFonts w:ascii="Arial" w:hAnsi="Arial" w:cs="Arial"/>
        </w:rPr>
        <w:lastRenderedPageBreak/>
        <w:t>RAND Corporation</w:t>
      </w:r>
      <w:r w:rsidRPr="0079261B">
        <w:rPr>
          <w:rFonts w:ascii="Arial" w:hAnsi="Arial" w:cs="Arial"/>
          <w:color w:val="FF0000"/>
        </w:rPr>
        <w:t xml:space="preserve"> </w:t>
      </w:r>
      <w:r w:rsidRPr="0079261B">
        <w:rPr>
          <w:rFonts w:ascii="Arial" w:hAnsi="Arial" w:cs="Arial"/>
        </w:rPr>
        <w:t xml:space="preserve">(2021) </w:t>
      </w:r>
      <w:r w:rsidRPr="0079261B">
        <w:rPr>
          <w:rFonts w:ascii="Arial" w:hAnsi="Arial" w:cs="Arial"/>
          <w:i/>
          <w:iCs/>
        </w:rPr>
        <w:t>Evaluation of Liaison and Diversion Services in England and Wales</w:t>
      </w:r>
      <w:r w:rsidRPr="0079261B">
        <w:rPr>
          <w:rFonts w:ascii="Arial" w:hAnsi="Arial" w:cs="Arial"/>
        </w:rPr>
        <w:t xml:space="preserve">. Available at: </w:t>
      </w:r>
      <w:hyperlink r:id="rId15" w:history="1">
        <w:r w:rsidRPr="0079261B">
          <w:rPr>
            <w:rStyle w:val="Hyperlink"/>
            <w:rFonts w:ascii="Arial" w:hAnsi="Arial" w:cs="Arial"/>
          </w:rPr>
          <w:t>https://www.rand.org/pubs/research_reports/RRA1271-1.html</w:t>
        </w:r>
      </w:hyperlink>
    </w:p>
    <w:p w14:paraId="58A6F60B" w14:textId="77777777" w:rsidR="000C6C59" w:rsidRPr="0079261B" w:rsidRDefault="000C6C59" w:rsidP="000C6C59">
      <w:pPr>
        <w:spacing w:line="360" w:lineRule="auto"/>
        <w:rPr>
          <w:rStyle w:val="Hyperlink"/>
          <w:rFonts w:ascii="Arial" w:hAnsi="Arial" w:cs="Arial"/>
        </w:rPr>
      </w:pPr>
    </w:p>
    <w:p w14:paraId="1839F4FE" w14:textId="77777777" w:rsidR="000C6C59" w:rsidRPr="0079261B" w:rsidRDefault="000C6C59" w:rsidP="000C6C59">
      <w:pPr>
        <w:spacing w:line="360" w:lineRule="auto"/>
        <w:rPr>
          <w:rFonts w:ascii="Arial" w:hAnsi="Arial" w:cs="Arial"/>
        </w:rPr>
      </w:pPr>
      <w:r w:rsidRPr="0079261B">
        <w:rPr>
          <w:rFonts w:ascii="Arial" w:hAnsi="Arial" w:cs="Arial"/>
        </w:rPr>
        <w:t xml:space="preserve">Rose, N. (1999) </w:t>
      </w:r>
      <w:r w:rsidRPr="0079261B">
        <w:rPr>
          <w:rFonts w:ascii="Arial" w:hAnsi="Arial" w:cs="Arial"/>
          <w:i/>
          <w:iCs/>
        </w:rPr>
        <w:t>Powers of Freedom: Reframing Political Thought</w:t>
      </w:r>
      <w:r w:rsidRPr="0079261B">
        <w:rPr>
          <w:rFonts w:ascii="Arial" w:hAnsi="Arial" w:cs="Arial"/>
        </w:rPr>
        <w:t>. Cambridge: Cambridge University Press.</w:t>
      </w:r>
    </w:p>
    <w:p w14:paraId="02786475" w14:textId="77777777" w:rsidR="000C6C59" w:rsidRPr="0079261B" w:rsidRDefault="000C6C59" w:rsidP="000C6C59">
      <w:pPr>
        <w:spacing w:line="360" w:lineRule="auto"/>
        <w:rPr>
          <w:rFonts w:ascii="Arial" w:hAnsi="Arial" w:cs="Arial"/>
        </w:rPr>
      </w:pPr>
    </w:p>
    <w:p w14:paraId="5FB2881C" w14:textId="77777777" w:rsidR="000C6C59" w:rsidRPr="0079261B" w:rsidRDefault="000C6C59" w:rsidP="000C6C59">
      <w:pPr>
        <w:spacing w:line="360" w:lineRule="auto"/>
        <w:rPr>
          <w:rFonts w:ascii="Arial" w:hAnsi="Arial" w:cs="Arial"/>
        </w:rPr>
      </w:pPr>
      <w:r w:rsidRPr="0079261B">
        <w:rPr>
          <w:rFonts w:ascii="Arial" w:hAnsi="Arial" w:cs="Arial"/>
        </w:rPr>
        <w:t xml:space="preserve">Senedd Research (2024) </w:t>
      </w:r>
      <w:r w:rsidRPr="0079261B">
        <w:rPr>
          <w:rFonts w:ascii="Arial" w:hAnsi="Arial" w:cs="Arial"/>
          <w:i/>
          <w:iCs/>
        </w:rPr>
        <w:t>Reforming the Mental Health Act 1983: What it means for Wales</w:t>
      </w:r>
      <w:r w:rsidRPr="0079261B">
        <w:rPr>
          <w:rFonts w:ascii="Arial" w:hAnsi="Arial" w:cs="Arial"/>
        </w:rPr>
        <w:t xml:space="preserve">. Available at: </w:t>
      </w:r>
      <w:hyperlink r:id="rId16" w:history="1">
        <w:r w:rsidRPr="0079261B">
          <w:rPr>
            <w:rStyle w:val="Hyperlink"/>
            <w:rFonts w:ascii="Arial" w:hAnsi="Arial" w:cs="Arial"/>
          </w:rPr>
          <w:t>https://research.senedd.wales/research-articles/reforming-the-mental-health-act-1983-what-it-means-for-wales/</w:t>
        </w:r>
      </w:hyperlink>
    </w:p>
    <w:p w14:paraId="5F1C8F6F" w14:textId="77777777" w:rsidR="000C6C59" w:rsidRPr="0079261B" w:rsidRDefault="000C6C59" w:rsidP="000C6C59">
      <w:pPr>
        <w:spacing w:line="360" w:lineRule="auto"/>
        <w:rPr>
          <w:rFonts w:ascii="Arial" w:hAnsi="Arial" w:cs="Arial"/>
        </w:rPr>
      </w:pPr>
    </w:p>
    <w:p w14:paraId="65B7906E" w14:textId="77777777" w:rsidR="000C6C59" w:rsidRPr="0079261B" w:rsidRDefault="000C6C59" w:rsidP="000C6C59">
      <w:pPr>
        <w:pStyle w:val="NormalWeb"/>
        <w:spacing w:line="360" w:lineRule="auto"/>
        <w:rPr>
          <w:rFonts w:ascii="Arial" w:hAnsi="Arial" w:cs="Arial"/>
          <w:color w:val="000000"/>
        </w:rPr>
      </w:pPr>
      <w:r w:rsidRPr="0079261B">
        <w:rPr>
          <w:rFonts w:ascii="Arial" w:hAnsi="Arial" w:cs="Arial"/>
          <w:color w:val="000000"/>
        </w:rPr>
        <w:t>The King's Fund (2020)</w:t>
      </w:r>
      <w:r w:rsidRPr="0079261B">
        <w:rPr>
          <w:rStyle w:val="apple-converted-space"/>
          <w:rFonts w:ascii="Arial" w:eastAsiaTheme="majorEastAsia" w:hAnsi="Arial" w:cs="Arial"/>
          <w:color w:val="000000"/>
        </w:rPr>
        <w:t> </w:t>
      </w:r>
      <w:r w:rsidRPr="0079261B">
        <w:rPr>
          <w:rStyle w:val="Emphasis"/>
          <w:rFonts w:ascii="Arial" w:eastAsiaTheme="majorEastAsia" w:hAnsi="Arial" w:cs="Arial"/>
          <w:color w:val="000000"/>
        </w:rPr>
        <w:t>Integrating health and social care: Evidence and policy</w:t>
      </w:r>
      <w:r w:rsidRPr="0079261B">
        <w:rPr>
          <w:rFonts w:ascii="Arial" w:hAnsi="Arial" w:cs="Arial"/>
          <w:color w:val="000000"/>
        </w:rPr>
        <w:t>. London: The King's Fund.</w:t>
      </w:r>
    </w:p>
    <w:p w14:paraId="4E2CB682" w14:textId="77777777" w:rsidR="000C6C59" w:rsidRPr="0079261B" w:rsidRDefault="000C6C59" w:rsidP="000C6C59">
      <w:pPr>
        <w:suppressAutoHyphens w:val="0"/>
        <w:autoSpaceDN/>
        <w:spacing w:before="100" w:beforeAutospacing="1" w:after="100" w:afterAutospacing="1" w:line="360" w:lineRule="auto"/>
        <w:rPr>
          <w:rFonts w:ascii="Arial" w:hAnsi="Arial" w:cs="Arial"/>
        </w:rPr>
      </w:pPr>
    </w:p>
    <w:p w14:paraId="24627E4F" w14:textId="77777777" w:rsidR="000C6C59" w:rsidRPr="0079261B" w:rsidRDefault="000C6C59" w:rsidP="000C6C59">
      <w:pPr>
        <w:suppressAutoHyphens w:val="0"/>
        <w:autoSpaceDN/>
        <w:spacing w:before="100" w:beforeAutospacing="1" w:after="100" w:afterAutospacing="1" w:line="360" w:lineRule="auto"/>
        <w:rPr>
          <w:rStyle w:val="identifier"/>
          <w:rFonts w:ascii="Arial" w:hAnsi="Arial" w:cs="Arial"/>
          <w:color w:val="FF0000"/>
        </w:rPr>
      </w:pPr>
      <w:r w:rsidRPr="0079261B">
        <w:rPr>
          <w:rFonts w:ascii="Arial" w:hAnsi="Arial" w:cs="Arial"/>
        </w:rPr>
        <w:t xml:space="preserve">Thornicroft, G., Deb, T. and Henderson, C. (2016) ‘Community mental health care worldwide’, </w:t>
      </w:r>
      <w:r w:rsidRPr="0079261B">
        <w:rPr>
          <w:rFonts w:ascii="Arial" w:hAnsi="Arial" w:cs="Arial"/>
          <w:i/>
          <w:iCs/>
        </w:rPr>
        <w:t>World Psychiatry</w:t>
      </w:r>
      <w:r w:rsidRPr="0079261B">
        <w:rPr>
          <w:rFonts w:ascii="Arial" w:hAnsi="Arial" w:cs="Arial"/>
        </w:rPr>
        <w:t xml:space="preserve">, 15(3), pp. 245–255. Available at: </w:t>
      </w:r>
      <w:r w:rsidRPr="0079261B">
        <w:rPr>
          <w:rStyle w:val="id-label"/>
          <w:rFonts w:ascii="Arial" w:eastAsiaTheme="majorEastAsia" w:hAnsi="Arial" w:cs="Arial"/>
        </w:rPr>
        <w:t>DOI:</w:t>
      </w:r>
      <w:r w:rsidRPr="0079261B">
        <w:rPr>
          <w:rStyle w:val="apple-converted-space"/>
          <w:rFonts w:ascii="Arial" w:eastAsiaTheme="majorEastAsia" w:hAnsi="Arial" w:cs="Arial"/>
        </w:rPr>
        <w:t> </w:t>
      </w:r>
      <w:hyperlink r:id="rId17" w:tgtFrame="_blank" w:history="1">
        <w:r w:rsidRPr="0079261B">
          <w:rPr>
            <w:rStyle w:val="Hyperlink"/>
            <w:rFonts w:ascii="Arial" w:eastAsiaTheme="majorEastAsia" w:hAnsi="Arial" w:cs="Arial"/>
          </w:rPr>
          <w:t>10.1002/wps.20349</w:t>
        </w:r>
      </w:hyperlink>
    </w:p>
    <w:p w14:paraId="71945172" w14:textId="77777777" w:rsidR="000C6C59" w:rsidRPr="0079261B" w:rsidRDefault="000C6C59" w:rsidP="000C6C59">
      <w:pPr>
        <w:spacing w:line="360" w:lineRule="auto"/>
        <w:ind w:left="360"/>
        <w:rPr>
          <w:rFonts w:ascii="Arial" w:hAnsi="Arial" w:cs="Arial"/>
        </w:rPr>
      </w:pPr>
    </w:p>
    <w:p w14:paraId="62057DD2" w14:textId="77777777" w:rsidR="000C6C59" w:rsidRPr="0079261B" w:rsidRDefault="000C6C59" w:rsidP="000C6C59">
      <w:pPr>
        <w:spacing w:line="360" w:lineRule="auto"/>
        <w:rPr>
          <w:rFonts w:ascii="Arial" w:hAnsi="Arial" w:cs="Arial"/>
        </w:rPr>
      </w:pPr>
      <w:r w:rsidRPr="0079261B">
        <w:rPr>
          <w:rFonts w:ascii="Arial" w:hAnsi="Arial" w:cs="Arial"/>
        </w:rPr>
        <w:t xml:space="preserve">Tyler, T.R. (2006) </w:t>
      </w:r>
      <w:r w:rsidRPr="0079261B">
        <w:rPr>
          <w:rFonts w:ascii="Arial" w:hAnsi="Arial" w:cs="Arial"/>
          <w:i/>
          <w:iCs/>
        </w:rPr>
        <w:t>Why People Obey the Law</w:t>
      </w:r>
      <w:r w:rsidRPr="0079261B">
        <w:rPr>
          <w:rFonts w:ascii="Arial" w:hAnsi="Arial" w:cs="Arial"/>
        </w:rPr>
        <w:t>. Princeton: Princeton University Press</w:t>
      </w:r>
    </w:p>
    <w:p w14:paraId="07B8C16D" w14:textId="77777777" w:rsidR="000C6C59" w:rsidRPr="0079261B" w:rsidRDefault="000C6C59" w:rsidP="000C6C59">
      <w:pPr>
        <w:spacing w:line="360" w:lineRule="auto"/>
        <w:rPr>
          <w:rFonts w:ascii="Arial" w:hAnsi="Arial" w:cs="Arial"/>
        </w:rPr>
      </w:pPr>
      <w:r w:rsidRPr="0079261B">
        <w:rPr>
          <w:rFonts w:ascii="Arial" w:hAnsi="Arial" w:cs="Arial"/>
        </w:rPr>
        <w:t xml:space="preserve">Wacquant, L. (2009) </w:t>
      </w:r>
      <w:r w:rsidRPr="0079261B">
        <w:rPr>
          <w:rFonts w:ascii="Arial" w:hAnsi="Arial" w:cs="Arial"/>
          <w:i/>
          <w:iCs/>
        </w:rPr>
        <w:t>Punishing the Poor: The Neoliberal Government of Social Insecurity</w:t>
      </w:r>
      <w:r w:rsidRPr="0079261B">
        <w:rPr>
          <w:rFonts w:ascii="Arial" w:hAnsi="Arial" w:cs="Arial"/>
        </w:rPr>
        <w:t>. Durham: Duke University Press.</w:t>
      </w:r>
    </w:p>
    <w:p w14:paraId="55E127CC" w14:textId="77777777" w:rsidR="000C6C59" w:rsidRPr="0079261B" w:rsidRDefault="000C6C59" w:rsidP="000C6C59">
      <w:pPr>
        <w:suppressAutoHyphens w:val="0"/>
        <w:autoSpaceDN/>
        <w:spacing w:before="100" w:beforeAutospacing="1" w:after="100" w:afterAutospacing="1" w:line="360" w:lineRule="auto"/>
        <w:rPr>
          <w:rFonts w:ascii="Arial" w:hAnsi="Arial" w:cs="Arial"/>
          <w:color w:val="FF0000"/>
        </w:rPr>
      </w:pPr>
    </w:p>
    <w:p w14:paraId="39C0959A" w14:textId="77777777" w:rsidR="000C6C59" w:rsidRDefault="000C6C59" w:rsidP="000C6C59">
      <w:pPr>
        <w:suppressAutoHyphens w:val="0"/>
        <w:autoSpaceDN/>
        <w:spacing w:before="100" w:beforeAutospacing="1" w:after="100" w:afterAutospacing="1" w:line="360" w:lineRule="auto"/>
        <w:rPr>
          <w:rFonts w:ascii="Arial" w:hAnsi="Arial" w:cs="Arial"/>
          <w:color w:val="000000"/>
        </w:rPr>
      </w:pPr>
      <w:r w:rsidRPr="0079261B">
        <w:rPr>
          <w:rFonts w:ascii="Arial" w:hAnsi="Arial" w:cs="Arial"/>
          <w:color w:val="000000"/>
        </w:rPr>
        <w:t>World Health Organization (2021)</w:t>
      </w:r>
      <w:r w:rsidRPr="0079261B">
        <w:rPr>
          <w:rStyle w:val="apple-converted-space"/>
          <w:rFonts w:ascii="Arial" w:hAnsi="Arial" w:cs="Arial"/>
          <w:color w:val="000000"/>
        </w:rPr>
        <w:t> </w:t>
      </w:r>
      <w:r w:rsidRPr="0079261B">
        <w:rPr>
          <w:rStyle w:val="Emphasis"/>
          <w:rFonts w:ascii="Arial" w:hAnsi="Arial" w:cs="Arial"/>
          <w:color w:val="000000"/>
        </w:rPr>
        <w:t>Guidance on community mental health services: Promoting person-centred and rights-based approaches</w:t>
      </w:r>
      <w:r w:rsidRPr="0079261B">
        <w:rPr>
          <w:rFonts w:ascii="Arial" w:hAnsi="Arial" w:cs="Arial"/>
          <w:color w:val="000000"/>
        </w:rPr>
        <w:t>. Geneva: WHO.</w:t>
      </w:r>
    </w:p>
    <w:p w14:paraId="6538096B" w14:textId="77777777" w:rsidR="001021F3" w:rsidRDefault="001021F3" w:rsidP="000C6C59">
      <w:pPr>
        <w:suppressAutoHyphens w:val="0"/>
        <w:autoSpaceDN/>
        <w:spacing w:before="100" w:beforeAutospacing="1" w:after="100" w:afterAutospacing="1" w:line="360" w:lineRule="auto"/>
        <w:rPr>
          <w:rFonts w:ascii="Arial" w:hAnsi="Arial" w:cs="Arial"/>
          <w:color w:val="000000"/>
        </w:rPr>
      </w:pPr>
    </w:p>
    <w:p w14:paraId="51B301CB" w14:textId="77777777" w:rsidR="001021F3" w:rsidRDefault="001021F3" w:rsidP="000C6C59">
      <w:pPr>
        <w:suppressAutoHyphens w:val="0"/>
        <w:autoSpaceDN/>
        <w:spacing w:before="100" w:beforeAutospacing="1" w:after="100" w:afterAutospacing="1" w:line="360" w:lineRule="auto"/>
        <w:rPr>
          <w:rFonts w:ascii="Arial" w:hAnsi="Arial" w:cs="Arial"/>
          <w:color w:val="000000"/>
        </w:rPr>
      </w:pPr>
    </w:p>
    <w:p w14:paraId="3384E80C" w14:textId="77777777" w:rsidR="001021F3" w:rsidRPr="00BE1FA6" w:rsidRDefault="001021F3" w:rsidP="001021F3">
      <w:pPr>
        <w:ind w:left="720"/>
        <w:rPr>
          <w:rFonts w:ascii="Arial" w:hAnsi="Arial" w:cs="Arial"/>
        </w:rPr>
      </w:pPr>
      <w:r w:rsidRPr="00BE1FA6">
        <w:rPr>
          <w:rFonts w:ascii="Arial" w:hAnsi="Arial" w:cs="Arial"/>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73C0D662" w14:textId="4F7B0DB3" w:rsidR="001021F3" w:rsidRPr="0079261B" w:rsidRDefault="001021F3" w:rsidP="000C6C59">
      <w:pPr>
        <w:suppressAutoHyphens w:val="0"/>
        <w:autoSpaceDN/>
        <w:spacing w:before="100" w:beforeAutospacing="1" w:after="100" w:afterAutospacing="1" w:line="360" w:lineRule="auto"/>
        <w:rPr>
          <w:rFonts w:ascii="Arial" w:hAnsi="Arial" w:cs="Arial"/>
          <w:color w:val="FF0000"/>
        </w:rPr>
      </w:pPr>
      <w:r>
        <w:rPr>
          <w:rFonts w:ascii="Arial" w:hAnsi="Arial" w:cs="Arial"/>
          <w:color w:val="FF0000"/>
        </w:rPr>
        <w:t xml:space="preserve"> </w:t>
      </w:r>
    </w:p>
    <w:p w14:paraId="49ADE77C" w14:textId="77777777" w:rsidR="00FD0F7F" w:rsidRDefault="00FD0F7F"/>
    <w:sectPr w:rsidR="00FD0F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781"/>
    <w:rsid w:val="000C6C59"/>
    <w:rsid w:val="001021F3"/>
    <w:rsid w:val="001F5BD0"/>
    <w:rsid w:val="004A19F5"/>
    <w:rsid w:val="0057704B"/>
    <w:rsid w:val="00C35154"/>
    <w:rsid w:val="00EF0781"/>
    <w:rsid w:val="00F24849"/>
    <w:rsid w:val="00F36024"/>
    <w:rsid w:val="00F65DAF"/>
    <w:rsid w:val="00FD0F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95A0A"/>
  <w15:chartTrackingRefBased/>
  <w15:docId w15:val="{96720140-A006-3048-807F-70D9C1BC7C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6C59"/>
    <w:pPr>
      <w:suppressAutoHyphens/>
      <w:autoSpaceDN w:val="0"/>
      <w:spacing w:after="160" w:line="276" w:lineRule="auto"/>
    </w:pPr>
    <w:rPr>
      <w:rFonts w:ascii="Aptos" w:eastAsia="Aptos" w:hAnsi="Aptos" w:cs="Times New Roman"/>
      <w:kern w:val="3"/>
      <w14:ligatures w14:val="none"/>
    </w:rPr>
  </w:style>
  <w:style w:type="paragraph" w:styleId="Heading1">
    <w:name w:val="heading 1"/>
    <w:basedOn w:val="Normal"/>
    <w:next w:val="Normal"/>
    <w:link w:val="Heading1Char"/>
    <w:uiPriority w:val="9"/>
    <w:qFormat/>
    <w:rsid w:val="00EF0781"/>
    <w:pPr>
      <w:keepNext/>
      <w:keepLines/>
      <w:suppressAutoHyphens w:val="0"/>
      <w:autoSpaceDN/>
      <w:spacing w:before="360" w:after="80" w:line="240"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EF0781"/>
    <w:pPr>
      <w:keepNext/>
      <w:keepLines/>
      <w:suppressAutoHyphens w:val="0"/>
      <w:autoSpaceDN/>
      <w:spacing w:before="160" w:after="80" w:line="240"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EF0781"/>
    <w:pPr>
      <w:keepNext/>
      <w:keepLines/>
      <w:suppressAutoHyphens w:val="0"/>
      <w:autoSpaceDN/>
      <w:spacing w:before="160" w:after="80" w:line="240"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EF0781"/>
    <w:pPr>
      <w:keepNext/>
      <w:keepLines/>
      <w:suppressAutoHyphens w:val="0"/>
      <w:autoSpaceDN/>
      <w:spacing w:before="80" w:after="40" w:line="240"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EF0781"/>
    <w:pPr>
      <w:keepNext/>
      <w:keepLines/>
      <w:suppressAutoHyphens w:val="0"/>
      <w:autoSpaceDN/>
      <w:spacing w:before="80" w:after="40" w:line="240"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EF0781"/>
    <w:pPr>
      <w:keepNext/>
      <w:keepLines/>
      <w:suppressAutoHyphens w:val="0"/>
      <w:autoSpaceDN/>
      <w:spacing w:before="40" w:after="0" w:line="240"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EF0781"/>
    <w:pPr>
      <w:keepNext/>
      <w:keepLines/>
      <w:suppressAutoHyphens w:val="0"/>
      <w:autoSpaceDN/>
      <w:spacing w:before="40" w:after="0" w:line="240"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EF0781"/>
    <w:pPr>
      <w:keepNext/>
      <w:keepLines/>
      <w:suppressAutoHyphens w:val="0"/>
      <w:autoSpaceDN/>
      <w:spacing w:after="0" w:line="240"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EF0781"/>
    <w:pPr>
      <w:keepNext/>
      <w:keepLines/>
      <w:suppressAutoHyphens w:val="0"/>
      <w:autoSpaceDN/>
      <w:spacing w:after="0" w:line="240"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07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07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07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07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07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07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07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07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0781"/>
    <w:rPr>
      <w:rFonts w:eastAsiaTheme="majorEastAsia" w:cstheme="majorBidi"/>
      <w:color w:val="272727" w:themeColor="text1" w:themeTint="D8"/>
    </w:rPr>
  </w:style>
  <w:style w:type="paragraph" w:styleId="Title">
    <w:name w:val="Title"/>
    <w:basedOn w:val="Normal"/>
    <w:next w:val="Normal"/>
    <w:link w:val="TitleChar"/>
    <w:uiPriority w:val="10"/>
    <w:qFormat/>
    <w:rsid w:val="00EF0781"/>
    <w:pPr>
      <w:suppressAutoHyphens w:val="0"/>
      <w:autoSpaceDN/>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EF07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0781"/>
    <w:pPr>
      <w:numPr>
        <w:ilvl w:val="1"/>
      </w:numPr>
      <w:suppressAutoHyphens w:val="0"/>
      <w:autoSpaceDN/>
      <w:spacing w:line="240"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EF07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0781"/>
    <w:pPr>
      <w:suppressAutoHyphens w:val="0"/>
      <w:autoSpaceDN/>
      <w:spacing w:before="160" w:line="240" w:lineRule="auto"/>
      <w:jc w:val="center"/>
    </w:pPr>
    <w:rPr>
      <w:rFonts w:asciiTheme="minorHAnsi" w:eastAsiaTheme="minorHAnsi"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EF0781"/>
    <w:rPr>
      <w:i/>
      <w:iCs/>
      <w:color w:val="404040" w:themeColor="text1" w:themeTint="BF"/>
    </w:rPr>
  </w:style>
  <w:style w:type="paragraph" w:styleId="ListParagraph">
    <w:name w:val="List Paragraph"/>
    <w:basedOn w:val="Normal"/>
    <w:uiPriority w:val="34"/>
    <w:qFormat/>
    <w:rsid w:val="00EF0781"/>
    <w:pPr>
      <w:suppressAutoHyphens w:val="0"/>
      <w:autoSpaceDN/>
      <w:spacing w:after="0" w:line="240" w:lineRule="auto"/>
      <w:ind w:left="720"/>
      <w:contextualSpacing/>
    </w:pPr>
    <w:rPr>
      <w:rFonts w:asciiTheme="minorHAnsi" w:eastAsiaTheme="minorHAnsi" w:hAnsiTheme="minorHAnsi" w:cstheme="minorBidi"/>
      <w:kern w:val="2"/>
      <w14:ligatures w14:val="standardContextual"/>
    </w:rPr>
  </w:style>
  <w:style w:type="character" w:styleId="IntenseEmphasis">
    <w:name w:val="Intense Emphasis"/>
    <w:basedOn w:val="DefaultParagraphFont"/>
    <w:uiPriority w:val="21"/>
    <w:qFormat/>
    <w:rsid w:val="00EF0781"/>
    <w:rPr>
      <w:i/>
      <w:iCs/>
      <w:color w:val="0F4761" w:themeColor="accent1" w:themeShade="BF"/>
    </w:rPr>
  </w:style>
  <w:style w:type="paragraph" w:styleId="IntenseQuote">
    <w:name w:val="Intense Quote"/>
    <w:basedOn w:val="Normal"/>
    <w:next w:val="Normal"/>
    <w:link w:val="IntenseQuoteChar"/>
    <w:uiPriority w:val="30"/>
    <w:qFormat/>
    <w:rsid w:val="00EF0781"/>
    <w:pPr>
      <w:pBdr>
        <w:top w:val="single" w:sz="4" w:space="10" w:color="0F4761" w:themeColor="accent1" w:themeShade="BF"/>
        <w:bottom w:val="single" w:sz="4" w:space="10" w:color="0F4761" w:themeColor="accent1" w:themeShade="BF"/>
      </w:pBdr>
      <w:suppressAutoHyphens w:val="0"/>
      <w:autoSpaceDN/>
      <w:spacing w:before="360" w:after="360" w:line="240" w:lineRule="auto"/>
      <w:ind w:left="864" w:right="864"/>
      <w:jc w:val="center"/>
    </w:pPr>
    <w:rPr>
      <w:rFonts w:asciiTheme="minorHAnsi" w:eastAsiaTheme="minorHAnsi"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EF0781"/>
    <w:rPr>
      <w:i/>
      <w:iCs/>
      <w:color w:val="0F4761" w:themeColor="accent1" w:themeShade="BF"/>
    </w:rPr>
  </w:style>
  <w:style w:type="character" w:styleId="IntenseReference">
    <w:name w:val="Intense Reference"/>
    <w:basedOn w:val="DefaultParagraphFont"/>
    <w:uiPriority w:val="32"/>
    <w:qFormat/>
    <w:rsid w:val="00EF0781"/>
    <w:rPr>
      <w:b/>
      <w:bCs/>
      <w:smallCaps/>
      <w:color w:val="0F4761" w:themeColor="accent1" w:themeShade="BF"/>
      <w:spacing w:val="5"/>
    </w:rPr>
  </w:style>
  <w:style w:type="paragraph" w:styleId="NormalWeb">
    <w:name w:val="Normal (Web)"/>
    <w:basedOn w:val="Normal"/>
    <w:uiPriority w:val="99"/>
    <w:rsid w:val="000C6C59"/>
    <w:pPr>
      <w:spacing w:before="100" w:after="100" w:line="240" w:lineRule="auto"/>
    </w:pPr>
    <w:rPr>
      <w:rFonts w:ascii="Times New Roman" w:eastAsia="Times New Roman" w:hAnsi="Times New Roman"/>
      <w:kern w:val="0"/>
      <w:lang w:eastAsia="en-GB"/>
    </w:rPr>
  </w:style>
  <w:style w:type="character" w:styleId="Hyperlink">
    <w:name w:val="Hyperlink"/>
    <w:basedOn w:val="DefaultParagraphFont"/>
    <w:rsid w:val="000C6C59"/>
    <w:rPr>
      <w:color w:val="467886"/>
      <w:u w:val="single"/>
    </w:rPr>
  </w:style>
  <w:style w:type="character" w:customStyle="1" w:styleId="identifier">
    <w:name w:val="identifier"/>
    <w:basedOn w:val="DefaultParagraphFont"/>
    <w:rsid w:val="000C6C59"/>
  </w:style>
  <w:style w:type="character" w:customStyle="1" w:styleId="id-label">
    <w:name w:val="id-label"/>
    <w:basedOn w:val="DefaultParagraphFont"/>
    <w:rsid w:val="000C6C59"/>
  </w:style>
  <w:style w:type="character" w:customStyle="1" w:styleId="apple-converted-space">
    <w:name w:val="apple-converted-space"/>
    <w:basedOn w:val="DefaultParagraphFont"/>
    <w:rsid w:val="000C6C59"/>
  </w:style>
  <w:style w:type="character" w:customStyle="1" w:styleId="whitespace-normal">
    <w:name w:val="whitespace-normal"/>
    <w:basedOn w:val="DefaultParagraphFont"/>
    <w:rsid w:val="000C6C59"/>
  </w:style>
  <w:style w:type="character" w:styleId="Emphasis">
    <w:name w:val="Emphasis"/>
    <w:basedOn w:val="DefaultParagraphFont"/>
    <w:uiPriority w:val="20"/>
    <w:qFormat/>
    <w:rsid w:val="000C6C59"/>
    <w:rPr>
      <w:i/>
      <w:iCs/>
    </w:rPr>
  </w:style>
  <w:style w:type="character" w:styleId="FollowedHyperlink">
    <w:name w:val="FollowedHyperlink"/>
    <w:basedOn w:val="DefaultParagraphFont"/>
    <w:uiPriority w:val="99"/>
    <w:semiHidden/>
    <w:unhideWhenUsed/>
    <w:rsid w:val="000C6C5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wp-content/uploads/2023/12/PRN00321-The-offender-personality-disorder-pathway-a-joint-strategy-for-2023-to-2028.pdf" TargetMode="External"/><Relationship Id="rId13" Type="http://schemas.openxmlformats.org/officeDocument/2006/relationships/hyperlink" Target="https://www.england.nhs.uk/commissioning/health-just/"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080/13218719.2012.711683" TargetMode="External"/><Relationship Id="rId12" Type="http://schemas.openxmlformats.org/officeDocument/2006/relationships/hyperlink" Target="https://www.england.nhs.uk/long-read/the-offender-personality-disorder-pathway/" TargetMode="External"/><Relationship Id="rId17" Type="http://schemas.openxmlformats.org/officeDocument/2006/relationships/hyperlink" Target="https://doi.org/10.1002/wps.20349" TargetMode="External"/><Relationship Id="rId2" Type="http://schemas.openxmlformats.org/officeDocument/2006/relationships/settings" Target="settings.xml"/><Relationship Id="rId16" Type="http://schemas.openxmlformats.org/officeDocument/2006/relationships/hyperlink" Target="https://research.senedd.wales/research-articles/reforming-the-mental-health-act-1983-what-it-means-for-wales/?utm_source=chatgpt.com" TargetMode="External"/><Relationship Id="rId1" Type="http://schemas.openxmlformats.org/officeDocument/2006/relationships/styles" Target="styles.xml"/><Relationship Id="rId6" Type="http://schemas.openxmlformats.org/officeDocument/2006/relationships/hyperlink" Target="https://www.equalityhumanrights.com/human-rights/human-rights-tracker/mental-health-welsh-government-action?utm_source=chatgpt.com" TargetMode="External"/><Relationship Id="rId11" Type="http://schemas.openxmlformats.org/officeDocument/2006/relationships/hyperlink" Target="https://www.gov.uk/government/publications/impact-of-short-custodial-sentences-community-orders-and-suspended-sentence-orders-on-reoffending" TargetMode="External"/><Relationship Id="rId5" Type="http://schemas.openxmlformats.org/officeDocument/2006/relationships/hyperlink" Target="https://www.centreformentalhealth.org.uk/wp-content/uploads/2018/09/Centre_for_Mental_Health_MH_and_criminal_justice_PDF.pdf" TargetMode="External"/><Relationship Id="rId15" Type="http://schemas.openxmlformats.org/officeDocument/2006/relationships/hyperlink" Target="https://www.rand.org/pubs/research_reports/RRA1271-1.html" TargetMode="External"/><Relationship Id="rId10" Type="http://schemas.openxmlformats.org/officeDocument/2006/relationships/hyperlink" Target="https://www.legislation.gov.uk/ukpga/1983/20/contents" TargetMode="External"/><Relationship Id="rId19" Type="http://schemas.openxmlformats.org/officeDocument/2006/relationships/theme" Target="theme/theme1.xml"/><Relationship Id="rId4" Type="http://schemas.openxmlformats.org/officeDocument/2006/relationships/hyperlink" Target="https://pure.northampton.ac.uk/ws/portalfiles/portal/87326113/Callender_et_al_2025_An_Evaluation_of_Primary_Care_Mental_Health_Treatment_Requirements_in_England_and_Wales.pdf" TargetMode="External"/><Relationship Id="rId9" Type="http://schemas.openxmlformats.org/officeDocument/2006/relationships/hyperlink" Target="https://www.gov.uk/government/publications/lammy-review-final-report" TargetMode="External"/><Relationship Id="rId14" Type="http://schemas.openxmlformats.org/officeDocument/2006/relationships/hyperlink" Target="https://www.gov.uk/government/organisations/public-health-engl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2484</Words>
  <Characters>14159</Characters>
  <Application>Microsoft Office Word</Application>
  <DocSecurity>0</DocSecurity>
  <Lines>117</Lines>
  <Paragraphs>33</Paragraphs>
  <ScaleCrop>false</ScaleCrop>
  <Company/>
  <LinksUpToDate>false</LinksUpToDate>
  <CharactersWithSpaces>16610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Maddison Or Maddie McCarthy (2500781)</dc:creator>
  <cp:keywords/>
  <dc:description/>
  <cp:lastModifiedBy>Maddison Or Maddie McCarthy (2500781)</cp:lastModifiedBy>
  <cp:revision>4</cp:revision>
  <dcterms:created xsi:type="dcterms:W3CDTF">2026-05-01T22:49:00Z</dcterms:created>
  <dcterms:modified xsi:type="dcterms:W3CDTF">2026-05-01T22:55:00Z</dcterms:modified>
</cp:coreProperties>
</file>