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918E21" w14:textId="77777777" w:rsidR="00C20DDC" w:rsidRPr="00760526" w:rsidRDefault="00C20DDC" w:rsidP="00C20DDC">
      <w:pPr>
        <w:pStyle w:val="NoSpacing"/>
        <w:rPr>
          <w:b/>
          <w:bCs/>
          <w:sz w:val="24"/>
          <w:szCs w:val="24"/>
          <w:lang w:val="en-US"/>
        </w:rPr>
      </w:pPr>
      <w:r w:rsidRPr="00760526">
        <w:rPr>
          <w:b/>
          <w:bCs/>
          <w:sz w:val="24"/>
          <w:szCs w:val="24"/>
          <w:lang w:val="en-US"/>
        </w:rPr>
        <w:t>Build UK</w:t>
      </w:r>
    </w:p>
    <w:p w14:paraId="0C063A92" w14:textId="77777777" w:rsidR="00C20DDC" w:rsidRPr="00760526" w:rsidRDefault="00C20DDC" w:rsidP="00C20DDC">
      <w:pPr>
        <w:pStyle w:val="NoSpacing"/>
        <w:rPr>
          <w:b/>
          <w:bCs/>
          <w:sz w:val="24"/>
          <w:szCs w:val="24"/>
          <w:lang w:val="en-US"/>
        </w:rPr>
      </w:pPr>
      <w:r w:rsidRPr="00760526">
        <w:rPr>
          <w:b/>
          <w:bCs/>
          <w:sz w:val="24"/>
          <w:szCs w:val="24"/>
          <w:lang w:val="en-US"/>
        </w:rPr>
        <w:t>Training and Skills Quarter 2</w:t>
      </w:r>
      <w:r>
        <w:rPr>
          <w:b/>
          <w:bCs/>
          <w:sz w:val="24"/>
          <w:szCs w:val="24"/>
          <w:lang w:val="en-US"/>
        </w:rPr>
        <w:t xml:space="preserve"> and 3</w:t>
      </w:r>
      <w:r w:rsidRPr="00760526">
        <w:rPr>
          <w:b/>
          <w:bCs/>
          <w:sz w:val="24"/>
          <w:szCs w:val="24"/>
          <w:lang w:val="en-US"/>
        </w:rPr>
        <w:t xml:space="preserve"> Report August 2019</w:t>
      </w:r>
    </w:p>
    <w:p w14:paraId="66019774" w14:textId="77777777" w:rsidR="00C20DDC" w:rsidRDefault="00C20DDC" w:rsidP="00C20DDC">
      <w:pPr>
        <w:pStyle w:val="NoSpacing"/>
        <w:rPr>
          <w:lang w:val="en-US"/>
        </w:rPr>
      </w:pPr>
    </w:p>
    <w:p w14:paraId="661C219E" w14:textId="414E986E" w:rsidR="00C20DDC" w:rsidRDefault="00C20DDC" w:rsidP="00C20DDC">
      <w:pPr>
        <w:pStyle w:val="NoSpacing"/>
        <w:rPr>
          <w:lang w:val="en-US"/>
        </w:rPr>
      </w:pPr>
      <w:r>
        <w:rPr>
          <w:lang w:val="en-US"/>
        </w:rPr>
        <w:t xml:space="preserve">Build UK carried out a survey of its members during the second quarter of 2019.  This survey was carried out to </w:t>
      </w:r>
      <w:r>
        <w:rPr>
          <w:i/>
          <w:iCs/>
          <w:lang w:val="en-US"/>
        </w:rPr>
        <w:t xml:space="preserve">“assess the provision of training, issues around recruitment and the skills needs of the industry” </w:t>
      </w:r>
      <w:r w:rsidRPr="00760526">
        <w:rPr>
          <w:lang w:val="en-US"/>
        </w:rPr>
        <w:t>(Lyons</w:t>
      </w:r>
      <w:r w:rsidR="00153BD5">
        <w:rPr>
          <w:lang w:val="en-US"/>
        </w:rPr>
        <w:t>,</w:t>
      </w:r>
      <w:r w:rsidRPr="00760526">
        <w:rPr>
          <w:lang w:val="en-US"/>
        </w:rPr>
        <w:t xml:space="preserve"> 2019</w:t>
      </w:r>
      <w:r>
        <w:rPr>
          <w:lang w:val="en-US"/>
        </w:rPr>
        <w:t>a).  This survey found</w:t>
      </w:r>
      <w:r w:rsidR="00037646">
        <w:rPr>
          <w:lang w:val="en-US"/>
        </w:rPr>
        <w:t>;</w:t>
      </w:r>
    </w:p>
    <w:p w14:paraId="60429A7D" w14:textId="77777777" w:rsidR="00C20DDC" w:rsidRDefault="00C20DDC" w:rsidP="00C20DDC">
      <w:pPr>
        <w:pStyle w:val="NoSpacing"/>
        <w:rPr>
          <w:lang w:val="en-US"/>
        </w:rPr>
      </w:pPr>
    </w:p>
    <w:p w14:paraId="762DA36B" w14:textId="77777777" w:rsidR="00C20DDC" w:rsidRPr="00760526" w:rsidRDefault="00C20DDC" w:rsidP="00C20DDC">
      <w:pPr>
        <w:pStyle w:val="NoSpacing"/>
        <w:numPr>
          <w:ilvl w:val="0"/>
          <w:numId w:val="1"/>
        </w:numPr>
        <w:rPr>
          <w:i/>
          <w:iCs/>
          <w:lang w:val="en-US"/>
        </w:rPr>
      </w:pPr>
      <w:r>
        <w:rPr>
          <w:lang w:val="en-US"/>
        </w:rPr>
        <w:t>53% of members felt that the recruitment of skilled workers was harder that in the previous quarter</w:t>
      </w:r>
    </w:p>
    <w:p w14:paraId="4FE3434B" w14:textId="77777777" w:rsidR="00C20DDC" w:rsidRPr="00760526" w:rsidRDefault="00C20DDC" w:rsidP="00C20DDC">
      <w:pPr>
        <w:pStyle w:val="NoSpacing"/>
        <w:numPr>
          <w:ilvl w:val="0"/>
          <w:numId w:val="1"/>
        </w:numPr>
        <w:rPr>
          <w:i/>
          <w:iCs/>
          <w:lang w:val="en-US"/>
        </w:rPr>
      </w:pPr>
      <w:r>
        <w:rPr>
          <w:lang w:val="en-US"/>
        </w:rPr>
        <w:t>49% of members were unable to expand their business due to shortfalls of skilled staff</w:t>
      </w:r>
    </w:p>
    <w:p w14:paraId="5C998529" w14:textId="77777777" w:rsidR="00C20DDC" w:rsidRDefault="00C20DDC" w:rsidP="00C20DDC">
      <w:pPr>
        <w:pStyle w:val="NoSpacing"/>
        <w:numPr>
          <w:ilvl w:val="0"/>
          <w:numId w:val="1"/>
        </w:numPr>
        <w:rPr>
          <w:i/>
          <w:iCs/>
          <w:lang w:val="en-US"/>
        </w:rPr>
      </w:pPr>
      <w:r>
        <w:rPr>
          <w:lang w:val="en-US"/>
        </w:rPr>
        <w:t>60% of members felt there was a shortfall of apprentices to meet industry demands</w:t>
      </w:r>
      <w:r>
        <w:rPr>
          <w:i/>
          <w:iCs/>
          <w:lang w:val="en-US"/>
        </w:rPr>
        <w:t>.</w:t>
      </w:r>
    </w:p>
    <w:p w14:paraId="08966BD6" w14:textId="77777777" w:rsidR="00C20DDC" w:rsidRDefault="00C20DDC" w:rsidP="00C20DDC">
      <w:pPr>
        <w:pStyle w:val="NoSpacing"/>
        <w:rPr>
          <w:i/>
          <w:iCs/>
          <w:lang w:val="en-US"/>
        </w:rPr>
      </w:pPr>
    </w:p>
    <w:p w14:paraId="0DB3A07A" w14:textId="77777777" w:rsidR="00C20DDC" w:rsidRDefault="00C20DDC" w:rsidP="00C20DDC">
      <w:pPr>
        <w:pStyle w:val="NoSpacing"/>
        <w:rPr>
          <w:lang w:val="en-US"/>
        </w:rPr>
      </w:pPr>
      <w:r>
        <w:rPr>
          <w:lang w:val="en-US"/>
        </w:rPr>
        <w:t xml:space="preserve">With the shortfall of skilled workers within the construction industry, it is becoming a constant battle to keep them within their organizations.  This in turn leads to an inflation of wages as well as preventing some businesses from expanding.  The fact that 60% of the members felt that there were not enough apprentices to meet industry demands is alarming. This will only make the situation worse and more should be done to improve the number of skilled workers in the industry.  Build UK completed the same survey again to see if there were any changes during the third quarter of 2019.  </w:t>
      </w:r>
    </w:p>
    <w:p w14:paraId="3F20107B" w14:textId="77777777" w:rsidR="00C20DDC" w:rsidRDefault="00C20DDC" w:rsidP="00C20DDC">
      <w:pPr>
        <w:pStyle w:val="NoSpacing"/>
        <w:rPr>
          <w:lang w:val="en-US"/>
        </w:rPr>
      </w:pPr>
    </w:p>
    <w:p w14:paraId="4C25264F" w14:textId="3CB0FE06" w:rsidR="00C20DDC" w:rsidRDefault="00C20DDC" w:rsidP="00C20DDC">
      <w:pPr>
        <w:pStyle w:val="NoSpacing"/>
        <w:rPr>
          <w:rFonts w:cstheme="minorHAnsi"/>
        </w:rPr>
      </w:pPr>
      <w:r>
        <w:rPr>
          <w:lang w:val="en-US"/>
        </w:rPr>
        <w:t>This report indicates that the there is a decrease of 17% in the number of members who found it more difficult than the previous quarter to recruit skilled workers.  However, over half (51%) found it as difficult to recruit skilled workers as the previous quarter</w:t>
      </w:r>
      <w:r w:rsidR="00EA38FF">
        <w:rPr>
          <w:lang w:val="en-US"/>
        </w:rPr>
        <w:t xml:space="preserve">.  </w:t>
      </w:r>
      <w:r>
        <w:rPr>
          <w:lang w:val="en-US"/>
        </w:rPr>
        <w:t xml:space="preserve">This is supported by the training and skills quarter 3 report where it found the </w:t>
      </w:r>
      <w:r>
        <w:rPr>
          <w:i/>
          <w:iCs/>
          <w:lang w:val="en-US"/>
        </w:rPr>
        <w:t>“62% of employers are struggling to recruit because of a lack of candidates”</w:t>
      </w:r>
      <w:r w:rsidRPr="00056206">
        <w:rPr>
          <w:lang w:val="en-US"/>
        </w:rPr>
        <w:t xml:space="preserve"> </w:t>
      </w:r>
      <w:r w:rsidRPr="00760526">
        <w:rPr>
          <w:lang w:val="en-US"/>
        </w:rPr>
        <w:t>(Lyons</w:t>
      </w:r>
      <w:r w:rsidR="00153BD5">
        <w:rPr>
          <w:lang w:val="en-US"/>
        </w:rPr>
        <w:t>,</w:t>
      </w:r>
      <w:r w:rsidRPr="00760526">
        <w:rPr>
          <w:lang w:val="en-US"/>
        </w:rPr>
        <w:t xml:space="preserve"> 2019</w:t>
      </w:r>
      <w:r>
        <w:rPr>
          <w:lang w:val="en-US"/>
        </w:rPr>
        <w:t>b).   The survey also found that 72% of specialist sectors felt that there was a shortfall of apprentices available to fill their vacancies (</w:t>
      </w:r>
      <w:r w:rsidRPr="00760526">
        <w:rPr>
          <w:lang w:val="en-US"/>
        </w:rPr>
        <w:t>Lyons</w:t>
      </w:r>
      <w:r w:rsidR="00153BD5">
        <w:rPr>
          <w:lang w:val="en-US"/>
        </w:rPr>
        <w:t>,</w:t>
      </w:r>
      <w:r w:rsidRPr="00760526">
        <w:rPr>
          <w:lang w:val="en-US"/>
        </w:rPr>
        <w:t xml:space="preserve"> 2019</w:t>
      </w:r>
      <w:r>
        <w:rPr>
          <w:lang w:val="en-US"/>
        </w:rPr>
        <w:t>b) which is an increase from 57</w:t>
      </w:r>
      <w:r w:rsidR="004A4A1E">
        <w:rPr>
          <w:lang w:val="en-US"/>
        </w:rPr>
        <w:t>%</w:t>
      </w:r>
      <w:r>
        <w:rPr>
          <w:lang w:val="en-US"/>
        </w:rPr>
        <w:t xml:space="preserve"> from the previous quarter (</w:t>
      </w:r>
      <w:r w:rsidRPr="00760526">
        <w:rPr>
          <w:lang w:val="en-US"/>
        </w:rPr>
        <w:t>Lyons</w:t>
      </w:r>
      <w:r w:rsidR="00153BD5">
        <w:rPr>
          <w:lang w:val="en-US"/>
        </w:rPr>
        <w:t xml:space="preserve">, </w:t>
      </w:r>
      <w:r w:rsidRPr="00760526">
        <w:rPr>
          <w:lang w:val="en-US"/>
        </w:rPr>
        <w:t>2019</w:t>
      </w:r>
      <w:r>
        <w:rPr>
          <w:lang w:val="en-US"/>
        </w:rPr>
        <w:t>a).  This is surprising as 50% of respondents felt that the construction apprenticeship levy was of a satisfactory suitability.  This levy was introduced 1</w:t>
      </w:r>
      <w:r w:rsidRPr="003650F9">
        <w:rPr>
          <w:vertAlign w:val="superscript"/>
          <w:lang w:val="en-US"/>
        </w:rPr>
        <w:t>st</w:t>
      </w:r>
      <w:r>
        <w:rPr>
          <w:lang w:val="en-US"/>
        </w:rPr>
        <w:t xml:space="preserve"> May 2017 with an aim of helping employer’s pau for apprenticeship training.  According to the CBI, employers invest over “</w:t>
      </w:r>
      <w:r w:rsidRPr="00A82ED4">
        <w:rPr>
          <w:i/>
          <w:iCs/>
          <w:lang w:val="en-US"/>
        </w:rPr>
        <w:t>£44 billion</w:t>
      </w:r>
      <w:r>
        <w:rPr>
          <w:i/>
          <w:iCs/>
          <w:lang w:val="en-US"/>
        </w:rPr>
        <w:t xml:space="preserve"> a year in skills training and are passionate supporters of apprenticeships”</w:t>
      </w:r>
      <w:r w:rsidRPr="00A82ED4">
        <w:rPr>
          <w:i/>
          <w:iCs/>
          <w:lang w:val="en-US"/>
        </w:rPr>
        <w:t xml:space="preserve"> </w:t>
      </w:r>
      <w:r>
        <w:rPr>
          <w:lang w:val="en-US"/>
        </w:rPr>
        <w:t>(Fell, 2019) but the number of apprentices is still down.  This has caused calls for the levy to be reformed.  Matthew Fell, CBI Chief UK Policy Director has said “</w:t>
      </w:r>
      <w:r w:rsidRPr="001A4DCA">
        <w:rPr>
          <w:rFonts w:cstheme="minorHAnsi"/>
          <w:i/>
          <w:iCs/>
        </w:rPr>
        <w:t>With apprenticeship starts significantly down, it’s clear that the Levy is not working as intended - especially for smaller firms. Despite its rocky start, employers want to support the Government’s efforts to evolve the system and play their part in making the Apprenticeship Levy work</w:t>
      </w:r>
      <w:r>
        <w:rPr>
          <w:rFonts w:cstheme="minorHAnsi"/>
          <w:i/>
          <w:iCs/>
        </w:rPr>
        <w:t>” (</w:t>
      </w:r>
      <w:r>
        <w:rPr>
          <w:rFonts w:cstheme="minorHAnsi"/>
        </w:rPr>
        <w:t>Fell, 2019).  He also indicated that the apprenticeship levy could be an obstacle to their efforts to update the skills system and in turn could be a contributing factor for the low number of apprentices entering the industry.</w:t>
      </w:r>
    </w:p>
    <w:p w14:paraId="483B868E" w14:textId="77777777" w:rsidR="00C20DDC" w:rsidRDefault="00C20DDC" w:rsidP="00C20DDC">
      <w:pPr>
        <w:pStyle w:val="NoSpacing"/>
        <w:rPr>
          <w:rFonts w:cstheme="minorHAnsi"/>
        </w:rPr>
      </w:pPr>
    </w:p>
    <w:p w14:paraId="2EA5D7F8" w14:textId="77777777" w:rsidR="00C20DDC" w:rsidRPr="00A557FE" w:rsidRDefault="00C20DDC" w:rsidP="00C20DDC">
      <w:pPr>
        <w:pStyle w:val="NoSpacing"/>
        <w:rPr>
          <w:rFonts w:cstheme="minorHAnsi"/>
          <w:b/>
          <w:bCs/>
          <w:sz w:val="24"/>
          <w:szCs w:val="24"/>
        </w:rPr>
      </w:pPr>
      <w:r w:rsidRPr="00A557FE">
        <w:rPr>
          <w:rFonts w:cstheme="minorHAnsi"/>
          <w:b/>
          <w:bCs/>
          <w:sz w:val="24"/>
          <w:szCs w:val="24"/>
        </w:rPr>
        <w:t>CSCS Card Scheme</w:t>
      </w:r>
    </w:p>
    <w:p w14:paraId="34068EC4" w14:textId="00B5D46D" w:rsidR="00725DD5" w:rsidRPr="00725DD5" w:rsidRDefault="00C20DDC" w:rsidP="00725DD5">
      <w:pPr>
        <w:pStyle w:val="NoSpacing"/>
        <w:rPr>
          <w:i/>
          <w:iCs/>
        </w:rPr>
      </w:pPr>
      <w:r>
        <w:rPr>
          <w:rFonts w:cstheme="minorHAnsi"/>
        </w:rPr>
        <w:t>With the change to the previous CSCS car</w:t>
      </w:r>
      <w:r w:rsidR="00AE2C3E" w:rsidRPr="00E55DA0">
        <w:rPr>
          <w:rFonts w:cstheme="minorHAnsi"/>
        </w:rPr>
        <w:t>d</w:t>
      </w:r>
      <w:r>
        <w:rPr>
          <w:rFonts w:cstheme="minorHAnsi"/>
        </w:rPr>
        <w:t xml:space="preserve"> scheme, it is likely that the number of apprentices entering the industry, or the number of workers undertaking vocational qualifications to increase.  This follows the removal of the construction site operative card (CSO).  CSCS, the organisation that issued the cards</w:t>
      </w:r>
      <w:r w:rsidR="00751426">
        <w:rPr>
          <w:rFonts w:cstheme="minorHAnsi"/>
        </w:rPr>
        <w:t xml:space="preserve"> </w:t>
      </w:r>
      <w:r>
        <w:rPr>
          <w:rFonts w:cstheme="minorHAnsi"/>
        </w:rPr>
        <w:t>reported that “</w:t>
      </w:r>
      <w:r w:rsidRPr="005C02AD">
        <w:rPr>
          <w:rFonts w:cstheme="minorHAnsi"/>
          <w:i/>
          <w:iCs/>
          <w:color w:val="282828"/>
        </w:rPr>
        <w:t>Up until July 2014 CSCS had issued over 700,000 green CSO cards</w:t>
      </w:r>
      <w:r>
        <w:rPr>
          <w:rFonts w:cstheme="minorHAnsi"/>
          <w:i/>
          <w:iCs/>
          <w:color w:val="282828"/>
        </w:rPr>
        <w:t xml:space="preserve">” </w:t>
      </w:r>
      <w:r>
        <w:rPr>
          <w:rFonts w:cstheme="minorHAnsi"/>
          <w:color w:val="282828"/>
        </w:rPr>
        <w:t>(CSCS, 2014).  They have said that this was the easiest card to achieve and was not fit for purpose in ensuring a qualified workforce.  Several professionals operating in a managerial/supervisory role had this card.  This led to CSCS reviewing their card system and how they were obtained.</w:t>
      </w:r>
      <w:r w:rsidR="00751426">
        <w:rPr>
          <w:rFonts w:cstheme="minorHAnsi"/>
          <w:color w:val="282828"/>
        </w:rPr>
        <w:t xml:space="preserve">  A report completed in 2011 by Pye Tait consultancy for the HSE and Construction skills points out that </w:t>
      </w:r>
      <w:r w:rsidR="00751426">
        <w:rPr>
          <w:rFonts w:cstheme="minorHAnsi"/>
          <w:i/>
          <w:iCs/>
          <w:color w:val="282828"/>
        </w:rPr>
        <w:t>“</w:t>
      </w:r>
      <w:r w:rsidR="00751426">
        <w:rPr>
          <w:i/>
          <w:iCs/>
          <w:color w:val="000000"/>
        </w:rPr>
        <w:t>t</w:t>
      </w:r>
      <w:r w:rsidR="00751426" w:rsidRPr="00751426">
        <w:rPr>
          <w:i/>
          <w:iCs/>
          <w:color w:val="000000"/>
        </w:rPr>
        <w:t>he "card scheme" approach, as a secondary means of evidencing competence, and as currently implemented, carries a number of quite crucial weaknesses.</w:t>
      </w:r>
      <w:r w:rsidR="00751426">
        <w:rPr>
          <w:i/>
          <w:iCs/>
          <w:color w:val="000000"/>
        </w:rPr>
        <w:t>”</w:t>
      </w:r>
      <w:r w:rsidR="00751426">
        <w:rPr>
          <w:rFonts w:cstheme="minorHAnsi"/>
          <w:color w:val="282828"/>
        </w:rPr>
        <w:t xml:space="preserve"> </w:t>
      </w:r>
      <w:r w:rsidR="00751426" w:rsidRPr="00751426">
        <w:t>(Pye et al, 2011).</w:t>
      </w:r>
      <w:r w:rsidR="0039383E">
        <w:t xml:space="preserve">  The report highlights that there are three main ways to acquire the CSCS cards and notes that industry accreditation (Grandfather rights) as being a cause for concern.  </w:t>
      </w:r>
      <w:r w:rsidR="00E73574">
        <w:t xml:space="preserve">The routes to competence 2011 </w:t>
      </w:r>
      <w:r w:rsidR="00725DD5">
        <w:t>and</w:t>
      </w:r>
      <w:r w:rsidR="00E73574">
        <w:t xml:space="preserve"> competence </w:t>
      </w:r>
      <w:r w:rsidR="00E73574">
        <w:lastRenderedPageBreak/>
        <w:t xml:space="preserve">in construction report 2014 both identify that employers have concerns over the CSCS card system at the time.  Both reports called for a </w:t>
      </w:r>
      <w:r w:rsidR="00E73574">
        <w:rPr>
          <w:i/>
          <w:iCs/>
        </w:rPr>
        <w:t>“rationalisation and simplification of this system and for a clearer, industry -wide understanding of what the card/certification system actually means”</w:t>
      </w:r>
      <w:r w:rsidR="00E73574">
        <w:t xml:space="preserve"> (Pye, 2014).</w:t>
      </w:r>
      <w:r w:rsidR="00725DD5">
        <w:t xml:space="preserve">  The CDM 2015 regulations echoes these concerns over the legitimacy of the cards and states that “</w:t>
      </w:r>
      <w:r w:rsidR="00725DD5" w:rsidRPr="00725DD5">
        <w:rPr>
          <w:i/>
          <w:iCs/>
        </w:rPr>
        <w:t>sole reliance should not be placed on industry certification cards or similar</w:t>
      </w:r>
    </w:p>
    <w:p w14:paraId="2B3FE428" w14:textId="464C599E" w:rsidR="00E73574" w:rsidRPr="00725DD5" w:rsidRDefault="00725DD5" w:rsidP="00725DD5">
      <w:pPr>
        <w:pStyle w:val="NoSpacing"/>
      </w:pPr>
      <w:r w:rsidRPr="00725DD5">
        <w:rPr>
          <w:i/>
          <w:iCs/>
        </w:rPr>
        <w:t>being presented to them as evidence that a worker has the right qualities</w:t>
      </w:r>
      <w:r>
        <w:rPr>
          <w:i/>
          <w:iCs/>
        </w:rPr>
        <w:t>”</w:t>
      </w:r>
      <w:r>
        <w:t xml:space="preserve"> (HSE, 2015).</w:t>
      </w:r>
    </w:p>
    <w:p w14:paraId="776AE23C" w14:textId="77777777" w:rsidR="00E73574" w:rsidRDefault="00E73574" w:rsidP="00C20DDC">
      <w:pPr>
        <w:pStyle w:val="NoSpacing"/>
      </w:pPr>
    </w:p>
    <w:p w14:paraId="2B5B0B87" w14:textId="13A635F5" w:rsidR="00C20DDC" w:rsidRPr="00873FEA" w:rsidRDefault="0039383E" w:rsidP="00873FEA">
      <w:pPr>
        <w:rPr>
          <w:rFonts w:eastAsiaTheme="minorHAnsi"/>
          <w:color w:val="000000"/>
        </w:rPr>
      </w:pPr>
      <w:r>
        <w:t>The new CSCS card</w:t>
      </w:r>
      <w:r w:rsidR="007F6FBC">
        <w:t xml:space="preserve"> scheme</w:t>
      </w:r>
      <w:r>
        <w:t xml:space="preserve"> now requires recognised qualifications to be able to apply for a CSCS card.  </w:t>
      </w:r>
      <w:r w:rsidR="00C20DDC">
        <w:rPr>
          <w:rFonts w:cstheme="minorHAnsi"/>
          <w:color w:val="282828"/>
        </w:rPr>
        <w:t>In conjunction with the CITB, they developed a new level one qualification and renamed the card as Labourer.  To obtain a labourer’s card, applicants are now required to complete the health, safety and environment test as well as complete the RQF Level 1 in health and safety in a construction environment.  This enables them to carry out work on a construction site as a labourer.</w:t>
      </w:r>
      <w:r w:rsidR="00873FEA">
        <w:rPr>
          <w:rFonts w:cstheme="minorHAnsi"/>
          <w:color w:val="282828"/>
        </w:rPr>
        <w:t xml:space="preserve">  This is supported by City &amp; Guilds who stated in a document by them titled </w:t>
      </w:r>
      <w:r w:rsidR="00873FEA" w:rsidRPr="00873FEA">
        <w:rPr>
          <w:rFonts w:cstheme="minorHAnsi"/>
          <w:color w:val="282828"/>
        </w:rPr>
        <w:t>City &amp; Guilds Construction – a summary</w:t>
      </w:r>
      <w:r w:rsidR="00873FEA">
        <w:rPr>
          <w:rFonts w:cstheme="minorHAnsi"/>
          <w:color w:val="282828"/>
        </w:rPr>
        <w:t xml:space="preserve"> that</w:t>
      </w:r>
      <w:r w:rsidR="00873FEA" w:rsidRPr="00873FEA">
        <w:rPr>
          <w:rFonts w:cstheme="minorHAnsi"/>
          <w:i/>
          <w:iCs/>
          <w:color w:val="282828"/>
        </w:rPr>
        <w:t xml:space="preserve"> “</w:t>
      </w:r>
      <w:r w:rsidR="00873FEA" w:rsidRPr="00873FEA">
        <w:rPr>
          <w:i/>
          <w:iCs/>
          <w:color w:val="000000"/>
        </w:rPr>
        <w:t xml:space="preserve">Construction related NVQs, at the relevant level, qualify learners for either the Skilled Worker, Advanced Craft/Supervisory or Manager CSCS cards. For the Labourer card, candidates will need to take the </w:t>
      </w:r>
      <w:r w:rsidR="00873FEA" w:rsidRPr="00BE7C1A">
        <w:rPr>
          <w:i/>
          <w:iCs/>
        </w:rPr>
        <w:t>Level 1 Award in Health &amp; Safety in a Construction Environment</w:t>
      </w:r>
      <w:r w:rsidR="00873FEA" w:rsidRPr="00873FEA">
        <w:rPr>
          <w:i/>
          <w:iCs/>
          <w:color w:val="000000"/>
        </w:rPr>
        <w:t xml:space="preserve"> (or CSCS approved equivalent) and pass the CITB HSE test</w:t>
      </w:r>
      <w:r w:rsidR="00873FEA">
        <w:rPr>
          <w:i/>
          <w:iCs/>
          <w:color w:val="000000"/>
        </w:rPr>
        <w:t xml:space="preserve">” </w:t>
      </w:r>
      <w:r w:rsidR="00873FEA">
        <w:rPr>
          <w:color w:val="000000"/>
        </w:rPr>
        <w:t xml:space="preserve">(City and guilds, 2018).  </w:t>
      </w:r>
      <w:r w:rsidR="00C20DDC">
        <w:rPr>
          <w:rFonts w:cstheme="minorHAnsi"/>
          <w:color w:val="282828"/>
        </w:rPr>
        <w:t xml:space="preserve">This means that most workers on site will be required to have a skilled worker CSCS card.  </w:t>
      </w:r>
    </w:p>
    <w:p w14:paraId="5ED609FD" w14:textId="77777777" w:rsidR="00C20DDC" w:rsidRDefault="00C20DDC" w:rsidP="00C20DDC">
      <w:pPr>
        <w:pStyle w:val="NoSpacing"/>
        <w:rPr>
          <w:rFonts w:cstheme="minorHAnsi"/>
          <w:color w:val="282828"/>
        </w:rPr>
      </w:pPr>
    </w:p>
    <w:p w14:paraId="716AEED2" w14:textId="2567CE35" w:rsidR="00C85D3E" w:rsidRDefault="00C20DDC" w:rsidP="00C85D3E">
      <w:pPr>
        <w:pStyle w:val="NoSpacing"/>
      </w:pPr>
      <w:r>
        <w:t>To be able to obtain a skilled worker CSCS card, they must have “</w:t>
      </w:r>
      <w:r w:rsidRPr="00A557FE">
        <w:rPr>
          <w:i/>
          <w:iCs/>
        </w:rPr>
        <w:t>achieved a construction related NVQ/SVQ level 2 or completed an apprenticeship, such as an Employer sponsored apprenticeship, a City and Guilds of London Institute Craft Certificate</w:t>
      </w:r>
      <w:r>
        <w:rPr>
          <w:i/>
          <w:iCs/>
        </w:rPr>
        <w:t>”</w:t>
      </w:r>
      <w:r>
        <w:t xml:space="preserve"> (CSCS</w:t>
      </w:r>
      <w:r w:rsidR="00153BD5">
        <w:t>,</w:t>
      </w:r>
      <w:r>
        <w:t xml:space="preserve"> 2019).  Many skilled workers currently working in the construction industry will be able to apply for this card having already completed work-based training to the required level.  Those that have not completed this training already will be able to register for an Experienced worker card.  This can be applied for once the applicant has registered for the required qualifications and before their current card expires.  It can also be applied for if the time taken to complete the qualification is greater than the time remaining on the card.  This is only applicable for those currently working in the construction industry with those looking to have a start needing to complete this before registering for a card to be deemed a skilled worker</w:t>
      </w:r>
      <w:r w:rsidR="00A32464">
        <w:t xml:space="preserve"> or register for an approved </w:t>
      </w:r>
      <w:r w:rsidR="006B3851">
        <w:t>apprenticeship</w:t>
      </w:r>
      <w:r>
        <w:t>.  This will change the construction environment that is currently seen on sites</w:t>
      </w:r>
      <w:r w:rsidR="00A32464">
        <w:t xml:space="preserve"> and the also the stigma that construction workers are not very academic.  Construction could be viewed as an industry that is full of professionals who are dedicated to their work and have completed training to demonstrate that they can work in a safe manner and to a high standard.  </w:t>
      </w:r>
    </w:p>
    <w:p w14:paraId="20753AFB" w14:textId="77777777" w:rsidR="00C85D3E" w:rsidRDefault="00C85D3E" w:rsidP="00C85D3E">
      <w:pPr>
        <w:pStyle w:val="NoSpacing"/>
      </w:pPr>
    </w:p>
    <w:p w14:paraId="5108DC38" w14:textId="5F593A54" w:rsidR="006F51C5" w:rsidRDefault="00A32464" w:rsidP="00153BD5">
      <w:pPr>
        <w:pStyle w:val="NoSpacing"/>
        <w:rPr>
          <w:lang w:val="en-US"/>
        </w:rPr>
      </w:pPr>
      <w:r>
        <w:t xml:space="preserve">The new process to achieve the skilled worker CSCS card could lead to an increase of skilled workers entering the industry.  </w:t>
      </w:r>
      <w:r w:rsidR="006B3851">
        <w:t xml:space="preserve">As highlighted by the Build UK training and skills report in quarter 2 and 3 of 2019, </w:t>
      </w:r>
      <w:r w:rsidR="004F6710">
        <w:t>“</w:t>
      </w:r>
      <w:r w:rsidR="004F6710" w:rsidRPr="004F6710">
        <w:rPr>
          <w:i/>
          <w:iCs/>
          <w:lang w:val="en-US"/>
        </w:rPr>
        <w:t>53% of members felt that the recruitment of skilled workers was harder that in the previous quarter</w:t>
      </w:r>
      <w:r w:rsidR="004F6710">
        <w:rPr>
          <w:i/>
          <w:iCs/>
          <w:lang w:val="en-US"/>
        </w:rPr>
        <w:t xml:space="preserve">” </w:t>
      </w:r>
      <w:r w:rsidR="004F6710">
        <w:rPr>
          <w:lang w:val="en-US"/>
        </w:rPr>
        <w:t>(Lyons</w:t>
      </w:r>
      <w:r w:rsidR="00153BD5">
        <w:rPr>
          <w:lang w:val="en-US"/>
        </w:rPr>
        <w:t>,</w:t>
      </w:r>
      <w:r w:rsidR="004F6710">
        <w:rPr>
          <w:lang w:val="en-US"/>
        </w:rPr>
        <w:t xml:space="preserve"> 2019a) and </w:t>
      </w:r>
      <w:r w:rsidR="004F6710">
        <w:rPr>
          <w:i/>
          <w:iCs/>
          <w:lang w:val="en-US"/>
        </w:rPr>
        <w:t>“72% of specialist sectors believe there are not enough apprentices to fill their vacancies”</w:t>
      </w:r>
      <w:r w:rsidR="004F6710">
        <w:rPr>
          <w:lang w:val="en-US"/>
        </w:rPr>
        <w:t xml:space="preserve"> (Lyons</w:t>
      </w:r>
      <w:r w:rsidR="00153BD5">
        <w:rPr>
          <w:lang w:val="en-US"/>
        </w:rPr>
        <w:t>,</w:t>
      </w:r>
      <w:r w:rsidR="004F6710">
        <w:rPr>
          <w:lang w:val="en-US"/>
        </w:rPr>
        <w:t xml:space="preserve"> 2019b)</w:t>
      </w:r>
      <w:r w:rsidR="00C85D3E">
        <w:rPr>
          <w:lang w:val="en-US"/>
        </w:rPr>
        <w:t xml:space="preserve">. With this increase of skilled workers, there will be a greater pool to employ from.  They may not have the level of experience as some already in the </w:t>
      </w:r>
      <w:r w:rsidR="005269D1">
        <w:rPr>
          <w:lang w:val="en-US"/>
        </w:rPr>
        <w:t>industry,</w:t>
      </w:r>
      <w:r w:rsidR="00C85D3E">
        <w:rPr>
          <w:lang w:val="en-US"/>
        </w:rPr>
        <w:t xml:space="preserve"> but they have demonstrated their skills and knowledge in completed in their </w:t>
      </w:r>
      <w:r w:rsidR="005269D1">
        <w:rPr>
          <w:lang w:val="en-US"/>
        </w:rPr>
        <w:t>NVQ/SVQ level 2.  Providing that they are assessed correctly, this evidence can be used to assess their competency for the skill that they received training for.  However, the author argues that this is not where the training should stop in relation to NVQ/SVQs and apprenticeships.  Construction companies should take responsibility for creating a skilled workforce as this will not happen on its own.</w:t>
      </w:r>
      <w:r w:rsidR="00153BD5">
        <w:rPr>
          <w:lang w:val="en-US"/>
        </w:rPr>
        <w:t xml:space="preserve">  This is view is supported by the CDM regulations 2015.  Guidance on implementing CDM 2015 published by the Health and Safety Executive states </w:t>
      </w:r>
      <w:r w:rsidR="00725DD5">
        <w:rPr>
          <w:lang w:val="en-US"/>
        </w:rPr>
        <w:t xml:space="preserve">that </w:t>
      </w:r>
      <w:r w:rsidR="00153BD5">
        <w:rPr>
          <w:lang w:val="en-US"/>
        </w:rPr>
        <w:t>“</w:t>
      </w:r>
      <w:r w:rsidR="00725DD5">
        <w:rPr>
          <w:lang w:val="en-US"/>
        </w:rPr>
        <w:t>n</w:t>
      </w:r>
      <w:r w:rsidR="00153BD5" w:rsidRPr="00153BD5">
        <w:rPr>
          <w:i/>
          <w:iCs/>
          <w:lang w:val="en-US"/>
        </w:rPr>
        <w:t>ationally recognized qualifications (such as National Vocational Qualifications (NVQs) and Scottish Vocational Qualifications (SVQs)) can provide contractors with assurance that the holder has the skills, knowledge, training and experience to carry out the task(s) for which they are appointed.</w:t>
      </w:r>
      <w:r w:rsidR="00153BD5">
        <w:rPr>
          <w:i/>
          <w:iCs/>
          <w:lang w:val="en-US"/>
        </w:rPr>
        <w:t>”</w:t>
      </w:r>
      <w:r w:rsidR="00153BD5">
        <w:rPr>
          <w:lang w:val="en-US"/>
        </w:rPr>
        <w:t xml:space="preserve"> (HSE, 2015).</w:t>
      </w:r>
      <w:r w:rsidR="00550018">
        <w:rPr>
          <w:lang w:val="en-US"/>
        </w:rPr>
        <w:t xml:space="preserve">  </w:t>
      </w:r>
      <w:r w:rsidR="00153BD5">
        <w:rPr>
          <w:lang w:val="en-US"/>
        </w:rPr>
        <w:t xml:space="preserve">  </w:t>
      </w:r>
      <w:r w:rsidR="0028417B">
        <w:rPr>
          <w:lang w:val="en-US"/>
        </w:rPr>
        <w:t xml:space="preserve">With the changes to the CSCS card </w:t>
      </w:r>
      <w:r w:rsidR="0028417B">
        <w:rPr>
          <w:lang w:val="en-US"/>
        </w:rPr>
        <w:lastRenderedPageBreak/>
        <w:t>scheme, all workers within or entering the industry will have a minimum of NVQs/SVQs at level 1 and above.</w:t>
      </w:r>
      <w:r w:rsidR="00725DD5">
        <w:rPr>
          <w:lang w:val="en-US"/>
        </w:rPr>
        <w:t xml:space="preserve">  </w:t>
      </w:r>
      <w:r w:rsidR="0028417B">
        <w:rPr>
          <w:lang w:val="en-US"/>
        </w:rPr>
        <w:t xml:space="preserve">  </w:t>
      </w:r>
    </w:p>
    <w:p w14:paraId="6B3172C6" w14:textId="77777777" w:rsidR="006F51C5" w:rsidRDefault="006F51C5" w:rsidP="00153BD5">
      <w:pPr>
        <w:pStyle w:val="NoSpacing"/>
        <w:rPr>
          <w:lang w:val="en-US"/>
        </w:rPr>
      </w:pPr>
    </w:p>
    <w:p w14:paraId="597816C0" w14:textId="40638F30" w:rsidR="0014260E" w:rsidRPr="0014260E" w:rsidRDefault="0014260E" w:rsidP="00153BD5">
      <w:pPr>
        <w:pStyle w:val="NoSpacing"/>
        <w:rPr>
          <w:b/>
          <w:bCs/>
          <w:sz w:val="24"/>
          <w:szCs w:val="24"/>
          <w:lang w:val="en-US"/>
        </w:rPr>
      </w:pPr>
      <w:r w:rsidRPr="0014260E">
        <w:rPr>
          <w:b/>
          <w:bCs/>
          <w:sz w:val="24"/>
          <w:szCs w:val="24"/>
          <w:lang w:val="en-US"/>
        </w:rPr>
        <w:t>Competence</w:t>
      </w:r>
    </w:p>
    <w:p w14:paraId="4754F573" w14:textId="67CA5DA9" w:rsidR="00743B57" w:rsidRDefault="005B7547" w:rsidP="00153BD5">
      <w:pPr>
        <w:pStyle w:val="NoSpacing"/>
      </w:pPr>
      <w:r>
        <w:rPr>
          <w:lang w:val="en-US"/>
        </w:rPr>
        <w:t>However, by completing these courses and obtaining a qualification does not make competent workers</w:t>
      </w:r>
      <w:r w:rsidR="0058705F">
        <w:rPr>
          <w:lang w:val="en-US"/>
        </w:rPr>
        <w:t xml:space="preserve"> and the competence in construction report argues that </w:t>
      </w:r>
      <w:r w:rsidR="0058705F">
        <w:rPr>
          <w:i/>
          <w:iCs/>
          <w:lang w:val="en-US"/>
        </w:rPr>
        <w:t>“some employers were treating some c</w:t>
      </w:r>
      <w:r w:rsidR="00081D5F">
        <w:rPr>
          <w:i/>
          <w:iCs/>
          <w:lang w:val="en-US"/>
        </w:rPr>
        <w:t>a</w:t>
      </w:r>
      <w:r w:rsidR="0058705F">
        <w:rPr>
          <w:i/>
          <w:iCs/>
          <w:lang w:val="en-US"/>
        </w:rPr>
        <w:t>rds as evidence of competence when that was not their purpose</w:t>
      </w:r>
      <w:r w:rsidR="0058705F">
        <w:rPr>
          <w:lang w:val="en-US"/>
        </w:rPr>
        <w:t xml:space="preserve"> (Pye, 2014).  This has led to a widespread lack of understanding of what the cards mean and also their certificates (Pye, 2014).</w:t>
      </w:r>
      <w:r w:rsidR="00B67808">
        <w:rPr>
          <w:lang w:val="en-US"/>
        </w:rPr>
        <w:t xml:space="preserve"> HSE defines competence as </w:t>
      </w:r>
      <w:r w:rsidR="00B67808" w:rsidRPr="00B67808">
        <w:rPr>
          <w:i/>
          <w:iCs/>
        </w:rPr>
        <w:t>“the combination of training, skills, experience and knowledge that a person has and their ability to apply them to perform a task safely”</w:t>
      </w:r>
      <w:r w:rsidR="00B67808">
        <w:rPr>
          <w:rFonts w:ascii="Arial" w:hAnsi="Arial" w:cs="Arial"/>
          <w:b/>
          <w:bCs/>
          <w:color w:val="111111"/>
        </w:rPr>
        <w:t xml:space="preserve"> </w:t>
      </w:r>
      <w:r w:rsidR="00B67808" w:rsidRPr="00B67808">
        <w:t>(HSE, 2019)</w:t>
      </w:r>
      <w:r w:rsidR="00B67808">
        <w:t>.</w:t>
      </w:r>
      <w:r w:rsidR="006B2502">
        <w:t xml:space="preserve">  This definition is agreed with in part by Pye Tait consultancy but goes further by saying that human factors are important in an individual being deemed competent.</w:t>
      </w:r>
      <w:r w:rsidR="00A97869">
        <w:t xml:space="preserve">  </w:t>
      </w:r>
      <w:r w:rsidR="00A97869">
        <w:rPr>
          <w:lang w:val="en-US"/>
        </w:rPr>
        <w:t xml:space="preserve">The report titled “competence in construction” was completed in 2014 and commissioned by the CITB.  </w:t>
      </w:r>
      <w:r w:rsidR="006B2502">
        <w:t xml:space="preserve">The report also argues that there is no real definition of what competence is.  Instead, competence is interpreted differently by different people </w:t>
      </w:r>
      <w:r w:rsidR="006F51C5">
        <w:t xml:space="preserve">depending on the industry that they operate in.  The Pye Tait report </w:t>
      </w:r>
      <w:r w:rsidR="006F51C5">
        <w:rPr>
          <w:i/>
          <w:iCs/>
        </w:rPr>
        <w:t>“regulators, industry authorities and bodies, and companies in every sector have their own definitions, according to their own reference-frames and purposes”</w:t>
      </w:r>
      <w:r w:rsidR="006F51C5">
        <w:t xml:space="preserve"> (</w:t>
      </w:r>
      <w:r w:rsidR="00483072">
        <w:t>Pye</w:t>
      </w:r>
      <w:r w:rsidR="006F51C5">
        <w:t xml:space="preserve">, 2014). </w:t>
      </w:r>
      <w:r w:rsidR="00743B57">
        <w:t xml:space="preserve">  Even though this report proposes that there is no true definition of competency, it does highlight that competency is comprised of four fundamentals.  These are:</w:t>
      </w:r>
    </w:p>
    <w:p w14:paraId="18D03123" w14:textId="77777777" w:rsidR="001D2310" w:rsidRDefault="001D2310" w:rsidP="00153BD5">
      <w:pPr>
        <w:pStyle w:val="NoSpacing"/>
      </w:pPr>
    </w:p>
    <w:p w14:paraId="571DC850" w14:textId="27ABCFF9" w:rsidR="006B2502" w:rsidRPr="00743B57" w:rsidRDefault="00743B57" w:rsidP="00743B57">
      <w:pPr>
        <w:pStyle w:val="NoSpacing"/>
        <w:numPr>
          <w:ilvl w:val="0"/>
          <w:numId w:val="3"/>
        </w:numPr>
        <w:rPr>
          <w:rFonts w:cstheme="minorHAnsi"/>
          <w:i/>
          <w:iCs/>
          <w:color w:val="111111"/>
        </w:rPr>
      </w:pPr>
      <w:r w:rsidRPr="00743B57">
        <w:rPr>
          <w:rFonts w:cstheme="minorHAnsi"/>
          <w:i/>
          <w:iCs/>
          <w:color w:val="111111"/>
        </w:rPr>
        <w:t>Occupational skills &amp; knowledge (including functional skills)</w:t>
      </w:r>
    </w:p>
    <w:p w14:paraId="055652A9" w14:textId="045F0773" w:rsidR="00743B57" w:rsidRPr="00743B57" w:rsidRDefault="00743B57" w:rsidP="00743B57">
      <w:pPr>
        <w:pStyle w:val="NoSpacing"/>
        <w:numPr>
          <w:ilvl w:val="0"/>
          <w:numId w:val="3"/>
        </w:numPr>
        <w:rPr>
          <w:rFonts w:cstheme="minorHAnsi"/>
          <w:i/>
          <w:iCs/>
          <w:color w:val="111111"/>
        </w:rPr>
      </w:pPr>
      <w:r w:rsidRPr="00743B57">
        <w:rPr>
          <w:rFonts w:cstheme="minorHAnsi"/>
          <w:i/>
          <w:iCs/>
          <w:color w:val="111111"/>
        </w:rPr>
        <w:t>Health &amp; Safety skills and knowledge</w:t>
      </w:r>
    </w:p>
    <w:p w14:paraId="4CAD8B43" w14:textId="796C9975" w:rsidR="00743B57" w:rsidRPr="00743B57" w:rsidRDefault="00743B57" w:rsidP="00743B57">
      <w:pPr>
        <w:pStyle w:val="NoSpacing"/>
        <w:numPr>
          <w:ilvl w:val="0"/>
          <w:numId w:val="3"/>
        </w:numPr>
        <w:rPr>
          <w:rFonts w:cstheme="minorHAnsi"/>
          <w:i/>
          <w:iCs/>
          <w:color w:val="111111"/>
        </w:rPr>
      </w:pPr>
      <w:r w:rsidRPr="00743B57">
        <w:rPr>
          <w:rFonts w:cstheme="minorHAnsi"/>
          <w:i/>
          <w:iCs/>
          <w:color w:val="111111"/>
        </w:rPr>
        <w:t>Human factors (including self-, situational – and risk awareness. And communications)</w:t>
      </w:r>
    </w:p>
    <w:p w14:paraId="56482546" w14:textId="5972DDE8" w:rsidR="00743B57" w:rsidRPr="00743B57" w:rsidRDefault="00743B57" w:rsidP="00743B57">
      <w:pPr>
        <w:pStyle w:val="NoSpacing"/>
        <w:numPr>
          <w:ilvl w:val="0"/>
          <w:numId w:val="3"/>
        </w:numPr>
        <w:rPr>
          <w:rFonts w:cstheme="minorHAnsi"/>
          <w:i/>
          <w:iCs/>
          <w:color w:val="111111"/>
        </w:rPr>
      </w:pPr>
      <w:r w:rsidRPr="00743B57">
        <w:rPr>
          <w:rFonts w:cstheme="minorHAnsi"/>
          <w:i/>
          <w:iCs/>
          <w:color w:val="111111"/>
        </w:rPr>
        <w:t>Continuous improvement (including positive experience)</w:t>
      </w:r>
    </w:p>
    <w:p w14:paraId="26B7F8F4" w14:textId="3D48ADB9" w:rsidR="00743B57" w:rsidRDefault="00743B57" w:rsidP="00793D13">
      <w:pPr>
        <w:pStyle w:val="NoSpacing"/>
        <w:ind w:left="7267" w:firstLine="653"/>
        <w:rPr>
          <w:rFonts w:cstheme="minorHAnsi"/>
          <w:i/>
          <w:iCs/>
          <w:color w:val="111111"/>
        </w:rPr>
      </w:pPr>
      <w:r w:rsidRPr="00743B57">
        <w:rPr>
          <w:rFonts w:cstheme="minorHAnsi"/>
          <w:i/>
          <w:iCs/>
          <w:color w:val="111111"/>
        </w:rPr>
        <w:t>(</w:t>
      </w:r>
      <w:r w:rsidR="00483072">
        <w:rPr>
          <w:rFonts w:cstheme="minorHAnsi"/>
          <w:i/>
          <w:iCs/>
          <w:color w:val="111111"/>
        </w:rPr>
        <w:t>Pye</w:t>
      </w:r>
      <w:r w:rsidRPr="00743B57">
        <w:rPr>
          <w:rFonts w:cstheme="minorHAnsi"/>
          <w:i/>
          <w:iCs/>
          <w:color w:val="111111"/>
        </w:rPr>
        <w:t xml:space="preserve"> 2014)</w:t>
      </w:r>
      <w:r>
        <w:rPr>
          <w:rFonts w:cstheme="minorHAnsi"/>
          <w:i/>
          <w:iCs/>
          <w:color w:val="111111"/>
        </w:rPr>
        <w:t>.</w:t>
      </w:r>
    </w:p>
    <w:p w14:paraId="0AE2101E" w14:textId="0BA96CA2" w:rsidR="00743B57" w:rsidRDefault="00743B57" w:rsidP="00743B57">
      <w:pPr>
        <w:pStyle w:val="NoSpacing"/>
        <w:rPr>
          <w:rFonts w:cstheme="minorHAnsi"/>
          <w:color w:val="111111"/>
        </w:rPr>
      </w:pPr>
    </w:p>
    <w:p w14:paraId="10B0092F" w14:textId="75B051B4" w:rsidR="004F32B9" w:rsidRDefault="00793D13" w:rsidP="00743B57">
      <w:pPr>
        <w:pStyle w:val="NoSpacing"/>
      </w:pPr>
      <w:r>
        <w:rPr>
          <w:rFonts w:cstheme="minorHAnsi"/>
          <w:color w:val="111111"/>
        </w:rPr>
        <w:t xml:space="preserve">The need for continuous improvement is supported further in the Pye Tait report by saying that competence is not forever due to the human factor.  The report highlights even if the relevant training is provided, firstly </w:t>
      </w:r>
      <w:r w:rsidRPr="00793D13">
        <w:rPr>
          <w:rFonts w:cstheme="minorHAnsi"/>
          <w:color w:val="111111"/>
        </w:rPr>
        <w:t>“</w:t>
      </w:r>
      <w:r w:rsidRPr="00793D13">
        <w:rPr>
          <w:i/>
          <w:iCs/>
        </w:rPr>
        <w:t>human memory and capability can also degrade over time</w:t>
      </w:r>
      <w:r w:rsidRPr="00793D13">
        <w:t>”</w:t>
      </w:r>
      <w:r>
        <w:t xml:space="preserve"> (</w:t>
      </w:r>
      <w:r w:rsidR="00483072">
        <w:t>Pye</w:t>
      </w:r>
      <w:r>
        <w:t xml:space="preserve">, 2014) and secondly </w:t>
      </w:r>
      <w:r w:rsidRPr="00793D13">
        <w:rPr>
          <w:i/>
          <w:iCs/>
        </w:rPr>
        <w:t>“Complacency is another issue that can impact on competence especially as experience increases or where tasks are repetitive</w:t>
      </w:r>
      <w:r>
        <w:rPr>
          <w:i/>
          <w:iCs/>
        </w:rPr>
        <w:t>”</w:t>
      </w:r>
      <w:r>
        <w:t xml:space="preserve"> (</w:t>
      </w:r>
      <w:r w:rsidR="00483072">
        <w:t>Pye</w:t>
      </w:r>
      <w:r>
        <w:t>, 2014). This brings the need for refresher training at set intervals as shown in figure 1.</w:t>
      </w:r>
    </w:p>
    <w:p w14:paraId="083B61A7" w14:textId="77777777" w:rsidR="0014260E" w:rsidRDefault="0014260E" w:rsidP="00743B57">
      <w:pPr>
        <w:pStyle w:val="NoSpacing"/>
      </w:pPr>
    </w:p>
    <w:p w14:paraId="798848DB" w14:textId="77777777" w:rsidR="005120A0" w:rsidRDefault="004F32B9" w:rsidP="005120A0">
      <w:pPr>
        <w:pStyle w:val="NoSpacing"/>
        <w:keepNext/>
        <w:jc w:val="center"/>
      </w:pPr>
      <w:r>
        <w:rPr>
          <w:rFonts w:cstheme="minorHAnsi"/>
          <w:noProof/>
          <w:color w:val="111111"/>
          <w:lang w:eastAsia="en-GB"/>
        </w:rPr>
        <w:drawing>
          <wp:inline distT="0" distB="0" distL="0" distR="0" wp14:anchorId="48BB929F" wp14:editId="24BF0CEF">
            <wp:extent cx="5168395" cy="2876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23657" cy="2962963"/>
                    </a:xfrm>
                    <a:prstGeom prst="rect">
                      <a:avLst/>
                    </a:prstGeom>
                    <a:noFill/>
                    <a:ln>
                      <a:noFill/>
                    </a:ln>
                  </pic:spPr>
                </pic:pic>
              </a:graphicData>
            </a:graphic>
          </wp:inline>
        </w:drawing>
      </w:r>
    </w:p>
    <w:p w14:paraId="7F19630A" w14:textId="277DE09E" w:rsidR="00793D13" w:rsidRDefault="005120A0" w:rsidP="005120A0">
      <w:pPr>
        <w:pStyle w:val="Caption"/>
        <w:jc w:val="right"/>
        <w:rPr>
          <w:rFonts w:cstheme="minorHAnsi"/>
          <w:i w:val="0"/>
          <w:iCs w:val="0"/>
          <w:color w:val="111111"/>
        </w:rPr>
      </w:pPr>
      <w:r>
        <w:t xml:space="preserve">Figure </w:t>
      </w:r>
      <w:fldSimple w:instr=" SEQ Figure \* ARABIC ">
        <w:r w:rsidR="00D351AC">
          <w:rPr>
            <w:noProof/>
          </w:rPr>
          <w:t>1</w:t>
        </w:r>
      </w:fldSimple>
      <w:r>
        <w:t xml:space="preserve"> Competence over time</w:t>
      </w:r>
      <w:r w:rsidR="00793D13">
        <w:rPr>
          <w:rFonts w:ascii="Arial" w:hAnsi="Arial" w:cs="Arial"/>
          <w:b/>
          <w:bCs/>
          <w:color w:val="111111"/>
        </w:rPr>
        <w:tab/>
      </w:r>
      <w:r>
        <w:rPr>
          <w:rFonts w:ascii="Arial" w:hAnsi="Arial" w:cs="Arial"/>
          <w:b/>
          <w:bCs/>
          <w:color w:val="111111"/>
        </w:rPr>
        <w:t xml:space="preserve"> </w:t>
      </w:r>
      <w:r>
        <w:rPr>
          <w:rFonts w:ascii="Arial" w:hAnsi="Arial" w:cs="Arial"/>
          <w:b/>
          <w:bCs/>
          <w:color w:val="111111"/>
        </w:rPr>
        <w:tab/>
      </w:r>
      <w:r>
        <w:rPr>
          <w:rFonts w:ascii="Arial" w:hAnsi="Arial" w:cs="Arial"/>
          <w:b/>
          <w:bCs/>
          <w:color w:val="111111"/>
        </w:rPr>
        <w:tab/>
      </w:r>
      <w:r>
        <w:rPr>
          <w:rFonts w:ascii="Arial" w:hAnsi="Arial" w:cs="Arial"/>
          <w:b/>
          <w:bCs/>
          <w:color w:val="111111"/>
        </w:rPr>
        <w:tab/>
      </w:r>
      <w:r w:rsidR="00793D13" w:rsidRPr="00743B57">
        <w:rPr>
          <w:rFonts w:cstheme="minorHAnsi"/>
          <w:color w:val="111111"/>
        </w:rPr>
        <w:t>(</w:t>
      </w:r>
      <w:r w:rsidR="00483072">
        <w:rPr>
          <w:rFonts w:cstheme="minorHAnsi"/>
          <w:color w:val="111111"/>
        </w:rPr>
        <w:t>Pye</w:t>
      </w:r>
      <w:r w:rsidR="00793D13" w:rsidRPr="00743B57">
        <w:rPr>
          <w:rFonts w:cstheme="minorHAnsi"/>
          <w:color w:val="111111"/>
        </w:rPr>
        <w:t xml:space="preserve"> 2014)</w:t>
      </w:r>
      <w:r w:rsidR="00793D13">
        <w:rPr>
          <w:rFonts w:cstheme="minorHAnsi"/>
          <w:color w:val="111111"/>
        </w:rPr>
        <w:t>.</w:t>
      </w:r>
    </w:p>
    <w:p w14:paraId="2BB930F5" w14:textId="7C9517E0" w:rsidR="00F32EB0" w:rsidRPr="0017713D" w:rsidRDefault="00726CDA" w:rsidP="00F32EB0">
      <w:r w:rsidRPr="00085B3B">
        <w:lastRenderedPageBreak/>
        <w:t xml:space="preserve">In </w:t>
      </w:r>
      <w:r w:rsidR="00001421" w:rsidRPr="00085B3B">
        <w:t xml:space="preserve">the </w:t>
      </w:r>
      <w:r w:rsidRPr="00085B3B">
        <w:t>2011</w:t>
      </w:r>
      <w:r w:rsidR="00001421" w:rsidRPr="00085B3B">
        <w:t xml:space="preserve"> Pye Tait report titled “A commentary on routes to competence in the construction sector” </w:t>
      </w:r>
      <w:r w:rsidRPr="00085B3B">
        <w:t xml:space="preserve">identified at the time that </w:t>
      </w:r>
      <w:r w:rsidRPr="00085B3B">
        <w:rPr>
          <w:i/>
          <w:iCs/>
        </w:rPr>
        <w:t>“</w:t>
      </w:r>
      <w:r w:rsidRPr="00085B3B">
        <w:rPr>
          <w:i/>
          <w:iCs/>
          <w:color w:val="000000"/>
        </w:rPr>
        <w:t>we should be cautious of the word ͘competence”</w:t>
      </w:r>
      <w:r w:rsidRPr="00085B3B">
        <w:t xml:space="preserve"> (Pye et al, 2011)</w:t>
      </w:r>
      <w:r w:rsidR="0017713D" w:rsidRPr="00085B3B">
        <w:t xml:space="preserve"> and argues that competence should not be just about qualifications.  The report states that in order to have an effective route to achieving competence, the route </w:t>
      </w:r>
      <w:r w:rsidR="0017713D" w:rsidRPr="00085B3B">
        <w:rPr>
          <w:i/>
          <w:iCs/>
        </w:rPr>
        <w:t>“</w:t>
      </w:r>
      <w:r w:rsidR="0017713D" w:rsidRPr="00085B3B">
        <w:rPr>
          <w:i/>
          <w:iCs/>
          <w:color w:val="000000"/>
        </w:rPr>
        <w:t>cannot end with qualifications or tests, or even with reassessment of those qualifications and tests. In a dangerous industry like construction the term "competence" must encompass both the need for behaviours that limit risks and situational awareness”</w:t>
      </w:r>
      <w:r w:rsidR="0017713D" w:rsidRPr="00085B3B">
        <w:t xml:space="preserve"> (Pye et al, 2011).</w:t>
      </w:r>
    </w:p>
    <w:p w14:paraId="706E4D0A" w14:textId="77777777" w:rsidR="00726CDA" w:rsidRDefault="00726CDA" w:rsidP="00F32EB0"/>
    <w:p w14:paraId="4A5F66F1" w14:textId="77777777" w:rsidR="009A7E1C" w:rsidRDefault="00F32EB0" w:rsidP="00F32EB0">
      <w:pPr>
        <w:rPr>
          <w:lang w:val="en-US"/>
        </w:rPr>
      </w:pPr>
      <w:r>
        <w:t>Figure 1 strengthens the argument in the Pye Tait report that</w:t>
      </w:r>
      <w:r>
        <w:rPr>
          <w:lang w:val="en-US"/>
        </w:rPr>
        <w:t xml:space="preserve"> competence is not a binary concept.  Instead it is scalar and gives rise to terminologies such as basic competence and high levels of competence.  The report also highlights that </w:t>
      </w:r>
      <w:r>
        <w:rPr>
          <w:i/>
          <w:iCs/>
          <w:lang w:val="en-US"/>
        </w:rPr>
        <w:t xml:space="preserve">“there is no such thing as 100%” </w:t>
      </w:r>
      <w:r>
        <w:rPr>
          <w:lang w:val="en-US"/>
        </w:rPr>
        <w:t>(</w:t>
      </w:r>
      <w:r w:rsidR="00483072">
        <w:rPr>
          <w:lang w:val="en-US"/>
        </w:rPr>
        <w:t>Pye</w:t>
      </w:r>
      <w:r>
        <w:rPr>
          <w:lang w:val="en-US"/>
        </w:rPr>
        <w:t xml:space="preserve">, 2014) in terms of competency.  In fact, it also highlights that even an expert may not be 100% competent but instead their competency is extremely high.  </w:t>
      </w:r>
    </w:p>
    <w:p w14:paraId="2C7CEDBF" w14:textId="77777777" w:rsidR="009A7E1C" w:rsidRDefault="009A7E1C" w:rsidP="00F32EB0">
      <w:pPr>
        <w:rPr>
          <w:lang w:val="en-US"/>
        </w:rPr>
      </w:pPr>
    </w:p>
    <w:p w14:paraId="1AA3AE5B" w14:textId="59FA8380" w:rsidR="00F32EB0" w:rsidRPr="001C1F48" w:rsidRDefault="00F32EB0" w:rsidP="00F32EB0">
      <w:pPr>
        <w:rPr>
          <w:lang w:val="en-US"/>
        </w:rPr>
      </w:pPr>
      <w:r>
        <w:rPr>
          <w:lang w:val="en-US"/>
        </w:rPr>
        <w:t xml:space="preserve">Figure 1 </w:t>
      </w:r>
      <w:r w:rsidR="004D3100">
        <w:rPr>
          <w:lang w:val="en-US"/>
        </w:rPr>
        <w:t xml:space="preserve">also </w:t>
      </w:r>
      <w:r>
        <w:rPr>
          <w:lang w:val="en-US"/>
        </w:rPr>
        <w:t xml:space="preserve">shows how time can have an impact on competency.  The Pye Tait report found that </w:t>
      </w:r>
      <w:r>
        <w:rPr>
          <w:i/>
          <w:iCs/>
          <w:lang w:val="en-US"/>
        </w:rPr>
        <w:t>“t</w:t>
      </w:r>
      <w:r w:rsidRPr="00F32EB0">
        <w:rPr>
          <w:i/>
          <w:iCs/>
        </w:rPr>
        <w:t>here is some evidence also that “time” is a strong factor at the early stages of a person’s career for both occupational and health &amp; safety competence.</w:t>
      </w:r>
      <w:r>
        <w:rPr>
          <w:i/>
          <w:iCs/>
        </w:rPr>
        <w:t>”</w:t>
      </w:r>
      <w:r>
        <w:t xml:space="preserve"> (</w:t>
      </w:r>
      <w:r w:rsidR="00483072">
        <w:t>Pye</w:t>
      </w:r>
      <w:r>
        <w:t xml:space="preserve">, 2014) and that refreshing and maintaining is key to updating competence.  This can be done via refresher training, onsite mentoring and </w:t>
      </w:r>
      <w:r w:rsidR="00CE7A43">
        <w:t>toolbox</w:t>
      </w:r>
      <w:r>
        <w:t xml:space="preserve"> talks</w:t>
      </w:r>
      <w:r w:rsidR="00483072">
        <w:t xml:space="preserve">.  However, the report also proposes that </w:t>
      </w:r>
      <w:r w:rsidR="00483072">
        <w:rPr>
          <w:i/>
          <w:iCs/>
        </w:rPr>
        <w:t xml:space="preserve">“statistics </w:t>
      </w:r>
      <w:r w:rsidR="00483072" w:rsidRPr="00483072">
        <w:rPr>
          <w:i/>
          <w:iCs/>
        </w:rPr>
        <w:t>demonstrate, for example, that the most critical period of health and safety risk for construction operatives is immediately after a new employee enters the industry or joins a new company</w:t>
      </w:r>
      <w:r w:rsidR="00483072">
        <w:rPr>
          <w:i/>
          <w:iCs/>
        </w:rPr>
        <w:t>”</w:t>
      </w:r>
      <w:r w:rsidR="00483072">
        <w:t xml:space="preserve"> (Pye, 2014)</w:t>
      </w:r>
      <w:r w:rsidR="003139D6">
        <w:t>.  CSCS recognised this and, as mentioned previously, withdrew the construction site operative card from being issued (CSCS, 2014).</w:t>
      </w:r>
      <w:r w:rsidR="00A97869" w:rsidRPr="00A97869">
        <w:rPr>
          <w:lang w:val="en-US"/>
        </w:rPr>
        <w:t xml:space="preserve"> </w:t>
      </w:r>
      <w:r w:rsidR="00A97869">
        <w:rPr>
          <w:lang w:val="en-US"/>
        </w:rPr>
        <w:t xml:space="preserve">  The Pye Tait Report on Competence in construction was completed in 2014 and commissioned by the CITB. </w:t>
      </w:r>
    </w:p>
    <w:p w14:paraId="635EF2EB" w14:textId="4AB6AA3C" w:rsidR="00DF5DA6" w:rsidRDefault="00DF5DA6" w:rsidP="00F32EB0"/>
    <w:p w14:paraId="20672742" w14:textId="19C2F73C" w:rsidR="0014260E" w:rsidRPr="0014260E" w:rsidRDefault="0014260E" w:rsidP="007F6C54">
      <w:pPr>
        <w:pStyle w:val="NoSpacing"/>
        <w:rPr>
          <w:b/>
          <w:bCs/>
          <w:sz w:val="24"/>
          <w:szCs w:val="24"/>
        </w:rPr>
      </w:pPr>
      <w:r w:rsidRPr="0014260E">
        <w:rPr>
          <w:b/>
          <w:bCs/>
          <w:sz w:val="24"/>
          <w:szCs w:val="24"/>
        </w:rPr>
        <w:t>Evidencing Competence</w:t>
      </w:r>
    </w:p>
    <w:p w14:paraId="6D44564E" w14:textId="0E384978" w:rsidR="007F6C54" w:rsidRPr="007F6C54" w:rsidRDefault="001E021D" w:rsidP="007F6C54">
      <w:pPr>
        <w:pStyle w:val="NoSpacing"/>
      </w:pPr>
      <w:r w:rsidRPr="007F6C54">
        <w:t>The commentary on routes to competence in the construction sector report identifies that evidencing competence can be complex and have “significant areas of weakness where wide</w:t>
      </w:r>
      <w:r w:rsidRPr="00AE2C3E">
        <w:rPr>
          <w:color w:val="FF0000"/>
        </w:rPr>
        <w:t>3</w:t>
      </w:r>
      <w:r w:rsidRPr="007F6C54">
        <w:t>r definitions of competence is concerned” (Pye</w:t>
      </w:r>
      <w:r w:rsidR="007911E5" w:rsidRPr="007F6C54">
        <w:t xml:space="preserve"> et al</w:t>
      </w:r>
      <w:r w:rsidRPr="007F6C54">
        <w:t>, 2011).  This report suggests that evidencing competence can be summed up as either primary evidence or secondary evidence.</w:t>
      </w:r>
      <w:r w:rsidR="007F6C54" w:rsidRPr="007F6C54">
        <w:t xml:space="preserve">  This method of assessing competence is agreed with under the construction design and management regulations (CDM)2015 guidance book L153.  Under regulation 15 guidance, it states that “</w:t>
      </w:r>
      <w:r w:rsidR="007F6C54" w:rsidRPr="007F6C54">
        <w:rPr>
          <w:i/>
          <w:iCs/>
        </w:rPr>
        <w:t>when a contractor employs or appoints an individual to work on a construction site, they should make enquiries to make sure the individual (a) has the skills, knowledge, training and experience to carry out the work they will be employed to do in a way that secures health and safety for anyone working on the site; or (b) is in the process of obtaining them. Paragraphs 163–173 give guidance on what a contractor should consider when appointing anyone who has gaps in the skills, knowledge or experience necessary for the work”</w:t>
      </w:r>
      <w:r w:rsidR="007F6C54" w:rsidRPr="007F6C54">
        <w:t xml:space="preserve"> (HSE, 2015)</w:t>
      </w:r>
    </w:p>
    <w:p w14:paraId="03B2A93A" w14:textId="77777777" w:rsidR="007F6C54" w:rsidRDefault="007F6C54" w:rsidP="00F32EB0"/>
    <w:p w14:paraId="1DA12E3E" w14:textId="05DBB9BD" w:rsidR="0058374F" w:rsidRDefault="00550018" w:rsidP="00F32EB0">
      <w:r>
        <w:t xml:space="preserve">The competence in construction report 2014 expands on this by saying that competence </w:t>
      </w:r>
      <w:r>
        <w:rPr>
          <w:i/>
          <w:iCs/>
        </w:rPr>
        <w:t>“cannot be fully evidence by any single means.  Individuals are able to earn and show a variety of separate pieces of evidence”</w:t>
      </w:r>
      <w:r>
        <w:t xml:space="preserve"> (Pye, 2014).  </w:t>
      </w:r>
      <w:r w:rsidR="00DE2209">
        <w:t>In terms of primary evidence, the com</w:t>
      </w:r>
      <w:r w:rsidR="00BD48D4">
        <w:t xml:space="preserve">mentary on routes to competence in the construction sector report indicates that primary evidence demonstrates a person’s competency through a system of exams and/or assessments.  This is agreed with by the </w:t>
      </w:r>
      <w:r>
        <w:t xml:space="preserve">competence in construction </w:t>
      </w:r>
      <w:r w:rsidR="00BD48D4">
        <w:t>report.  However, t</w:t>
      </w:r>
      <w:r w:rsidR="00BD48D4" w:rsidRPr="001E021D">
        <w:t>he commentary on routes to competence in the construction sector report</w:t>
      </w:r>
      <w:r w:rsidR="00BD48D4">
        <w:t xml:space="preserve"> brings into question how sufficient primary evidence in the construction sector is.  The report says that </w:t>
      </w:r>
      <w:r w:rsidR="00BD48D4" w:rsidRPr="00C43CD5">
        <w:rPr>
          <w:i/>
          <w:iCs/>
        </w:rPr>
        <w:t>“most occupational standards have been developed with, and approved by, employers to assess job competence”</w:t>
      </w:r>
      <w:r w:rsidR="00C43CD5">
        <w:t xml:space="preserve"> (Pye</w:t>
      </w:r>
      <w:r w:rsidR="007911E5">
        <w:t xml:space="preserve"> et al</w:t>
      </w:r>
      <w:r w:rsidR="00C43CD5">
        <w:t xml:space="preserve">, 2011).  </w:t>
      </w:r>
      <w:r w:rsidR="00712200">
        <w:t xml:space="preserve">This approach is contested by the report and questions whether this approach is </w:t>
      </w:r>
      <w:r w:rsidR="00712200">
        <w:rPr>
          <w:i/>
          <w:iCs/>
        </w:rPr>
        <w:t>“sufficiently effective for a relatively dangerous sector such as construction”</w:t>
      </w:r>
      <w:r w:rsidR="00712200">
        <w:t xml:space="preserve"> (Pye</w:t>
      </w:r>
      <w:r w:rsidR="007911E5">
        <w:t xml:space="preserve"> et al</w:t>
      </w:r>
      <w:r w:rsidR="00712200">
        <w:t>, 2011).  The report explains that the training rarely includes the main human causes of accidents</w:t>
      </w:r>
      <w:r w:rsidR="0058374F">
        <w:t xml:space="preserve">.  The report states that </w:t>
      </w:r>
      <w:r w:rsidR="0058374F">
        <w:rPr>
          <w:i/>
          <w:iCs/>
        </w:rPr>
        <w:t>“</w:t>
      </w:r>
      <w:r w:rsidR="0058374F" w:rsidRPr="0058374F">
        <w:rPr>
          <w:i/>
          <w:iCs/>
          <w:color w:val="000000"/>
        </w:rPr>
        <w:t xml:space="preserve">whilst construction operatives are </w:t>
      </w:r>
      <w:r w:rsidR="0058374F" w:rsidRPr="0058374F">
        <w:rPr>
          <w:i/>
          <w:iCs/>
          <w:color w:val="000000"/>
        </w:rPr>
        <w:lastRenderedPageBreak/>
        <w:t xml:space="preserve">assessed through competence based qualifications on their health and safety knowledge and application of that knowledge to their job and its immediate working environments, an understanding of the main </w:t>
      </w:r>
      <w:r w:rsidR="0058374F" w:rsidRPr="0058374F">
        <w:rPr>
          <w:i/>
          <w:iCs/>
          <w:color w:val="000000"/>
          <w:u w:val="single"/>
        </w:rPr>
        <w:t xml:space="preserve">human </w:t>
      </w:r>
      <w:r w:rsidR="0058374F" w:rsidRPr="0058374F">
        <w:rPr>
          <w:i/>
          <w:iCs/>
          <w:color w:val="000000"/>
        </w:rPr>
        <w:t>causes of accidents and the application of behavioural techniques to avoid them is rarely included or required</w:t>
      </w:r>
      <w:r w:rsidR="0058374F">
        <w:rPr>
          <w:i/>
          <w:iCs/>
          <w:color w:val="000000"/>
        </w:rPr>
        <w:t>”</w:t>
      </w:r>
      <w:r w:rsidR="0058374F">
        <w:rPr>
          <w:color w:val="000000"/>
        </w:rPr>
        <w:t xml:space="preserve"> (Pye</w:t>
      </w:r>
      <w:r w:rsidR="007911E5">
        <w:rPr>
          <w:color w:val="000000"/>
        </w:rPr>
        <w:t xml:space="preserve"> et al</w:t>
      </w:r>
      <w:r w:rsidR="0058374F">
        <w:rPr>
          <w:color w:val="000000"/>
        </w:rPr>
        <w:t>, 2011).   This human factor is emphasised in the routes to competence report 2014 as being one of the key components of competence, the other two being knowledge and skill (Pye, 2014).</w:t>
      </w:r>
      <w:r w:rsidR="00373DF0">
        <w:rPr>
          <w:color w:val="000000"/>
        </w:rPr>
        <w:t xml:space="preserve">  The report argues that it is difficult to measure due to it </w:t>
      </w:r>
      <w:r w:rsidR="00373DF0" w:rsidRPr="00373DF0">
        <w:rPr>
          <w:i/>
          <w:iCs/>
          <w:color w:val="000000"/>
        </w:rPr>
        <w:t>“</w:t>
      </w:r>
      <w:r w:rsidR="00373DF0" w:rsidRPr="00373DF0">
        <w:rPr>
          <w:i/>
          <w:iCs/>
        </w:rPr>
        <w:t>always measured by observation and informal assessment</w:t>
      </w:r>
      <w:r w:rsidR="00373DF0">
        <w:rPr>
          <w:i/>
          <w:iCs/>
        </w:rPr>
        <w:t xml:space="preserve">” </w:t>
      </w:r>
      <w:r w:rsidR="00373DF0">
        <w:t xml:space="preserve">(Pye, 2014) and competence is measured </w:t>
      </w:r>
      <w:r w:rsidR="00373DF0">
        <w:rPr>
          <w:i/>
          <w:iCs/>
        </w:rPr>
        <w:t>“</w:t>
      </w:r>
      <w:r w:rsidR="00373DF0" w:rsidRPr="00373DF0">
        <w:rPr>
          <w:i/>
          <w:iCs/>
        </w:rPr>
        <w:t>against an agreed syllabus of knowledge and skill, by tests and examinations or other forms of assessment</w:t>
      </w:r>
      <w:r w:rsidR="00373DF0">
        <w:rPr>
          <w:i/>
          <w:iCs/>
        </w:rPr>
        <w:t xml:space="preserve">” </w:t>
      </w:r>
      <w:commentRangeStart w:id="0"/>
      <w:r w:rsidR="00373DF0">
        <w:t xml:space="preserve">(Pye, 2014).  </w:t>
      </w:r>
      <w:commentRangeEnd w:id="0"/>
      <w:r w:rsidR="00E91652">
        <w:rPr>
          <w:rStyle w:val="CommentReference"/>
        </w:rPr>
        <w:commentReference w:id="0"/>
      </w:r>
    </w:p>
    <w:p w14:paraId="499D5D0B" w14:textId="77777777" w:rsidR="0058374F" w:rsidRDefault="0058374F" w:rsidP="00F32EB0"/>
    <w:p w14:paraId="7C3D9885" w14:textId="59E14AA7" w:rsidR="00F542DB" w:rsidRDefault="00F542DB" w:rsidP="00F32EB0">
      <w:r>
        <w:t xml:space="preserve">The competence in construction report highlights that there are many methods of measuring competence and highlights that many have argued </w:t>
      </w:r>
      <w:r w:rsidRPr="00F542DB">
        <w:rPr>
          <w:i/>
          <w:iCs/>
        </w:rPr>
        <w:t>“that human factors were capable of being measured and evidenced through such interventions as interviews, touch-screen tests, appraisals, site visits, observations, etc</w:t>
      </w:r>
      <w:r>
        <w:rPr>
          <w:i/>
          <w:iCs/>
        </w:rPr>
        <w:t>”</w:t>
      </w:r>
      <w:r>
        <w:t xml:space="preserve"> (Pye, 2014).  </w:t>
      </w:r>
      <w:r w:rsidR="00477110">
        <w:t xml:space="preserve">Surveys carried out for the </w:t>
      </w:r>
      <w:r>
        <w:t xml:space="preserve">report </w:t>
      </w:r>
      <w:r w:rsidR="00477110">
        <w:t xml:space="preserve">identifies from </w:t>
      </w:r>
      <w:r w:rsidR="00095A0B">
        <w:t>its</w:t>
      </w:r>
      <w:r w:rsidR="00477110">
        <w:t xml:space="preserve"> respondents that the most preferred methods of measuring competence as being; </w:t>
      </w:r>
    </w:p>
    <w:p w14:paraId="1F049CCA" w14:textId="77777777" w:rsidR="00477110" w:rsidRPr="00477110" w:rsidRDefault="00477110" w:rsidP="00477110">
      <w:pPr>
        <w:autoSpaceDE w:val="0"/>
        <w:autoSpaceDN w:val="0"/>
        <w:adjustRightInd w:val="0"/>
        <w:rPr>
          <w:rFonts w:ascii="Symbol" w:eastAsiaTheme="minorHAnsi" w:hAnsi="Symbol" w:cs="Symbol"/>
          <w:color w:val="000000"/>
          <w:sz w:val="24"/>
          <w:szCs w:val="24"/>
          <w:lang w:eastAsia="en-US"/>
        </w:rPr>
      </w:pPr>
    </w:p>
    <w:p w14:paraId="0E4BE884" w14:textId="7DCF8CD6" w:rsidR="00477110" w:rsidRDefault="00477110" w:rsidP="00477110">
      <w:pPr>
        <w:autoSpaceDE w:val="0"/>
        <w:autoSpaceDN w:val="0"/>
        <w:adjustRightInd w:val="0"/>
        <w:spacing w:after="51"/>
        <w:ind w:left="360"/>
        <w:rPr>
          <w:rFonts w:ascii="Calibri" w:eastAsiaTheme="minorHAnsi" w:hAnsi="Calibri" w:cs="Calibri"/>
          <w:color w:val="000000"/>
          <w:lang w:eastAsia="en-US"/>
        </w:rPr>
      </w:pPr>
      <w:r w:rsidRPr="00477110">
        <w:rPr>
          <w:rFonts w:ascii="Symbol" w:eastAsiaTheme="minorHAnsi" w:hAnsi="Symbol" w:cs="Symbol"/>
          <w:color w:val="000000"/>
          <w:lang w:eastAsia="en-US"/>
        </w:rPr>
        <w:t></w:t>
      </w:r>
      <w:r w:rsidRPr="00477110">
        <w:rPr>
          <w:rFonts w:ascii="Symbol" w:eastAsiaTheme="minorHAnsi" w:hAnsi="Symbol" w:cs="Symbol"/>
          <w:color w:val="000000"/>
          <w:lang w:eastAsia="en-US"/>
        </w:rPr>
        <w:t></w:t>
      </w:r>
      <w:r w:rsidRPr="00477110">
        <w:rPr>
          <w:rFonts w:ascii="Calibri" w:eastAsiaTheme="minorHAnsi" w:hAnsi="Calibri" w:cs="Calibri"/>
          <w:color w:val="000000"/>
          <w:lang w:eastAsia="en-US"/>
        </w:rPr>
        <w:t>NVQs (which sharply divided respondents who were either very supportive of them or felt they were not suitable at all</w:t>
      </w:r>
      <w:r w:rsidR="00E24576" w:rsidRPr="00E24576">
        <w:rPr>
          <w:rFonts w:ascii="Calibri" w:eastAsiaTheme="minorHAnsi" w:hAnsi="Calibri" w:cs="Calibri"/>
          <w:lang w:eastAsia="en-US"/>
        </w:rPr>
        <w:t>)</w:t>
      </w:r>
      <w:r w:rsidRPr="00477110">
        <w:rPr>
          <w:rFonts w:ascii="Calibri" w:eastAsiaTheme="minorHAnsi" w:hAnsi="Calibri" w:cs="Calibri"/>
          <w:color w:val="000000"/>
          <w:lang w:eastAsia="en-US"/>
        </w:rPr>
        <w:t xml:space="preserve">, </w:t>
      </w:r>
    </w:p>
    <w:p w14:paraId="7A651BCA" w14:textId="77777777" w:rsidR="00477110" w:rsidRDefault="00477110" w:rsidP="00477110">
      <w:pPr>
        <w:pStyle w:val="ListParagraph"/>
        <w:numPr>
          <w:ilvl w:val="0"/>
          <w:numId w:val="7"/>
        </w:numPr>
        <w:autoSpaceDE w:val="0"/>
        <w:autoSpaceDN w:val="0"/>
        <w:adjustRightInd w:val="0"/>
        <w:spacing w:after="51"/>
        <w:ind w:left="720"/>
        <w:rPr>
          <w:rFonts w:ascii="Calibri" w:eastAsiaTheme="minorHAnsi" w:hAnsi="Calibri" w:cs="Calibri"/>
          <w:color w:val="000000"/>
          <w:lang w:eastAsia="en-US"/>
        </w:rPr>
      </w:pPr>
      <w:r w:rsidRPr="00477110">
        <w:rPr>
          <w:rFonts w:ascii="Calibri" w:eastAsiaTheme="minorHAnsi" w:hAnsi="Calibri" w:cs="Calibri"/>
          <w:color w:val="000000"/>
          <w:lang w:eastAsia="en-US"/>
        </w:rPr>
        <w:t xml:space="preserve">industry-recognised training, </w:t>
      </w:r>
    </w:p>
    <w:p w14:paraId="23B6E86F" w14:textId="77777777" w:rsidR="00477110" w:rsidRDefault="00477110" w:rsidP="00477110">
      <w:pPr>
        <w:pStyle w:val="ListParagraph"/>
        <w:numPr>
          <w:ilvl w:val="0"/>
          <w:numId w:val="7"/>
        </w:numPr>
        <w:autoSpaceDE w:val="0"/>
        <w:autoSpaceDN w:val="0"/>
        <w:adjustRightInd w:val="0"/>
        <w:spacing w:after="51"/>
        <w:ind w:left="720"/>
        <w:rPr>
          <w:rFonts w:ascii="Calibri" w:eastAsiaTheme="minorHAnsi" w:hAnsi="Calibri" w:cs="Calibri"/>
          <w:color w:val="000000"/>
          <w:lang w:eastAsia="en-US"/>
        </w:rPr>
      </w:pPr>
      <w:r w:rsidRPr="00477110">
        <w:rPr>
          <w:rFonts w:ascii="Calibri" w:eastAsiaTheme="minorHAnsi" w:hAnsi="Calibri" w:cs="Calibri"/>
          <w:color w:val="000000"/>
          <w:lang w:eastAsia="en-US"/>
        </w:rPr>
        <w:t>knowledge examinations and tests,</w:t>
      </w:r>
    </w:p>
    <w:p w14:paraId="67854750" w14:textId="77777777" w:rsidR="00477110" w:rsidRDefault="00477110" w:rsidP="00477110">
      <w:pPr>
        <w:pStyle w:val="ListParagraph"/>
        <w:numPr>
          <w:ilvl w:val="0"/>
          <w:numId w:val="7"/>
        </w:numPr>
        <w:autoSpaceDE w:val="0"/>
        <w:autoSpaceDN w:val="0"/>
        <w:adjustRightInd w:val="0"/>
        <w:spacing w:after="51"/>
        <w:ind w:left="720"/>
        <w:rPr>
          <w:rFonts w:ascii="Calibri" w:eastAsiaTheme="minorHAnsi" w:hAnsi="Calibri" w:cs="Calibri"/>
          <w:color w:val="000000"/>
          <w:lang w:eastAsia="en-US"/>
        </w:rPr>
      </w:pPr>
      <w:r w:rsidRPr="00477110">
        <w:rPr>
          <w:rFonts w:ascii="Calibri" w:eastAsiaTheme="minorHAnsi" w:hAnsi="Calibri" w:cs="Calibri"/>
          <w:color w:val="000000"/>
          <w:lang w:eastAsia="en-US"/>
        </w:rPr>
        <w:t xml:space="preserve">familiarisation training, </w:t>
      </w:r>
    </w:p>
    <w:p w14:paraId="669CF742" w14:textId="77777777" w:rsidR="00477110" w:rsidRDefault="00477110" w:rsidP="00477110">
      <w:pPr>
        <w:pStyle w:val="ListParagraph"/>
        <w:numPr>
          <w:ilvl w:val="0"/>
          <w:numId w:val="7"/>
        </w:numPr>
        <w:autoSpaceDE w:val="0"/>
        <w:autoSpaceDN w:val="0"/>
        <w:adjustRightInd w:val="0"/>
        <w:spacing w:after="51"/>
        <w:ind w:left="720"/>
        <w:rPr>
          <w:rFonts w:ascii="Calibri" w:eastAsiaTheme="minorHAnsi" w:hAnsi="Calibri" w:cs="Calibri"/>
          <w:color w:val="000000"/>
          <w:lang w:eastAsia="en-US"/>
        </w:rPr>
      </w:pPr>
      <w:r w:rsidRPr="00477110">
        <w:rPr>
          <w:rFonts w:ascii="Calibri" w:eastAsiaTheme="minorHAnsi" w:hAnsi="Calibri" w:cs="Calibri"/>
          <w:color w:val="000000"/>
          <w:lang w:eastAsia="en-US"/>
        </w:rPr>
        <w:t>inspections of work carried out,</w:t>
      </w:r>
    </w:p>
    <w:p w14:paraId="55887458" w14:textId="77777777" w:rsidR="00477110" w:rsidRDefault="00477110" w:rsidP="00477110">
      <w:pPr>
        <w:pStyle w:val="ListParagraph"/>
        <w:numPr>
          <w:ilvl w:val="0"/>
          <w:numId w:val="7"/>
        </w:numPr>
        <w:autoSpaceDE w:val="0"/>
        <w:autoSpaceDN w:val="0"/>
        <w:adjustRightInd w:val="0"/>
        <w:spacing w:after="51"/>
        <w:ind w:left="720"/>
        <w:rPr>
          <w:rFonts w:ascii="Calibri" w:eastAsiaTheme="minorHAnsi" w:hAnsi="Calibri" w:cs="Calibri"/>
          <w:color w:val="000000"/>
          <w:lang w:eastAsia="en-US"/>
        </w:rPr>
      </w:pPr>
      <w:r w:rsidRPr="00477110">
        <w:rPr>
          <w:rFonts w:ascii="Calibri" w:eastAsiaTheme="minorHAnsi" w:hAnsi="Calibri" w:cs="Calibri"/>
          <w:color w:val="000000"/>
          <w:lang w:eastAsia="en-US"/>
        </w:rPr>
        <w:t>refresher training,</w:t>
      </w:r>
    </w:p>
    <w:p w14:paraId="2D23BAFE" w14:textId="77777777" w:rsidR="00477110" w:rsidRDefault="00477110" w:rsidP="00477110">
      <w:pPr>
        <w:pStyle w:val="ListParagraph"/>
        <w:numPr>
          <w:ilvl w:val="0"/>
          <w:numId w:val="7"/>
        </w:numPr>
        <w:autoSpaceDE w:val="0"/>
        <w:autoSpaceDN w:val="0"/>
        <w:adjustRightInd w:val="0"/>
        <w:spacing w:after="51"/>
        <w:ind w:left="720"/>
        <w:rPr>
          <w:rFonts w:ascii="Calibri" w:eastAsiaTheme="minorHAnsi" w:hAnsi="Calibri" w:cs="Calibri"/>
          <w:color w:val="000000"/>
          <w:lang w:eastAsia="en-US"/>
        </w:rPr>
      </w:pPr>
      <w:r w:rsidRPr="00477110">
        <w:rPr>
          <w:rFonts w:ascii="Calibri" w:eastAsiaTheme="minorHAnsi" w:hAnsi="Calibri" w:cs="Calibri"/>
          <w:color w:val="000000"/>
          <w:lang w:eastAsia="en-US"/>
        </w:rPr>
        <w:t>validated records of experience.</w:t>
      </w:r>
    </w:p>
    <w:p w14:paraId="64494517" w14:textId="77777777" w:rsidR="00477110" w:rsidRDefault="00477110" w:rsidP="00477110">
      <w:pPr>
        <w:pStyle w:val="ListParagraph"/>
        <w:autoSpaceDE w:val="0"/>
        <w:autoSpaceDN w:val="0"/>
        <w:adjustRightInd w:val="0"/>
        <w:spacing w:after="51"/>
        <w:jc w:val="right"/>
        <w:rPr>
          <w:rFonts w:ascii="Calibri" w:eastAsiaTheme="minorHAnsi" w:hAnsi="Calibri" w:cs="Calibri"/>
          <w:color w:val="000000"/>
          <w:lang w:eastAsia="en-US"/>
        </w:rPr>
      </w:pPr>
      <w:r>
        <w:rPr>
          <w:rFonts w:ascii="Calibri" w:eastAsiaTheme="minorHAnsi" w:hAnsi="Calibri" w:cs="Calibri"/>
          <w:color w:val="000000"/>
          <w:lang w:eastAsia="en-US"/>
        </w:rPr>
        <w:t>(Pye, 2014)</w:t>
      </w:r>
    </w:p>
    <w:p w14:paraId="5803F1A8" w14:textId="77777777" w:rsidR="00095A0B" w:rsidRDefault="00095A0B" w:rsidP="00477110">
      <w:pPr>
        <w:pStyle w:val="ListParagraph"/>
        <w:autoSpaceDE w:val="0"/>
        <w:autoSpaceDN w:val="0"/>
        <w:adjustRightInd w:val="0"/>
        <w:spacing w:after="51"/>
        <w:ind w:left="0"/>
        <w:rPr>
          <w:rFonts w:ascii="Calibri" w:eastAsiaTheme="minorHAnsi" w:hAnsi="Calibri" w:cs="Calibri"/>
          <w:color w:val="000000"/>
          <w:lang w:eastAsia="en-US"/>
        </w:rPr>
      </w:pPr>
    </w:p>
    <w:p w14:paraId="2088DFDC" w14:textId="210740F4" w:rsidR="00F542DB" w:rsidRDefault="00095A0B" w:rsidP="009D3E6A">
      <w:pPr>
        <w:pStyle w:val="ListParagraph"/>
        <w:autoSpaceDE w:val="0"/>
        <w:autoSpaceDN w:val="0"/>
        <w:adjustRightInd w:val="0"/>
        <w:spacing w:after="51"/>
        <w:ind w:left="0"/>
      </w:pPr>
      <w:r>
        <w:rPr>
          <w:rFonts w:ascii="Calibri" w:eastAsiaTheme="minorHAnsi" w:hAnsi="Calibri" w:cs="Calibri"/>
          <w:color w:val="000000"/>
          <w:lang w:eastAsia="en-US"/>
        </w:rPr>
        <w:t xml:space="preserve">These methods have the potential of collecting </w:t>
      </w:r>
      <w:r w:rsidR="009D3E6A">
        <w:rPr>
          <w:rFonts w:ascii="Calibri" w:eastAsiaTheme="minorHAnsi" w:hAnsi="Calibri" w:cs="Calibri"/>
          <w:color w:val="000000"/>
          <w:lang w:eastAsia="en-US"/>
        </w:rPr>
        <w:t xml:space="preserve">large </w:t>
      </w:r>
      <w:r>
        <w:rPr>
          <w:rFonts w:ascii="Calibri" w:eastAsiaTheme="minorHAnsi" w:hAnsi="Calibri" w:cs="Calibri"/>
          <w:color w:val="000000"/>
          <w:lang w:eastAsia="en-US"/>
        </w:rPr>
        <w:t>amount</w:t>
      </w:r>
      <w:r w:rsidR="009D3E6A">
        <w:rPr>
          <w:rFonts w:ascii="Calibri" w:eastAsiaTheme="minorHAnsi" w:hAnsi="Calibri" w:cs="Calibri"/>
          <w:color w:val="000000"/>
          <w:lang w:eastAsia="en-US"/>
        </w:rPr>
        <w:t>s</w:t>
      </w:r>
      <w:r>
        <w:rPr>
          <w:rFonts w:ascii="Calibri" w:eastAsiaTheme="minorHAnsi" w:hAnsi="Calibri" w:cs="Calibri"/>
          <w:color w:val="000000"/>
          <w:lang w:eastAsia="en-US"/>
        </w:rPr>
        <w:t xml:space="preserve"> of information to demonstrate an </w:t>
      </w:r>
      <w:r w:rsidR="009D3E6A">
        <w:rPr>
          <w:rFonts w:ascii="Calibri" w:eastAsiaTheme="minorHAnsi" w:hAnsi="Calibri" w:cs="Calibri"/>
          <w:color w:val="000000"/>
          <w:lang w:eastAsia="en-US"/>
        </w:rPr>
        <w:t>individual’s</w:t>
      </w:r>
      <w:r>
        <w:rPr>
          <w:rFonts w:ascii="Calibri" w:eastAsiaTheme="minorHAnsi" w:hAnsi="Calibri" w:cs="Calibri"/>
          <w:color w:val="000000"/>
          <w:lang w:eastAsia="en-US"/>
        </w:rPr>
        <w:t xml:space="preserve"> competence</w:t>
      </w:r>
      <w:r w:rsidR="009D3E6A">
        <w:rPr>
          <w:rFonts w:ascii="Calibri" w:eastAsiaTheme="minorHAnsi" w:hAnsi="Calibri" w:cs="Calibri"/>
          <w:color w:val="000000"/>
          <w:lang w:eastAsia="en-US"/>
        </w:rPr>
        <w:t xml:space="preserve"> </w:t>
      </w:r>
      <w:r w:rsidR="00F474E1">
        <w:rPr>
          <w:rFonts w:ascii="Calibri" w:eastAsiaTheme="minorHAnsi" w:hAnsi="Calibri" w:cs="Calibri"/>
          <w:color w:val="000000"/>
          <w:lang w:eastAsia="en-US"/>
        </w:rPr>
        <w:t>and</w:t>
      </w:r>
      <w:r w:rsidR="009D3E6A">
        <w:rPr>
          <w:rFonts w:ascii="Calibri" w:eastAsiaTheme="minorHAnsi" w:hAnsi="Calibri" w:cs="Calibri"/>
          <w:color w:val="000000"/>
          <w:lang w:eastAsia="en-US"/>
        </w:rPr>
        <w:t xml:space="preserve"> positive experiences.  A selection of respondents argued that </w:t>
      </w:r>
      <w:r w:rsidR="009D3E6A" w:rsidRPr="009D3E6A">
        <w:rPr>
          <w:rFonts w:ascii="Calibri" w:eastAsiaTheme="minorHAnsi" w:hAnsi="Calibri" w:cs="Calibri"/>
          <w:i/>
          <w:iCs/>
          <w:color w:val="000000"/>
          <w:lang w:eastAsia="en-US"/>
        </w:rPr>
        <w:t>“</w:t>
      </w:r>
      <w:r w:rsidR="009D3E6A" w:rsidRPr="009D3E6A">
        <w:rPr>
          <w:i/>
          <w:iCs/>
        </w:rPr>
        <w:t>any new approach to the evidencing of competence should contain sanctions – i.e. the potential to rescind or revoke cards under defined circumstances</w:t>
      </w:r>
      <w:r w:rsidR="009D3E6A">
        <w:rPr>
          <w:i/>
          <w:iCs/>
        </w:rPr>
        <w:t>”</w:t>
      </w:r>
      <w:r w:rsidR="009D3E6A">
        <w:t xml:space="preserve"> (Pye, 2014).  The report proposes that information can be collected using digital technologies, such as chip and pin, phone app or matrix barcode and stored on a centralised database and would act as a mini-CV that will provide verifiable evidence of competence (Pye, 2014).  However, some of the respondent’s question whether this can be done for behavioural aspects as well as physical aspects due to the collected information being </w:t>
      </w:r>
      <w:r w:rsidR="009D3E6A" w:rsidRPr="009D3E6A">
        <w:rPr>
          <w:i/>
          <w:iCs/>
        </w:rPr>
        <w:t>“too reliant on subjective assessment</w:t>
      </w:r>
      <w:r w:rsidR="009D3E6A">
        <w:rPr>
          <w:i/>
          <w:iCs/>
        </w:rPr>
        <w:t xml:space="preserve">” </w:t>
      </w:r>
      <w:r w:rsidR="009D3E6A">
        <w:t>(Pye, 2014).</w:t>
      </w:r>
    </w:p>
    <w:p w14:paraId="387787FE" w14:textId="77777777" w:rsidR="009D3E6A" w:rsidRDefault="009D3E6A" w:rsidP="009D3E6A">
      <w:pPr>
        <w:pStyle w:val="ListParagraph"/>
        <w:autoSpaceDE w:val="0"/>
        <w:autoSpaceDN w:val="0"/>
        <w:adjustRightInd w:val="0"/>
        <w:spacing w:after="51"/>
        <w:ind w:left="0"/>
      </w:pPr>
    </w:p>
    <w:p w14:paraId="0E8AE7C0" w14:textId="6A7586BD" w:rsidR="00333960" w:rsidRPr="00333960" w:rsidRDefault="00333960" w:rsidP="00F32EB0">
      <w:pPr>
        <w:rPr>
          <w:b/>
          <w:bCs/>
          <w:sz w:val="24"/>
          <w:szCs w:val="24"/>
        </w:rPr>
      </w:pPr>
      <w:r w:rsidRPr="00333960">
        <w:rPr>
          <w:b/>
          <w:bCs/>
          <w:sz w:val="24"/>
          <w:szCs w:val="24"/>
        </w:rPr>
        <w:t>Complacency</w:t>
      </w:r>
    </w:p>
    <w:p w14:paraId="7EB966D8" w14:textId="6AD1D2A5" w:rsidR="0062791D" w:rsidRDefault="00DF5DA6" w:rsidP="00F32EB0">
      <w:r>
        <w:t xml:space="preserve">The </w:t>
      </w:r>
      <w:r w:rsidR="0097525F">
        <w:t xml:space="preserve">competence in construction </w:t>
      </w:r>
      <w:r w:rsidR="007911E5">
        <w:t xml:space="preserve">report </w:t>
      </w:r>
      <w:r>
        <w:t xml:space="preserve">indicates that complacency can also influence competence.  The report states that complacency can impact competence </w:t>
      </w:r>
      <w:r>
        <w:rPr>
          <w:i/>
          <w:iCs/>
        </w:rPr>
        <w:t>“</w:t>
      </w:r>
      <w:r w:rsidRPr="00DF5DA6">
        <w:rPr>
          <w:i/>
          <w:iCs/>
        </w:rPr>
        <w:t>especially as experience increases or where tasks are repetitive. The converse is also true, i.e. where some tasks or equipment are not carried out or used very often</w:t>
      </w:r>
      <w:r>
        <w:rPr>
          <w:i/>
          <w:iCs/>
        </w:rPr>
        <w:t xml:space="preserve">” </w:t>
      </w:r>
      <w:r>
        <w:t>(Pye, 2014).  This is important in terms of continuous improvement</w:t>
      </w:r>
      <w:r w:rsidR="0091514A">
        <w:t xml:space="preserve"> to ensure an individual remains competent.  This is problem with competency is agreed with by PSI Services who is a global leader in work force solutions</w:t>
      </w:r>
      <w:r w:rsidR="0091514A" w:rsidRPr="0062791D">
        <w:rPr>
          <w:rFonts w:cstheme="minorHAnsi"/>
        </w:rPr>
        <w:t xml:space="preserve">.  An online article from February 2018 </w:t>
      </w:r>
      <w:r w:rsidR="00134196">
        <w:rPr>
          <w:rFonts w:cstheme="minorHAnsi"/>
        </w:rPr>
        <w:t xml:space="preserve">by PSI Services </w:t>
      </w:r>
      <w:r w:rsidR="0091514A" w:rsidRPr="0062791D">
        <w:rPr>
          <w:rFonts w:cstheme="minorHAnsi"/>
        </w:rPr>
        <w:t>says that the result of complacency is a false sense of security. It is created when an “</w:t>
      </w:r>
      <w:r w:rsidR="0091514A" w:rsidRPr="0062791D">
        <w:rPr>
          <w:rFonts w:cstheme="minorHAnsi"/>
          <w:i/>
          <w:iCs/>
        </w:rPr>
        <w:t xml:space="preserve">individual reaches a comfort level with the common exposures associated with his work environment, he assumes he controls them solely by repeating what he has done in the past” </w:t>
      </w:r>
      <w:r w:rsidR="0091514A" w:rsidRPr="0062791D">
        <w:rPr>
          <w:rFonts w:cstheme="minorHAnsi"/>
        </w:rPr>
        <w:t>(</w:t>
      </w:r>
      <w:r w:rsidR="0091514A" w:rsidRPr="0062791D">
        <w:rPr>
          <w:rFonts w:cstheme="minorHAnsi"/>
          <w:color w:val="282629"/>
        </w:rPr>
        <w:t>PSI, 2018).</w:t>
      </w:r>
      <w:r w:rsidR="0062791D" w:rsidRPr="0062791D">
        <w:rPr>
          <w:rFonts w:cstheme="minorHAnsi"/>
          <w:color w:val="282629"/>
        </w:rPr>
        <w:t xml:space="preserve">  T</w:t>
      </w:r>
      <w:r w:rsidR="0062791D" w:rsidRPr="0062791D">
        <w:t>his shows the importance of positive experience</w:t>
      </w:r>
      <w:r w:rsidR="0062791D">
        <w:t xml:space="preserve"> as highlighted by the Pye Tait Report.  PSI proposes that there three steps to reduce complacency in the workplace, which are:</w:t>
      </w:r>
    </w:p>
    <w:p w14:paraId="31FBC2A5" w14:textId="2266FCEC" w:rsidR="0062791D" w:rsidRDefault="0062791D" w:rsidP="00F32EB0"/>
    <w:p w14:paraId="0ABF154B" w14:textId="7CA0A1E6" w:rsidR="0062791D" w:rsidRPr="0062791D" w:rsidRDefault="0062791D" w:rsidP="0062791D">
      <w:pPr>
        <w:rPr>
          <w:rFonts w:eastAsia="Times New Roman" w:cstheme="minorHAnsi"/>
        </w:rPr>
      </w:pPr>
      <w:r w:rsidRPr="0062791D">
        <w:rPr>
          <w:rStyle w:val="Strong"/>
          <w:rFonts w:cstheme="minorHAnsi"/>
          <w:color w:val="282629"/>
        </w:rPr>
        <w:lastRenderedPageBreak/>
        <w:t>Assess</w:t>
      </w:r>
      <w:r w:rsidRPr="0062791D">
        <w:rPr>
          <w:rStyle w:val="Strong"/>
          <w:rFonts w:cstheme="minorHAnsi"/>
          <w:b w:val="0"/>
          <w:bCs w:val="0"/>
          <w:color w:val="282629"/>
        </w:rPr>
        <w:t xml:space="preserve"> -</w:t>
      </w:r>
      <w:r w:rsidRPr="0062791D">
        <w:rPr>
          <w:rFonts w:cstheme="minorHAnsi"/>
        </w:rPr>
        <w:t xml:space="preserve"> test your workforce for personal safety. This empowers you and them to confidently know their specific safety levels and to structure coaching and improvement based on their individual needs.</w:t>
      </w:r>
    </w:p>
    <w:p w14:paraId="5FA0A055" w14:textId="2529D6F9" w:rsidR="0062791D" w:rsidRPr="0062791D" w:rsidRDefault="0062791D" w:rsidP="0062791D">
      <w:pPr>
        <w:rPr>
          <w:rFonts w:cstheme="minorHAnsi"/>
        </w:rPr>
      </w:pPr>
      <w:r w:rsidRPr="0062791D">
        <w:rPr>
          <w:rStyle w:val="Strong"/>
          <w:rFonts w:cstheme="minorHAnsi"/>
          <w:color w:val="282629"/>
        </w:rPr>
        <w:t>Develop</w:t>
      </w:r>
      <w:r w:rsidRPr="0062791D">
        <w:rPr>
          <w:rStyle w:val="Strong"/>
          <w:rFonts w:cstheme="minorHAnsi"/>
          <w:b w:val="0"/>
          <w:bCs w:val="0"/>
          <w:color w:val="282629"/>
        </w:rPr>
        <w:t xml:space="preserve"> -</w:t>
      </w:r>
      <w:r w:rsidRPr="0062791D">
        <w:rPr>
          <w:rFonts w:cstheme="minorHAnsi"/>
        </w:rPr>
        <w:t xml:space="preserve"> Provide meaningful feedback to your employees in a structured way. This supports your workers' efforts to improve their personal safety behaviours.</w:t>
      </w:r>
      <w:r>
        <w:rPr>
          <w:rFonts w:cstheme="minorHAnsi"/>
        </w:rPr>
        <w:t xml:space="preserve">  T</w:t>
      </w:r>
      <w:r w:rsidRPr="0062791D">
        <w:rPr>
          <w:rFonts w:cstheme="minorHAnsi"/>
        </w:rPr>
        <w:t>he key is self-awareness from which a person's development plan originates.</w:t>
      </w:r>
    </w:p>
    <w:p w14:paraId="3033BEA9" w14:textId="3B0F94C5" w:rsidR="0062791D" w:rsidRPr="0062791D" w:rsidRDefault="0062791D" w:rsidP="0062791D">
      <w:pPr>
        <w:rPr>
          <w:rFonts w:cstheme="minorHAnsi"/>
        </w:rPr>
      </w:pPr>
      <w:r w:rsidRPr="0062791D">
        <w:rPr>
          <w:rStyle w:val="Strong"/>
          <w:rFonts w:cstheme="minorHAnsi"/>
          <w:color w:val="282629"/>
        </w:rPr>
        <w:t>Sustain</w:t>
      </w:r>
      <w:r w:rsidRPr="0062791D">
        <w:rPr>
          <w:rStyle w:val="Strong"/>
          <w:rFonts w:cstheme="minorHAnsi"/>
          <w:b w:val="0"/>
          <w:bCs w:val="0"/>
          <w:color w:val="282629"/>
        </w:rPr>
        <w:t xml:space="preserve"> -</w:t>
      </w:r>
      <w:r w:rsidRPr="0062791D">
        <w:rPr>
          <w:rFonts w:cstheme="minorHAnsi"/>
        </w:rPr>
        <w:t xml:space="preserve"> Integrate internal safety into your safety culture and safety systems</w:t>
      </w:r>
      <w:r>
        <w:rPr>
          <w:rFonts w:cstheme="minorHAnsi"/>
        </w:rPr>
        <w:t>.</w:t>
      </w:r>
      <w:r w:rsidRPr="0062791D">
        <w:rPr>
          <w:rFonts w:cstheme="minorHAnsi"/>
        </w:rPr>
        <w:t xml:space="preserve"> </w:t>
      </w:r>
      <w:r>
        <w:rPr>
          <w:rFonts w:cstheme="minorHAnsi"/>
        </w:rPr>
        <w:t xml:space="preserve"> </w:t>
      </w:r>
      <w:r w:rsidRPr="0062791D">
        <w:rPr>
          <w:rFonts w:cstheme="minorHAnsi"/>
        </w:rPr>
        <w:t xml:space="preserve">Choose ones that are simple to implement and reinforce personal safety from an </w:t>
      </w:r>
      <w:r w:rsidRPr="0062791D">
        <w:rPr>
          <w:rStyle w:val="Emphasis"/>
          <w:rFonts w:cstheme="minorHAnsi"/>
          <w:i w:val="0"/>
          <w:iCs w:val="0"/>
          <w:color w:val="282629"/>
        </w:rPr>
        <w:t>internal</w:t>
      </w:r>
      <w:r w:rsidRPr="0062791D">
        <w:rPr>
          <w:rStyle w:val="Emphasis"/>
          <w:rFonts w:cstheme="minorHAnsi"/>
          <w:color w:val="282629"/>
        </w:rPr>
        <w:t xml:space="preserve"> </w:t>
      </w:r>
      <w:r w:rsidRPr="0062791D">
        <w:rPr>
          <w:rFonts w:cstheme="minorHAnsi"/>
        </w:rPr>
        <w:t>perspective.</w:t>
      </w:r>
    </w:p>
    <w:p w14:paraId="0AEADBBE" w14:textId="659A9EB8" w:rsidR="00726CDA" w:rsidRDefault="0062791D" w:rsidP="001E021D">
      <w:pPr>
        <w:tabs>
          <w:tab w:val="left" w:pos="7602"/>
        </w:tabs>
        <w:rPr>
          <w:rFonts w:cstheme="minorHAnsi"/>
          <w:color w:val="282629"/>
        </w:rPr>
      </w:pPr>
      <w:r>
        <w:tab/>
      </w:r>
      <w:r w:rsidRPr="0062791D">
        <w:rPr>
          <w:rFonts w:cstheme="minorHAnsi"/>
        </w:rPr>
        <w:t>(</w:t>
      </w:r>
      <w:r w:rsidRPr="0062791D">
        <w:rPr>
          <w:rFonts w:cstheme="minorHAnsi"/>
          <w:color w:val="282629"/>
        </w:rPr>
        <w:t>PSI, 2018)</w:t>
      </w:r>
    </w:p>
    <w:p w14:paraId="77C7D920" w14:textId="48E1A120" w:rsidR="00B90257" w:rsidRDefault="00B90257" w:rsidP="001E021D">
      <w:pPr>
        <w:tabs>
          <w:tab w:val="left" w:pos="7602"/>
        </w:tabs>
        <w:rPr>
          <w:rFonts w:cstheme="minorHAnsi"/>
          <w:color w:val="282629"/>
        </w:rPr>
      </w:pPr>
    </w:p>
    <w:p w14:paraId="071B70C1" w14:textId="00820C8B" w:rsidR="00A66722" w:rsidRPr="00A66722" w:rsidRDefault="00A66722" w:rsidP="00A66722">
      <w:r>
        <w:rPr>
          <w:color w:val="000000" w:themeColor="text1"/>
        </w:rPr>
        <w:t>Complacency has the potential to be devastating.  This is demonstrated in a news article published by the BBC 1</w:t>
      </w:r>
      <w:r w:rsidRPr="00A66722">
        <w:rPr>
          <w:color w:val="000000" w:themeColor="text1"/>
          <w:vertAlign w:val="superscript"/>
        </w:rPr>
        <w:t>st</w:t>
      </w:r>
      <w:r>
        <w:rPr>
          <w:color w:val="000000" w:themeColor="text1"/>
        </w:rPr>
        <w:t xml:space="preserve"> October 2019.  This article looked at an initial report into the death of two railway workers.  The report says that it was believed that </w:t>
      </w:r>
      <w:r>
        <w:rPr>
          <w:i/>
          <w:iCs/>
          <w:color w:val="000000" w:themeColor="text1"/>
        </w:rPr>
        <w:t>“</w:t>
      </w:r>
      <w:r w:rsidRPr="00A66722">
        <w:rPr>
          <w:i/>
          <w:iCs/>
        </w:rPr>
        <w:t>the team believed they were working in the "most effective way"</w:t>
      </w:r>
      <w:r>
        <w:rPr>
          <w:i/>
          <w:iCs/>
        </w:rPr>
        <w:t xml:space="preserve">” </w:t>
      </w:r>
      <w:r>
        <w:t xml:space="preserve">(BBC, 2019) which then </w:t>
      </w:r>
      <w:r w:rsidRPr="00A66722">
        <w:rPr>
          <w:i/>
          <w:iCs/>
        </w:rPr>
        <w:t xml:space="preserve">"potentially led to overconfidence and a culture that delivered work 'their way' </w:t>
      </w:r>
      <w:r>
        <w:t>(BBC, 2019).</w:t>
      </w:r>
    </w:p>
    <w:p w14:paraId="0EA9936D" w14:textId="77777777" w:rsidR="00A66722" w:rsidRPr="00A66722" w:rsidRDefault="00A66722" w:rsidP="00A66722"/>
    <w:p w14:paraId="16FFB510" w14:textId="77777777" w:rsidR="00333960" w:rsidRPr="004B5762" w:rsidRDefault="00333960" w:rsidP="00333960">
      <w:pPr>
        <w:pStyle w:val="NoSpacing"/>
        <w:rPr>
          <w:b/>
          <w:bCs/>
          <w:sz w:val="24"/>
          <w:szCs w:val="24"/>
        </w:rPr>
      </w:pPr>
      <w:r w:rsidRPr="004B5762">
        <w:rPr>
          <w:b/>
          <w:bCs/>
          <w:sz w:val="24"/>
          <w:szCs w:val="24"/>
        </w:rPr>
        <w:t>Training</w:t>
      </w:r>
      <w:r>
        <w:rPr>
          <w:b/>
          <w:bCs/>
          <w:sz w:val="24"/>
          <w:szCs w:val="24"/>
        </w:rPr>
        <w:t xml:space="preserve"> and Skills</w:t>
      </w:r>
    </w:p>
    <w:p w14:paraId="331247DC" w14:textId="4AE9FA7C" w:rsidR="00FA1314" w:rsidRDefault="008C54AD" w:rsidP="003F0CD1">
      <w:pPr>
        <w:rPr>
          <w:color w:val="000000" w:themeColor="text1"/>
        </w:rPr>
      </w:pPr>
      <w:r>
        <w:rPr>
          <w:rFonts w:cstheme="minorHAnsi"/>
          <w:color w:val="282629"/>
        </w:rPr>
        <w:t>There are a range of NVQs available for the construction industry, table of available courses can be seen in appendix 1.</w:t>
      </w:r>
      <w:r w:rsidR="00A01E38">
        <w:rPr>
          <w:rFonts w:cstheme="minorHAnsi"/>
          <w:color w:val="282629"/>
        </w:rPr>
        <w:t xml:space="preserve">  Appendix 1 shows that there is many NVQs available ranging from entry level up to level 6.  </w:t>
      </w:r>
      <w:r w:rsidR="003F0CD1">
        <w:rPr>
          <w:rFonts w:cstheme="minorHAnsi"/>
          <w:color w:val="282629"/>
        </w:rPr>
        <w:t xml:space="preserve">These are in place until 2020.  At that point, City and Guilds have said that they </w:t>
      </w:r>
      <w:r w:rsidR="003F0CD1" w:rsidRPr="003F0CD1">
        <w:rPr>
          <w:rFonts w:cstheme="minorHAnsi"/>
          <w:i/>
          <w:iCs/>
          <w:color w:val="282629"/>
        </w:rPr>
        <w:t>“</w:t>
      </w:r>
      <w:r w:rsidR="003F0CD1" w:rsidRPr="003F0CD1">
        <w:rPr>
          <w:i/>
          <w:iCs/>
          <w:color w:val="000000" w:themeColor="text1"/>
        </w:rPr>
        <w:t>will then hold another review of the NVQs to decide whether a further extension is required”</w:t>
      </w:r>
      <w:r w:rsidR="003F0CD1">
        <w:rPr>
          <w:i/>
          <w:iCs/>
          <w:color w:val="000000" w:themeColor="text1"/>
        </w:rPr>
        <w:t xml:space="preserve"> </w:t>
      </w:r>
      <w:r w:rsidR="003F0CD1">
        <w:rPr>
          <w:color w:val="000000" w:themeColor="text1"/>
        </w:rPr>
        <w:t>(City &amp; Guilds, 2018).  This is due to apprenticeships changing from the Specification of Apprenticeship Standards in England (SASE) to a new apprenticeship standard.</w:t>
      </w:r>
      <w:r w:rsidR="00FA1314">
        <w:rPr>
          <w:color w:val="000000" w:themeColor="text1"/>
        </w:rPr>
        <w:t xml:space="preserve">  This </w:t>
      </w:r>
      <w:commentRangeStart w:id="1"/>
      <w:r w:rsidR="00FA1314">
        <w:rPr>
          <w:color w:val="000000" w:themeColor="text1"/>
        </w:rPr>
        <w:t xml:space="preserve">qualification system </w:t>
      </w:r>
      <w:commentRangeEnd w:id="1"/>
      <w:r w:rsidR="00086EAB">
        <w:rPr>
          <w:rStyle w:val="CommentReference"/>
        </w:rPr>
        <w:commentReference w:id="1"/>
      </w:r>
      <w:r w:rsidR="00FA1314">
        <w:rPr>
          <w:color w:val="000000" w:themeColor="text1"/>
        </w:rPr>
        <w:t xml:space="preserve">is being used in Wales.  The new apprenticeship standard will follow a similar structure </w:t>
      </w:r>
      <w:r w:rsidR="00A01E38">
        <w:rPr>
          <w:color w:val="000000" w:themeColor="text1"/>
        </w:rPr>
        <w:t>consisting</w:t>
      </w:r>
      <w:r w:rsidR="00FA1314">
        <w:rPr>
          <w:color w:val="000000" w:themeColor="text1"/>
        </w:rPr>
        <w:t xml:space="preserve"> of;</w:t>
      </w:r>
    </w:p>
    <w:p w14:paraId="588E3707" w14:textId="77777777" w:rsidR="00FA1314" w:rsidRDefault="00FA1314" w:rsidP="003F0CD1">
      <w:pPr>
        <w:rPr>
          <w:color w:val="000000" w:themeColor="text1"/>
        </w:rPr>
      </w:pPr>
    </w:p>
    <w:p w14:paraId="3F80820E" w14:textId="1DBA77DA" w:rsidR="00FA1314" w:rsidRPr="00A01E38" w:rsidRDefault="00FA1314" w:rsidP="00FA1314">
      <w:pPr>
        <w:pStyle w:val="ListParagraph"/>
        <w:numPr>
          <w:ilvl w:val="0"/>
          <w:numId w:val="11"/>
        </w:numPr>
        <w:rPr>
          <w:i/>
          <w:iCs/>
        </w:rPr>
      </w:pPr>
      <w:r w:rsidRPr="00A01E38">
        <w:rPr>
          <w:i/>
          <w:iCs/>
        </w:rPr>
        <w:t xml:space="preserve">On-programme training </w:t>
      </w:r>
    </w:p>
    <w:p w14:paraId="647DC4B0" w14:textId="77777777" w:rsidR="00FA1314" w:rsidRPr="00A01E38" w:rsidRDefault="00FA1314" w:rsidP="00FA1314">
      <w:pPr>
        <w:pStyle w:val="ListParagraph"/>
        <w:numPr>
          <w:ilvl w:val="1"/>
          <w:numId w:val="11"/>
        </w:numPr>
        <w:rPr>
          <w:i/>
          <w:iCs/>
        </w:rPr>
      </w:pPr>
      <w:r w:rsidRPr="00A01E38">
        <w:rPr>
          <w:i/>
          <w:iCs/>
        </w:rPr>
        <w:t>On-the-job and off-the-job training. Qualifications may or may not be mandatory.</w:t>
      </w:r>
    </w:p>
    <w:p w14:paraId="269060AF" w14:textId="77777777" w:rsidR="00FA1314" w:rsidRPr="00A01E38" w:rsidRDefault="00FA1314" w:rsidP="00FA1314">
      <w:pPr>
        <w:pStyle w:val="ListParagraph"/>
        <w:numPr>
          <w:ilvl w:val="1"/>
          <w:numId w:val="11"/>
        </w:numPr>
        <w:rPr>
          <w:i/>
          <w:iCs/>
        </w:rPr>
      </w:pPr>
      <w:r w:rsidRPr="00A01E38">
        <w:rPr>
          <w:i/>
          <w:iCs/>
        </w:rPr>
        <w:t xml:space="preserve">Maths and English </w:t>
      </w:r>
    </w:p>
    <w:p w14:paraId="230E9019" w14:textId="77777777" w:rsidR="00FA1314" w:rsidRPr="00A01E38" w:rsidRDefault="00FA1314" w:rsidP="00FA1314">
      <w:pPr>
        <w:pStyle w:val="ListParagraph"/>
        <w:numPr>
          <w:ilvl w:val="1"/>
          <w:numId w:val="11"/>
        </w:numPr>
        <w:rPr>
          <w:i/>
          <w:iCs/>
        </w:rPr>
      </w:pPr>
      <w:r w:rsidRPr="00A01E38">
        <w:rPr>
          <w:i/>
          <w:iCs/>
        </w:rPr>
        <w:t>Behaviours</w:t>
      </w:r>
    </w:p>
    <w:p w14:paraId="029E3B9C" w14:textId="77777777" w:rsidR="00FA1314" w:rsidRPr="00A01E38" w:rsidRDefault="00FA1314" w:rsidP="00C607D6">
      <w:pPr>
        <w:pStyle w:val="ListParagraph"/>
        <w:numPr>
          <w:ilvl w:val="0"/>
          <w:numId w:val="11"/>
        </w:numPr>
        <w:rPr>
          <w:i/>
          <w:iCs/>
        </w:rPr>
      </w:pPr>
      <w:r w:rsidRPr="00A01E38">
        <w:rPr>
          <w:i/>
          <w:iCs/>
        </w:rPr>
        <w:t>End-point Assessment</w:t>
      </w:r>
    </w:p>
    <w:p w14:paraId="5E55C2FF" w14:textId="77777777" w:rsidR="00FA1314" w:rsidRPr="00A01E38" w:rsidRDefault="00FA1314" w:rsidP="00C607D6">
      <w:pPr>
        <w:pStyle w:val="ListParagraph"/>
        <w:numPr>
          <w:ilvl w:val="1"/>
          <w:numId w:val="11"/>
        </w:numPr>
        <w:rPr>
          <w:i/>
          <w:iCs/>
        </w:rPr>
      </w:pPr>
      <w:r w:rsidRPr="00A01E38">
        <w:rPr>
          <w:i/>
          <w:iCs/>
        </w:rPr>
        <w:t xml:space="preserve">Practical assessment (for example task based, observed by an external assessor) </w:t>
      </w:r>
    </w:p>
    <w:p w14:paraId="252DB7FA" w14:textId="197CA86B" w:rsidR="00FA1314" w:rsidRPr="00A01E38" w:rsidRDefault="00FA1314" w:rsidP="00C607D6">
      <w:pPr>
        <w:pStyle w:val="ListParagraph"/>
        <w:numPr>
          <w:ilvl w:val="1"/>
          <w:numId w:val="11"/>
        </w:numPr>
        <w:rPr>
          <w:i/>
          <w:iCs/>
        </w:rPr>
      </w:pPr>
      <w:r w:rsidRPr="00A01E38">
        <w:rPr>
          <w:i/>
          <w:iCs/>
        </w:rPr>
        <w:t>Theory assessment (for example multiple-choice tests, short-answer tests, oral questioning, etc.)</w:t>
      </w:r>
    </w:p>
    <w:p w14:paraId="6C01511B" w14:textId="5A0078E0" w:rsidR="004B6A77" w:rsidRDefault="00A01E38" w:rsidP="00A01E38">
      <w:pPr>
        <w:jc w:val="right"/>
        <w:rPr>
          <w:color w:val="000000" w:themeColor="text1"/>
        </w:rPr>
      </w:pPr>
      <w:r>
        <w:rPr>
          <w:color w:val="000000" w:themeColor="text1"/>
        </w:rPr>
        <w:t>(City &amp; Guilds, 2018)</w:t>
      </w:r>
    </w:p>
    <w:p w14:paraId="289AD6C4" w14:textId="01F389F9" w:rsidR="00A66722" w:rsidRDefault="00A66722" w:rsidP="00A01E38">
      <w:pPr>
        <w:jc w:val="right"/>
        <w:rPr>
          <w:color w:val="000000" w:themeColor="text1"/>
        </w:rPr>
      </w:pPr>
    </w:p>
    <w:p w14:paraId="2C6BA7F3" w14:textId="3916E06E" w:rsidR="004B6A77" w:rsidRDefault="004B6A77" w:rsidP="004B6A77"/>
    <w:p w14:paraId="5FAE53E5" w14:textId="304C3AE0" w:rsidR="006A2C45" w:rsidRDefault="00A01E38" w:rsidP="006E5BD2">
      <w:pPr>
        <w:rPr>
          <w:color w:val="000000" w:themeColor="text1"/>
        </w:rPr>
      </w:pPr>
      <w:r>
        <w:t xml:space="preserve">NVQs are based on national occupational standards (NOS) which in turn are maintained by the CITB.  </w:t>
      </w:r>
      <w:commentRangeStart w:id="2"/>
      <w:r>
        <w:t xml:space="preserve">They </w:t>
      </w:r>
      <w:r w:rsidR="00E80723">
        <w:t xml:space="preserve">are </w:t>
      </w:r>
      <w:r>
        <w:t xml:space="preserve">qualifications that are </w:t>
      </w:r>
      <w:commentRangeEnd w:id="2"/>
      <w:r w:rsidR="00086EAB">
        <w:rPr>
          <w:rStyle w:val="CommentReference"/>
        </w:rPr>
        <w:commentReference w:id="2"/>
      </w:r>
      <w:r w:rsidRPr="00A01E38">
        <w:rPr>
          <w:i/>
          <w:iCs/>
        </w:rPr>
        <w:t>“</w:t>
      </w:r>
      <w:r w:rsidRPr="00A01E38">
        <w:rPr>
          <w:i/>
          <w:iCs/>
          <w:color w:val="000000" w:themeColor="text1"/>
        </w:rPr>
        <w:t>taken by full-time employees, or by school and college students with a work placement or part-time job, that enables them to develop the appropriate skills in a work environment</w:t>
      </w:r>
      <w:r>
        <w:rPr>
          <w:i/>
          <w:iCs/>
          <w:color w:val="000000" w:themeColor="text1"/>
        </w:rPr>
        <w:t>”</w:t>
      </w:r>
      <w:r>
        <w:rPr>
          <w:color w:val="000000" w:themeColor="text1"/>
        </w:rPr>
        <w:t xml:space="preserve"> (City and Guilds, 2018)</w:t>
      </w:r>
      <w:r w:rsidR="006A2C45">
        <w:rPr>
          <w:color w:val="000000" w:themeColor="text1"/>
        </w:rPr>
        <w:t>.  A report by Qualifications Wales titled Building the Future found in their review that “</w:t>
      </w:r>
      <w:r w:rsidR="006A2C45" w:rsidRPr="006A2C45">
        <w:rPr>
          <w:i/>
          <w:iCs/>
          <w:color w:val="000000" w:themeColor="text1"/>
        </w:rPr>
        <w:t>NVQs were unreliably and inconsistently assessed. Very few apprentices interviewed had been observed performing tasks on-the-job, despite this being the premise for the qualifications</w:t>
      </w:r>
      <w:r w:rsidR="006A2C45">
        <w:rPr>
          <w:i/>
          <w:iCs/>
          <w:color w:val="000000" w:themeColor="text1"/>
        </w:rPr>
        <w:t>”</w:t>
      </w:r>
      <w:r w:rsidR="006A2C45">
        <w:rPr>
          <w:color w:val="000000" w:themeColor="text1"/>
        </w:rPr>
        <w:t xml:space="preserve"> (Blaker et al, 2018).</w:t>
      </w:r>
    </w:p>
    <w:p w14:paraId="16D51778" w14:textId="07F216BC" w:rsidR="006A2C45" w:rsidRDefault="006A2C45" w:rsidP="006E5BD2">
      <w:pPr>
        <w:rPr>
          <w:color w:val="000000" w:themeColor="text1"/>
        </w:rPr>
      </w:pPr>
    </w:p>
    <w:p w14:paraId="48E5A70D" w14:textId="77777777" w:rsidR="008A1D12" w:rsidRDefault="006A2C45" w:rsidP="008A1D12">
      <w:pPr>
        <w:rPr>
          <w:color w:val="000000" w:themeColor="text1"/>
        </w:rPr>
      </w:pPr>
      <w:r w:rsidRPr="002920A3">
        <w:t>Pearson offer numerous BTEC courses that cover a wide range on construction topics and are examples of vocational courses.  These courses are designed to</w:t>
      </w:r>
      <w:r w:rsidRPr="002920A3">
        <w:rPr>
          <w:rFonts w:eastAsiaTheme="minorHAnsi"/>
          <w:lang w:eastAsia="en-US"/>
        </w:rPr>
        <w:t xml:space="preserve"> </w:t>
      </w:r>
      <w:r w:rsidRPr="002920A3">
        <w:rPr>
          <w:rFonts w:eastAsiaTheme="minorHAnsi"/>
          <w:i/>
          <w:iCs/>
          <w:lang w:eastAsia="en-US"/>
        </w:rPr>
        <w:t>“</w:t>
      </w:r>
      <w:r w:rsidRPr="002920A3">
        <w:rPr>
          <w:rFonts w:eastAsiaTheme="minorHAnsi" w:cstheme="minorHAnsi"/>
          <w:i/>
          <w:iCs/>
          <w:lang w:eastAsia="en-US"/>
        </w:rPr>
        <w:t xml:space="preserve">help students secure the knowledge skills and behaviours needed to succeed in the workplace” </w:t>
      </w:r>
      <w:r w:rsidRPr="002920A3">
        <w:rPr>
          <w:rFonts w:eastAsiaTheme="minorHAnsi" w:cstheme="minorHAnsi"/>
          <w:lang w:eastAsia="en-US"/>
        </w:rPr>
        <w:t>(Pearson, 2017).  Most of these courses are classroom based although there is a number that are NVQ and competence-based qualifications which are completed in the workplace as apprenticeships.</w:t>
      </w:r>
      <w:r w:rsidR="002920A3">
        <w:rPr>
          <w:rFonts w:eastAsiaTheme="minorHAnsi" w:cstheme="minorHAnsi"/>
          <w:lang w:eastAsia="en-US"/>
        </w:rPr>
        <w:t xml:space="preserve">  </w:t>
      </w:r>
      <w:r w:rsidR="008A1D12" w:rsidRPr="008A1D12">
        <w:rPr>
          <w:rFonts w:eastAsiaTheme="minorHAnsi" w:cstheme="minorHAnsi"/>
          <w:lang w:eastAsia="en-US"/>
        </w:rPr>
        <w:t>As defined by the HSE, competence needs an element of experience and classroom-based learning lacks this workplace experience (HSE, 2019).  Higher level BTEC courses are</w:t>
      </w:r>
      <w:r w:rsidR="008A1D12" w:rsidRPr="008A1D12">
        <w:rPr>
          <w:rFonts w:eastAsiaTheme="minorHAnsi" w:cstheme="minorHAnsi"/>
          <w:i/>
          <w:iCs/>
          <w:lang w:eastAsia="en-US"/>
        </w:rPr>
        <w:t xml:space="preserve"> “</w:t>
      </w:r>
      <w:r w:rsidR="008A1D12" w:rsidRPr="008A1D12">
        <w:rPr>
          <w:rFonts w:eastAsiaTheme="minorHAnsi"/>
          <w:i/>
          <w:iCs/>
          <w:lang w:eastAsia="en-US"/>
        </w:rPr>
        <w:t xml:space="preserve">intended to keep doors open for future study should a student </w:t>
      </w:r>
      <w:r w:rsidR="008A1D12" w:rsidRPr="008A1D12">
        <w:rPr>
          <w:rFonts w:eastAsiaTheme="minorHAnsi"/>
          <w:i/>
          <w:iCs/>
          <w:lang w:eastAsia="en-US"/>
        </w:rPr>
        <w:lastRenderedPageBreak/>
        <w:t>wish to progress further in their education</w:t>
      </w:r>
      <w:r w:rsidR="008A1D12" w:rsidRPr="008A1D12">
        <w:rPr>
          <w:rFonts w:eastAsiaTheme="minorHAnsi" w:cstheme="minorHAnsi"/>
          <w:i/>
          <w:iCs/>
          <w:lang w:eastAsia="en-US"/>
        </w:rPr>
        <w:t>”</w:t>
      </w:r>
      <w:r w:rsidR="008A1D12" w:rsidRPr="008A1D12">
        <w:rPr>
          <w:rFonts w:eastAsiaTheme="minorHAnsi" w:cstheme="minorHAnsi"/>
          <w:lang w:eastAsia="en-US"/>
        </w:rPr>
        <w:t xml:space="preserve"> (Pearson, 2017) where as NVQs “</w:t>
      </w:r>
      <w:r w:rsidR="008A1D12" w:rsidRPr="008A1D12">
        <w:rPr>
          <w:i/>
          <w:iCs/>
          <w:color w:val="000000" w:themeColor="text1"/>
        </w:rPr>
        <w:t>enables them to develop the appropriate skills in a work environment”</w:t>
      </w:r>
      <w:r w:rsidR="008A1D12" w:rsidRPr="008A1D12">
        <w:rPr>
          <w:color w:val="000000" w:themeColor="text1"/>
        </w:rPr>
        <w:t xml:space="preserve"> (City and Guilds, 2018).</w:t>
      </w:r>
    </w:p>
    <w:p w14:paraId="0F448B94" w14:textId="703C0055" w:rsidR="008A1D12" w:rsidRDefault="008A1D12" w:rsidP="008A1D12">
      <w:pPr>
        <w:rPr>
          <w:color w:val="000000" w:themeColor="text1"/>
        </w:rPr>
      </w:pPr>
      <w:r>
        <w:rPr>
          <w:color w:val="000000" w:themeColor="text1"/>
        </w:rPr>
        <w:t xml:space="preserve"> </w:t>
      </w:r>
    </w:p>
    <w:p w14:paraId="55E43148" w14:textId="10BC3700" w:rsidR="0080721A" w:rsidRDefault="002920A3" w:rsidP="006E5BD2">
      <w:r>
        <w:rPr>
          <w:rFonts w:eastAsiaTheme="minorHAnsi" w:cstheme="minorHAnsi"/>
          <w:lang w:eastAsia="en-US"/>
        </w:rPr>
        <w:t>Apprenticeships in Wales follows t</w:t>
      </w:r>
      <w:r w:rsidRPr="002920A3">
        <w:rPr>
          <w:rFonts w:eastAsiaTheme="minorHAnsi" w:cstheme="minorHAnsi"/>
          <w:lang w:eastAsia="en-US"/>
        </w:rPr>
        <w:t>he Specification of Apprenticeship Standards for Wales (SASW)</w:t>
      </w:r>
      <w:r>
        <w:rPr>
          <w:rFonts w:eastAsiaTheme="minorHAnsi" w:cstheme="minorHAnsi"/>
          <w:lang w:eastAsia="en-US"/>
        </w:rPr>
        <w:t>.  Under guidance notes issued for this framework, it states that “</w:t>
      </w:r>
      <w:r w:rsidRPr="002920A3">
        <w:rPr>
          <w:rFonts w:eastAsiaTheme="minorHAnsi" w:cstheme="minorHAnsi"/>
          <w:i/>
          <w:iCs/>
          <w:lang w:eastAsia="en-US"/>
        </w:rPr>
        <w:t>an apprenticeship is characterised by the acquisition of skills, understanding  and  experience gained through a workplace setting (on-the-job training) and learning which takes place away from the normal working environment  (off-the-job training): i.e. learning that leads to the attainment of full competence. For this reason, the competencies qualification should include the majority of its assessment through evidence gathered from a workplac</w:t>
      </w:r>
      <w:r>
        <w:rPr>
          <w:rFonts w:eastAsiaTheme="minorHAnsi" w:cstheme="minorHAnsi"/>
          <w:i/>
          <w:iCs/>
          <w:lang w:eastAsia="en-US"/>
        </w:rPr>
        <w:t>e”</w:t>
      </w:r>
      <w:r w:rsidR="008A1D12">
        <w:rPr>
          <w:rFonts w:eastAsiaTheme="minorHAnsi" w:cstheme="minorHAnsi"/>
          <w:lang w:eastAsia="en-US"/>
        </w:rPr>
        <w:t xml:space="preserve"> (Gov, 2017).  </w:t>
      </w:r>
      <w:r w:rsidR="00C607D6">
        <w:rPr>
          <w:color w:val="000000" w:themeColor="text1"/>
        </w:rPr>
        <w:t>The duration of the apprenticeships has come under fire in Building the Future</w:t>
      </w:r>
      <w:r w:rsidR="00483FB3">
        <w:rPr>
          <w:color w:val="000000" w:themeColor="text1"/>
        </w:rPr>
        <w:t xml:space="preserve"> report</w:t>
      </w:r>
      <w:r w:rsidR="00C607D6">
        <w:rPr>
          <w:color w:val="000000" w:themeColor="text1"/>
        </w:rPr>
        <w:t>.  The report states that “</w:t>
      </w:r>
      <w:r w:rsidR="00C607D6" w:rsidRPr="00C607D6">
        <w:rPr>
          <w:i/>
          <w:iCs/>
          <w:color w:val="000000" w:themeColor="text1"/>
        </w:rPr>
        <w:t>most construction employers interviewed felt that apprenticeships in Wales are currently too short and that the standard of work achieved by those currently completing apprenticeship isn’t always of a good standard – particularly those completing a level 2 apprenticeship</w:t>
      </w:r>
      <w:r w:rsidR="00C607D6">
        <w:rPr>
          <w:i/>
          <w:iCs/>
          <w:color w:val="000000" w:themeColor="text1"/>
        </w:rPr>
        <w:t>”</w:t>
      </w:r>
      <w:r w:rsidR="00C607D6">
        <w:rPr>
          <w:color w:val="000000" w:themeColor="text1"/>
        </w:rPr>
        <w:t xml:space="preserve"> (Blaker et al, 2018). This report highlights that apprenticeships varied in length ranging from a couple of moths up to 2 years. </w:t>
      </w:r>
      <w:r w:rsidR="00E15F3F">
        <w:rPr>
          <w:color w:val="000000" w:themeColor="text1"/>
        </w:rPr>
        <w:t xml:space="preserve">Due to the short duration of the NVQs, </w:t>
      </w:r>
      <w:r w:rsidR="00E15F3F">
        <w:rPr>
          <w:i/>
          <w:iCs/>
          <w:color w:val="000000" w:themeColor="text1"/>
        </w:rPr>
        <w:t>“</w:t>
      </w:r>
      <w:r w:rsidR="00E15F3F" w:rsidRPr="00E15F3F">
        <w:rPr>
          <w:i/>
          <w:iCs/>
          <w:color w:val="000000" w:themeColor="text1"/>
        </w:rPr>
        <w:t>some employers stressed that the short length of many apprenticeships had devalued the status of apprenticeships</w:t>
      </w:r>
      <w:r w:rsidR="00E15F3F">
        <w:rPr>
          <w:i/>
          <w:iCs/>
          <w:color w:val="000000" w:themeColor="text1"/>
        </w:rPr>
        <w:t>”</w:t>
      </w:r>
      <w:r w:rsidR="00E15F3F">
        <w:rPr>
          <w:color w:val="000000" w:themeColor="text1"/>
        </w:rPr>
        <w:t xml:space="preserve"> (Blaker et al, 2018).  HSE guidance on implementing CDM 2015 supports longer duration for training stating that individuals need to be given “</w:t>
      </w:r>
      <w:r w:rsidR="00E15F3F">
        <w:rPr>
          <w:i/>
          <w:iCs/>
        </w:rPr>
        <w:t>the opportunity to gain positive experience of working in a range of conditions”</w:t>
      </w:r>
      <w:r w:rsidR="00E15F3F">
        <w:t xml:space="preserve"> (HSE 2015).</w:t>
      </w:r>
      <w:r w:rsidR="00F61C9E">
        <w:t xml:space="preserve">  As defined by the HSE, competence is </w:t>
      </w:r>
      <w:r w:rsidR="00F61C9E" w:rsidRPr="00B67808">
        <w:rPr>
          <w:i/>
          <w:iCs/>
        </w:rPr>
        <w:t>“the combination of training, skills, experience and knowledge that a person has and their ability to apply them to perform a task safely”</w:t>
      </w:r>
      <w:r w:rsidR="00F61C9E">
        <w:rPr>
          <w:rFonts w:ascii="Arial" w:hAnsi="Arial" w:cs="Arial"/>
          <w:b/>
          <w:bCs/>
          <w:color w:val="111111"/>
        </w:rPr>
        <w:t xml:space="preserve"> </w:t>
      </w:r>
      <w:r w:rsidR="00F61C9E" w:rsidRPr="00B67808">
        <w:t>(HSE, 2019)</w:t>
      </w:r>
      <w:r w:rsidR="00F61C9E">
        <w:t xml:space="preserve">.  The importance of experience is agreed with in the competence in construction report, stating that </w:t>
      </w:r>
      <w:r w:rsidR="00F61C9E" w:rsidRPr="00793D13">
        <w:rPr>
          <w:rFonts w:cstheme="minorHAnsi"/>
          <w:color w:val="111111"/>
        </w:rPr>
        <w:t>“</w:t>
      </w:r>
      <w:r w:rsidR="00F61C9E" w:rsidRPr="00793D13">
        <w:rPr>
          <w:i/>
          <w:iCs/>
        </w:rPr>
        <w:t>human memory and capability can also degrade over time</w:t>
      </w:r>
      <w:r w:rsidR="00F61C9E" w:rsidRPr="00793D13">
        <w:t>”</w:t>
      </w:r>
      <w:r w:rsidR="00F61C9E">
        <w:t xml:space="preserve"> (Pye, 2014).  These strengthen the argument for longer duration apprenticeships in order to gain positive experience in the area of study.</w:t>
      </w:r>
    </w:p>
    <w:p w14:paraId="06B28C39" w14:textId="0ABA2281" w:rsidR="00020C8B" w:rsidRDefault="00020C8B" w:rsidP="00955C3E">
      <w:pPr>
        <w:rPr>
          <w:color w:val="000000" w:themeColor="text1"/>
        </w:rPr>
      </w:pPr>
    </w:p>
    <w:p w14:paraId="0BB33410" w14:textId="081A6E75" w:rsidR="0088457D" w:rsidRPr="0003164D" w:rsidRDefault="0088457D" w:rsidP="0088457D">
      <w:r>
        <w:rPr>
          <w:color w:val="000000" w:themeColor="text1"/>
        </w:rPr>
        <w:t>The Building of the Future report by Qualification Wales highlighted that there are concerns with some qualifications.  The report says that “</w:t>
      </w:r>
      <w:r w:rsidRPr="0088457D">
        <w:rPr>
          <w:i/>
          <w:iCs/>
        </w:rPr>
        <w:t>some level 3 qualifications tested knowledge in an academic context, rather than in the context of skills. This may result in over-testing the skills of articulating knowledge and may derive from a desire to provide progression routes into higher education</w:t>
      </w:r>
      <w:r>
        <w:rPr>
          <w:i/>
          <w:iCs/>
        </w:rPr>
        <w:t>”</w:t>
      </w:r>
      <w:r>
        <w:t xml:space="preserve"> (Blaker et al, 2018).  In this report, a further education provider agrees with this and the report quotes that they said that</w:t>
      </w:r>
      <w:r w:rsidRPr="0088457D">
        <w:t xml:space="preserve"> </w:t>
      </w:r>
      <w:r>
        <w:t>“</w:t>
      </w:r>
      <w:r w:rsidRPr="0088457D">
        <w:rPr>
          <w:i/>
          <w:iCs/>
        </w:rPr>
        <w:t>we are actually assessing vocational students, who have chosen a vocational route, academically. We are possibly stopping those who could be the best trades people from progression simply because we are judging them on academic values</w:t>
      </w:r>
      <w:r>
        <w:t xml:space="preserve">” (Blaker et al, 2018).  The report also argues that the structure of some courses including apprenticeships </w:t>
      </w:r>
      <w:r w:rsidR="0003164D">
        <w:t>could be a “</w:t>
      </w:r>
      <w:r w:rsidR="0003164D" w:rsidRPr="0003164D">
        <w:rPr>
          <w:i/>
          <w:iCs/>
        </w:rPr>
        <w:t>blockage for progression</w:t>
      </w:r>
      <w:r w:rsidR="0003164D">
        <w:rPr>
          <w:i/>
          <w:iCs/>
        </w:rPr>
        <w:t>”</w:t>
      </w:r>
      <w:r w:rsidR="0003164D">
        <w:t xml:space="preserve"> (Blaker et al, 2018)  due to learners being required to demonstrate supervisory skills that they would have had no opportunity to practice (Blaker et al, 2018).  </w:t>
      </w:r>
    </w:p>
    <w:p w14:paraId="286F1D32" w14:textId="74E10A79" w:rsidR="0088457D" w:rsidRDefault="0088457D" w:rsidP="00955C3E">
      <w:pPr>
        <w:rPr>
          <w:color w:val="000000" w:themeColor="text1"/>
        </w:rPr>
      </w:pPr>
    </w:p>
    <w:p w14:paraId="62B2C30D" w14:textId="7B989EDD" w:rsidR="004C3F9E" w:rsidRPr="0080721A" w:rsidRDefault="00F474E1" w:rsidP="006E5BD2">
      <w:pPr>
        <w:rPr>
          <w:color w:val="000000" w:themeColor="text1"/>
        </w:rPr>
      </w:pPr>
      <w:r>
        <w:t>The competence in construction report states that from the information they collected, “t</w:t>
      </w:r>
      <w:r w:rsidRPr="00F474E1">
        <w:rPr>
          <w:i/>
          <w:iCs/>
        </w:rPr>
        <w:t>he majority of research participants feel that the role of the supervisor in the construction workplace is absolutely critical and that there may exist a skills deficit across the industry in this area – particularly pertaining to Maths/English/ICT, communication and leadership skills</w:t>
      </w:r>
      <w:r>
        <w:rPr>
          <w:i/>
          <w:iCs/>
        </w:rPr>
        <w:t xml:space="preserve">” </w:t>
      </w:r>
      <w:r>
        <w:t xml:space="preserve">(Pye, 2014).  The report stated that a stakeholder told them that </w:t>
      </w:r>
      <w:r>
        <w:rPr>
          <w:i/>
          <w:iCs/>
        </w:rPr>
        <w:t>“a supervisor must know good practice and must be able identify bad practice. Interpersonal, mentoring and communication skills are key to identifying hazards and supervisory competence ... Supervisors must embody this message and lead by example. They must be prepared to intervene (need to be robust) if they think work is not safe”</w:t>
      </w:r>
      <w:r>
        <w:t xml:space="preserve"> (Pye, 2014).</w:t>
      </w:r>
      <w:r w:rsidRPr="00F474E1">
        <w:t xml:space="preserve"> </w:t>
      </w:r>
      <w:r w:rsidRPr="00AF1AE3">
        <w:t xml:space="preserve">The HSE guidance on implementing </w:t>
      </w:r>
      <w:r w:rsidR="00AF1A64">
        <w:t>the construction design and management regulations (</w:t>
      </w:r>
      <w:r w:rsidRPr="00AF1AE3">
        <w:t>CDM</w:t>
      </w:r>
      <w:r w:rsidR="00AF1A64">
        <w:t>)</w:t>
      </w:r>
      <w:r w:rsidRPr="00AF1AE3">
        <w:t xml:space="preserve"> 2015</w:t>
      </w:r>
      <w:r>
        <w:t xml:space="preserve"> supports this view on competence in relation to experience</w:t>
      </w:r>
      <w:r w:rsidR="006C545D">
        <w:t xml:space="preserve"> under regulation 15</w:t>
      </w:r>
      <w:r w:rsidR="007F6C54">
        <w:t xml:space="preserve"> guidance</w:t>
      </w:r>
      <w:r>
        <w:t xml:space="preserve">, highlighting that </w:t>
      </w:r>
      <w:r>
        <w:rPr>
          <w:i/>
          <w:iCs/>
        </w:rPr>
        <w:t>“newly trained individuals need to be supervised and given the opportunity to gain positive experience of working in a range of conditions”</w:t>
      </w:r>
      <w:r>
        <w:t xml:space="preserve"> (HSE 2015).  This is applicable not only to new persons entering the industry but to all that complete training.  These individuals need to be </w:t>
      </w:r>
      <w:r>
        <w:lastRenderedPageBreak/>
        <w:t xml:space="preserve">supervised and educated by a competent person to ensure that they are completing the task as they have been trained to do so.  It is this experience that contributes to competency.  </w:t>
      </w:r>
    </w:p>
    <w:p w14:paraId="1A6F76B5" w14:textId="5B578A20" w:rsidR="004C3F9E" w:rsidRDefault="004C3F9E" w:rsidP="00F474E1">
      <w:pPr>
        <w:pStyle w:val="NoSpacing"/>
      </w:pPr>
    </w:p>
    <w:p w14:paraId="485AC37E" w14:textId="0A91D5A0" w:rsidR="008A4DFE" w:rsidRDefault="00E80723" w:rsidP="00B43484">
      <w:pPr>
        <w:autoSpaceDE w:val="0"/>
        <w:autoSpaceDN w:val="0"/>
        <w:adjustRightInd w:val="0"/>
        <w:rPr>
          <w:rFonts w:ascii="Calibri" w:hAnsi="Calibri" w:cs="Calibri"/>
          <w:color w:val="000000"/>
        </w:rPr>
      </w:pPr>
      <w:r>
        <w:rPr>
          <w:rFonts w:ascii="Calibri" w:eastAsiaTheme="minorHAnsi" w:hAnsi="Calibri" w:cs="Calibri"/>
          <w:color w:val="000000"/>
          <w:lang w:eastAsia="en-US"/>
        </w:rPr>
        <w:t>A</w:t>
      </w:r>
      <w:commentRangeStart w:id="3"/>
      <w:r w:rsidR="005120A0">
        <w:rPr>
          <w:rFonts w:ascii="Calibri" w:eastAsiaTheme="minorHAnsi" w:hAnsi="Calibri" w:cs="Calibri"/>
          <w:color w:val="000000"/>
          <w:lang w:eastAsia="en-US"/>
        </w:rPr>
        <w:t>n</w:t>
      </w:r>
      <w:commentRangeEnd w:id="3"/>
      <w:r w:rsidR="00086EAB">
        <w:rPr>
          <w:rStyle w:val="CommentReference"/>
        </w:rPr>
        <w:commentReference w:id="3"/>
      </w:r>
      <w:r w:rsidR="005120A0">
        <w:rPr>
          <w:rFonts w:ascii="Calibri" w:eastAsiaTheme="minorHAnsi" w:hAnsi="Calibri" w:cs="Calibri"/>
          <w:color w:val="000000"/>
          <w:lang w:eastAsia="en-US"/>
        </w:rPr>
        <w:t xml:space="preserve"> online survey completed for the competence in construction report was carried out focusing on how competency is achieved and maintained.</w:t>
      </w:r>
      <w:r w:rsidR="00D351AC">
        <w:rPr>
          <w:rFonts w:ascii="Calibri" w:eastAsiaTheme="minorHAnsi" w:hAnsi="Calibri" w:cs="Calibri"/>
          <w:color w:val="000000"/>
          <w:lang w:eastAsia="en-US"/>
        </w:rPr>
        <w:t xml:space="preserve">  The results can be seen in figure 2.</w:t>
      </w:r>
      <w:r w:rsidR="00B43484">
        <w:rPr>
          <w:rFonts w:ascii="Calibri" w:eastAsiaTheme="minorHAnsi" w:hAnsi="Calibri" w:cs="Calibri"/>
          <w:color w:val="000000"/>
          <w:lang w:eastAsia="en-US"/>
        </w:rPr>
        <w:t xml:space="preserve">  The statements asked are shown in</w:t>
      </w:r>
      <w:commentRangeStart w:id="4"/>
      <w:r w:rsidR="00B43484">
        <w:rPr>
          <w:rFonts w:ascii="Calibri" w:eastAsiaTheme="minorHAnsi" w:hAnsi="Calibri" w:cs="Calibri"/>
          <w:color w:val="000000"/>
          <w:lang w:eastAsia="en-US"/>
        </w:rPr>
        <w:t xml:space="preserve"> figure</w:t>
      </w:r>
      <w:r>
        <w:rPr>
          <w:rFonts w:ascii="Calibri" w:eastAsiaTheme="minorHAnsi" w:hAnsi="Calibri" w:cs="Calibri"/>
          <w:color w:val="000000"/>
          <w:lang w:eastAsia="en-US"/>
        </w:rPr>
        <w:t xml:space="preserve"> 2</w:t>
      </w:r>
      <w:r w:rsidR="00B43484">
        <w:rPr>
          <w:rFonts w:ascii="Calibri" w:eastAsiaTheme="minorHAnsi" w:hAnsi="Calibri" w:cs="Calibri"/>
          <w:color w:val="000000"/>
          <w:lang w:eastAsia="en-US"/>
        </w:rPr>
        <w:t xml:space="preserve"> </w:t>
      </w:r>
      <w:commentRangeEnd w:id="4"/>
      <w:r w:rsidR="00086EAB">
        <w:rPr>
          <w:rStyle w:val="CommentReference"/>
        </w:rPr>
        <w:commentReference w:id="4"/>
      </w:r>
      <w:r w:rsidR="00B43484">
        <w:rPr>
          <w:rFonts w:ascii="Calibri" w:eastAsiaTheme="minorHAnsi" w:hAnsi="Calibri" w:cs="Calibri"/>
          <w:color w:val="000000"/>
          <w:lang w:eastAsia="en-US"/>
        </w:rPr>
        <w:t>and the response of the participants of the survey shown accordingly.  The competence in construction summarises the information by stating that “</w:t>
      </w:r>
      <w:r w:rsidR="00B43484" w:rsidRPr="00B43484">
        <w:rPr>
          <w:rFonts w:ascii="Calibri" w:eastAsiaTheme="minorHAnsi" w:hAnsi="Calibri" w:cs="Calibri"/>
          <w:i/>
          <w:iCs/>
          <w:color w:val="000000"/>
          <w:lang w:eastAsia="en-US"/>
        </w:rPr>
        <w:t>r</w:t>
      </w:r>
      <w:r w:rsidR="008A4DFE" w:rsidRPr="00B43484">
        <w:rPr>
          <w:rFonts w:ascii="Calibri" w:hAnsi="Calibri" w:cs="Calibri"/>
          <w:i/>
          <w:iCs/>
          <w:color w:val="000000"/>
        </w:rPr>
        <w:t>espondents were very clear as to the importance of supervision and management, the need for re-assessment and refreshment and the variability of competence depending on personal and situational factors</w:t>
      </w:r>
      <w:r w:rsidR="00B43484">
        <w:rPr>
          <w:rFonts w:ascii="Calibri" w:hAnsi="Calibri" w:cs="Calibri"/>
          <w:i/>
          <w:iCs/>
          <w:color w:val="000000"/>
        </w:rPr>
        <w:t>”</w:t>
      </w:r>
      <w:r w:rsidR="00B43484">
        <w:rPr>
          <w:rFonts w:ascii="Calibri" w:hAnsi="Calibri" w:cs="Calibri"/>
          <w:color w:val="000000"/>
        </w:rPr>
        <w:t xml:space="preserve"> (Pye, 2014).</w:t>
      </w:r>
    </w:p>
    <w:p w14:paraId="0B036978" w14:textId="77777777" w:rsidR="0014260E" w:rsidRPr="00B43484" w:rsidRDefault="0014260E" w:rsidP="00B43484">
      <w:pPr>
        <w:autoSpaceDE w:val="0"/>
        <w:autoSpaceDN w:val="0"/>
        <w:adjustRightInd w:val="0"/>
      </w:pPr>
    </w:p>
    <w:p w14:paraId="58A27821" w14:textId="77777777" w:rsidR="00D351AC" w:rsidRDefault="005B3CDA" w:rsidP="00D351AC">
      <w:pPr>
        <w:keepNext/>
        <w:spacing w:after="160" w:line="259" w:lineRule="auto"/>
      </w:pPr>
      <w:r>
        <w:rPr>
          <w:noProof/>
        </w:rPr>
        <w:drawing>
          <wp:inline distT="0" distB="0" distL="0" distR="0" wp14:anchorId="145F1278" wp14:editId="291E25C8">
            <wp:extent cx="5731510" cy="414147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141470"/>
                    </a:xfrm>
                    <a:prstGeom prst="rect">
                      <a:avLst/>
                    </a:prstGeom>
                    <a:noFill/>
                    <a:ln>
                      <a:noFill/>
                    </a:ln>
                  </pic:spPr>
                </pic:pic>
              </a:graphicData>
            </a:graphic>
          </wp:inline>
        </w:drawing>
      </w:r>
    </w:p>
    <w:p w14:paraId="0A00FCFA" w14:textId="18A752DE" w:rsidR="005B3CDA" w:rsidRDefault="00D351AC" w:rsidP="00D351AC">
      <w:pPr>
        <w:pStyle w:val="Caption"/>
        <w:jc w:val="center"/>
      </w:pPr>
      <w:r>
        <w:t xml:space="preserve">Figure </w:t>
      </w:r>
      <w:fldSimple w:instr=" SEQ Figure \* ARABIC ">
        <w:r>
          <w:rPr>
            <w:noProof/>
          </w:rPr>
          <w:t>2</w:t>
        </w:r>
      </w:fldSimple>
      <w:r>
        <w:t xml:space="preserve"> Results fr</w:t>
      </w:r>
      <w:r w:rsidR="00B43484">
        <w:t>o</w:t>
      </w:r>
      <w:r>
        <w:t>m online survey</w:t>
      </w:r>
    </w:p>
    <w:p w14:paraId="5AB6A561" w14:textId="0FA764E0" w:rsidR="00C3477E" w:rsidRDefault="00C3477E" w:rsidP="00C3477E">
      <w:pPr>
        <w:jc w:val="right"/>
      </w:pPr>
      <w:r>
        <w:t>(Pye, 2014)</w:t>
      </w:r>
    </w:p>
    <w:p w14:paraId="23D599D4" w14:textId="77777777" w:rsidR="00C3477E" w:rsidRDefault="00C3477E" w:rsidP="00C3477E">
      <w:pPr>
        <w:jc w:val="right"/>
      </w:pPr>
    </w:p>
    <w:p w14:paraId="1B43AF6F" w14:textId="48018D17" w:rsidR="002A2A46" w:rsidRPr="005B3CDA" w:rsidRDefault="004C3F9E" w:rsidP="005B3CDA">
      <w:pPr>
        <w:rPr>
          <w:rFonts w:eastAsiaTheme="minorHAnsi"/>
          <w:lang w:eastAsia="en-US"/>
        </w:rPr>
      </w:pPr>
      <w:r>
        <w:t xml:space="preserve">The </w:t>
      </w:r>
      <w:r w:rsidR="007F6C54">
        <w:t xml:space="preserve">L153 </w:t>
      </w:r>
      <w:r>
        <w:t xml:space="preserve">guidance </w:t>
      </w:r>
      <w:r w:rsidR="007F6C54">
        <w:t>book</w:t>
      </w:r>
      <w:r>
        <w:t xml:space="preserve"> which accompa</w:t>
      </w:r>
      <w:r w:rsidR="007F6C54">
        <w:t>nied</w:t>
      </w:r>
      <w:r>
        <w:t xml:space="preserve"> the CDM 2015 regulations is a </w:t>
      </w:r>
      <w:commentRangeStart w:id="5"/>
      <w:r>
        <w:t>replacement</w:t>
      </w:r>
      <w:r w:rsidR="00E80723">
        <w:t xml:space="preserve"> of</w:t>
      </w:r>
      <w:r>
        <w:t xml:space="preserve"> </w:t>
      </w:r>
      <w:commentRangeEnd w:id="5"/>
      <w:r w:rsidR="006E32AE">
        <w:rPr>
          <w:rStyle w:val="CommentReference"/>
        </w:rPr>
        <w:commentReference w:id="5"/>
      </w:r>
      <w:r w:rsidR="006C545D">
        <w:t>an approved code of practice</w:t>
      </w:r>
      <w:r>
        <w:t xml:space="preserve"> (ACOP) that accompanied CDM 2007 regulations and has been argued </w:t>
      </w:r>
      <w:r w:rsidR="00806AA7">
        <w:t xml:space="preserve">it </w:t>
      </w:r>
      <w:commentRangeStart w:id="6"/>
      <w:r>
        <w:t>is</w:t>
      </w:r>
      <w:commentRangeEnd w:id="6"/>
      <w:r w:rsidR="006E32AE">
        <w:rPr>
          <w:rStyle w:val="CommentReference"/>
        </w:rPr>
        <w:commentReference w:id="6"/>
      </w:r>
      <w:r>
        <w:t xml:space="preserve"> confusing </w:t>
      </w:r>
      <w:r w:rsidR="00E80723">
        <w:t xml:space="preserve">for </w:t>
      </w:r>
      <w:commentRangeStart w:id="8"/>
      <w:r>
        <w:t>the</w:t>
      </w:r>
      <w:commentRangeEnd w:id="8"/>
      <w:r w:rsidR="006E32AE">
        <w:rPr>
          <w:rStyle w:val="CommentReference"/>
        </w:rPr>
        <w:commentReference w:id="8"/>
      </w:r>
      <w:r>
        <w:t xml:space="preserve"> construction industry.  Martin Cox from construction manager magazine said that the “</w:t>
      </w:r>
      <w:r w:rsidRPr="004C3F9E">
        <w:rPr>
          <w:i/>
          <w:iCs/>
        </w:rPr>
        <w:t>new guidance incorporates loosely worded provisions allowing a variety of unclear interpretations. This has led to misunderstanding of responsibilities and confusion over exactly what is required</w:t>
      </w:r>
      <w:r>
        <w:rPr>
          <w:i/>
          <w:iCs/>
        </w:rPr>
        <w:t>”</w:t>
      </w:r>
      <w:r w:rsidR="00DA6761">
        <w:t xml:space="preserve"> (Cox, 2016).  </w:t>
      </w:r>
      <w:r w:rsidR="00AF1A64">
        <w:t xml:space="preserve">This was said one year after the introduction of CDM 2015 </w:t>
      </w:r>
      <w:commentRangeStart w:id="9"/>
      <w:r w:rsidR="00AF1A64">
        <w:t xml:space="preserve">but is </w:t>
      </w:r>
      <w:r w:rsidR="00E80723">
        <w:t xml:space="preserve">a </w:t>
      </w:r>
      <w:r w:rsidR="00AF1A64">
        <w:t>point that is argued is still applicable</w:t>
      </w:r>
      <w:commentRangeEnd w:id="9"/>
      <w:r w:rsidR="006E32AE">
        <w:rPr>
          <w:rStyle w:val="CommentReference"/>
        </w:rPr>
        <w:commentReference w:id="9"/>
      </w:r>
      <w:r w:rsidR="00AF1A64">
        <w:t>.  An online article by London Market Broking in 2018 has agreed there is an issue in the way in which these regulations are interpreted.  This article says that the changes in CDM 2015 highlights “</w:t>
      </w:r>
      <w:r w:rsidR="00DA6761" w:rsidRPr="00AF1A64">
        <w:rPr>
          <w:i/>
          <w:iCs/>
        </w:rPr>
        <w:t>that the legal responsibility of those working on construction sites has not only increased, but that the position has become significantly more unclear because the 2015 Regulations are not prescriptive which leaves things open to interpretation</w:t>
      </w:r>
      <w:r w:rsidR="00AF1A64">
        <w:rPr>
          <w:i/>
          <w:iCs/>
        </w:rPr>
        <w:t>”</w:t>
      </w:r>
      <w:r w:rsidR="00AF1A64">
        <w:t xml:space="preserve"> (Broking, 2018).</w:t>
      </w:r>
      <w:r w:rsidR="002A2A46">
        <w:t xml:space="preserve">  It was said by Martin Cox that the ACOP from 2007 “</w:t>
      </w:r>
      <w:r w:rsidR="002A2A46" w:rsidRPr="004C3F9E">
        <w:rPr>
          <w:i/>
          <w:iCs/>
        </w:rPr>
        <w:t xml:space="preserve">had legal standing and gave great clarity, as well as </w:t>
      </w:r>
      <w:r w:rsidR="002A2A46" w:rsidRPr="004C3F9E">
        <w:rPr>
          <w:i/>
          <w:iCs/>
        </w:rPr>
        <w:lastRenderedPageBreak/>
        <w:t>examples of what was required</w:t>
      </w:r>
      <w:r w:rsidR="002A2A46">
        <w:rPr>
          <w:i/>
          <w:iCs/>
        </w:rPr>
        <w:t>”</w:t>
      </w:r>
      <w:r w:rsidR="002A2A46">
        <w:t xml:space="preserve"> Cox, 2016).  Broking agreed with this point and has said that the ACOP “</w:t>
      </w:r>
      <w:r w:rsidR="002A2A46" w:rsidRPr="002A2A46">
        <w:rPr>
          <w:i/>
          <w:iCs/>
        </w:rPr>
        <w:t>gave practical advice to clients and contractors on how to comply with the law with on a construction site</w:t>
      </w:r>
      <w:r w:rsidR="002A2A46">
        <w:rPr>
          <w:i/>
          <w:iCs/>
        </w:rPr>
        <w:t>”</w:t>
      </w:r>
      <w:r w:rsidR="002A2A46">
        <w:t xml:space="preserve"> (Broking, 2018).  This enabled them to ensure that were complying with law in terms of the CDM regulations.</w:t>
      </w:r>
      <w:r w:rsidR="009E769E">
        <w:t xml:space="preserve">  </w:t>
      </w:r>
    </w:p>
    <w:p w14:paraId="5D78FB87" w14:textId="05565B43" w:rsidR="009E769E" w:rsidRDefault="009E769E" w:rsidP="00F474E1">
      <w:pPr>
        <w:pStyle w:val="NoSpacing"/>
      </w:pPr>
    </w:p>
    <w:p w14:paraId="73F24D37" w14:textId="3D85CD8B" w:rsidR="00260C10" w:rsidRDefault="009E769E" w:rsidP="00EB0614">
      <w:pPr>
        <w:pStyle w:val="NoSpacing"/>
      </w:pPr>
      <w:r>
        <w:t xml:space="preserve">Safety and Health </w:t>
      </w:r>
      <w:r w:rsidR="001A78B9">
        <w:t>P</w:t>
      </w:r>
      <w:r>
        <w:t>ractitioner</w:t>
      </w:r>
      <w:r w:rsidR="001A78B9">
        <w:t xml:space="preserve"> (SHP)</w:t>
      </w:r>
      <w:r>
        <w:t xml:space="preserve"> argues against the need for an ACOP, citing information from the Construction Industry Advisory Committee (CONIAC)</w:t>
      </w:r>
      <w:r w:rsidR="00272DA1">
        <w:t>.  CONIAC held a meeting</w:t>
      </w:r>
      <w:r w:rsidR="008761D1">
        <w:t xml:space="preserve"> on 18</w:t>
      </w:r>
      <w:r w:rsidR="008761D1" w:rsidRPr="008761D1">
        <w:rPr>
          <w:vertAlign w:val="superscript"/>
        </w:rPr>
        <w:t>th</w:t>
      </w:r>
      <w:r w:rsidR="008761D1">
        <w:t xml:space="preserve"> November 2015</w:t>
      </w:r>
      <w:r w:rsidR="00272DA1">
        <w:t xml:space="preserve"> with i</w:t>
      </w:r>
      <w:r w:rsidR="008761D1">
        <w:t>ts</w:t>
      </w:r>
      <w:r w:rsidR="00272DA1">
        <w:t xml:space="preserve"> members and identified that “</w:t>
      </w:r>
      <w:r w:rsidR="00272DA1" w:rsidRPr="00272DA1">
        <w:rPr>
          <w:i/>
          <w:iCs/>
        </w:rPr>
        <w:t>the majority of its members thought the case for a new ACOP had not been made</w:t>
      </w:r>
      <w:r w:rsidR="00272DA1">
        <w:rPr>
          <w:i/>
          <w:iCs/>
        </w:rPr>
        <w:t>”</w:t>
      </w:r>
      <w:r w:rsidR="00272DA1">
        <w:t xml:space="preserve"> (SHP, 2016)</w:t>
      </w:r>
      <w:r w:rsidR="00E10776">
        <w:t xml:space="preserve">.  This is </w:t>
      </w:r>
      <w:commentRangeStart w:id="10"/>
      <w:r w:rsidR="00E10776">
        <w:t xml:space="preserve">agreed with by </w:t>
      </w:r>
      <w:commentRangeEnd w:id="10"/>
      <w:r w:rsidR="006E32AE">
        <w:rPr>
          <w:rStyle w:val="CommentReference"/>
          <w:rFonts w:eastAsiaTheme="minorEastAsia"/>
          <w:lang w:eastAsia="en-GB"/>
        </w:rPr>
        <w:commentReference w:id="10"/>
      </w:r>
      <w:r w:rsidR="00E10776">
        <w:t xml:space="preserve">the minutes from this meeting where it was said that the views of the attendants that </w:t>
      </w:r>
      <w:r w:rsidR="00E10776">
        <w:rPr>
          <w:i/>
          <w:iCs/>
        </w:rPr>
        <w:t>“</w:t>
      </w:r>
      <w:r w:rsidR="00E10776" w:rsidRPr="00E10776">
        <w:rPr>
          <w:i/>
          <w:iCs/>
        </w:rPr>
        <w:t>the CDM Regulations are generally well established and in these circumstances an ACOP was not seen as necessary or adding any valu</w:t>
      </w:r>
      <w:r w:rsidR="00E10776">
        <w:rPr>
          <w:i/>
          <w:iCs/>
        </w:rPr>
        <w:t>e”</w:t>
      </w:r>
      <w:r w:rsidR="000931DF">
        <w:rPr>
          <w:i/>
          <w:iCs/>
        </w:rPr>
        <w:t xml:space="preserve"> </w:t>
      </w:r>
      <w:r w:rsidR="00E10776">
        <w:t>(</w:t>
      </w:r>
      <w:proofErr w:type="spellStart"/>
      <w:r w:rsidR="00E10776">
        <w:t>Brandrick</w:t>
      </w:r>
      <w:proofErr w:type="spellEnd"/>
      <w:r w:rsidR="00E10776">
        <w:t xml:space="preserve">, 2015).  </w:t>
      </w:r>
      <w:r w:rsidR="001A78B9">
        <w:t xml:space="preserve">The SHP argues that the ACOP was withdrawn </w:t>
      </w:r>
      <w:r w:rsidR="00B62E8D">
        <w:t>because of</w:t>
      </w:r>
      <w:r w:rsidR="001A78B9">
        <w:t xml:space="preserve"> the </w:t>
      </w:r>
      <w:proofErr w:type="spellStart"/>
      <w:r w:rsidR="001A78B9">
        <w:t>Lofstedt</w:t>
      </w:r>
      <w:proofErr w:type="spellEnd"/>
      <w:r w:rsidR="001A78B9">
        <w:t xml:space="preserve"> Review of health and safety regulations in 2012 where a review of ACOPS was carried out.</w:t>
      </w:r>
      <w:r w:rsidR="00C94097">
        <w:t xml:space="preserve">  This review caused</w:t>
      </w:r>
      <w:r w:rsidR="00E10776">
        <w:t xml:space="preserve"> the development of</w:t>
      </w:r>
      <w:r w:rsidR="00C94097">
        <w:t xml:space="preserve"> a set of principles for future ACOPs to follow.  The aim of these principles was to “</w:t>
      </w:r>
      <w:r w:rsidR="00C94097" w:rsidRPr="00C94097">
        <w:rPr>
          <w:i/>
          <w:iCs/>
        </w:rPr>
        <w:t>provide users with confidence in how to comply with a specific law or regulation</w:t>
      </w:r>
      <w:r w:rsidR="00C94097">
        <w:rPr>
          <w:i/>
          <w:iCs/>
        </w:rPr>
        <w:t>”</w:t>
      </w:r>
      <w:r w:rsidR="00C94097">
        <w:t xml:space="preserve"> (SHP, 2016).</w:t>
      </w:r>
      <w:r w:rsidR="00E10776">
        <w:t xml:space="preserve">  </w:t>
      </w:r>
      <w:r w:rsidR="00C94097">
        <w:t>Any new ACOPs must be shown to “</w:t>
      </w:r>
      <w:r w:rsidR="00C94097" w:rsidRPr="00C94097">
        <w:rPr>
          <w:i/>
          <w:iCs/>
        </w:rPr>
        <w:t>add value, be considerably shorter and be ‘signposting’ in nature</w:t>
      </w:r>
      <w:r w:rsidR="00C94097">
        <w:rPr>
          <w:i/>
          <w:iCs/>
        </w:rPr>
        <w:t>”</w:t>
      </w:r>
      <w:r w:rsidR="00C94097">
        <w:t xml:space="preserve"> (SHP, 2016).</w:t>
      </w:r>
      <w:r w:rsidR="002D7682">
        <w:t xml:space="preserve">  These principles are endorsed by the HSE Board (</w:t>
      </w:r>
      <w:proofErr w:type="spellStart"/>
      <w:r w:rsidR="002D7682">
        <w:t>Brandrick</w:t>
      </w:r>
      <w:proofErr w:type="spellEnd"/>
      <w:r w:rsidR="002D7682">
        <w:t>, 2015).</w:t>
      </w:r>
      <w:r w:rsidR="00265759">
        <w:t xml:space="preserve"> </w:t>
      </w:r>
    </w:p>
    <w:p w14:paraId="269F8A85" w14:textId="77777777" w:rsidR="00260C10" w:rsidRDefault="00260C10">
      <w:pPr>
        <w:sectPr w:rsidR="00260C10">
          <w:pgSz w:w="11906" w:h="16838"/>
          <w:pgMar w:top="1440" w:right="1440" w:bottom="1440" w:left="1440" w:header="708" w:footer="708" w:gutter="0"/>
          <w:cols w:space="708"/>
          <w:docGrid w:linePitch="360"/>
        </w:sectPr>
      </w:pPr>
    </w:p>
    <w:p w14:paraId="2130BFA5" w14:textId="77777777" w:rsidR="00260C10" w:rsidRDefault="00260C10" w:rsidP="00260C10">
      <w:pPr>
        <w:rPr>
          <w:rFonts w:eastAsiaTheme="minorHAnsi"/>
          <w:b/>
          <w:color w:val="FF0000"/>
          <w:sz w:val="28"/>
        </w:rPr>
      </w:pPr>
      <w:r>
        <w:rPr>
          <w:b/>
          <w:color w:val="FF0000"/>
          <w:sz w:val="28"/>
        </w:rPr>
        <w:lastRenderedPageBreak/>
        <w:softHyphen/>
        <w:t>City &amp; Guilds Construction</w:t>
      </w:r>
    </w:p>
    <w:tbl>
      <w:tblPr>
        <w:tblW w:w="1544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20" w:firstRow="1" w:lastRow="0" w:firstColumn="0" w:lastColumn="0" w:noHBand="0" w:noVBand="1"/>
      </w:tblPr>
      <w:tblGrid>
        <w:gridCol w:w="671"/>
        <w:gridCol w:w="3152"/>
        <w:gridCol w:w="3969"/>
        <w:gridCol w:w="3969"/>
        <w:gridCol w:w="3685"/>
      </w:tblGrid>
      <w:tr w:rsidR="00260C10" w14:paraId="67FD05A7" w14:textId="77777777" w:rsidTr="00260C10">
        <w:trPr>
          <w:trHeight w:val="166"/>
        </w:trPr>
        <w:tc>
          <w:tcPr>
            <w:tcW w:w="671" w:type="dxa"/>
            <w:tcBorders>
              <w:top w:val="single" w:sz="4" w:space="0" w:color="auto"/>
              <w:left w:val="single" w:sz="4" w:space="0" w:color="auto"/>
              <w:bottom w:val="single" w:sz="4" w:space="0" w:color="auto"/>
              <w:right w:val="single" w:sz="4" w:space="0" w:color="auto"/>
            </w:tcBorders>
            <w:shd w:val="clear" w:color="auto" w:fill="F9D3D0"/>
            <w:tcMar>
              <w:top w:w="53" w:type="dxa"/>
              <w:left w:w="105" w:type="dxa"/>
              <w:bottom w:w="53" w:type="dxa"/>
              <w:right w:w="105" w:type="dxa"/>
            </w:tcMar>
            <w:hideMark/>
          </w:tcPr>
          <w:p w14:paraId="6634F01C" w14:textId="77777777" w:rsidR="00260C10" w:rsidRDefault="00260C10">
            <w:pPr>
              <w:tabs>
                <w:tab w:val="left" w:pos="2580"/>
              </w:tabs>
              <w:rPr>
                <w:rFonts w:cs="Arial"/>
                <w:color w:val="000000" w:themeColor="text1"/>
                <w:sz w:val="18"/>
                <w:szCs w:val="18"/>
              </w:rPr>
            </w:pPr>
            <w:r>
              <w:rPr>
                <w:rFonts w:cs="Arial"/>
                <w:b/>
                <w:bCs/>
                <w:color w:val="000000" w:themeColor="text1"/>
                <w:sz w:val="18"/>
                <w:szCs w:val="18"/>
              </w:rPr>
              <w:t xml:space="preserve">Level </w:t>
            </w:r>
          </w:p>
        </w:tc>
        <w:tc>
          <w:tcPr>
            <w:tcW w:w="3152" w:type="dxa"/>
            <w:tcBorders>
              <w:top w:val="single" w:sz="4" w:space="0" w:color="auto"/>
              <w:left w:val="single" w:sz="4" w:space="0" w:color="auto"/>
              <w:bottom w:val="single" w:sz="4" w:space="0" w:color="auto"/>
              <w:right w:val="single" w:sz="4" w:space="0" w:color="auto"/>
            </w:tcBorders>
            <w:tcMar>
              <w:top w:w="53" w:type="dxa"/>
              <w:left w:w="105" w:type="dxa"/>
              <w:bottom w:w="53" w:type="dxa"/>
              <w:right w:w="105" w:type="dxa"/>
            </w:tcMar>
            <w:hideMark/>
          </w:tcPr>
          <w:p w14:paraId="17EC53D7" w14:textId="77777777" w:rsidR="00260C10" w:rsidRDefault="00260C10">
            <w:pPr>
              <w:tabs>
                <w:tab w:val="left" w:pos="2580"/>
              </w:tabs>
              <w:rPr>
                <w:rFonts w:cs="Arial"/>
                <w:color w:val="000000" w:themeColor="text1"/>
                <w:sz w:val="18"/>
                <w:szCs w:val="18"/>
              </w:rPr>
            </w:pPr>
            <w:r>
              <w:rPr>
                <w:rFonts w:cs="Arial"/>
                <w:b/>
                <w:bCs/>
                <w:color w:val="000000" w:themeColor="text1"/>
                <w:sz w:val="18"/>
                <w:szCs w:val="18"/>
              </w:rPr>
              <w:t>Vocational</w:t>
            </w:r>
          </w:p>
        </w:tc>
        <w:tc>
          <w:tcPr>
            <w:tcW w:w="3969" w:type="dxa"/>
            <w:tcBorders>
              <w:top w:val="single" w:sz="4" w:space="0" w:color="auto"/>
              <w:left w:val="single" w:sz="4" w:space="0" w:color="auto"/>
              <w:bottom w:val="single" w:sz="4" w:space="0" w:color="auto"/>
              <w:right w:val="single" w:sz="4" w:space="0" w:color="auto"/>
            </w:tcBorders>
            <w:tcMar>
              <w:top w:w="53" w:type="dxa"/>
              <w:left w:w="105" w:type="dxa"/>
              <w:bottom w:w="53" w:type="dxa"/>
              <w:right w:w="105" w:type="dxa"/>
            </w:tcMar>
            <w:hideMark/>
          </w:tcPr>
          <w:p w14:paraId="605927A2" w14:textId="77777777" w:rsidR="00260C10" w:rsidRDefault="00260C10">
            <w:pPr>
              <w:tabs>
                <w:tab w:val="left" w:pos="2580"/>
              </w:tabs>
              <w:rPr>
                <w:rFonts w:cs="Arial"/>
                <w:color w:val="000000" w:themeColor="text1"/>
                <w:sz w:val="18"/>
                <w:szCs w:val="18"/>
              </w:rPr>
            </w:pPr>
            <w:proofErr w:type="spellStart"/>
            <w:r>
              <w:rPr>
                <w:rFonts w:cs="Arial"/>
                <w:b/>
                <w:bCs/>
                <w:color w:val="000000" w:themeColor="text1"/>
                <w:sz w:val="18"/>
                <w:szCs w:val="18"/>
              </w:rPr>
              <w:t>Technicals</w:t>
            </w:r>
            <w:proofErr w:type="spellEnd"/>
          </w:p>
        </w:tc>
        <w:tc>
          <w:tcPr>
            <w:tcW w:w="3969" w:type="dxa"/>
            <w:tcBorders>
              <w:top w:val="single" w:sz="4" w:space="0" w:color="auto"/>
              <w:left w:val="single" w:sz="4" w:space="0" w:color="auto"/>
              <w:bottom w:val="single" w:sz="4" w:space="0" w:color="auto"/>
              <w:right w:val="single" w:sz="4" w:space="0" w:color="auto"/>
            </w:tcBorders>
            <w:tcMar>
              <w:top w:w="53" w:type="dxa"/>
              <w:left w:w="105" w:type="dxa"/>
              <w:bottom w:w="53" w:type="dxa"/>
              <w:right w:w="105" w:type="dxa"/>
            </w:tcMar>
            <w:hideMark/>
          </w:tcPr>
          <w:p w14:paraId="57526B76" w14:textId="77777777" w:rsidR="00260C10" w:rsidRDefault="00260C10">
            <w:pPr>
              <w:tabs>
                <w:tab w:val="left" w:pos="2580"/>
              </w:tabs>
              <w:rPr>
                <w:rFonts w:cs="Arial"/>
                <w:color w:val="000000" w:themeColor="text1"/>
                <w:sz w:val="18"/>
                <w:szCs w:val="18"/>
              </w:rPr>
            </w:pPr>
            <w:r>
              <w:rPr>
                <w:rFonts w:cs="Arial"/>
                <w:b/>
                <w:bCs/>
                <w:color w:val="000000" w:themeColor="text1"/>
                <w:sz w:val="18"/>
                <w:szCs w:val="18"/>
              </w:rPr>
              <w:t>NVQs</w:t>
            </w:r>
          </w:p>
        </w:tc>
        <w:tc>
          <w:tcPr>
            <w:tcW w:w="3685" w:type="dxa"/>
            <w:vMerge w:val="restart"/>
            <w:tcBorders>
              <w:top w:val="single" w:sz="4" w:space="0" w:color="auto"/>
              <w:left w:val="single" w:sz="4" w:space="0" w:color="auto"/>
              <w:bottom w:val="single" w:sz="4" w:space="0" w:color="auto"/>
              <w:right w:val="single" w:sz="4" w:space="0" w:color="auto"/>
            </w:tcBorders>
            <w:shd w:val="clear" w:color="auto" w:fill="E2EFD9" w:themeFill="accent6" w:themeFillTint="33"/>
          </w:tcPr>
          <w:p w14:paraId="0FF16024" w14:textId="77777777" w:rsidR="00260C10" w:rsidRDefault="00260C10">
            <w:pPr>
              <w:tabs>
                <w:tab w:val="left" w:pos="2580"/>
              </w:tabs>
              <w:jc w:val="center"/>
              <w:rPr>
                <w:rFonts w:cs="Arial"/>
                <w:color w:val="000000" w:themeColor="text1"/>
                <w:sz w:val="18"/>
                <w:szCs w:val="18"/>
              </w:rPr>
            </w:pPr>
            <w:r>
              <w:rPr>
                <w:rFonts w:cs="Arial"/>
                <w:b/>
                <w:bCs/>
                <w:color w:val="000000" w:themeColor="text1"/>
                <w:sz w:val="18"/>
                <w:szCs w:val="18"/>
              </w:rPr>
              <w:t xml:space="preserve">More about </w:t>
            </w:r>
            <w:hyperlink r:id="rId14" w:history="1">
              <w:r>
                <w:rPr>
                  <w:rStyle w:val="Hyperlink"/>
                  <w:rFonts w:cs="Arial"/>
                  <w:b/>
                  <w:bCs/>
                  <w:sz w:val="18"/>
                  <w:szCs w:val="18"/>
                </w:rPr>
                <w:t xml:space="preserve">14-19 </w:t>
              </w:r>
            </w:hyperlink>
            <w:hyperlink r:id="rId15" w:history="1">
              <w:proofErr w:type="spellStart"/>
              <w:r>
                <w:rPr>
                  <w:rStyle w:val="Hyperlink"/>
                  <w:rFonts w:cs="Arial"/>
                  <w:b/>
                  <w:bCs/>
                  <w:sz w:val="18"/>
                  <w:szCs w:val="18"/>
                </w:rPr>
                <w:t>TechBac</w:t>
              </w:r>
              <w:proofErr w:type="spellEnd"/>
            </w:hyperlink>
          </w:p>
          <w:p w14:paraId="3A02097D" w14:textId="77777777" w:rsidR="00260C10" w:rsidRDefault="00260C10">
            <w:pPr>
              <w:tabs>
                <w:tab w:val="left" w:pos="2580"/>
              </w:tabs>
              <w:jc w:val="center"/>
              <w:rPr>
                <w:rFonts w:cs="Arial"/>
                <w:b/>
                <w:bCs/>
                <w:color w:val="000000" w:themeColor="text1"/>
                <w:sz w:val="18"/>
                <w:szCs w:val="18"/>
              </w:rPr>
            </w:pPr>
          </w:p>
          <w:p w14:paraId="7B32D407" w14:textId="77777777" w:rsidR="00260C10" w:rsidRDefault="00260C10">
            <w:pPr>
              <w:tabs>
                <w:tab w:val="left" w:pos="2580"/>
              </w:tabs>
              <w:jc w:val="center"/>
              <w:rPr>
                <w:rFonts w:cs="Arial"/>
                <w:b/>
                <w:bCs/>
                <w:color w:val="000000" w:themeColor="text1"/>
                <w:sz w:val="18"/>
                <w:szCs w:val="18"/>
              </w:rPr>
            </w:pPr>
            <w:r>
              <w:rPr>
                <w:rFonts w:cs="Arial"/>
                <w:b/>
                <w:bCs/>
                <w:color w:val="000000" w:themeColor="text1"/>
                <w:sz w:val="18"/>
                <w:szCs w:val="18"/>
              </w:rPr>
              <w:t xml:space="preserve">More about </w:t>
            </w:r>
            <w:hyperlink r:id="rId16" w:history="1">
              <w:r>
                <w:rPr>
                  <w:rStyle w:val="Hyperlink"/>
                  <w:rFonts w:cs="Arial"/>
                  <w:b/>
                  <w:bCs/>
                  <w:sz w:val="18"/>
                  <w:szCs w:val="18"/>
                </w:rPr>
                <w:t>apprenticeships</w:t>
              </w:r>
            </w:hyperlink>
          </w:p>
        </w:tc>
      </w:tr>
      <w:tr w:rsidR="00260C10" w14:paraId="13A3F45A" w14:textId="77777777" w:rsidTr="00260C10">
        <w:trPr>
          <w:trHeight w:val="207"/>
        </w:trPr>
        <w:tc>
          <w:tcPr>
            <w:tcW w:w="671" w:type="dxa"/>
            <w:tcBorders>
              <w:top w:val="single" w:sz="4" w:space="0" w:color="auto"/>
              <w:left w:val="single" w:sz="4" w:space="0" w:color="auto"/>
              <w:bottom w:val="single" w:sz="4" w:space="0" w:color="auto"/>
              <w:right w:val="single" w:sz="4" w:space="0" w:color="auto"/>
            </w:tcBorders>
            <w:shd w:val="clear" w:color="auto" w:fill="F9D3D0"/>
            <w:tcMar>
              <w:top w:w="53" w:type="dxa"/>
              <w:left w:w="105" w:type="dxa"/>
              <w:bottom w:w="53" w:type="dxa"/>
              <w:right w:w="105" w:type="dxa"/>
            </w:tcMar>
            <w:hideMark/>
          </w:tcPr>
          <w:p w14:paraId="70CED445" w14:textId="77777777" w:rsidR="00260C10" w:rsidRDefault="00260C10">
            <w:pPr>
              <w:tabs>
                <w:tab w:val="left" w:pos="2580"/>
              </w:tabs>
              <w:rPr>
                <w:rFonts w:cs="Arial"/>
                <w:color w:val="000000" w:themeColor="text1"/>
                <w:sz w:val="18"/>
                <w:szCs w:val="18"/>
              </w:rPr>
            </w:pPr>
            <w:r>
              <w:rPr>
                <w:rFonts w:cs="Arial"/>
                <w:color w:val="000000" w:themeColor="text1"/>
                <w:sz w:val="18"/>
                <w:szCs w:val="18"/>
              </w:rPr>
              <w:t>L4+</w:t>
            </w:r>
          </w:p>
        </w:tc>
        <w:tc>
          <w:tcPr>
            <w:tcW w:w="3152" w:type="dxa"/>
            <w:tcBorders>
              <w:top w:val="single" w:sz="4" w:space="0" w:color="auto"/>
              <w:left w:val="single" w:sz="4" w:space="0" w:color="auto"/>
              <w:bottom w:val="single" w:sz="4" w:space="0" w:color="auto"/>
              <w:right w:val="single" w:sz="4" w:space="0" w:color="auto"/>
            </w:tcBorders>
            <w:tcMar>
              <w:top w:w="53" w:type="dxa"/>
              <w:left w:w="105" w:type="dxa"/>
              <w:bottom w:w="53" w:type="dxa"/>
              <w:right w:w="105" w:type="dxa"/>
            </w:tcMar>
            <w:hideMark/>
          </w:tcPr>
          <w:p w14:paraId="49B25DE4" w14:textId="77777777" w:rsidR="00260C10" w:rsidRDefault="00260C10">
            <w:pPr>
              <w:rPr>
                <w:rFonts w:cs="Arial"/>
                <w:color w:val="000000" w:themeColor="text1"/>
                <w:sz w:val="18"/>
                <w:szCs w:val="18"/>
              </w:rPr>
            </w:pPr>
          </w:p>
        </w:tc>
        <w:tc>
          <w:tcPr>
            <w:tcW w:w="3969" w:type="dxa"/>
            <w:tcBorders>
              <w:top w:val="single" w:sz="4" w:space="0" w:color="auto"/>
              <w:left w:val="single" w:sz="4" w:space="0" w:color="auto"/>
              <w:bottom w:val="single" w:sz="4" w:space="0" w:color="auto"/>
              <w:right w:val="single" w:sz="4" w:space="0" w:color="auto"/>
            </w:tcBorders>
            <w:tcMar>
              <w:top w:w="53" w:type="dxa"/>
              <w:left w:w="105" w:type="dxa"/>
              <w:bottom w:w="53" w:type="dxa"/>
              <w:right w:w="105" w:type="dxa"/>
            </w:tcMar>
            <w:hideMark/>
          </w:tcPr>
          <w:p w14:paraId="5AC8D35C" w14:textId="77777777" w:rsidR="00260C10" w:rsidRDefault="00260C10">
            <w:pPr>
              <w:rPr>
                <w:sz w:val="20"/>
                <w:szCs w:val="20"/>
              </w:rPr>
            </w:pPr>
          </w:p>
        </w:tc>
        <w:tc>
          <w:tcPr>
            <w:tcW w:w="3969" w:type="dxa"/>
            <w:tcBorders>
              <w:top w:val="single" w:sz="4" w:space="0" w:color="auto"/>
              <w:left w:val="single" w:sz="4" w:space="0" w:color="auto"/>
              <w:bottom w:val="single" w:sz="4" w:space="0" w:color="auto"/>
              <w:right w:val="single" w:sz="4" w:space="0" w:color="auto"/>
            </w:tcBorders>
            <w:tcMar>
              <w:top w:w="53" w:type="dxa"/>
              <w:left w:w="105" w:type="dxa"/>
              <w:bottom w:w="53" w:type="dxa"/>
              <w:right w:w="105" w:type="dxa"/>
            </w:tcMar>
            <w:hideMark/>
          </w:tcPr>
          <w:p w14:paraId="656160F6" w14:textId="77777777" w:rsidR="00260C10" w:rsidRDefault="00806AA7">
            <w:pPr>
              <w:tabs>
                <w:tab w:val="left" w:pos="2580"/>
              </w:tabs>
              <w:rPr>
                <w:rFonts w:ascii="Avenir Light" w:hAnsi="Avenir Light" w:cs="Arial"/>
                <w:color w:val="000000" w:themeColor="text1"/>
                <w:sz w:val="18"/>
                <w:szCs w:val="18"/>
                <w:lang w:eastAsia="en-US"/>
              </w:rPr>
            </w:pPr>
            <w:hyperlink r:id="rId17" w:history="1">
              <w:r w:rsidR="00260C10">
                <w:rPr>
                  <w:rStyle w:val="Hyperlink"/>
                  <w:rFonts w:cs="Arial"/>
                  <w:sz w:val="18"/>
                  <w:szCs w:val="18"/>
                </w:rPr>
                <w:t>6578 in Site Management (L6)</w:t>
              </w:r>
            </w:hyperlink>
          </w:p>
          <w:p w14:paraId="63D1B6D3" w14:textId="77777777" w:rsidR="00260C10" w:rsidRDefault="00806AA7">
            <w:pPr>
              <w:tabs>
                <w:tab w:val="left" w:pos="2580"/>
              </w:tabs>
              <w:rPr>
                <w:rFonts w:cs="Arial"/>
                <w:color w:val="000000" w:themeColor="text1"/>
                <w:sz w:val="18"/>
                <w:szCs w:val="18"/>
              </w:rPr>
            </w:pPr>
            <w:hyperlink r:id="rId18" w:history="1">
              <w:r w:rsidR="00260C10">
                <w:rPr>
                  <w:rStyle w:val="Hyperlink"/>
                  <w:rFonts w:cs="Arial"/>
                  <w:sz w:val="18"/>
                  <w:szCs w:val="18"/>
                </w:rPr>
                <w:t>6577 in Construction Site Supervision (L4)</w:t>
              </w:r>
            </w:hyperlink>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F5FA759" w14:textId="77777777" w:rsidR="00260C10" w:rsidRDefault="00260C10">
            <w:pPr>
              <w:rPr>
                <w:rFonts w:ascii="Avenir Light" w:hAnsi="Avenir Light" w:cs="Arial"/>
                <w:b/>
                <w:bCs/>
                <w:color w:val="000000" w:themeColor="text1"/>
                <w:sz w:val="18"/>
                <w:szCs w:val="18"/>
                <w:lang w:eastAsia="en-US"/>
              </w:rPr>
            </w:pPr>
          </w:p>
        </w:tc>
      </w:tr>
      <w:tr w:rsidR="00260C10" w14:paraId="6910277F" w14:textId="77777777" w:rsidTr="00260C10">
        <w:trPr>
          <w:trHeight w:val="207"/>
        </w:trPr>
        <w:tc>
          <w:tcPr>
            <w:tcW w:w="671" w:type="dxa"/>
            <w:tcBorders>
              <w:top w:val="single" w:sz="4" w:space="0" w:color="auto"/>
              <w:left w:val="single" w:sz="4" w:space="0" w:color="auto"/>
              <w:bottom w:val="single" w:sz="4" w:space="0" w:color="auto"/>
              <w:right w:val="single" w:sz="4" w:space="0" w:color="auto"/>
            </w:tcBorders>
            <w:shd w:val="clear" w:color="auto" w:fill="F9D3D0"/>
            <w:tcMar>
              <w:top w:w="53" w:type="dxa"/>
              <w:left w:w="105" w:type="dxa"/>
              <w:bottom w:w="53" w:type="dxa"/>
              <w:right w:w="105" w:type="dxa"/>
            </w:tcMar>
            <w:hideMark/>
          </w:tcPr>
          <w:p w14:paraId="13E1CD48" w14:textId="77777777" w:rsidR="00260C10" w:rsidRDefault="00260C10">
            <w:pPr>
              <w:tabs>
                <w:tab w:val="left" w:pos="2580"/>
              </w:tabs>
              <w:rPr>
                <w:rFonts w:cs="Arial"/>
                <w:color w:val="000000" w:themeColor="text1"/>
                <w:sz w:val="18"/>
                <w:szCs w:val="18"/>
              </w:rPr>
            </w:pPr>
            <w:r>
              <w:rPr>
                <w:rFonts w:cs="Arial"/>
                <w:color w:val="000000" w:themeColor="text1"/>
                <w:sz w:val="18"/>
                <w:szCs w:val="18"/>
              </w:rPr>
              <w:t>3</w:t>
            </w:r>
          </w:p>
        </w:tc>
        <w:tc>
          <w:tcPr>
            <w:tcW w:w="3152" w:type="dxa"/>
            <w:tcBorders>
              <w:top w:val="single" w:sz="4" w:space="0" w:color="auto"/>
              <w:left w:val="single" w:sz="4" w:space="0" w:color="auto"/>
              <w:bottom w:val="single" w:sz="4" w:space="0" w:color="auto"/>
              <w:right w:val="single" w:sz="4" w:space="0" w:color="auto"/>
            </w:tcBorders>
            <w:tcMar>
              <w:top w:w="53" w:type="dxa"/>
              <w:left w:w="105" w:type="dxa"/>
              <w:bottom w:w="53" w:type="dxa"/>
              <w:right w:w="105" w:type="dxa"/>
            </w:tcMar>
            <w:hideMark/>
          </w:tcPr>
          <w:p w14:paraId="588CF98E" w14:textId="77777777" w:rsidR="00260C10" w:rsidRDefault="00260C10">
            <w:pPr>
              <w:tabs>
                <w:tab w:val="left" w:pos="2580"/>
              </w:tabs>
              <w:rPr>
                <w:rFonts w:cs="Arial"/>
                <w:color w:val="000000" w:themeColor="text1"/>
                <w:sz w:val="18"/>
                <w:szCs w:val="18"/>
              </w:rPr>
            </w:pPr>
            <w:r>
              <w:rPr>
                <w:rFonts w:cs="Arial"/>
                <w:b/>
                <w:bCs/>
                <w:color w:val="000000" w:themeColor="text1"/>
                <w:sz w:val="18"/>
                <w:szCs w:val="18"/>
              </w:rPr>
              <w:t>Core trades</w:t>
            </w:r>
          </w:p>
          <w:p w14:paraId="334E917B" w14:textId="77777777" w:rsidR="00260C10" w:rsidRDefault="00806AA7">
            <w:pPr>
              <w:tabs>
                <w:tab w:val="left" w:pos="2580"/>
              </w:tabs>
              <w:rPr>
                <w:rFonts w:cs="Arial"/>
                <w:color w:val="000000" w:themeColor="text1"/>
                <w:sz w:val="18"/>
                <w:szCs w:val="18"/>
              </w:rPr>
            </w:pPr>
            <w:hyperlink r:id="rId19" w:history="1">
              <w:r w:rsidR="00260C10">
                <w:rPr>
                  <w:rStyle w:val="Hyperlink"/>
                  <w:rFonts w:cs="Arial"/>
                  <w:sz w:val="18"/>
                  <w:szCs w:val="18"/>
                </w:rPr>
                <w:t>6705 in Bricklaying</w:t>
              </w:r>
            </w:hyperlink>
          </w:p>
          <w:p w14:paraId="682FEDCE" w14:textId="77777777" w:rsidR="00260C10" w:rsidRDefault="00806AA7">
            <w:pPr>
              <w:tabs>
                <w:tab w:val="left" w:pos="2580"/>
              </w:tabs>
              <w:rPr>
                <w:rFonts w:cs="Arial"/>
                <w:color w:val="000000" w:themeColor="text1"/>
                <w:sz w:val="18"/>
                <w:szCs w:val="18"/>
              </w:rPr>
            </w:pPr>
            <w:hyperlink r:id="rId20" w:history="1">
              <w:r w:rsidR="00260C10">
                <w:rPr>
                  <w:rStyle w:val="Hyperlink"/>
                  <w:rFonts w:cs="Arial"/>
                  <w:sz w:val="18"/>
                  <w:szCs w:val="18"/>
                </w:rPr>
                <w:t>6706 in Carpentry and Joinery</w:t>
              </w:r>
            </w:hyperlink>
          </w:p>
          <w:p w14:paraId="11C2D4AD" w14:textId="77777777" w:rsidR="00260C10" w:rsidRDefault="00806AA7">
            <w:pPr>
              <w:tabs>
                <w:tab w:val="left" w:pos="2580"/>
              </w:tabs>
              <w:rPr>
                <w:rFonts w:cs="Arial"/>
                <w:color w:val="000000" w:themeColor="text1"/>
                <w:sz w:val="18"/>
                <w:szCs w:val="18"/>
              </w:rPr>
            </w:pPr>
            <w:hyperlink r:id="rId21" w:history="1">
              <w:r w:rsidR="00260C10">
                <w:rPr>
                  <w:rStyle w:val="Hyperlink"/>
                  <w:rFonts w:cs="Arial"/>
                  <w:sz w:val="18"/>
                  <w:szCs w:val="18"/>
                </w:rPr>
                <w:t>6707 in Painting and Decorating</w:t>
              </w:r>
            </w:hyperlink>
          </w:p>
          <w:p w14:paraId="7A65A658" w14:textId="77777777" w:rsidR="00260C10" w:rsidRDefault="00806AA7">
            <w:pPr>
              <w:tabs>
                <w:tab w:val="left" w:pos="2580"/>
              </w:tabs>
              <w:rPr>
                <w:rFonts w:cs="Arial"/>
                <w:color w:val="000000" w:themeColor="text1"/>
                <w:sz w:val="18"/>
                <w:szCs w:val="18"/>
              </w:rPr>
            </w:pPr>
            <w:hyperlink r:id="rId22" w:history="1">
              <w:r w:rsidR="00260C10">
                <w:rPr>
                  <w:rStyle w:val="Hyperlink"/>
                  <w:rFonts w:cs="Arial"/>
                  <w:sz w:val="18"/>
                  <w:szCs w:val="18"/>
                </w:rPr>
                <w:t>6708 in Plastering</w:t>
              </w:r>
            </w:hyperlink>
          </w:p>
          <w:p w14:paraId="28AB7256" w14:textId="77777777" w:rsidR="00260C10" w:rsidRDefault="00260C10">
            <w:pPr>
              <w:tabs>
                <w:tab w:val="left" w:pos="2580"/>
              </w:tabs>
              <w:rPr>
                <w:rFonts w:cs="Arial"/>
                <w:color w:val="000000" w:themeColor="text1"/>
                <w:sz w:val="18"/>
                <w:szCs w:val="18"/>
              </w:rPr>
            </w:pPr>
            <w:r>
              <w:rPr>
                <w:rFonts w:cs="Arial"/>
                <w:b/>
                <w:bCs/>
                <w:color w:val="000000" w:themeColor="text1"/>
                <w:sz w:val="18"/>
                <w:szCs w:val="18"/>
              </w:rPr>
              <w:t>Specialist Trades</w:t>
            </w:r>
          </w:p>
          <w:p w14:paraId="544E042A" w14:textId="77777777" w:rsidR="00260C10" w:rsidRDefault="00806AA7">
            <w:pPr>
              <w:tabs>
                <w:tab w:val="left" w:pos="2580"/>
              </w:tabs>
              <w:rPr>
                <w:rFonts w:cs="Arial"/>
                <w:color w:val="000000" w:themeColor="text1"/>
                <w:sz w:val="18"/>
                <w:szCs w:val="18"/>
              </w:rPr>
            </w:pPr>
            <w:hyperlink r:id="rId23" w:history="1">
              <w:r w:rsidR="00260C10">
                <w:rPr>
                  <w:rStyle w:val="Hyperlink"/>
                  <w:rFonts w:cs="Arial"/>
                  <w:sz w:val="18"/>
                  <w:szCs w:val="18"/>
                </w:rPr>
                <w:t>6715 in Stonemasonry</w:t>
              </w:r>
            </w:hyperlink>
          </w:p>
        </w:tc>
        <w:tc>
          <w:tcPr>
            <w:tcW w:w="3969" w:type="dxa"/>
            <w:tcBorders>
              <w:top w:val="single" w:sz="4" w:space="0" w:color="auto"/>
              <w:left w:val="single" w:sz="4" w:space="0" w:color="auto"/>
              <w:bottom w:val="single" w:sz="4" w:space="0" w:color="auto"/>
              <w:right w:val="single" w:sz="4" w:space="0" w:color="auto"/>
            </w:tcBorders>
            <w:tcMar>
              <w:top w:w="53" w:type="dxa"/>
              <w:left w:w="105" w:type="dxa"/>
              <w:bottom w:w="53" w:type="dxa"/>
              <w:right w:w="105" w:type="dxa"/>
            </w:tcMar>
            <w:hideMark/>
          </w:tcPr>
          <w:p w14:paraId="50029E91" w14:textId="77777777" w:rsidR="00260C10" w:rsidRDefault="00260C10">
            <w:pPr>
              <w:tabs>
                <w:tab w:val="left" w:pos="2580"/>
              </w:tabs>
              <w:rPr>
                <w:rFonts w:cs="Arial"/>
                <w:color w:val="000000" w:themeColor="text1"/>
                <w:sz w:val="18"/>
                <w:szCs w:val="18"/>
              </w:rPr>
            </w:pPr>
            <w:r>
              <w:rPr>
                <w:rFonts w:cs="Arial"/>
                <w:b/>
                <w:bCs/>
                <w:color w:val="000000" w:themeColor="text1"/>
                <w:sz w:val="18"/>
                <w:szCs w:val="18"/>
              </w:rPr>
              <w:t>Core trades</w:t>
            </w:r>
          </w:p>
          <w:p w14:paraId="0F89FC51" w14:textId="77777777" w:rsidR="00260C10" w:rsidRDefault="00806AA7">
            <w:pPr>
              <w:tabs>
                <w:tab w:val="left" w:pos="2580"/>
              </w:tabs>
              <w:rPr>
                <w:rFonts w:cs="Arial"/>
                <w:color w:val="000000" w:themeColor="text1"/>
                <w:sz w:val="18"/>
                <w:szCs w:val="18"/>
              </w:rPr>
            </w:pPr>
            <w:hyperlink r:id="rId24" w:history="1">
              <w:r w:rsidR="00260C10">
                <w:rPr>
                  <w:rStyle w:val="Hyperlink"/>
                  <w:rFonts w:cs="Arial"/>
                  <w:sz w:val="18"/>
                  <w:szCs w:val="18"/>
                </w:rPr>
                <w:t>7905 in Bricklaying</w:t>
              </w:r>
            </w:hyperlink>
          </w:p>
          <w:p w14:paraId="3BA16886" w14:textId="77777777" w:rsidR="00260C10" w:rsidRDefault="00806AA7">
            <w:pPr>
              <w:tabs>
                <w:tab w:val="left" w:pos="2580"/>
              </w:tabs>
              <w:rPr>
                <w:rFonts w:cs="Arial"/>
                <w:color w:val="000000" w:themeColor="text1"/>
                <w:sz w:val="18"/>
                <w:szCs w:val="18"/>
              </w:rPr>
            </w:pPr>
            <w:hyperlink r:id="rId25" w:history="1">
              <w:r w:rsidR="00260C10">
                <w:rPr>
                  <w:rStyle w:val="Hyperlink"/>
                  <w:rFonts w:cs="Arial"/>
                  <w:sz w:val="18"/>
                  <w:szCs w:val="18"/>
                </w:rPr>
                <w:t>7906 in Carpentry and Joinery</w:t>
              </w:r>
            </w:hyperlink>
          </w:p>
          <w:p w14:paraId="3A339FE4" w14:textId="77777777" w:rsidR="00260C10" w:rsidRDefault="00806AA7">
            <w:pPr>
              <w:tabs>
                <w:tab w:val="left" w:pos="2580"/>
              </w:tabs>
              <w:rPr>
                <w:rFonts w:cs="Arial"/>
                <w:color w:val="000000" w:themeColor="text1"/>
                <w:sz w:val="18"/>
                <w:szCs w:val="18"/>
              </w:rPr>
            </w:pPr>
            <w:hyperlink r:id="rId26" w:history="1">
              <w:r w:rsidR="00260C10">
                <w:rPr>
                  <w:rStyle w:val="Hyperlink"/>
                  <w:rFonts w:cs="Arial"/>
                  <w:sz w:val="18"/>
                  <w:szCs w:val="18"/>
                </w:rPr>
                <w:t>7907 in Painting and Decorating</w:t>
              </w:r>
            </w:hyperlink>
          </w:p>
          <w:p w14:paraId="6989C50B" w14:textId="77777777" w:rsidR="00260C10" w:rsidRDefault="00806AA7">
            <w:pPr>
              <w:tabs>
                <w:tab w:val="left" w:pos="2580"/>
              </w:tabs>
              <w:rPr>
                <w:rFonts w:cs="Arial"/>
                <w:color w:val="000000" w:themeColor="text1"/>
                <w:sz w:val="18"/>
                <w:szCs w:val="18"/>
              </w:rPr>
            </w:pPr>
            <w:hyperlink r:id="rId27" w:history="1">
              <w:r w:rsidR="00260C10">
                <w:rPr>
                  <w:rStyle w:val="Hyperlink"/>
                  <w:rFonts w:cs="Arial"/>
                  <w:sz w:val="18"/>
                  <w:szCs w:val="18"/>
                </w:rPr>
                <w:t>7908 in Plastering</w:t>
              </w:r>
            </w:hyperlink>
          </w:p>
          <w:p w14:paraId="65592151" w14:textId="77777777" w:rsidR="00260C10" w:rsidRDefault="00260C10">
            <w:pPr>
              <w:tabs>
                <w:tab w:val="left" w:pos="2580"/>
              </w:tabs>
              <w:rPr>
                <w:rFonts w:cs="Arial"/>
                <w:color w:val="000000" w:themeColor="text1"/>
                <w:sz w:val="18"/>
                <w:szCs w:val="18"/>
              </w:rPr>
            </w:pPr>
            <w:r>
              <w:rPr>
                <w:rFonts w:cs="Arial"/>
                <w:b/>
                <w:bCs/>
                <w:color w:val="000000" w:themeColor="text1"/>
                <w:sz w:val="18"/>
                <w:szCs w:val="18"/>
              </w:rPr>
              <w:t xml:space="preserve">Construction Professions </w:t>
            </w:r>
          </w:p>
          <w:p w14:paraId="276016F7" w14:textId="77777777" w:rsidR="00260C10" w:rsidRDefault="00806AA7">
            <w:pPr>
              <w:tabs>
                <w:tab w:val="left" w:pos="2580"/>
              </w:tabs>
              <w:rPr>
                <w:rFonts w:cs="Arial"/>
                <w:color w:val="000000" w:themeColor="text1"/>
                <w:sz w:val="18"/>
                <w:szCs w:val="18"/>
              </w:rPr>
            </w:pPr>
            <w:hyperlink r:id="rId28" w:history="1">
              <w:r w:rsidR="00260C10">
                <w:rPr>
                  <w:rStyle w:val="Hyperlink"/>
                  <w:rFonts w:cs="Arial"/>
                  <w:sz w:val="18"/>
                  <w:szCs w:val="18"/>
                </w:rPr>
                <w:t>6720 in Constructing the Built Environment</w:t>
              </w:r>
            </w:hyperlink>
          </w:p>
        </w:tc>
        <w:tc>
          <w:tcPr>
            <w:tcW w:w="3969" w:type="dxa"/>
            <w:tcBorders>
              <w:top w:val="single" w:sz="4" w:space="0" w:color="auto"/>
              <w:left w:val="single" w:sz="4" w:space="0" w:color="auto"/>
              <w:bottom w:val="single" w:sz="4" w:space="0" w:color="auto"/>
              <w:right w:val="single" w:sz="4" w:space="0" w:color="auto"/>
            </w:tcBorders>
            <w:tcMar>
              <w:top w:w="53" w:type="dxa"/>
              <w:left w:w="105" w:type="dxa"/>
              <w:bottom w:w="53" w:type="dxa"/>
              <w:right w:w="105" w:type="dxa"/>
            </w:tcMar>
            <w:hideMark/>
          </w:tcPr>
          <w:p w14:paraId="2C5DC2D8" w14:textId="77777777" w:rsidR="00260C10" w:rsidRDefault="00260C10">
            <w:pPr>
              <w:tabs>
                <w:tab w:val="left" w:pos="2580"/>
              </w:tabs>
              <w:rPr>
                <w:rFonts w:cs="Arial"/>
                <w:color w:val="000000" w:themeColor="text1"/>
                <w:sz w:val="18"/>
                <w:szCs w:val="18"/>
              </w:rPr>
            </w:pPr>
            <w:r>
              <w:rPr>
                <w:rFonts w:cs="Arial"/>
                <w:b/>
                <w:bCs/>
                <w:color w:val="000000" w:themeColor="text1"/>
                <w:sz w:val="18"/>
                <w:szCs w:val="18"/>
              </w:rPr>
              <w:t>Core trades</w:t>
            </w:r>
          </w:p>
          <w:p w14:paraId="2408AC64" w14:textId="77777777" w:rsidR="00260C10" w:rsidRDefault="00806AA7">
            <w:pPr>
              <w:tabs>
                <w:tab w:val="left" w:pos="2580"/>
              </w:tabs>
              <w:rPr>
                <w:rFonts w:cs="Arial"/>
                <w:color w:val="000000" w:themeColor="text1"/>
                <w:sz w:val="18"/>
                <w:szCs w:val="18"/>
              </w:rPr>
            </w:pPr>
            <w:hyperlink r:id="rId29" w:history="1">
              <w:r w:rsidR="00260C10">
                <w:rPr>
                  <w:rStyle w:val="Hyperlink"/>
                  <w:rFonts w:cs="Arial"/>
                  <w:sz w:val="18"/>
                  <w:szCs w:val="18"/>
                </w:rPr>
                <w:t>6570 in Trowel Occupations</w:t>
              </w:r>
            </w:hyperlink>
          </w:p>
          <w:p w14:paraId="7BCA3C96" w14:textId="77777777" w:rsidR="00260C10" w:rsidRDefault="00806AA7">
            <w:pPr>
              <w:tabs>
                <w:tab w:val="left" w:pos="2580"/>
              </w:tabs>
              <w:rPr>
                <w:rFonts w:cs="Arial"/>
                <w:color w:val="000000" w:themeColor="text1"/>
                <w:sz w:val="18"/>
                <w:szCs w:val="18"/>
              </w:rPr>
            </w:pPr>
            <w:hyperlink r:id="rId30" w:history="1">
              <w:r w:rsidR="00260C10">
                <w:rPr>
                  <w:rStyle w:val="Hyperlink"/>
                  <w:rFonts w:cs="Arial"/>
                  <w:sz w:val="18"/>
                  <w:szCs w:val="18"/>
                </w:rPr>
                <w:t>6571 in Wood Occupations</w:t>
              </w:r>
            </w:hyperlink>
          </w:p>
          <w:p w14:paraId="1883328B" w14:textId="77777777" w:rsidR="00260C10" w:rsidRDefault="00806AA7">
            <w:pPr>
              <w:tabs>
                <w:tab w:val="left" w:pos="2580"/>
              </w:tabs>
              <w:rPr>
                <w:rFonts w:cs="Arial"/>
                <w:color w:val="000000" w:themeColor="text1"/>
                <w:sz w:val="18"/>
                <w:szCs w:val="18"/>
              </w:rPr>
            </w:pPr>
            <w:hyperlink r:id="rId31" w:history="1">
              <w:r w:rsidR="00260C10">
                <w:rPr>
                  <w:rStyle w:val="Hyperlink"/>
                  <w:rFonts w:cs="Arial"/>
                  <w:sz w:val="18"/>
                  <w:szCs w:val="18"/>
                </w:rPr>
                <w:t>6572 in Painting and Decorating</w:t>
              </w:r>
            </w:hyperlink>
          </w:p>
          <w:p w14:paraId="7C36AF45" w14:textId="77777777" w:rsidR="00260C10" w:rsidRDefault="00806AA7">
            <w:pPr>
              <w:tabs>
                <w:tab w:val="left" w:pos="2580"/>
              </w:tabs>
              <w:rPr>
                <w:rFonts w:cs="Arial"/>
                <w:color w:val="000000" w:themeColor="text1"/>
                <w:sz w:val="18"/>
                <w:szCs w:val="18"/>
              </w:rPr>
            </w:pPr>
            <w:hyperlink r:id="rId32" w:history="1">
              <w:r w:rsidR="00260C10">
                <w:rPr>
                  <w:rStyle w:val="Hyperlink"/>
                  <w:rFonts w:cs="Arial"/>
                  <w:sz w:val="18"/>
                  <w:szCs w:val="18"/>
                </w:rPr>
                <w:t>6573 in Plastering</w:t>
              </w:r>
            </w:hyperlink>
            <w:r w:rsidR="00260C10">
              <w:rPr>
                <w:rFonts w:cs="Arial"/>
                <w:color w:val="000000" w:themeColor="text1"/>
                <w:sz w:val="18"/>
                <w:szCs w:val="18"/>
              </w:rPr>
              <w:t xml:space="preserve"> </w:t>
            </w:r>
          </w:p>
          <w:p w14:paraId="58EEF3C9" w14:textId="77777777" w:rsidR="00260C10" w:rsidRDefault="00260C10">
            <w:pPr>
              <w:tabs>
                <w:tab w:val="left" w:pos="2580"/>
              </w:tabs>
              <w:rPr>
                <w:rFonts w:cs="Arial"/>
                <w:color w:val="000000" w:themeColor="text1"/>
                <w:sz w:val="18"/>
                <w:szCs w:val="18"/>
              </w:rPr>
            </w:pPr>
            <w:r>
              <w:rPr>
                <w:rFonts w:cs="Arial"/>
                <w:b/>
                <w:bCs/>
                <w:color w:val="000000" w:themeColor="text1"/>
                <w:sz w:val="18"/>
                <w:szCs w:val="18"/>
              </w:rPr>
              <w:t>Construction Operations</w:t>
            </w:r>
          </w:p>
          <w:p w14:paraId="620B3A76" w14:textId="77777777" w:rsidR="00260C10" w:rsidRDefault="00806AA7">
            <w:pPr>
              <w:tabs>
                <w:tab w:val="left" w:pos="2580"/>
              </w:tabs>
              <w:rPr>
                <w:rFonts w:cs="Arial"/>
                <w:color w:val="000000" w:themeColor="text1"/>
                <w:sz w:val="18"/>
                <w:szCs w:val="18"/>
              </w:rPr>
            </w:pPr>
            <w:hyperlink r:id="rId33" w:history="1">
              <w:r w:rsidR="00260C10">
                <w:rPr>
                  <w:rStyle w:val="Hyperlink"/>
                  <w:rFonts w:cs="Arial"/>
                  <w:sz w:val="18"/>
                  <w:szCs w:val="18"/>
                </w:rPr>
                <w:t>6576 in Occupational Work Supervision</w:t>
              </w:r>
            </w:hyperlink>
          </w:p>
          <w:p w14:paraId="63CEB5E7" w14:textId="77777777" w:rsidR="00260C10" w:rsidRDefault="00806AA7">
            <w:pPr>
              <w:tabs>
                <w:tab w:val="left" w:pos="2580"/>
              </w:tabs>
              <w:rPr>
                <w:rFonts w:cs="Arial"/>
                <w:color w:val="000000" w:themeColor="text1"/>
                <w:sz w:val="18"/>
                <w:szCs w:val="18"/>
              </w:rPr>
            </w:pPr>
            <w:hyperlink r:id="rId34" w:history="1">
              <w:r w:rsidR="00260C10">
                <w:rPr>
                  <w:rStyle w:val="Hyperlink"/>
                  <w:rFonts w:cs="Arial"/>
                  <w:sz w:val="18"/>
                  <w:szCs w:val="18"/>
                </w:rPr>
                <w:t>6565 in Accessing Operations and Rigging</w:t>
              </w:r>
            </w:hyperlink>
          </w:p>
        </w:tc>
        <w:tc>
          <w:tcPr>
            <w:tcW w:w="3685" w:type="dxa"/>
            <w:tcBorders>
              <w:top w:val="single" w:sz="4" w:space="0" w:color="auto"/>
              <w:left w:val="single" w:sz="4" w:space="0" w:color="auto"/>
              <w:bottom w:val="single" w:sz="4" w:space="0" w:color="auto"/>
              <w:right w:val="single" w:sz="4" w:space="0" w:color="auto"/>
            </w:tcBorders>
            <w:shd w:val="clear" w:color="auto" w:fill="8EAADB" w:themeFill="accent1" w:themeFillTint="99"/>
            <w:vAlign w:val="center"/>
          </w:tcPr>
          <w:p w14:paraId="0C25547C" w14:textId="77777777" w:rsidR="00260C10" w:rsidRDefault="00260C10">
            <w:pPr>
              <w:tabs>
                <w:tab w:val="left" w:pos="2580"/>
              </w:tabs>
              <w:jc w:val="center"/>
              <w:rPr>
                <w:rFonts w:cs="Arial"/>
                <w:color w:val="000000" w:themeColor="text1"/>
                <w:sz w:val="18"/>
                <w:szCs w:val="18"/>
              </w:rPr>
            </w:pPr>
            <w:r>
              <w:rPr>
                <w:rFonts w:cs="Arial"/>
                <w:b/>
                <w:bCs/>
                <w:color w:val="000000" w:themeColor="text1"/>
                <w:sz w:val="18"/>
                <w:szCs w:val="18"/>
              </w:rPr>
              <w:t>Other Services:</w:t>
            </w:r>
          </w:p>
          <w:p w14:paraId="0F26CC4D" w14:textId="77777777" w:rsidR="00260C10" w:rsidRDefault="00806AA7">
            <w:pPr>
              <w:tabs>
                <w:tab w:val="left" w:pos="2580"/>
              </w:tabs>
              <w:jc w:val="center"/>
              <w:rPr>
                <w:rFonts w:cs="Arial"/>
                <w:color w:val="000000" w:themeColor="text1"/>
                <w:sz w:val="18"/>
                <w:szCs w:val="18"/>
              </w:rPr>
            </w:pPr>
            <w:hyperlink r:id="rId35" w:history="1">
              <w:r w:rsidR="00260C10">
                <w:rPr>
                  <w:rStyle w:val="Hyperlink"/>
                  <w:rFonts w:cs="Arial"/>
                  <w:sz w:val="18"/>
                  <w:szCs w:val="18"/>
                </w:rPr>
                <w:t>ILM</w:t>
              </w:r>
            </w:hyperlink>
          </w:p>
          <w:p w14:paraId="5E7862BD" w14:textId="77777777" w:rsidR="00260C10" w:rsidRDefault="00806AA7">
            <w:pPr>
              <w:tabs>
                <w:tab w:val="left" w:pos="2580"/>
              </w:tabs>
              <w:jc w:val="center"/>
              <w:rPr>
                <w:rFonts w:cs="Arial"/>
                <w:color w:val="000000" w:themeColor="text1"/>
                <w:sz w:val="18"/>
                <w:szCs w:val="18"/>
              </w:rPr>
            </w:pPr>
            <w:hyperlink r:id="rId36" w:history="1">
              <w:proofErr w:type="spellStart"/>
              <w:r w:rsidR="00260C10">
                <w:rPr>
                  <w:rStyle w:val="Hyperlink"/>
                  <w:rFonts w:cs="Arial"/>
                  <w:sz w:val="18"/>
                  <w:szCs w:val="18"/>
                </w:rPr>
                <w:t>Kineo</w:t>
              </w:r>
              <w:proofErr w:type="spellEnd"/>
            </w:hyperlink>
          </w:p>
          <w:p w14:paraId="4B70D26A" w14:textId="77777777" w:rsidR="00260C10" w:rsidRDefault="00806AA7">
            <w:pPr>
              <w:tabs>
                <w:tab w:val="left" w:pos="2580"/>
              </w:tabs>
              <w:jc w:val="center"/>
              <w:rPr>
                <w:rFonts w:cs="Arial"/>
                <w:color w:val="000000" w:themeColor="text1"/>
                <w:sz w:val="18"/>
                <w:szCs w:val="18"/>
              </w:rPr>
            </w:pPr>
            <w:hyperlink r:id="rId37" w:history="1">
              <w:r w:rsidR="00260C10">
                <w:rPr>
                  <w:rStyle w:val="Hyperlink"/>
                  <w:rFonts w:cs="Arial"/>
                  <w:sz w:val="18"/>
                  <w:szCs w:val="18"/>
                </w:rPr>
                <w:t>Employer Solutions</w:t>
              </w:r>
            </w:hyperlink>
          </w:p>
          <w:p w14:paraId="4244F99C" w14:textId="77777777" w:rsidR="00260C10" w:rsidRDefault="00806AA7">
            <w:pPr>
              <w:tabs>
                <w:tab w:val="left" w:pos="2580"/>
              </w:tabs>
              <w:jc w:val="center"/>
              <w:rPr>
                <w:rFonts w:cs="Arial"/>
                <w:color w:val="000000" w:themeColor="text1"/>
                <w:sz w:val="18"/>
                <w:szCs w:val="18"/>
              </w:rPr>
            </w:pPr>
            <w:hyperlink r:id="rId38" w:history="1">
              <w:r w:rsidR="00260C10">
                <w:rPr>
                  <w:rStyle w:val="Hyperlink"/>
                  <w:rFonts w:cs="Arial"/>
                  <w:sz w:val="18"/>
                  <w:szCs w:val="18"/>
                </w:rPr>
                <w:t>Digital Me</w:t>
              </w:r>
            </w:hyperlink>
          </w:p>
          <w:p w14:paraId="6B28ABFD" w14:textId="77777777" w:rsidR="00260C10" w:rsidRDefault="00806AA7">
            <w:pPr>
              <w:tabs>
                <w:tab w:val="left" w:pos="2580"/>
              </w:tabs>
              <w:jc w:val="center"/>
              <w:rPr>
                <w:rFonts w:cs="Arial"/>
                <w:color w:val="000000" w:themeColor="text1"/>
                <w:sz w:val="18"/>
                <w:szCs w:val="18"/>
              </w:rPr>
            </w:pPr>
            <w:hyperlink r:id="rId39" w:history="1">
              <w:r w:rsidR="00260C10">
                <w:rPr>
                  <w:rStyle w:val="Hyperlink"/>
                  <w:rFonts w:cs="Arial"/>
                  <w:sz w:val="18"/>
                  <w:szCs w:val="18"/>
                </w:rPr>
                <w:t>Learning Assistant</w:t>
              </w:r>
            </w:hyperlink>
          </w:p>
          <w:p w14:paraId="125AEC58" w14:textId="77777777" w:rsidR="00260C10" w:rsidRDefault="00806AA7">
            <w:pPr>
              <w:tabs>
                <w:tab w:val="left" w:pos="2580"/>
              </w:tabs>
              <w:jc w:val="center"/>
              <w:rPr>
                <w:rFonts w:cs="Arial"/>
                <w:b/>
                <w:bCs/>
                <w:color w:val="000000" w:themeColor="text1"/>
                <w:sz w:val="18"/>
                <w:szCs w:val="18"/>
              </w:rPr>
            </w:pPr>
            <w:hyperlink r:id="rId40" w:history="1">
              <w:r w:rsidR="00260C10">
                <w:rPr>
                  <w:rStyle w:val="Hyperlink"/>
                  <w:rFonts w:cs="Arial"/>
                  <w:sz w:val="18"/>
                  <w:szCs w:val="18"/>
                </w:rPr>
                <w:t>SmartScreen</w:t>
              </w:r>
            </w:hyperlink>
          </w:p>
          <w:p w14:paraId="4529A0F1" w14:textId="77777777" w:rsidR="00260C10" w:rsidRDefault="00260C10">
            <w:pPr>
              <w:tabs>
                <w:tab w:val="left" w:pos="2580"/>
              </w:tabs>
              <w:jc w:val="center"/>
              <w:rPr>
                <w:rFonts w:cs="Arial"/>
                <w:color w:val="000000" w:themeColor="text1"/>
                <w:sz w:val="18"/>
                <w:szCs w:val="18"/>
              </w:rPr>
            </w:pPr>
          </w:p>
        </w:tc>
      </w:tr>
      <w:tr w:rsidR="00260C10" w14:paraId="3CD2EA54" w14:textId="77777777" w:rsidTr="00260C10">
        <w:trPr>
          <w:trHeight w:val="2088"/>
        </w:trPr>
        <w:tc>
          <w:tcPr>
            <w:tcW w:w="671" w:type="dxa"/>
            <w:tcBorders>
              <w:top w:val="single" w:sz="4" w:space="0" w:color="auto"/>
              <w:left w:val="single" w:sz="4" w:space="0" w:color="auto"/>
              <w:bottom w:val="single" w:sz="4" w:space="0" w:color="auto"/>
              <w:right w:val="single" w:sz="4" w:space="0" w:color="auto"/>
            </w:tcBorders>
            <w:shd w:val="clear" w:color="auto" w:fill="F9D3D0"/>
            <w:tcMar>
              <w:top w:w="53" w:type="dxa"/>
              <w:left w:w="105" w:type="dxa"/>
              <w:bottom w:w="53" w:type="dxa"/>
              <w:right w:w="105" w:type="dxa"/>
            </w:tcMar>
            <w:hideMark/>
          </w:tcPr>
          <w:p w14:paraId="2BC82D32" w14:textId="77777777" w:rsidR="00260C10" w:rsidRDefault="00260C10">
            <w:pPr>
              <w:tabs>
                <w:tab w:val="left" w:pos="2580"/>
              </w:tabs>
              <w:rPr>
                <w:rFonts w:cs="Arial"/>
                <w:color w:val="000000" w:themeColor="text1"/>
                <w:sz w:val="18"/>
                <w:szCs w:val="18"/>
              </w:rPr>
            </w:pPr>
            <w:r>
              <w:rPr>
                <w:rFonts w:cs="Arial"/>
                <w:color w:val="000000" w:themeColor="text1"/>
                <w:sz w:val="18"/>
                <w:szCs w:val="18"/>
              </w:rPr>
              <w:t>2</w:t>
            </w:r>
          </w:p>
        </w:tc>
        <w:tc>
          <w:tcPr>
            <w:tcW w:w="3152" w:type="dxa"/>
            <w:tcBorders>
              <w:top w:val="single" w:sz="4" w:space="0" w:color="auto"/>
              <w:left w:val="single" w:sz="4" w:space="0" w:color="auto"/>
              <w:bottom w:val="single" w:sz="4" w:space="0" w:color="auto"/>
              <w:right w:val="single" w:sz="4" w:space="0" w:color="auto"/>
            </w:tcBorders>
            <w:tcMar>
              <w:top w:w="53" w:type="dxa"/>
              <w:left w:w="105" w:type="dxa"/>
              <w:bottom w:w="53" w:type="dxa"/>
              <w:right w:w="105" w:type="dxa"/>
            </w:tcMar>
            <w:hideMark/>
          </w:tcPr>
          <w:p w14:paraId="397AACE2" w14:textId="77777777" w:rsidR="00260C10" w:rsidRDefault="00260C10">
            <w:pPr>
              <w:tabs>
                <w:tab w:val="left" w:pos="2580"/>
              </w:tabs>
              <w:rPr>
                <w:rFonts w:cs="Arial"/>
                <w:color w:val="000000" w:themeColor="text1"/>
                <w:sz w:val="18"/>
                <w:szCs w:val="18"/>
              </w:rPr>
            </w:pPr>
            <w:r>
              <w:rPr>
                <w:rFonts w:cs="Arial"/>
                <w:b/>
                <w:bCs/>
                <w:color w:val="000000" w:themeColor="text1"/>
                <w:sz w:val="18"/>
                <w:szCs w:val="18"/>
              </w:rPr>
              <w:t>Core trades</w:t>
            </w:r>
          </w:p>
          <w:p w14:paraId="32472C26" w14:textId="77777777" w:rsidR="00260C10" w:rsidRDefault="00806AA7">
            <w:pPr>
              <w:tabs>
                <w:tab w:val="left" w:pos="2580"/>
              </w:tabs>
              <w:rPr>
                <w:rFonts w:cs="Arial"/>
                <w:color w:val="000000" w:themeColor="text1"/>
                <w:sz w:val="18"/>
                <w:szCs w:val="18"/>
              </w:rPr>
            </w:pPr>
            <w:hyperlink r:id="rId41" w:history="1">
              <w:r w:rsidR="00260C10">
                <w:rPr>
                  <w:rStyle w:val="Hyperlink"/>
                  <w:rFonts w:cs="Arial"/>
                  <w:sz w:val="18"/>
                  <w:szCs w:val="18"/>
                </w:rPr>
                <w:t>6705 in Bricklaying</w:t>
              </w:r>
            </w:hyperlink>
          </w:p>
          <w:p w14:paraId="6F7583AC" w14:textId="77777777" w:rsidR="00260C10" w:rsidRDefault="00806AA7">
            <w:pPr>
              <w:tabs>
                <w:tab w:val="left" w:pos="2580"/>
              </w:tabs>
              <w:rPr>
                <w:rFonts w:cs="Arial"/>
                <w:color w:val="000000" w:themeColor="text1"/>
                <w:sz w:val="18"/>
                <w:szCs w:val="18"/>
              </w:rPr>
            </w:pPr>
            <w:hyperlink r:id="rId42" w:history="1">
              <w:r w:rsidR="00260C10">
                <w:rPr>
                  <w:rStyle w:val="Hyperlink"/>
                  <w:rFonts w:cs="Arial"/>
                  <w:sz w:val="18"/>
                  <w:szCs w:val="18"/>
                </w:rPr>
                <w:t>6706 in Carpentry and Joinery</w:t>
              </w:r>
            </w:hyperlink>
          </w:p>
          <w:p w14:paraId="0A493D79" w14:textId="77777777" w:rsidR="00260C10" w:rsidRDefault="00806AA7">
            <w:pPr>
              <w:tabs>
                <w:tab w:val="left" w:pos="2580"/>
              </w:tabs>
              <w:rPr>
                <w:rFonts w:cs="Arial"/>
                <w:color w:val="000000" w:themeColor="text1"/>
                <w:sz w:val="18"/>
                <w:szCs w:val="18"/>
              </w:rPr>
            </w:pPr>
            <w:hyperlink r:id="rId43" w:history="1">
              <w:r w:rsidR="00260C10">
                <w:rPr>
                  <w:rStyle w:val="Hyperlink"/>
                  <w:rFonts w:cs="Arial"/>
                  <w:sz w:val="18"/>
                  <w:szCs w:val="18"/>
                </w:rPr>
                <w:t>6707 in Painting and Decorating</w:t>
              </w:r>
            </w:hyperlink>
          </w:p>
          <w:p w14:paraId="36C7F24C" w14:textId="77777777" w:rsidR="00260C10" w:rsidRDefault="00806AA7">
            <w:pPr>
              <w:tabs>
                <w:tab w:val="left" w:pos="2580"/>
              </w:tabs>
              <w:rPr>
                <w:rFonts w:cs="Arial"/>
                <w:color w:val="000000" w:themeColor="text1"/>
                <w:sz w:val="18"/>
                <w:szCs w:val="18"/>
              </w:rPr>
            </w:pPr>
            <w:hyperlink r:id="rId44" w:history="1">
              <w:r w:rsidR="00260C10">
                <w:rPr>
                  <w:rStyle w:val="Hyperlink"/>
                  <w:rFonts w:cs="Arial"/>
                  <w:sz w:val="18"/>
                  <w:szCs w:val="18"/>
                </w:rPr>
                <w:t>6708 in Plastering</w:t>
              </w:r>
            </w:hyperlink>
          </w:p>
          <w:p w14:paraId="2FA70EF3" w14:textId="77777777" w:rsidR="00260C10" w:rsidRDefault="00260C10">
            <w:pPr>
              <w:tabs>
                <w:tab w:val="left" w:pos="2580"/>
              </w:tabs>
              <w:rPr>
                <w:rFonts w:cs="Arial"/>
                <w:color w:val="000000" w:themeColor="text1"/>
                <w:sz w:val="18"/>
                <w:szCs w:val="18"/>
              </w:rPr>
            </w:pPr>
            <w:r>
              <w:rPr>
                <w:rFonts w:cs="Arial"/>
                <w:b/>
                <w:bCs/>
                <w:color w:val="000000" w:themeColor="text1"/>
                <w:sz w:val="18"/>
                <w:szCs w:val="18"/>
              </w:rPr>
              <w:t>Specialist Trades</w:t>
            </w:r>
          </w:p>
          <w:p w14:paraId="36F542BD" w14:textId="77777777" w:rsidR="00260C10" w:rsidRDefault="00806AA7">
            <w:pPr>
              <w:tabs>
                <w:tab w:val="left" w:pos="2580"/>
              </w:tabs>
              <w:rPr>
                <w:rFonts w:cs="Arial"/>
                <w:color w:val="000000" w:themeColor="text1"/>
                <w:sz w:val="18"/>
                <w:szCs w:val="18"/>
              </w:rPr>
            </w:pPr>
            <w:hyperlink r:id="rId45" w:history="1">
              <w:r w:rsidR="00260C10">
                <w:rPr>
                  <w:rStyle w:val="Hyperlink"/>
                  <w:rFonts w:cs="Arial"/>
                  <w:sz w:val="18"/>
                  <w:szCs w:val="18"/>
                </w:rPr>
                <w:t>6710 in Wall and Floor Tiling</w:t>
              </w:r>
            </w:hyperlink>
            <w:r w:rsidR="00260C10">
              <w:rPr>
                <w:rFonts w:cs="Arial"/>
                <w:color w:val="000000" w:themeColor="text1"/>
                <w:sz w:val="18"/>
                <w:szCs w:val="18"/>
              </w:rPr>
              <w:t xml:space="preserve"> </w:t>
            </w:r>
          </w:p>
          <w:p w14:paraId="7A0E2AEB" w14:textId="77777777" w:rsidR="00260C10" w:rsidRDefault="00806AA7">
            <w:pPr>
              <w:tabs>
                <w:tab w:val="left" w:pos="2580"/>
              </w:tabs>
              <w:rPr>
                <w:rFonts w:cs="Arial"/>
                <w:color w:val="000000" w:themeColor="text1"/>
                <w:sz w:val="18"/>
                <w:szCs w:val="18"/>
              </w:rPr>
            </w:pPr>
            <w:hyperlink r:id="rId46" w:history="1">
              <w:r w:rsidR="00260C10">
                <w:rPr>
                  <w:rStyle w:val="Hyperlink"/>
                  <w:rFonts w:cs="Arial"/>
                  <w:sz w:val="18"/>
                  <w:szCs w:val="18"/>
                </w:rPr>
                <w:t>6711 in Maintenance Operations</w:t>
              </w:r>
            </w:hyperlink>
          </w:p>
          <w:p w14:paraId="0C91668C" w14:textId="77777777" w:rsidR="00260C10" w:rsidRDefault="00806AA7">
            <w:pPr>
              <w:tabs>
                <w:tab w:val="left" w:pos="2580"/>
              </w:tabs>
              <w:rPr>
                <w:rFonts w:cs="Arial"/>
                <w:color w:val="000000" w:themeColor="text1"/>
                <w:sz w:val="18"/>
                <w:szCs w:val="18"/>
              </w:rPr>
            </w:pPr>
            <w:hyperlink r:id="rId47" w:history="1">
              <w:r w:rsidR="00260C10">
                <w:rPr>
                  <w:rStyle w:val="Hyperlink"/>
                  <w:rFonts w:cs="Arial"/>
                  <w:sz w:val="18"/>
                  <w:szCs w:val="18"/>
                </w:rPr>
                <w:t>6713 in Dry Lining</w:t>
              </w:r>
            </w:hyperlink>
            <w:r w:rsidR="00260C10">
              <w:rPr>
                <w:rFonts w:cs="Arial"/>
                <w:color w:val="000000" w:themeColor="text1"/>
                <w:sz w:val="18"/>
                <w:szCs w:val="18"/>
              </w:rPr>
              <w:t xml:space="preserve"> </w:t>
            </w:r>
          </w:p>
          <w:p w14:paraId="4117AF00" w14:textId="77777777" w:rsidR="00260C10" w:rsidRDefault="00806AA7">
            <w:pPr>
              <w:tabs>
                <w:tab w:val="left" w:pos="2580"/>
              </w:tabs>
              <w:rPr>
                <w:rFonts w:cs="Arial"/>
                <w:color w:val="000000" w:themeColor="text1"/>
                <w:sz w:val="18"/>
                <w:szCs w:val="18"/>
              </w:rPr>
            </w:pPr>
            <w:hyperlink r:id="rId48" w:history="1">
              <w:r w:rsidR="00260C10">
                <w:rPr>
                  <w:rStyle w:val="Hyperlink"/>
                  <w:rFonts w:cs="Arial"/>
                  <w:sz w:val="18"/>
                  <w:szCs w:val="18"/>
                </w:rPr>
                <w:t>6715 in Stonemasonry</w:t>
              </w:r>
            </w:hyperlink>
          </w:p>
          <w:p w14:paraId="44A157EF" w14:textId="77777777" w:rsidR="00260C10" w:rsidRDefault="00806AA7">
            <w:pPr>
              <w:tabs>
                <w:tab w:val="left" w:pos="2580"/>
              </w:tabs>
              <w:rPr>
                <w:rFonts w:cs="Arial"/>
                <w:color w:val="000000" w:themeColor="text1"/>
                <w:sz w:val="18"/>
                <w:szCs w:val="18"/>
              </w:rPr>
            </w:pPr>
            <w:hyperlink r:id="rId49" w:history="1">
              <w:r w:rsidR="00260C10">
                <w:rPr>
                  <w:rStyle w:val="Hyperlink"/>
                  <w:rFonts w:cs="Arial"/>
                  <w:sz w:val="18"/>
                  <w:szCs w:val="18"/>
                </w:rPr>
                <w:t>6715 in Craft Masonry</w:t>
              </w:r>
            </w:hyperlink>
          </w:p>
          <w:p w14:paraId="7CB749DB" w14:textId="77777777" w:rsidR="00260C10" w:rsidRDefault="00806AA7">
            <w:pPr>
              <w:tabs>
                <w:tab w:val="left" w:pos="2580"/>
              </w:tabs>
              <w:rPr>
                <w:rFonts w:cs="Arial"/>
                <w:color w:val="000000" w:themeColor="text1"/>
                <w:sz w:val="18"/>
                <w:szCs w:val="18"/>
              </w:rPr>
            </w:pPr>
            <w:hyperlink r:id="rId50" w:history="1">
              <w:r w:rsidR="00260C10">
                <w:rPr>
                  <w:rStyle w:val="Hyperlink"/>
                  <w:rFonts w:cs="Arial"/>
                  <w:sz w:val="18"/>
                  <w:szCs w:val="18"/>
                </w:rPr>
                <w:t>6719 in Roof Slating and Tiling</w:t>
              </w:r>
            </w:hyperlink>
          </w:p>
          <w:p w14:paraId="1E995531" w14:textId="77777777" w:rsidR="00260C10" w:rsidRDefault="00260C10">
            <w:pPr>
              <w:tabs>
                <w:tab w:val="left" w:pos="2580"/>
              </w:tabs>
              <w:rPr>
                <w:rFonts w:cs="Arial"/>
                <w:color w:val="000000" w:themeColor="text1"/>
                <w:sz w:val="18"/>
                <w:szCs w:val="18"/>
              </w:rPr>
            </w:pPr>
            <w:r>
              <w:rPr>
                <w:rFonts w:cs="Arial"/>
                <w:b/>
                <w:bCs/>
                <w:color w:val="000000" w:themeColor="text1"/>
                <w:sz w:val="18"/>
                <w:szCs w:val="18"/>
              </w:rPr>
              <w:t>Construction Operations</w:t>
            </w:r>
          </w:p>
          <w:p w14:paraId="7B65EB60" w14:textId="77777777" w:rsidR="00260C10" w:rsidRDefault="00806AA7">
            <w:pPr>
              <w:tabs>
                <w:tab w:val="left" w:pos="2580"/>
              </w:tabs>
              <w:rPr>
                <w:rFonts w:cs="Arial"/>
                <w:color w:val="000000" w:themeColor="text1"/>
                <w:sz w:val="18"/>
                <w:szCs w:val="18"/>
              </w:rPr>
            </w:pPr>
            <w:hyperlink r:id="rId51" w:history="1">
              <w:r w:rsidR="00260C10">
                <w:rPr>
                  <w:rStyle w:val="Hyperlink"/>
                  <w:rFonts w:cs="Arial"/>
                  <w:sz w:val="18"/>
                  <w:szCs w:val="18"/>
                </w:rPr>
                <w:t>6709 in Construction Operations</w:t>
              </w:r>
            </w:hyperlink>
          </w:p>
        </w:tc>
        <w:tc>
          <w:tcPr>
            <w:tcW w:w="3969" w:type="dxa"/>
            <w:tcBorders>
              <w:top w:val="single" w:sz="4" w:space="0" w:color="auto"/>
              <w:left w:val="single" w:sz="4" w:space="0" w:color="auto"/>
              <w:bottom w:val="single" w:sz="4" w:space="0" w:color="auto"/>
              <w:right w:val="single" w:sz="4" w:space="0" w:color="auto"/>
            </w:tcBorders>
            <w:tcMar>
              <w:top w:w="53" w:type="dxa"/>
              <w:left w:w="105" w:type="dxa"/>
              <w:bottom w:w="53" w:type="dxa"/>
              <w:right w:w="105" w:type="dxa"/>
            </w:tcMar>
            <w:hideMark/>
          </w:tcPr>
          <w:p w14:paraId="1003B305" w14:textId="77777777" w:rsidR="00260C10" w:rsidRDefault="00260C10">
            <w:pPr>
              <w:tabs>
                <w:tab w:val="left" w:pos="2580"/>
              </w:tabs>
              <w:rPr>
                <w:rFonts w:cs="Arial"/>
                <w:color w:val="000000" w:themeColor="text1"/>
                <w:sz w:val="18"/>
                <w:szCs w:val="18"/>
              </w:rPr>
            </w:pPr>
            <w:r>
              <w:rPr>
                <w:rFonts w:cs="Arial"/>
                <w:b/>
                <w:bCs/>
                <w:color w:val="000000" w:themeColor="text1"/>
                <w:sz w:val="18"/>
                <w:szCs w:val="18"/>
              </w:rPr>
              <w:t>Core trades</w:t>
            </w:r>
          </w:p>
          <w:p w14:paraId="78F78514" w14:textId="77777777" w:rsidR="00260C10" w:rsidRDefault="00806AA7">
            <w:pPr>
              <w:tabs>
                <w:tab w:val="left" w:pos="2580"/>
              </w:tabs>
              <w:rPr>
                <w:rFonts w:cs="Arial"/>
                <w:color w:val="000000" w:themeColor="text1"/>
                <w:sz w:val="18"/>
                <w:szCs w:val="18"/>
              </w:rPr>
            </w:pPr>
            <w:hyperlink r:id="rId52" w:history="1">
              <w:r w:rsidR="00260C10">
                <w:rPr>
                  <w:rStyle w:val="Hyperlink"/>
                  <w:rFonts w:cs="Arial"/>
                  <w:sz w:val="18"/>
                  <w:szCs w:val="18"/>
                </w:rPr>
                <w:t>7905 in Bricklaying</w:t>
              </w:r>
            </w:hyperlink>
          </w:p>
          <w:p w14:paraId="4AB94E4B" w14:textId="77777777" w:rsidR="00260C10" w:rsidRDefault="00806AA7">
            <w:pPr>
              <w:tabs>
                <w:tab w:val="left" w:pos="2580"/>
              </w:tabs>
              <w:rPr>
                <w:rFonts w:cs="Arial"/>
                <w:color w:val="000000" w:themeColor="text1"/>
                <w:sz w:val="18"/>
                <w:szCs w:val="18"/>
              </w:rPr>
            </w:pPr>
            <w:hyperlink r:id="rId53" w:history="1">
              <w:r w:rsidR="00260C10">
                <w:rPr>
                  <w:rStyle w:val="Hyperlink"/>
                  <w:rFonts w:cs="Arial"/>
                  <w:sz w:val="18"/>
                  <w:szCs w:val="18"/>
                </w:rPr>
                <w:t>7906 in Carpentry and Joinery</w:t>
              </w:r>
            </w:hyperlink>
          </w:p>
          <w:p w14:paraId="41FD812B" w14:textId="77777777" w:rsidR="00260C10" w:rsidRDefault="00806AA7">
            <w:pPr>
              <w:tabs>
                <w:tab w:val="left" w:pos="2580"/>
              </w:tabs>
              <w:rPr>
                <w:rFonts w:cs="Arial"/>
                <w:color w:val="000000" w:themeColor="text1"/>
                <w:sz w:val="18"/>
                <w:szCs w:val="18"/>
              </w:rPr>
            </w:pPr>
            <w:hyperlink r:id="rId54" w:history="1">
              <w:r w:rsidR="00260C10">
                <w:rPr>
                  <w:rStyle w:val="Hyperlink"/>
                  <w:rFonts w:cs="Arial"/>
                  <w:sz w:val="18"/>
                  <w:szCs w:val="18"/>
                </w:rPr>
                <w:t>7907 in Painting and Decorating</w:t>
              </w:r>
            </w:hyperlink>
          </w:p>
          <w:p w14:paraId="35511401" w14:textId="77777777" w:rsidR="00260C10" w:rsidRDefault="00806AA7">
            <w:pPr>
              <w:tabs>
                <w:tab w:val="left" w:pos="2580"/>
              </w:tabs>
              <w:rPr>
                <w:rFonts w:cs="Arial"/>
                <w:color w:val="000000" w:themeColor="text1"/>
                <w:sz w:val="18"/>
                <w:szCs w:val="18"/>
              </w:rPr>
            </w:pPr>
            <w:hyperlink r:id="rId55" w:history="1">
              <w:r w:rsidR="00260C10">
                <w:rPr>
                  <w:rStyle w:val="Hyperlink"/>
                  <w:rFonts w:cs="Arial"/>
                  <w:sz w:val="18"/>
                  <w:szCs w:val="18"/>
                </w:rPr>
                <w:t>7908 in Plastering</w:t>
              </w:r>
            </w:hyperlink>
          </w:p>
          <w:p w14:paraId="02794BD9" w14:textId="77777777" w:rsidR="00260C10" w:rsidRDefault="00260C10">
            <w:pPr>
              <w:tabs>
                <w:tab w:val="left" w:pos="2580"/>
              </w:tabs>
              <w:rPr>
                <w:rFonts w:cs="Arial"/>
                <w:color w:val="000000" w:themeColor="text1"/>
                <w:sz w:val="18"/>
                <w:szCs w:val="18"/>
              </w:rPr>
            </w:pPr>
            <w:r>
              <w:rPr>
                <w:rFonts w:cs="Arial"/>
                <w:b/>
                <w:bCs/>
                <w:color w:val="000000" w:themeColor="text1"/>
                <w:sz w:val="18"/>
                <w:szCs w:val="18"/>
              </w:rPr>
              <w:t>Construction Professions</w:t>
            </w:r>
          </w:p>
          <w:p w14:paraId="025F8360" w14:textId="77777777" w:rsidR="00260C10" w:rsidRDefault="00806AA7">
            <w:pPr>
              <w:tabs>
                <w:tab w:val="left" w:pos="2580"/>
              </w:tabs>
              <w:rPr>
                <w:rFonts w:cs="Arial"/>
                <w:color w:val="000000" w:themeColor="text1"/>
                <w:sz w:val="18"/>
                <w:szCs w:val="18"/>
              </w:rPr>
            </w:pPr>
            <w:hyperlink r:id="rId56" w:history="1">
              <w:r w:rsidR="00260C10">
                <w:rPr>
                  <w:rStyle w:val="Hyperlink"/>
                  <w:rFonts w:cs="Arial"/>
                  <w:sz w:val="18"/>
                  <w:szCs w:val="18"/>
                </w:rPr>
                <w:t>6720 in Constructing the Built Environment</w:t>
              </w:r>
            </w:hyperlink>
            <w:r w:rsidR="00260C10">
              <w:rPr>
                <w:rFonts w:cs="Arial"/>
                <w:color w:val="000000" w:themeColor="text1"/>
                <w:sz w:val="18"/>
                <w:szCs w:val="18"/>
              </w:rPr>
              <w:t xml:space="preserve"> </w:t>
            </w:r>
          </w:p>
        </w:tc>
        <w:tc>
          <w:tcPr>
            <w:tcW w:w="3969" w:type="dxa"/>
            <w:tcBorders>
              <w:top w:val="single" w:sz="4" w:space="0" w:color="auto"/>
              <w:left w:val="single" w:sz="4" w:space="0" w:color="auto"/>
              <w:bottom w:val="single" w:sz="4" w:space="0" w:color="auto"/>
              <w:right w:val="single" w:sz="4" w:space="0" w:color="auto"/>
            </w:tcBorders>
            <w:tcMar>
              <w:top w:w="53" w:type="dxa"/>
              <w:left w:w="105" w:type="dxa"/>
              <w:bottom w:w="53" w:type="dxa"/>
              <w:right w:w="105" w:type="dxa"/>
            </w:tcMar>
            <w:hideMark/>
          </w:tcPr>
          <w:p w14:paraId="253FAE8E" w14:textId="77777777" w:rsidR="00260C10" w:rsidRDefault="00260C10">
            <w:pPr>
              <w:tabs>
                <w:tab w:val="left" w:pos="2580"/>
              </w:tabs>
              <w:rPr>
                <w:rFonts w:cs="Arial"/>
                <w:color w:val="000000" w:themeColor="text1"/>
                <w:sz w:val="18"/>
                <w:szCs w:val="18"/>
              </w:rPr>
            </w:pPr>
            <w:r>
              <w:rPr>
                <w:rFonts w:cs="Arial"/>
                <w:b/>
                <w:bCs/>
                <w:color w:val="000000" w:themeColor="text1"/>
                <w:sz w:val="18"/>
                <w:szCs w:val="18"/>
              </w:rPr>
              <w:t>Core trades</w:t>
            </w:r>
          </w:p>
          <w:p w14:paraId="17183C4D" w14:textId="77777777" w:rsidR="00260C10" w:rsidRDefault="00806AA7">
            <w:pPr>
              <w:tabs>
                <w:tab w:val="left" w:pos="2580"/>
              </w:tabs>
              <w:rPr>
                <w:rFonts w:cs="Arial"/>
                <w:color w:val="000000" w:themeColor="text1"/>
                <w:sz w:val="18"/>
                <w:szCs w:val="18"/>
              </w:rPr>
            </w:pPr>
            <w:hyperlink r:id="rId57" w:history="1">
              <w:r w:rsidR="00260C10">
                <w:rPr>
                  <w:rStyle w:val="Hyperlink"/>
                  <w:rFonts w:cs="Arial"/>
                  <w:sz w:val="18"/>
                  <w:szCs w:val="18"/>
                </w:rPr>
                <w:t>6570 in Trowel Occupations</w:t>
              </w:r>
            </w:hyperlink>
          </w:p>
          <w:p w14:paraId="17CE0315" w14:textId="77777777" w:rsidR="00260C10" w:rsidRDefault="00806AA7">
            <w:pPr>
              <w:tabs>
                <w:tab w:val="left" w:pos="2580"/>
              </w:tabs>
              <w:rPr>
                <w:rFonts w:cs="Arial"/>
                <w:color w:val="000000" w:themeColor="text1"/>
                <w:sz w:val="18"/>
                <w:szCs w:val="18"/>
              </w:rPr>
            </w:pPr>
            <w:hyperlink r:id="rId58" w:history="1">
              <w:r w:rsidR="00260C10">
                <w:rPr>
                  <w:rStyle w:val="Hyperlink"/>
                  <w:rFonts w:cs="Arial"/>
                  <w:sz w:val="18"/>
                  <w:szCs w:val="18"/>
                </w:rPr>
                <w:t>6571 in Wood Occupations</w:t>
              </w:r>
            </w:hyperlink>
          </w:p>
          <w:p w14:paraId="5558FD71" w14:textId="77777777" w:rsidR="00260C10" w:rsidRDefault="00806AA7">
            <w:pPr>
              <w:tabs>
                <w:tab w:val="left" w:pos="2580"/>
              </w:tabs>
              <w:rPr>
                <w:rFonts w:cs="Arial"/>
                <w:color w:val="000000" w:themeColor="text1"/>
                <w:sz w:val="18"/>
                <w:szCs w:val="18"/>
              </w:rPr>
            </w:pPr>
            <w:hyperlink r:id="rId59" w:history="1">
              <w:r w:rsidR="00260C10">
                <w:rPr>
                  <w:rStyle w:val="Hyperlink"/>
                  <w:rFonts w:cs="Arial"/>
                  <w:sz w:val="18"/>
                  <w:szCs w:val="18"/>
                </w:rPr>
                <w:t>6572 in Painting and Decorating</w:t>
              </w:r>
            </w:hyperlink>
          </w:p>
          <w:p w14:paraId="51FFB676" w14:textId="77777777" w:rsidR="00260C10" w:rsidRDefault="00806AA7">
            <w:pPr>
              <w:tabs>
                <w:tab w:val="left" w:pos="2580"/>
              </w:tabs>
              <w:rPr>
                <w:rFonts w:cs="Arial"/>
                <w:color w:val="000000" w:themeColor="text1"/>
                <w:sz w:val="18"/>
                <w:szCs w:val="18"/>
              </w:rPr>
            </w:pPr>
            <w:hyperlink r:id="rId60" w:history="1">
              <w:r w:rsidR="00260C10">
                <w:rPr>
                  <w:rStyle w:val="Hyperlink"/>
                  <w:rFonts w:cs="Arial"/>
                  <w:sz w:val="18"/>
                  <w:szCs w:val="18"/>
                </w:rPr>
                <w:t>6573 in Plastering</w:t>
              </w:r>
            </w:hyperlink>
            <w:r w:rsidR="00260C10">
              <w:rPr>
                <w:rFonts w:cs="Arial"/>
                <w:color w:val="000000" w:themeColor="text1"/>
                <w:sz w:val="18"/>
                <w:szCs w:val="18"/>
              </w:rPr>
              <w:t xml:space="preserve"> </w:t>
            </w:r>
          </w:p>
          <w:p w14:paraId="5A07A19C" w14:textId="77777777" w:rsidR="00260C10" w:rsidRDefault="00260C10">
            <w:pPr>
              <w:tabs>
                <w:tab w:val="left" w:pos="2580"/>
              </w:tabs>
              <w:rPr>
                <w:rFonts w:cs="Arial"/>
                <w:b/>
                <w:bCs/>
                <w:color w:val="000000" w:themeColor="text1"/>
                <w:sz w:val="18"/>
                <w:szCs w:val="18"/>
              </w:rPr>
            </w:pPr>
            <w:r>
              <w:rPr>
                <w:rFonts w:cs="Arial"/>
                <w:b/>
                <w:bCs/>
                <w:color w:val="000000" w:themeColor="text1"/>
                <w:sz w:val="18"/>
                <w:szCs w:val="18"/>
              </w:rPr>
              <w:t>Specialist Trades</w:t>
            </w:r>
          </w:p>
          <w:p w14:paraId="71CFC838" w14:textId="77777777" w:rsidR="00260C10" w:rsidRDefault="00806AA7">
            <w:pPr>
              <w:tabs>
                <w:tab w:val="left" w:pos="2580"/>
              </w:tabs>
              <w:rPr>
                <w:rFonts w:cs="Arial"/>
                <w:color w:val="000000" w:themeColor="text1"/>
                <w:sz w:val="18"/>
                <w:szCs w:val="18"/>
              </w:rPr>
            </w:pPr>
            <w:hyperlink r:id="rId61" w:history="1">
              <w:r w:rsidR="00260C10">
                <w:rPr>
                  <w:rStyle w:val="Hyperlink"/>
                  <w:rFonts w:cs="Arial"/>
                  <w:bCs/>
                  <w:sz w:val="18"/>
                  <w:szCs w:val="18"/>
                </w:rPr>
                <w:t>5931 in Insulation and Building Treatments</w:t>
              </w:r>
            </w:hyperlink>
          </w:p>
          <w:p w14:paraId="4B40F16C" w14:textId="77777777" w:rsidR="00260C10" w:rsidRDefault="00806AA7">
            <w:pPr>
              <w:tabs>
                <w:tab w:val="left" w:pos="2580"/>
              </w:tabs>
              <w:rPr>
                <w:rFonts w:cs="Arial"/>
                <w:color w:val="0563C1" w:themeColor="hyperlink"/>
                <w:sz w:val="18"/>
                <w:szCs w:val="18"/>
                <w:u w:val="single"/>
              </w:rPr>
            </w:pPr>
            <w:hyperlink r:id="rId62" w:history="1">
              <w:r w:rsidR="00260C10">
                <w:rPr>
                  <w:rStyle w:val="Hyperlink"/>
                  <w:rFonts w:cs="Arial"/>
                  <w:sz w:val="18"/>
                  <w:szCs w:val="18"/>
                </w:rPr>
                <w:t>6560 in Wall and Floor Tiling</w:t>
              </w:r>
            </w:hyperlink>
          </w:p>
          <w:p w14:paraId="157A976D" w14:textId="77777777" w:rsidR="00260C10" w:rsidRDefault="00806AA7">
            <w:pPr>
              <w:tabs>
                <w:tab w:val="left" w:pos="2580"/>
              </w:tabs>
              <w:rPr>
                <w:rFonts w:cs="Arial"/>
                <w:color w:val="000000" w:themeColor="text1"/>
                <w:sz w:val="18"/>
                <w:szCs w:val="18"/>
              </w:rPr>
            </w:pPr>
            <w:hyperlink r:id="rId63" w:history="1">
              <w:r w:rsidR="00260C10">
                <w:rPr>
                  <w:rStyle w:val="Hyperlink"/>
                  <w:rFonts w:cs="Arial"/>
                  <w:sz w:val="18"/>
                  <w:szCs w:val="18"/>
                </w:rPr>
                <w:t>6565 in Accessing Operations and Rigging</w:t>
              </w:r>
            </w:hyperlink>
          </w:p>
          <w:p w14:paraId="1B0FE640" w14:textId="77777777" w:rsidR="00260C10" w:rsidRDefault="00806AA7">
            <w:pPr>
              <w:tabs>
                <w:tab w:val="left" w:pos="2580"/>
              </w:tabs>
              <w:rPr>
                <w:rFonts w:cs="Arial"/>
                <w:color w:val="000000" w:themeColor="text1"/>
                <w:sz w:val="18"/>
                <w:szCs w:val="18"/>
              </w:rPr>
            </w:pPr>
            <w:hyperlink r:id="rId64" w:history="1">
              <w:r w:rsidR="00260C10">
                <w:rPr>
                  <w:rStyle w:val="Hyperlink"/>
                  <w:rFonts w:cs="Arial"/>
                  <w:sz w:val="18"/>
                  <w:szCs w:val="18"/>
                </w:rPr>
                <w:t>6567 in Interior Systems</w:t>
              </w:r>
            </w:hyperlink>
          </w:p>
          <w:p w14:paraId="4C00DAD3" w14:textId="77777777" w:rsidR="00260C10" w:rsidRDefault="00806AA7">
            <w:pPr>
              <w:tabs>
                <w:tab w:val="left" w:pos="2580"/>
              </w:tabs>
              <w:rPr>
                <w:rFonts w:cs="Arial"/>
                <w:color w:val="000000" w:themeColor="text1"/>
                <w:sz w:val="18"/>
                <w:szCs w:val="18"/>
              </w:rPr>
            </w:pPr>
            <w:hyperlink r:id="rId65" w:history="1">
              <w:r w:rsidR="00260C10">
                <w:rPr>
                  <w:rStyle w:val="Hyperlink"/>
                  <w:rFonts w:cs="Arial"/>
                  <w:sz w:val="18"/>
                  <w:szCs w:val="18"/>
                </w:rPr>
                <w:t>6569 in Roofing Occupations</w:t>
              </w:r>
            </w:hyperlink>
          </w:p>
          <w:p w14:paraId="57D7A59F" w14:textId="77777777" w:rsidR="00260C10" w:rsidRDefault="00806AA7">
            <w:pPr>
              <w:tabs>
                <w:tab w:val="left" w:pos="2580"/>
              </w:tabs>
              <w:rPr>
                <w:rFonts w:cs="Arial"/>
                <w:color w:val="000000" w:themeColor="text1"/>
                <w:sz w:val="18"/>
                <w:szCs w:val="18"/>
              </w:rPr>
            </w:pPr>
            <w:hyperlink r:id="rId66" w:history="1">
              <w:r w:rsidR="00260C10">
                <w:rPr>
                  <w:rStyle w:val="Hyperlink"/>
                  <w:rFonts w:cs="Arial"/>
                  <w:sz w:val="18"/>
                  <w:szCs w:val="18"/>
                </w:rPr>
                <w:t>6580 in Formwork</w:t>
              </w:r>
            </w:hyperlink>
          </w:p>
          <w:p w14:paraId="06F99DDB" w14:textId="77777777" w:rsidR="00260C10" w:rsidRDefault="00806AA7">
            <w:pPr>
              <w:tabs>
                <w:tab w:val="left" w:pos="2580"/>
              </w:tabs>
              <w:rPr>
                <w:rFonts w:cs="Arial"/>
                <w:color w:val="000000" w:themeColor="text1"/>
                <w:sz w:val="18"/>
                <w:szCs w:val="18"/>
              </w:rPr>
            </w:pPr>
            <w:hyperlink r:id="rId67" w:history="1">
              <w:r w:rsidR="00260C10">
                <w:rPr>
                  <w:rStyle w:val="Hyperlink"/>
                  <w:rFonts w:cs="Arial"/>
                  <w:sz w:val="18"/>
                  <w:szCs w:val="18"/>
                </w:rPr>
                <w:t>2455 in Steel fixing</w:t>
              </w:r>
            </w:hyperlink>
          </w:p>
          <w:p w14:paraId="31298CE9" w14:textId="77777777" w:rsidR="00260C10" w:rsidRDefault="00260C10">
            <w:pPr>
              <w:tabs>
                <w:tab w:val="left" w:pos="2580"/>
              </w:tabs>
              <w:rPr>
                <w:rFonts w:cs="Arial"/>
                <w:color w:val="000000" w:themeColor="text1"/>
                <w:sz w:val="18"/>
                <w:szCs w:val="18"/>
              </w:rPr>
            </w:pPr>
            <w:r>
              <w:rPr>
                <w:rFonts w:cs="Arial"/>
                <w:b/>
                <w:bCs/>
                <w:color w:val="000000" w:themeColor="text1"/>
                <w:sz w:val="18"/>
                <w:szCs w:val="18"/>
              </w:rPr>
              <w:t>Construction Operations</w:t>
            </w:r>
          </w:p>
          <w:p w14:paraId="220FA2E2" w14:textId="77777777" w:rsidR="00260C10" w:rsidRDefault="00806AA7">
            <w:pPr>
              <w:tabs>
                <w:tab w:val="left" w:pos="2580"/>
              </w:tabs>
              <w:rPr>
                <w:rFonts w:cs="Arial"/>
                <w:color w:val="000000" w:themeColor="text1"/>
                <w:sz w:val="18"/>
                <w:szCs w:val="18"/>
              </w:rPr>
            </w:pPr>
            <w:hyperlink r:id="rId68" w:history="1">
              <w:r w:rsidR="00260C10">
                <w:rPr>
                  <w:rStyle w:val="Hyperlink"/>
                  <w:rFonts w:cs="Arial"/>
                  <w:sz w:val="18"/>
                  <w:szCs w:val="18"/>
                </w:rPr>
                <w:t>6561 in Plant Operatives</w:t>
              </w:r>
            </w:hyperlink>
          </w:p>
          <w:p w14:paraId="4CE88294" w14:textId="77777777" w:rsidR="00260C10" w:rsidRDefault="00806AA7">
            <w:pPr>
              <w:tabs>
                <w:tab w:val="left" w:pos="2580"/>
              </w:tabs>
              <w:rPr>
                <w:rFonts w:cs="Arial"/>
                <w:color w:val="000000" w:themeColor="text1"/>
                <w:sz w:val="18"/>
                <w:szCs w:val="18"/>
              </w:rPr>
            </w:pPr>
            <w:hyperlink r:id="rId69" w:history="1">
              <w:r w:rsidR="00260C10">
                <w:rPr>
                  <w:rStyle w:val="Hyperlink"/>
                  <w:rFonts w:cs="Arial"/>
                  <w:sz w:val="18"/>
                  <w:szCs w:val="18"/>
                </w:rPr>
                <w:t>6562 in Maintenance Operations</w:t>
              </w:r>
            </w:hyperlink>
          </w:p>
          <w:p w14:paraId="0EE656BD" w14:textId="77777777" w:rsidR="00260C10" w:rsidRDefault="00806AA7">
            <w:pPr>
              <w:tabs>
                <w:tab w:val="left" w:pos="2580"/>
              </w:tabs>
              <w:rPr>
                <w:rFonts w:cs="Arial"/>
                <w:color w:val="000000" w:themeColor="text1"/>
                <w:sz w:val="18"/>
                <w:szCs w:val="18"/>
              </w:rPr>
            </w:pPr>
            <w:hyperlink r:id="rId70" w:history="1">
              <w:r w:rsidR="00260C10">
                <w:rPr>
                  <w:rStyle w:val="Hyperlink"/>
                  <w:rFonts w:cs="Arial"/>
                  <w:sz w:val="18"/>
                  <w:szCs w:val="18"/>
                </w:rPr>
                <w:t>6566 in Highways Maintenance</w:t>
              </w:r>
            </w:hyperlink>
          </w:p>
          <w:p w14:paraId="359A4483" w14:textId="77777777" w:rsidR="00260C10" w:rsidRDefault="00806AA7">
            <w:pPr>
              <w:tabs>
                <w:tab w:val="left" w:pos="2580"/>
              </w:tabs>
              <w:rPr>
                <w:rFonts w:cs="Arial"/>
                <w:color w:val="000000" w:themeColor="text1"/>
                <w:sz w:val="18"/>
                <w:szCs w:val="18"/>
              </w:rPr>
            </w:pPr>
            <w:hyperlink r:id="rId71" w:history="1">
              <w:r w:rsidR="00260C10">
                <w:rPr>
                  <w:rStyle w:val="Hyperlink"/>
                  <w:rFonts w:cs="Arial"/>
                  <w:sz w:val="18"/>
                  <w:szCs w:val="18"/>
                </w:rPr>
                <w:t>6574 in Construction Operations</w:t>
              </w:r>
            </w:hyperlink>
            <w:r w:rsidR="00260C10">
              <w:rPr>
                <w:rFonts w:cs="Arial"/>
                <w:color w:val="000000" w:themeColor="text1"/>
                <w:sz w:val="18"/>
                <w:szCs w:val="18"/>
              </w:rPr>
              <w:t xml:space="preserve"> </w:t>
            </w:r>
          </w:p>
        </w:tc>
        <w:tc>
          <w:tcPr>
            <w:tcW w:w="3685" w:type="dxa"/>
            <w:tcBorders>
              <w:top w:val="single" w:sz="4" w:space="0" w:color="auto"/>
              <w:left w:val="single" w:sz="4" w:space="0" w:color="auto"/>
              <w:bottom w:val="single" w:sz="4" w:space="0" w:color="auto"/>
              <w:right w:val="single" w:sz="4" w:space="0" w:color="auto"/>
            </w:tcBorders>
            <w:shd w:val="clear" w:color="auto" w:fill="F7CAAC" w:themeFill="accent2" w:themeFillTint="66"/>
            <w:hideMark/>
          </w:tcPr>
          <w:p w14:paraId="7A4323BD" w14:textId="77777777" w:rsidR="00260C10" w:rsidRDefault="00260C10">
            <w:pPr>
              <w:tabs>
                <w:tab w:val="left" w:pos="2580"/>
              </w:tabs>
              <w:jc w:val="center"/>
              <w:rPr>
                <w:rFonts w:cs="Arial"/>
                <w:color w:val="000000" w:themeColor="text1"/>
                <w:sz w:val="18"/>
                <w:szCs w:val="18"/>
              </w:rPr>
            </w:pPr>
            <w:r>
              <w:rPr>
                <w:rFonts w:cs="Arial"/>
                <w:b/>
                <w:bCs/>
                <w:color w:val="000000" w:themeColor="text1"/>
                <w:sz w:val="18"/>
                <w:szCs w:val="18"/>
              </w:rPr>
              <w:t>Related Products:</w:t>
            </w:r>
          </w:p>
          <w:p w14:paraId="7CBEF4CE" w14:textId="77777777" w:rsidR="00260C10" w:rsidRDefault="00806AA7">
            <w:pPr>
              <w:tabs>
                <w:tab w:val="left" w:pos="2580"/>
              </w:tabs>
              <w:jc w:val="center"/>
              <w:rPr>
                <w:rFonts w:cs="Arial"/>
                <w:color w:val="000000" w:themeColor="text1"/>
                <w:sz w:val="18"/>
                <w:szCs w:val="18"/>
              </w:rPr>
            </w:pPr>
            <w:hyperlink r:id="rId72" w:history="1">
              <w:r w:rsidR="00260C10">
                <w:rPr>
                  <w:rStyle w:val="Hyperlink"/>
                  <w:rFonts w:cs="Arial"/>
                  <w:sz w:val="18"/>
                  <w:szCs w:val="18"/>
                </w:rPr>
                <w:t>6072 Health and Safety</w:t>
              </w:r>
            </w:hyperlink>
          </w:p>
          <w:p w14:paraId="44C27973" w14:textId="77777777" w:rsidR="00260C10" w:rsidRDefault="00806AA7">
            <w:pPr>
              <w:tabs>
                <w:tab w:val="left" w:pos="2580"/>
              </w:tabs>
              <w:jc w:val="center"/>
              <w:rPr>
                <w:rFonts w:cs="Arial"/>
                <w:color w:val="000000" w:themeColor="text1"/>
                <w:sz w:val="18"/>
                <w:szCs w:val="18"/>
              </w:rPr>
            </w:pPr>
            <w:hyperlink r:id="rId73" w:history="1">
              <w:r w:rsidR="00260C10">
                <w:rPr>
                  <w:rStyle w:val="Hyperlink"/>
                  <w:rFonts w:cs="Arial"/>
                  <w:sz w:val="18"/>
                  <w:szCs w:val="18"/>
                </w:rPr>
                <w:t>6073 Building Information Modelling (BIM)</w:t>
              </w:r>
            </w:hyperlink>
            <w:hyperlink r:id="rId74" w:history="1">
              <w:r w:rsidR="00260C10">
                <w:rPr>
                  <w:rStyle w:val="Hyperlink"/>
                  <w:rFonts w:cs="Arial"/>
                  <w:sz w:val="18"/>
                  <w:szCs w:val="18"/>
                </w:rPr>
                <w:t xml:space="preserve"> </w:t>
              </w:r>
            </w:hyperlink>
          </w:p>
          <w:p w14:paraId="73B9F8EE" w14:textId="77777777" w:rsidR="00260C10" w:rsidRDefault="00806AA7">
            <w:pPr>
              <w:tabs>
                <w:tab w:val="left" w:pos="2580"/>
              </w:tabs>
              <w:jc w:val="center"/>
              <w:rPr>
                <w:rFonts w:cs="Arial"/>
                <w:color w:val="000000" w:themeColor="text1"/>
                <w:sz w:val="18"/>
                <w:szCs w:val="18"/>
              </w:rPr>
            </w:pPr>
            <w:hyperlink r:id="rId75" w:history="1">
              <w:r w:rsidR="00260C10">
                <w:rPr>
                  <w:rStyle w:val="Hyperlink"/>
                  <w:rFonts w:cs="Arial"/>
                  <w:sz w:val="18"/>
                  <w:szCs w:val="18"/>
                </w:rPr>
                <w:t>6157 Street works</w:t>
              </w:r>
            </w:hyperlink>
          </w:p>
          <w:p w14:paraId="408FBF97" w14:textId="77777777" w:rsidR="00260C10" w:rsidRDefault="00806AA7">
            <w:pPr>
              <w:tabs>
                <w:tab w:val="left" w:pos="2580"/>
              </w:tabs>
              <w:jc w:val="center"/>
              <w:rPr>
                <w:rFonts w:cs="Arial"/>
                <w:color w:val="000000" w:themeColor="text1"/>
                <w:sz w:val="18"/>
                <w:szCs w:val="18"/>
              </w:rPr>
            </w:pPr>
            <w:hyperlink r:id="rId76" w:history="1">
              <w:r w:rsidR="00260C10">
                <w:rPr>
                  <w:rStyle w:val="Hyperlink"/>
                  <w:rFonts w:cs="Arial"/>
                  <w:sz w:val="18"/>
                  <w:szCs w:val="18"/>
                </w:rPr>
                <w:t>6038 in</w:t>
              </w:r>
            </w:hyperlink>
            <w:hyperlink r:id="rId77" w:history="1">
              <w:r w:rsidR="00260C10">
                <w:rPr>
                  <w:rStyle w:val="Hyperlink"/>
                  <w:rFonts w:cs="Arial"/>
                  <w:sz w:val="18"/>
                  <w:szCs w:val="18"/>
                </w:rPr>
                <w:t xml:space="preserve"> </w:t>
              </w:r>
            </w:hyperlink>
            <w:hyperlink r:id="rId78" w:history="1">
              <w:r w:rsidR="00260C10">
                <w:rPr>
                  <w:rStyle w:val="Hyperlink"/>
                  <w:rFonts w:cs="Arial"/>
                  <w:sz w:val="18"/>
                  <w:szCs w:val="18"/>
                </w:rPr>
                <w:t>Safe Location and Avoidance of Underground Services</w:t>
              </w:r>
            </w:hyperlink>
          </w:p>
          <w:p w14:paraId="65B5EAE1" w14:textId="77777777" w:rsidR="00260C10" w:rsidRDefault="00806AA7">
            <w:pPr>
              <w:tabs>
                <w:tab w:val="left" w:pos="2580"/>
              </w:tabs>
              <w:jc w:val="center"/>
              <w:rPr>
                <w:rFonts w:cs="Arial"/>
                <w:color w:val="000000" w:themeColor="text1"/>
                <w:sz w:val="18"/>
                <w:szCs w:val="18"/>
              </w:rPr>
            </w:pPr>
            <w:hyperlink r:id="rId79" w:history="1">
              <w:r w:rsidR="00260C10">
                <w:rPr>
                  <w:rStyle w:val="Hyperlink"/>
                  <w:rFonts w:cs="Arial"/>
                  <w:sz w:val="18"/>
                  <w:szCs w:val="18"/>
                </w:rPr>
                <w:t>6150 Confined Spaces</w:t>
              </w:r>
            </w:hyperlink>
          </w:p>
          <w:p w14:paraId="0F00B094" w14:textId="77777777" w:rsidR="00260C10" w:rsidRDefault="00806AA7">
            <w:pPr>
              <w:tabs>
                <w:tab w:val="left" w:pos="2580"/>
              </w:tabs>
              <w:jc w:val="center"/>
              <w:rPr>
                <w:rFonts w:cs="Arial"/>
                <w:color w:val="000000" w:themeColor="text1"/>
                <w:sz w:val="18"/>
                <w:szCs w:val="18"/>
              </w:rPr>
            </w:pPr>
            <w:hyperlink r:id="rId80" w:history="1">
              <w:r w:rsidR="00260C10">
                <w:rPr>
                  <w:rStyle w:val="Hyperlink"/>
                  <w:rFonts w:cs="Arial"/>
                  <w:sz w:val="18"/>
                  <w:szCs w:val="18"/>
                </w:rPr>
                <w:t>5546-60 Employability Skills</w:t>
              </w:r>
            </w:hyperlink>
          </w:p>
          <w:p w14:paraId="2882D464" w14:textId="77777777" w:rsidR="00260C10" w:rsidRDefault="00806AA7">
            <w:pPr>
              <w:tabs>
                <w:tab w:val="left" w:pos="2580"/>
              </w:tabs>
              <w:jc w:val="center"/>
              <w:rPr>
                <w:rFonts w:cs="Arial"/>
                <w:color w:val="000000" w:themeColor="text1"/>
                <w:sz w:val="18"/>
                <w:szCs w:val="18"/>
              </w:rPr>
            </w:pPr>
            <w:hyperlink r:id="rId81" w:history="1">
              <w:r w:rsidR="00260C10">
                <w:rPr>
                  <w:rStyle w:val="Hyperlink"/>
                  <w:rFonts w:cs="Arial"/>
                  <w:sz w:val="18"/>
                  <w:szCs w:val="18"/>
                </w:rPr>
                <w:t>Maths and English</w:t>
              </w:r>
            </w:hyperlink>
          </w:p>
          <w:p w14:paraId="3E1AC3C4" w14:textId="77777777" w:rsidR="00260C10" w:rsidRDefault="00806AA7">
            <w:pPr>
              <w:tabs>
                <w:tab w:val="left" w:pos="2580"/>
              </w:tabs>
              <w:jc w:val="center"/>
              <w:rPr>
                <w:rFonts w:cs="Arial"/>
                <w:color w:val="000000" w:themeColor="text1"/>
                <w:sz w:val="18"/>
                <w:szCs w:val="18"/>
              </w:rPr>
            </w:pPr>
            <w:hyperlink r:id="rId82" w:history="1">
              <w:r w:rsidR="00260C10">
                <w:rPr>
                  <w:rStyle w:val="Hyperlink"/>
                  <w:rFonts w:cs="Arial"/>
                  <w:sz w:val="18"/>
                  <w:szCs w:val="18"/>
                </w:rPr>
                <w:t>Business Skills</w:t>
              </w:r>
            </w:hyperlink>
          </w:p>
          <w:p w14:paraId="23D4FBF7" w14:textId="77777777" w:rsidR="00260C10" w:rsidRDefault="00806AA7">
            <w:pPr>
              <w:tabs>
                <w:tab w:val="left" w:pos="2580"/>
              </w:tabs>
              <w:jc w:val="center"/>
              <w:rPr>
                <w:rFonts w:cs="Arial"/>
                <w:color w:val="000000" w:themeColor="text1"/>
                <w:sz w:val="18"/>
                <w:szCs w:val="18"/>
              </w:rPr>
            </w:pPr>
            <w:hyperlink r:id="rId83" w:history="1">
              <w:r w:rsidR="00260C10">
                <w:rPr>
                  <w:rStyle w:val="Hyperlink"/>
                  <w:rFonts w:cs="Arial"/>
                  <w:sz w:val="18"/>
                  <w:szCs w:val="18"/>
                </w:rPr>
                <w:t>Leadership in Construction (ILM)</w:t>
              </w:r>
            </w:hyperlink>
          </w:p>
        </w:tc>
      </w:tr>
      <w:tr w:rsidR="00260C10" w14:paraId="55BE2091" w14:textId="77777777" w:rsidTr="00260C10">
        <w:trPr>
          <w:trHeight w:val="1897"/>
        </w:trPr>
        <w:tc>
          <w:tcPr>
            <w:tcW w:w="671" w:type="dxa"/>
            <w:tcBorders>
              <w:top w:val="single" w:sz="4" w:space="0" w:color="auto"/>
              <w:left w:val="single" w:sz="4" w:space="0" w:color="auto"/>
              <w:bottom w:val="single" w:sz="4" w:space="0" w:color="auto"/>
              <w:right w:val="single" w:sz="4" w:space="0" w:color="auto"/>
            </w:tcBorders>
            <w:shd w:val="clear" w:color="auto" w:fill="F9D3D0"/>
            <w:tcMar>
              <w:top w:w="53" w:type="dxa"/>
              <w:left w:w="105" w:type="dxa"/>
              <w:bottom w:w="53" w:type="dxa"/>
              <w:right w:w="105" w:type="dxa"/>
            </w:tcMar>
            <w:hideMark/>
          </w:tcPr>
          <w:p w14:paraId="027469D1" w14:textId="77777777" w:rsidR="00260C10" w:rsidRDefault="00260C10">
            <w:pPr>
              <w:tabs>
                <w:tab w:val="left" w:pos="2580"/>
              </w:tabs>
              <w:rPr>
                <w:rFonts w:cs="Arial"/>
                <w:color w:val="000000" w:themeColor="text1"/>
                <w:sz w:val="18"/>
                <w:szCs w:val="18"/>
              </w:rPr>
            </w:pPr>
            <w:r>
              <w:rPr>
                <w:rFonts w:cs="Arial"/>
                <w:color w:val="000000" w:themeColor="text1"/>
                <w:sz w:val="18"/>
                <w:szCs w:val="18"/>
              </w:rPr>
              <w:t>1</w:t>
            </w:r>
          </w:p>
        </w:tc>
        <w:tc>
          <w:tcPr>
            <w:tcW w:w="3152" w:type="dxa"/>
            <w:tcBorders>
              <w:top w:val="single" w:sz="4" w:space="0" w:color="auto"/>
              <w:left w:val="single" w:sz="4" w:space="0" w:color="auto"/>
              <w:bottom w:val="single" w:sz="4" w:space="0" w:color="auto"/>
              <w:right w:val="single" w:sz="4" w:space="0" w:color="auto"/>
            </w:tcBorders>
            <w:tcMar>
              <w:top w:w="53" w:type="dxa"/>
              <w:left w:w="105" w:type="dxa"/>
              <w:bottom w:w="53" w:type="dxa"/>
              <w:right w:w="105" w:type="dxa"/>
            </w:tcMar>
            <w:hideMark/>
          </w:tcPr>
          <w:p w14:paraId="470C2D79" w14:textId="77777777" w:rsidR="00260C10" w:rsidRDefault="00260C10">
            <w:pPr>
              <w:tabs>
                <w:tab w:val="left" w:pos="2580"/>
              </w:tabs>
              <w:rPr>
                <w:rFonts w:cs="Arial"/>
                <w:color w:val="000000" w:themeColor="text1"/>
                <w:sz w:val="18"/>
                <w:szCs w:val="18"/>
              </w:rPr>
            </w:pPr>
            <w:r>
              <w:rPr>
                <w:rFonts w:cs="Arial"/>
                <w:b/>
                <w:bCs/>
                <w:color w:val="000000" w:themeColor="text1"/>
                <w:sz w:val="18"/>
                <w:szCs w:val="18"/>
              </w:rPr>
              <w:t>Core trades</w:t>
            </w:r>
          </w:p>
          <w:p w14:paraId="39395DCA" w14:textId="77777777" w:rsidR="00260C10" w:rsidRDefault="00806AA7">
            <w:pPr>
              <w:tabs>
                <w:tab w:val="left" w:pos="2580"/>
              </w:tabs>
              <w:rPr>
                <w:rFonts w:cs="Arial"/>
                <w:color w:val="000000" w:themeColor="text1"/>
                <w:sz w:val="18"/>
                <w:szCs w:val="18"/>
              </w:rPr>
            </w:pPr>
            <w:hyperlink r:id="rId84" w:history="1">
              <w:r w:rsidR="00260C10">
                <w:rPr>
                  <w:rStyle w:val="Hyperlink"/>
                  <w:rFonts w:cs="Arial"/>
                  <w:sz w:val="18"/>
                  <w:szCs w:val="18"/>
                </w:rPr>
                <w:t>6219 in Construction Skills</w:t>
              </w:r>
            </w:hyperlink>
            <w:r w:rsidR="00260C10">
              <w:rPr>
                <w:rFonts w:cs="Arial"/>
                <w:color w:val="000000" w:themeColor="text1"/>
                <w:sz w:val="18"/>
                <w:szCs w:val="18"/>
              </w:rPr>
              <w:t xml:space="preserve"> </w:t>
            </w:r>
          </w:p>
          <w:p w14:paraId="68CFEF43" w14:textId="77777777" w:rsidR="00260C10" w:rsidRDefault="00806AA7">
            <w:pPr>
              <w:tabs>
                <w:tab w:val="left" w:pos="2580"/>
              </w:tabs>
              <w:rPr>
                <w:rFonts w:cs="Arial"/>
                <w:color w:val="000000" w:themeColor="text1"/>
                <w:sz w:val="18"/>
                <w:szCs w:val="18"/>
              </w:rPr>
            </w:pPr>
            <w:hyperlink r:id="rId85" w:history="1">
              <w:r w:rsidR="00260C10">
                <w:rPr>
                  <w:rStyle w:val="Hyperlink"/>
                  <w:rFonts w:cs="Arial"/>
                  <w:sz w:val="18"/>
                  <w:szCs w:val="18"/>
                </w:rPr>
                <w:t>6705 in Bricklaying</w:t>
              </w:r>
            </w:hyperlink>
          </w:p>
          <w:p w14:paraId="0C1AD83A" w14:textId="77777777" w:rsidR="00260C10" w:rsidRDefault="00806AA7">
            <w:pPr>
              <w:tabs>
                <w:tab w:val="left" w:pos="2580"/>
              </w:tabs>
              <w:rPr>
                <w:rFonts w:cs="Arial"/>
                <w:color w:val="000000" w:themeColor="text1"/>
                <w:sz w:val="18"/>
                <w:szCs w:val="18"/>
              </w:rPr>
            </w:pPr>
            <w:hyperlink r:id="rId86" w:history="1">
              <w:r w:rsidR="00260C10">
                <w:rPr>
                  <w:rStyle w:val="Hyperlink"/>
                  <w:rFonts w:cs="Arial"/>
                  <w:sz w:val="18"/>
                  <w:szCs w:val="18"/>
                </w:rPr>
                <w:t>6706 in Carpentry and Joinery</w:t>
              </w:r>
            </w:hyperlink>
          </w:p>
          <w:p w14:paraId="7CE5D859" w14:textId="77777777" w:rsidR="00260C10" w:rsidRDefault="00806AA7">
            <w:pPr>
              <w:tabs>
                <w:tab w:val="left" w:pos="2580"/>
              </w:tabs>
              <w:rPr>
                <w:rFonts w:cs="Arial"/>
                <w:color w:val="000000" w:themeColor="text1"/>
                <w:sz w:val="18"/>
                <w:szCs w:val="18"/>
              </w:rPr>
            </w:pPr>
            <w:hyperlink r:id="rId87" w:history="1">
              <w:r w:rsidR="00260C10">
                <w:rPr>
                  <w:rStyle w:val="Hyperlink"/>
                  <w:rFonts w:cs="Arial"/>
                  <w:sz w:val="18"/>
                  <w:szCs w:val="18"/>
                </w:rPr>
                <w:t>6707 in Painting and Decorating</w:t>
              </w:r>
            </w:hyperlink>
          </w:p>
          <w:p w14:paraId="18A9BFC7" w14:textId="77777777" w:rsidR="00260C10" w:rsidRDefault="00806AA7">
            <w:pPr>
              <w:tabs>
                <w:tab w:val="left" w:pos="2580"/>
              </w:tabs>
              <w:rPr>
                <w:rFonts w:cs="Arial"/>
                <w:color w:val="000000" w:themeColor="text1"/>
                <w:sz w:val="18"/>
                <w:szCs w:val="18"/>
              </w:rPr>
            </w:pPr>
            <w:hyperlink r:id="rId88" w:history="1">
              <w:r w:rsidR="00260C10">
                <w:rPr>
                  <w:rStyle w:val="Hyperlink"/>
                  <w:rFonts w:cs="Arial"/>
                  <w:sz w:val="18"/>
                  <w:szCs w:val="18"/>
                </w:rPr>
                <w:t>6708 in Plastering</w:t>
              </w:r>
            </w:hyperlink>
          </w:p>
          <w:p w14:paraId="432EE912" w14:textId="77777777" w:rsidR="00260C10" w:rsidRDefault="00260C10">
            <w:pPr>
              <w:tabs>
                <w:tab w:val="left" w:pos="2580"/>
              </w:tabs>
              <w:rPr>
                <w:rFonts w:cs="Arial"/>
                <w:color w:val="000000" w:themeColor="text1"/>
                <w:sz w:val="18"/>
                <w:szCs w:val="18"/>
              </w:rPr>
            </w:pPr>
            <w:r>
              <w:rPr>
                <w:rFonts w:cs="Arial"/>
                <w:b/>
                <w:bCs/>
                <w:color w:val="000000" w:themeColor="text1"/>
                <w:sz w:val="18"/>
                <w:szCs w:val="18"/>
              </w:rPr>
              <w:t>Specialist Trades</w:t>
            </w:r>
          </w:p>
          <w:p w14:paraId="79B01EB8" w14:textId="77777777" w:rsidR="00260C10" w:rsidRDefault="00806AA7">
            <w:pPr>
              <w:tabs>
                <w:tab w:val="left" w:pos="2580"/>
              </w:tabs>
              <w:rPr>
                <w:rFonts w:cs="Arial"/>
                <w:color w:val="000000" w:themeColor="text1"/>
                <w:sz w:val="18"/>
                <w:szCs w:val="18"/>
              </w:rPr>
            </w:pPr>
            <w:hyperlink r:id="rId89" w:history="1">
              <w:r w:rsidR="00260C10">
                <w:rPr>
                  <w:rStyle w:val="Hyperlink"/>
                  <w:rFonts w:cs="Arial"/>
                  <w:sz w:val="18"/>
                  <w:szCs w:val="18"/>
                </w:rPr>
                <w:t>6710 in Wall and Floor Tiling</w:t>
              </w:r>
            </w:hyperlink>
          </w:p>
          <w:p w14:paraId="7497681C" w14:textId="77777777" w:rsidR="00260C10" w:rsidRDefault="00806AA7">
            <w:pPr>
              <w:tabs>
                <w:tab w:val="left" w:pos="2580"/>
              </w:tabs>
              <w:rPr>
                <w:rFonts w:cs="Arial"/>
                <w:color w:val="000000" w:themeColor="text1"/>
                <w:sz w:val="18"/>
                <w:szCs w:val="18"/>
              </w:rPr>
            </w:pPr>
            <w:hyperlink r:id="rId90" w:history="1">
              <w:r w:rsidR="00260C10">
                <w:rPr>
                  <w:rStyle w:val="Hyperlink"/>
                  <w:rFonts w:cs="Arial"/>
                  <w:sz w:val="18"/>
                  <w:szCs w:val="18"/>
                </w:rPr>
                <w:t>6715 in Stonemasonry</w:t>
              </w:r>
            </w:hyperlink>
          </w:p>
        </w:tc>
        <w:tc>
          <w:tcPr>
            <w:tcW w:w="3969" w:type="dxa"/>
            <w:tcBorders>
              <w:top w:val="single" w:sz="4" w:space="0" w:color="auto"/>
              <w:left w:val="single" w:sz="4" w:space="0" w:color="auto"/>
              <w:bottom w:val="single" w:sz="4" w:space="0" w:color="auto"/>
              <w:right w:val="single" w:sz="4" w:space="0" w:color="auto"/>
            </w:tcBorders>
            <w:tcMar>
              <w:top w:w="53" w:type="dxa"/>
              <w:left w:w="105" w:type="dxa"/>
              <w:bottom w:w="53" w:type="dxa"/>
              <w:right w:w="105" w:type="dxa"/>
            </w:tcMar>
            <w:hideMark/>
          </w:tcPr>
          <w:p w14:paraId="6F81F055" w14:textId="77777777" w:rsidR="00260C10" w:rsidRDefault="00260C10">
            <w:pPr>
              <w:rPr>
                <w:rFonts w:cs="Arial"/>
                <w:color w:val="000000" w:themeColor="text1"/>
                <w:sz w:val="18"/>
                <w:szCs w:val="18"/>
              </w:rPr>
            </w:pPr>
          </w:p>
        </w:tc>
        <w:tc>
          <w:tcPr>
            <w:tcW w:w="3969" w:type="dxa"/>
            <w:tcBorders>
              <w:top w:val="single" w:sz="4" w:space="0" w:color="auto"/>
              <w:left w:val="single" w:sz="4" w:space="0" w:color="auto"/>
              <w:bottom w:val="single" w:sz="4" w:space="0" w:color="auto"/>
              <w:right w:val="single" w:sz="4" w:space="0" w:color="auto"/>
            </w:tcBorders>
            <w:tcMar>
              <w:top w:w="53" w:type="dxa"/>
              <w:left w:w="105" w:type="dxa"/>
              <w:bottom w:w="53" w:type="dxa"/>
              <w:right w:w="105" w:type="dxa"/>
            </w:tcMar>
            <w:hideMark/>
          </w:tcPr>
          <w:p w14:paraId="66EDD7F3" w14:textId="77777777" w:rsidR="00260C10" w:rsidRDefault="00260C10">
            <w:pPr>
              <w:rPr>
                <w:sz w:val="20"/>
                <w:szCs w:val="20"/>
              </w:rPr>
            </w:pPr>
          </w:p>
        </w:tc>
        <w:tc>
          <w:tcPr>
            <w:tcW w:w="3685" w:type="dxa"/>
            <w:tcBorders>
              <w:top w:val="single" w:sz="4" w:space="0" w:color="auto"/>
              <w:left w:val="single" w:sz="4" w:space="0" w:color="auto"/>
              <w:bottom w:val="single" w:sz="4" w:space="0" w:color="auto"/>
              <w:right w:val="single" w:sz="4" w:space="0" w:color="auto"/>
            </w:tcBorders>
            <w:shd w:val="clear" w:color="auto" w:fill="FFF2CC" w:themeFill="accent4" w:themeFillTint="33"/>
          </w:tcPr>
          <w:p w14:paraId="4D8274D8" w14:textId="77777777" w:rsidR="00260C10" w:rsidRDefault="00260C10">
            <w:pPr>
              <w:tabs>
                <w:tab w:val="left" w:pos="2580"/>
              </w:tabs>
              <w:jc w:val="center"/>
              <w:rPr>
                <w:rFonts w:ascii="Avenir Light" w:hAnsi="Avenir Light" w:cs="Arial"/>
                <w:color w:val="000000" w:themeColor="text1"/>
                <w:sz w:val="18"/>
                <w:szCs w:val="18"/>
                <w:lang w:eastAsia="en-US"/>
              </w:rPr>
            </w:pPr>
            <w:r>
              <w:rPr>
                <w:rFonts w:cs="Arial"/>
                <w:b/>
                <w:bCs/>
                <w:color w:val="000000" w:themeColor="text1"/>
                <w:sz w:val="18"/>
                <w:szCs w:val="18"/>
              </w:rPr>
              <w:t>Related Industries</w:t>
            </w:r>
            <w:r>
              <w:rPr>
                <w:rFonts w:cs="Arial"/>
                <w:color w:val="000000" w:themeColor="text1"/>
                <w:sz w:val="18"/>
                <w:szCs w:val="18"/>
              </w:rPr>
              <w:t>:</w:t>
            </w:r>
          </w:p>
          <w:p w14:paraId="20C96E11" w14:textId="77777777" w:rsidR="00260C10" w:rsidRDefault="00806AA7">
            <w:pPr>
              <w:tabs>
                <w:tab w:val="left" w:pos="2580"/>
              </w:tabs>
              <w:jc w:val="center"/>
              <w:rPr>
                <w:rFonts w:cs="Arial"/>
                <w:color w:val="000000" w:themeColor="text1"/>
                <w:sz w:val="18"/>
                <w:szCs w:val="18"/>
              </w:rPr>
            </w:pPr>
            <w:hyperlink r:id="rId91" w:history="1">
              <w:r w:rsidR="00260C10">
                <w:rPr>
                  <w:rStyle w:val="Hyperlink"/>
                  <w:rFonts w:cs="Arial"/>
                  <w:sz w:val="18"/>
                  <w:szCs w:val="18"/>
                </w:rPr>
                <w:t>Building Services</w:t>
              </w:r>
            </w:hyperlink>
          </w:p>
          <w:p w14:paraId="6A9055B8" w14:textId="77777777" w:rsidR="00260C10" w:rsidRDefault="00806AA7">
            <w:pPr>
              <w:tabs>
                <w:tab w:val="left" w:pos="2580"/>
              </w:tabs>
              <w:jc w:val="center"/>
              <w:rPr>
                <w:rFonts w:cs="Arial"/>
                <w:color w:val="000000" w:themeColor="text1"/>
                <w:sz w:val="18"/>
                <w:szCs w:val="18"/>
              </w:rPr>
            </w:pPr>
            <w:hyperlink r:id="rId92" w:history="1">
              <w:r w:rsidR="00260C10">
                <w:rPr>
                  <w:rStyle w:val="Hyperlink"/>
                  <w:rFonts w:cs="Arial"/>
                  <w:sz w:val="18"/>
                  <w:szCs w:val="18"/>
                </w:rPr>
                <w:t>Built Environment Services</w:t>
              </w:r>
            </w:hyperlink>
          </w:p>
          <w:p w14:paraId="3E3561FD" w14:textId="77777777" w:rsidR="00260C10" w:rsidRDefault="00806AA7">
            <w:pPr>
              <w:shd w:val="clear" w:color="auto" w:fill="FFF2CC" w:themeFill="accent4" w:themeFillTint="33"/>
              <w:tabs>
                <w:tab w:val="left" w:pos="2580"/>
              </w:tabs>
              <w:jc w:val="center"/>
              <w:rPr>
                <w:rFonts w:cs="Arial"/>
                <w:color w:val="000000" w:themeColor="text1"/>
                <w:sz w:val="18"/>
                <w:szCs w:val="18"/>
              </w:rPr>
            </w:pPr>
            <w:hyperlink r:id="rId93" w:history="1">
              <w:r w:rsidR="00260C10">
                <w:rPr>
                  <w:rStyle w:val="Hyperlink"/>
                  <w:rFonts w:cs="Arial"/>
                  <w:sz w:val="18"/>
                  <w:szCs w:val="18"/>
                </w:rPr>
                <w:t>Transport Maintenance</w:t>
              </w:r>
            </w:hyperlink>
          </w:p>
          <w:p w14:paraId="20FD0133" w14:textId="77777777" w:rsidR="00260C10" w:rsidRDefault="00806AA7">
            <w:pPr>
              <w:shd w:val="clear" w:color="auto" w:fill="FFF2CC" w:themeFill="accent4" w:themeFillTint="33"/>
              <w:tabs>
                <w:tab w:val="left" w:pos="2580"/>
              </w:tabs>
              <w:jc w:val="center"/>
              <w:rPr>
                <w:rFonts w:cs="Arial"/>
                <w:color w:val="0563C1" w:themeColor="hyperlink"/>
                <w:sz w:val="18"/>
                <w:szCs w:val="18"/>
                <w:u w:val="single"/>
              </w:rPr>
            </w:pPr>
            <w:hyperlink r:id="rId94" w:history="1">
              <w:r w:rsidR="00260C10">
                <w:rPr>
                  <w:rStyle w:val="Hyperlink"/>
                  <w:rFonts w:cs="Arial"/>
                  <w:sz w:val="18"/>
                  <w:szCs w:val="18"/>
                </w:rPr>
                <w:t>Eng</w:t>
              </w:r>
              <w:r w:rsidR="00260C10">
                <w:rPr>
                  <w:rStyle w:val="Hyperlink"/>
                  <w:rFonts w:cs="Arial"/>
                  <w:sz w:val="18"/>
                  <w:szCs w:val="18"/>
                  <w:shd w:val="clear" w:color="auto" w:fill="F7CAAC" w:themeFill="accent2" w:themeFillTint="66"/>
                </w:rPr>
                <w:t>i</w:t>
              </w:r>
              <w:r w:rsidR="00260C10">
                <w:rPr>
                  <w:rStyle w:val="Hyperlink"/>
                  <w:rFonts w:cs="Arial"/>
                  <w:sz w:val="18"/>
                  <w:szCs w:val="18"/>
                </w:rPr>
                <w:t>neering</w:t>
              </w:r>
            </w:hyperlink>
          </w:p>
          <w:p w14:paraId="2523D6A6" w14:textId="77777777" w:rsidR="00260C10" w:rsidRDefault="00806AA7">
            <w:pPr>
              <w:shd w:val="clear" w:color="auto" w:fill="FFF2CC" w:themeFill="accent4" w:themeFillTint="33"/>
              <w:tabs>
                <w:tab w:val="left" w:pos="2580"/>
              </w:tabs>
              <w:jc w:val="center"/>
              <w:rPr>
                <w:rFonts w:cs="Arial"/>
                <w:color w:val="0563C1" w:themeColor="hyperlink"/>
                <w:sz w:val="18"/>
                <w:szCs w:val="18"/>
                <w:u w:val="single"/>
              </w:rPr>
            </w:pPr>
            <w:hyperlink r:id="rId95" w:history="1">
              <w:r w:rsidR="00260C10">
                <w:rPr>
                  <w:rStyle w:val="Hyperlink"/>
                  <w:rFonts w:cs="Arial"/>
                  <w:sz w:val="18"/>
                  <w:szCs w:val="18"/>
                </w:rPr>
                <w:t>Utilities</w:t>
              </w:r>
            </w:hyperlink>
          </w:p>
          <w:p w14:paraId="6AEE5EF7" w14:textId="77777777" w:rsidR="00260C10" w:rsidRDefault="00260C10">
            <w:pPr>
              <w:tabs>
                <w:tab w:val="left" w:pos="2580"/>
              </w:tabs>
              <w:jc w:val="center"/>
              <w:rPr>
                <w:rFonts w:cs="Arial"/>
                <w:color w:val="000000" w:themeColor="text1"/>
                <w:sz w:val="18"/>
                <w:szCs w:val="18"/>
              </w:rPr>
            </w:pPr>
          </w:p>
        </w:tc>
      </w:tr>
      <w:tr w:rsidR="00260C10" w14:paraId="2CBE1EAC" w14:textId="77777777" w:rsidTr="00260C10">
        <w:trPr>
          <w:trHeight w:val="20"/>
        </w:trPr>
        <w:tc>
          <w:tcPr>
            <w:tcW w:w="671" w:type="dxa"/>
            <w:tcBorders>
              <w:top w:val="single" w:sz="4" w:space="0" w:color="auto"/>
              <w:left w:val="single" w:sz="4" w:space="0" w:color="auto"/>
              <w:bottom w:val="single" w:sz="4" w:space="0" w:color="auto"/>
              <w:right w:val="single" w:sz="4" w:space="0" w:color="auto"/>
            </w:tcBorders>
            <w:shd w:val="clear" w:color="auto" w:fill="F9D3D0"/>
            <w:tcMar>
              <w:top w:w="53" w:type="dxa"/>
              <w:left w:w="105" w:type="dxa"/>
              <w:bottom w:w="53" w:type="dxa"/>
              <w:right w:w="105" w:type="dxa"/>
            </w:tcMar>
            <w:hideMark/>
          </w:tcPr>
          <w:p w14:paraId="79F437CF" w14:textId="77777777" w:rsidR="00260C10" w:rsidRDefault="00260C10">
            <w:pPr>
              <w:tabs>
                <w:tab w:val="left" w:pos="2580"/>
              </w:tabs>
              <w:rPr>
                <w:rFonts w:cs="Arial"/>
                <w:color w:val="000000" w:themeColor="text1"/>
                <w:sz w:val="18"/>
                <w:szCs w:val="18"/>
              </w:rPr>
            </w:pPr>
            <w:r>
              <w:rPr>
                <w:rFonts w:cs="Arial"/>
                <w:color w:val="000000" w:themeColor="text1"/>
                <w:sz w:val="18"/>
                <w:szCs w:val="18"/>
              </w:rPr>
              <w:t>Entry</w:t>
            </w:r>
          </w:p>
        </w:tc>
        <w:tc>
          <w:tcPr>
            <w:tcW w:w="3152" w:type="dxa"/>
            <w:tcBorders>
              <w:top w:val="single" w:sz="4" w:space="0" w:color="auto"/>
              <w:left w:val="single" w:sz="4" w:space="0" w:color="auto"/>
              <w:bottom w:val="single" w:sz="4" w:space="0" w:color="auto"/>
              <w:right w:val="single" w:sz="4" w:space="0" w:color="auto"/>
            </w:tcBorders>
            <w:tcMar>
              <w:top w:w="53" w:type="dxa"/>
              <w:left w:w="105" w:type="dxa"/>
              <w:bottom w:w="53" w:type="dxa"/>
              <w:right w:w="105" w:type="dxa"/>
            </w:tcMar>
            <w:hideMark/>
          </w:tcPr>
          <w:p w14:paraId="290DF7F0" w14:textId="77777777" w:rsidR="00260C10" w:rsidRDefault="00806AA7">
            <w:pPr>
              <w:tabs>
                <w:tab w:val="left" w:pos="2580"/>
              </w:tabs>
              <w:rPr>
                <w:rFonts w:cs="Arial"/>
                <w:color w:val="000000" w:themeColor="text1"/>
                <w:sz w:val="18"/>
                <w:szCs w:val="18"/>
              </w:rPr>
            </w:pPr>
            <w:hyperlink r:id="rId96" w:history="1">
              <w:r w:rsidR="00260C10">
                <w:rPr>
                  <w:rStyle w:val="Hyperlink"/>
                  <w:rFonts w:cs="Arial"/>
                  <w:sz w:val="18"/>
                  <w:szCs w:val="18"/>
                </w:rPr>
                <w:t>6219 in Construction Skills</w:t>
              </w:r>
            </w:hyperlink>
          </w:p>
        </w:tc>
        <w:tc>
          <w:tcPr>
            <w:tcW w:w="3969" w:type="dxa"/>
            <w:tcBorders>
              <w:top w:val="single" w:sz="4" w:space="0" w:color="auto"/>
              <w:left w:val="single" w:sz="4" w:space="0" w:color="auto"/>
              <w:bottom w:val="single" w:sz="4" w:space="0" w:color="auto"/>
              <w:right w:val="single" w:sz="4" w:space="0" w:color="auto"/>
            </w:tcBorders>
            <w:tcMar>
              <w:top w:w="53" w:type="dxa"/>
              <w:left w:w="105" w:type="dxa"/>
              <w:bottom w:w="53" w:type="dxa"/>
              <w:right w:w="105" w:type="dxa"/>
            </w:tcMar>
            <w:hideMark/>
          </w:tcPr>
          <w:p w14:paraId="17ED6FDB" w14:textId="77777777" w:rsidR="00260C10" w:rsidRDefault="00260C10">
            <w:pPr>
              <w:rPr>
                <w:rFonts w:cs="Arial"/>
                <w:color w:val="000000" w:themeColor="text1"/>
                <w:sz w:val="18"/>
                <w:szCs w:val="18"/>
              </w:rPr>
            </w:pPr>
          </w:p>
        </w:tc>
        <w:tc>
          <w:tcPr>
            <w:tcW w:w="3969" w:type="dxa"/>
            <w:tcBorders>
              <w:top w:val="single" w:sz="4" w:space="0" w:color="auto"/>
              <w:left w:val="single" w:sz="4" w:space="0" w:color="auto"/>
              <w:bottom w:val="single" w:sz="4" w:space="0" w:color="auto"/>
              <w:right w:val="single" w:sz="4" w:space="0" w:color="auto"/>
            </w:tcBorders>
            <w:tcMar>
              <w:top w:w="53" w:type="dxa"/>
              <w:left w:w="105" w:type="dxa"/>
              <w:bottom w:w="53" w:type="dxa"/>
              <w:right w:w="105" w:type="dxa"/>
            </w:tcMar>
            <w:hideMark/>
          </w:tcPr>
          <w:p w14:paraId="0AE8EAD8" w14:textId="77777777" w:rsidR="00260C10" w:rsidRDefault="00260C10">
            <w:pPr>
              <w:rPr>
                <w:sz w:val="20"/>
                <w:szCs w:val="20"/>
              </w:rPr>
            </w:pPr>
          </w:p>
        </w:tc>
        <w:tc>
          <w:tcPr>
            <w:tcW w:w="3685"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2486227C" w14:textId="77777777" w:rsidR="00260C10" w:rsidRDefault="00260C10">
            <w:pPr>
              <w:tabs>
                <w:tab w:val="left" w:pos="2580"/>
              </w:tabs>
              <w:jc w:val="center"/>
              <w:rPr>
                <w:rFonts w:ascii="Avenir Light" w:hAnsi="Avenir Light" w:cs="Arial"/>
                <w:color w:val="000000" w:themeColor="text1"/>
                <w:sz w:val="18"/>
                <w:szCs w:val="18"/>
                <w:lang w:eastAsia="en-US"/>
              </w:rPr>
            </w:pPr>
            <w:r>
              <w:rPr>
                <w:rFonts w:cs="Arial"/>
                <w:b/>
                <w:bCs/>
                <w:color w:val="000000" w:themeColor="text1"/>
                <w:sz w:val="18"/>
                <w:szCs w:val="18"/>
              </w:rPr>
              <w:t>Quality Assurance:</w:t>
            </w:r>
          </w:p>
          <w:p w14:paraId="48E5A37F" w14:textId="77777777" w:rsidR="00260C10" w:rsidRDefault="00806AA7">
            <w:pPr>
              <w:tabs>
                <w:tab w:val="left" w:pos="2580"/>
              </w:tabs>
              <w:jc w:val="center"/>
              <w:rPr>
                <w:rFonts w:cs="Arial"/>
                <w:color w:val="000000" w:themeColor="text1"/>
                <w:sz w:val="18"/>
                <w:szCs w:val="18"/>
              </w:rPr>
            </w:pPr>
            <w:hyperlink r:id="rId97" w:history="1">
              <w:r w:rsidR="00260C10">
                <w:rPr>
                  <w:rStyle w:val="Hyperlink"/>
                  <w:rFonts w:cs="Arial"/>
                  <w:b/>
                  <w:bCs/>
                  <w:sz w:val="18"/>
                  <w:szCs w:val="18"/>
                </w:rPr>
                <w:t xml:space="preserve">Becoming a centre </w:t>
              </w:r>
            </w:hyperlink>
          </w:p>
        </w:tc>
      </w:tr>
    </w:tbl>
    <w:p w14:paraId="14AB76AB" w14:textId="77777777" w:rsidR="00260C10" w:rsidRDefault="00260C10" w:rsidP="00260C10">
      <w:pPr>
        <w:rPr>
          <w:b/>
          <w:color w:val="FF0000"/>
          <w:sz w:val="28"/>
        </w:rPr>
        <w:sectPr w:rsidR="00260C10">
          <w:pgSz w:w="16840" w:h="11900" w:orient="landscape"/>
          <w:pgMar w:top="850" w:right="2837" w:bottom="850" w:left="850" w:header="562" w:footer="850" w:gutter="0"/>
          <w:cols w:space="720"/>
        </w:sectPr>
      </w:pPr>
    </w:p>
    <w:p w14:paraId="73C429AF" w14:textId="03B089B5" w:rsidR="00260C10" w:rsidRDefault="00260C10"/>
    <w:sectPr w:rsidR="00260C10" w:rsidSect="00260C10">
      <w:pgSz w:w="11906" w:h="16838"/>
      <w:pgMar w:top="1440" w:right="1440" w:bottom="1440" w:left="144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Juan Ferriz-Papi" w:date="2019-12-18T13:09:00Z" w:initials="JF">
    <w:p w14:paraId="708CBDC3" w14:textId="6AEB1AA5" w:rsidR="00E91652" w:rsidRDefault="00E91652">
      <w:pPr>
        <w:pStyle w:val="CommentText"/>
      </w:pPr>
      <w:r>
        <w:rPr>
          <w:rStyle w:val="CommentReference"/>
        </w:rPr>
        <w:annotationRef/>
      </w:r>
      <w:r>
        <w:t>If all are the same reference, you only need to put it once.</w:t>
      </w:r>
    </w:p>
  </w:comment>
  <w:comment w:id="1" w:author="Juan Ferriz-Papi" w:date="2019-12-18T13:20:00Z" w:initials="JF">
    <w:p w14:paraId="68247263" w14:textId="664AD1BE" w:rsidR="00086EAB" w:rsidRDefault="00086EAB">
      <w:pPr>
        <w:pStyle w:val="CommentText"/>
      </w:pPr>
      <w:r>
        <w:rPr>
          <w:rStyle w:val="CommentReference"/>
        </w:rPr>
        <w:annotationRef/>
      </w:r>
      <w:r>
        <w:t>Qualification system</w:t>
      </w:r>
    </w:p>
  </w:comment>
  <w:comment w:id="2" w:author="Juan Ferriz-Papi" w:date="2019-12-18T13:21:00Z" w:initials="JF">
    <w:p w14:paraId="5F5D4E3F" w14:textId="4C2BE848" w:rsidR="00086EAB" w:rsidRDefault="00086EAB">
      <w:pPr>
        <w:pStyle w:val="CommentText"/>
      </w:pPr>
      <w:r>
        <w:rPr>
          <w:rStyle w:val="CommentReference"/>
        </w:rPr>
        <w:annotationRef/>
      </w:r>
      <w:r>
        <w:t>? It has no meaning</w:t>
      </w:r>
    </w:p>
  </w:comment>
  <w:comment w:id="3" w:author="Juan Ferriz-Papi" w:date="2019-12-18T13:23:00Z" w:initials="JF">
    <w:p w14:paraId="4B7AF8CF" w14:textId="0319A242" w:rsidR="00086EAB" w:rsidRDefault="00086EAB">
      <w:pPr>
        <w:pStyle w:val="CommentText"/>
      </w:pPr>
      <w:r>
        <w:rPr>
          <w:rStyle w:val="CommentReference"/>
        </w:rPr>
        <w:annotationRef/>
      </w:r>
      <w:r>
        <w:t>an</w:t>
      </w:r>
    </w:p>
  </w:comment>
  <w:comment w:id="4" w:author="Juan Ferriz-Papi" w:date="2019-12-18T13:23:00Z" w:initials="JF">
    <w:p w14:paraId="09726EFC" w14:textId="0BBA094D" w:rsidR="00086EAB" w:rsidRDefault="00086EAB">
      <w:pPr>
        <w:pStyle w:val="CommentText"/>
      </w:pPr>
      <w:r>
        <w:rPr>
          <w:rStyle w:val="CommentReference"/>
        </w:rPr>
        <w:annotationRef/>
      </w:r>
      <w:r>
        <w:t>figure 2</w:t>
      </w:r>
    </w:p>
  </w:comment>
  <w:comment w:id="5" w:author="Juan Ferriz-Papi" w:date="2019-12-18T13:24:00Z" w:initials="JF">
    <w:p w14:paraId="7D78CD68" w14:textId="46075817" w:rsidR="006E32AE" w:rsidRDefault="006E32AE">
      <w:pPr>
        <w:pStyle w:val="CommentText"/>
      </w:pPr>
      <w:r>
        <w:rPr>
          <w:rStyle w:val="CommentReference"/>
        </w:rPr>
        <w:annotationRef/>
      </w:r>
      <w:r>
        <w:t>replacement of?</w:t>
      </w:r>
    </w:p>
  </w:comment>
  <w:comment w:id="6" w:author="Juan Ferriz-Papi" w:date="2019-12-18T13:25:00Z" w:initials="JF">
    <w:p w14:paraId="22CB4266" w14:textId="4DD088E8" w:rsidR="006E32AE" w:rsidRDefault="006E32AE">
      <w:pPr>
        <w:pStyle w:val="CommentText"/>
      </w:pPr>
      <w:bookmarkStart w:id="7" w:name="_GoBack"/>
      <w:r>
        <w:rPr>
          <w:rStyle w:val="CommentReference"/>
        </w:rPr>
        <w:annotationRef/>
      </w:r>
      <w:r>
        <w:t>It is</w:t>
      </w:r>
      <w:bookmarkEnd w:id="7"/>
    </w:p>
  </w:comment>
  <w:comment w:id="8" w:author="Juan Ferriz-Papi" w:date="2019-12-18T13:25:00Z" w:initials="JF">
    <w:p w14:paraId="542113D5" w14:textId="6CF9F5B1" w:rsidR="006E32AE" w:rsidRDefault="006E32AE">
      <w:pPr>
        <w:pStyle w:val="CommentText"/>
      </w:pPr>
      <w:r>
        <w:rPr>
          <w:rStyle w:val="CommentReference"/>
        </w:rPr>
        <w:annotationRef/>
      </w:r>
      <w:r>
        <w:t>For the</w:t>
      </w:r>
    </w:p>
  </w:comment>
  <w:comment w:id="9" w:author="Juan Ferriz-Papi" w:date="2019-12-18T13:25:00Z" w:initials="JF">
    <w:p w14:paraId="4C5388DA" w14:textId="0B6BB4A4" w:rsidR="006E32AE" w:rsidRDefault="006E32AE">
      <w:pPr>
        <w:pStyle w:val="CommentText"/>
      </w:pPr>
      <w:r>
        <w:rPr>
          <w:rStyle w:val="CommentReference"/>
        </w:rPr>
        <w:annotationRef/>
      </w:r>
      <w:r>
        <w:t>It has no meaning</w:t>
      </w:r>
    </w:p>
  </w:comment>
  <w:comment w:id="10" w:author="Juan Ferriz-Papi" w:date="2019-12-18T13:26:00Z" w:initials="JF">
    <w:p w14:paraId="3DFD9E2B" w14:textId="176C0BAD" w:rsidR="006E32AE" w:rsidRDefault="006E32AE">
      <w:pPr>
        <w:pStyle w:val="CommentText"/>
      </w:pPr>
      <w:r>
        <w:rPr>
          <w:rStyle w:val="CommentReference"/>
        </w:rPr>
        <w:annotationRef/>
      </w:r>
      <w:r>
        <w: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08CBDC3" w15:done="0"/>
  <w15:commentEx w15:paraId="68247263" w15:done="1"/>
  <w15:commentEx w15:paraId="5F5D4E3F" w15:done="1"/>
  <w15:commentEx w15:paraId="4B7AF8CF" w15:done="1"/>
  <w15:commentEx w15:paraId="09726EFC" w15:done="1"/>
  <w15:commentEx w15:paraId="7D78CD68" w15:done="1"/>
  <w15:commentEx w15:paraId="22CB4266" w15:done="1"/>
  <w15:commentEx w15:paraId="542113D5" w15:done="1"/>
  <w15:commentEx w15:paraId="4C5388DA" w15:done="1"/>
  <w15:commentEx w15:paraId="3DFD9E2B"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08CBDC3" w16cid:durableId="21A4A8B7"/>
  <w16cid:commentId w16cid:paraId="68247263" w16cid:durableId="21A4A8B8"/>
  <w16cid:commentId w16cid:paraId="5F5D4E3F" w16cid:durableId="21A4A8B9"/>
  <w16cid:commentId w16cid:paraId="4B7AF8CF" w16cid:durableId="21A4A8BA"/>
  <w16cid:commentId w16cid:paraId="09726EFC" w16cid:durableId="21A4A8BB"/>
  <w16cid:commentId w16cid:paraId="7D78CD68" w16cid:durableId="21A4A8BC"/>
  <w16cid:commentId w16cid:paraId="22CB4266" w16cid:durableId="21A4A8BD"/>
  <w16cid:commentId w16cid:paraId="542113D5" w16cid:durableId="21A4A8BE"/>
  <w16cid:commentId w16cid:paraId="4C5388DA" w16cid:durableId="21A4A8BF"/>
  <w16cid:commentId w16cid:paraId="3DFD9E2B" w16cid:durableId="21A4A8C0"/>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Neue Condensed">
    <w:altName w:val="Arial"/>
    <w:panose1 w:val="00000000000000000000"/>
    <w:charset w:val="00"/>
    <w:family w:val="swiss"/>
    <w:notTrueType/>
    <w:pitch w:val="default"/>
    <w:sig w:usb0="00000003" w:usb1="00000000" w:usb2="00000000" w:usb3="00000000" w:csb0="00000001" w:csb1="00000000"/>
  </w:font>
  <w:font w:name="Helvetica Neue LT">
    <w:altName w:val="Helvetica Neue LT"/>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venir Light">
    <w:altName w:val="Century Gothic"/>
    <w:charset w:val="00"/>
    <w:family w:val="auto"/>
    <w:pitch w:val="variable"/>
    <w:sig w:usb0="00000001" w:usb1="5000204A" w:usb2="00000000" w:usb3="00000000" w:csb0="0000009B"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232283"/>
    <w:multiLevelType w:val="hybridMultilevel"/>
    <w:tmpl w:val="472828C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0E938DF"/>
    <w:multiLevelType w:val="hybridMultilevel"/>
    <w:tmpl w:val="B1F248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21586FBC"/>
    <w:multiLevelType w:val="hybridMultilevel"/>
    <w:tmpl w:val="91249BB4"/>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start w:val="1"/>
      <w:numFmt w:val="bullet"/>
      <w:lvlText w:val=""/>
      <w:lvlJc w:val="left"/>
      <w:pPr>
        <w:ind w:left="2227" w:hanging="360"/>
      </w:pPr>
      <w:rPr>
        <w:rFonts w:ascii="Wingdings" w:hAnsi="Wingdings" w:hint="default"/>
      </w:rPr>
    </w:lvl>
    <w:lvl w:ilvl="3" w:tplc="08090001">
      <w:start w:val="1"/>
      <w:numFmt w:val="bullet"/>
      <w:lvlText w:val=""/>
      <w:lvlJc w:val="left"/>
      <w:pPr>
        <w:ind w:left="2947" w:hanging="360"/>
      </w:pPr>
      <w:rPr>
        <w:rFonts w:ascii="Symbol" w:hAnsi="Symbol" w:hint="default"/>
      </w:rPr>
    </w:lvl>
    <w:lvl w:ilvl="4" w:tplc="08090003">
      <w:start w:val="1"/>
      <w:numFmt w:val="bullet"/>
      <w:lvlText w:val="o"/>
      <w:lvlJc w:val="left"/>
      <w:pPr>
        <w:ind w:left="3667" w:hanging="360"/>
      </w:pPr>
      <w:rPr>
        <w:rFonts w:ascii="Courier New" w:hAnsi="Courier New" w:cs="Courier New" w:hint="default"/>
      </w:rPr>
    </w:lvl>
    <w:lvl w:ilvl="5" w:tplc="08090005">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3" w15:restartNumberingAfterBreak="0">
    <w:nsid w:val="21950135"/>
    <w:multiLevelType w:val="hybridMultilevel"/>
    <w:tmpl w:val="DC146D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32800AC5"/>
    <w:multiLevelType w:val="hybridMultilevel"/>
    <w:tmpl w:val="E474C3DC"/>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36A468F0"/>
    <w:multiLevelType w:val="multilevel"/>
    <w:tmpl w:val="3D80D9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8B4233D"/>
    <w:multiLevelType w:val="hybridMultilevel"/>
    <w:tmpl w:val="A99409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8672FC"/>
    <w:multiLevelType w:val="hybridMultilevel"/>
    <w:tmpl w:val="13B67B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20625CF"/>
    <w:multiLevelType w:val="hybridMultilevel"/>
    <w:tmpl w:val="39A00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FA1769"/>
    <w:multiLevelType w:val="hybridMultilevel"/>
    <w:tmpl w:val="3F02900C"/>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8D726E"/>
    <w:multiLevelType w:val="hybridMultilevel"/>
    <w:tmpl w:val="719CF70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10"/>
  </w:num>
  <w:num w:numId="2">
    <w:abstractNumId w:val="9"/>
  </w:num>
  <w:num w:numId="3">
    <w:abstractNumId w:val="2"/>
  </w:num>
  <w:num w:numId="4">
    <w:abstractNumId w:val="5"/>
  </w:num>
  <w:num w:numId="5">
    <w:abstractNumId w:val="7"/>
  </w:num>
  <w:num w:numId="6">
    <w:abstractNumId w:val="8"/>
  </w:num>
  <w:num w:numId="7">
    <w:abstractNumId w:val="0"/>
  </w:num>
  <w:num w:numId="8">
    <w:abstractNumId w:val="1"/>
  </w:num>
  <w:num w:numId="9">
    <w:abstractNumId w:val="4"/>
  </w:num>
  <w:num w:numId="10">
    <w:abstractNumId w:val="3"/>
  </w:num>
  <w:num w:numId="11">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Juan Ferriz-Papi">
    <w15:presenceInfo w15:providerId="AD" w15:userId="S-1-5-21-809251214-2178901256-4152538893-2664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0DDC"/>
    <w:rsid w:val="00001421"/>
    <w:rsid w:val="00020C8B"/>
    <w:rsid w:val="0003164D"/>
    <w:rsid w:val="0003244C"/>
    <w:rsid w:val="00037646"/>
    <w:rsid w:val="00081D5F"/>
    <w:rsid w:val="00085B3B"/>
    <w:rsid w:val="00086EAB"/>
    <w:rsid w:val="00092596"/>
    <w:rsid w:val="000931DF"/>
    <w:rsid w:val="00095A0B"/>
    <w:rsid w:val="00095AE2"/>
    <w:rsid w:val="00100E2B"/>
    <w:rsid w:val="0010455E"/>
    <w:rsid w:val="00134196"/>
    <w:rsid w:val="0014260E"/>
    <w:rsid w:val="00153BD5"/>
    <w:rsid w:val="00161BD9"/>
    <w:rsid w:val="00176154"/>
    <w:rsid w:val="0017713D"/>
    <w:rsid w:val="001A78B9"/>
    <w:rsid w:val="001B680F"/>
    <w:rsid w:val="001C1F48"/>
    <w:rsid w:val="001D2310"/>
    <w:rsid w:val="001E021D"/>
    <w:rsid w:val="00205A8B"/>
    <w:rsid w:val="002518AB"/>
    <w:rsid w:val="00260C10"/>
    <w:rsid w:val="00265759"/>
    <w:rsid w:val="00272DA1"/>
    <w:rsid w:val="0028417B"/>
    <w:rsid w:val="002920A3"/>
    <w:rsid w:val="002A2A46"/>
    <w:rsid w:val="002A34D0"/>
    <w:rsid w:val="002A6EE5"/>
    <w:rsid w:val="002B0EE5"/>
    <w:rsid w:val="002D7682"/>
    <w:rsid w:val="003139D6"/>
    <w:rsid w:val="00333960"/>
    <w:rsid w:val="00370C1C"/>
    <w:rsid w:val="003733B4"/>
    <w:rsid w:val="00373DF0"/>
    <w:rsid w:val="0039383E"/>
    <w:rsid w:val="003C4172"/>
    <w:rsid w:val="003F0CD1"/>
    <w:rsid w:val="00477110"/>
    <w:rsid w:val="00483072"/>
    <w:rsid w:val="00483FB3"/>
    <w:rsid w:val="004A4A1E"/>
    <w:rsid w:val="004B5762"/>
    <w:rsid w:val="004B6461"/>
    <w:rsid w:val="004B6A77"/>
    <w:rsid w:val="004C3F9E"/>
    <w:rsid w:val="004D3100"/>
    <w:rsid w:val="004F32B9"/>
    <w:rsid w:val="004F6710"/>
    <w:rsid w:val="005120A0"/>
    <w:rsid w:val="005269D1"/>
    <w:rsid w:val="005306B1"/>
    <w:rsid w:val="00550018"/>
    <w:rsid w:val="0056784B"/>
    <w:rsid w:val="005756F6"/>
    <w:rsid w:val="0058374F"/>
    <w:rsid w:val="0058705F"/>
    <w:rsid w:val="005B3B51"/>
    <w:rsid w:val="005B3CDA"/>
    <w:rsid w:val="005B7547"/>
    <w:rsid w:val="0061276A"/>
    <w:rsid w:val="0062791D"/>
    <w:rsid w:val="00696640"/>
    <w:rsid w:val="006A2C45"/>
    <w:rsid w:val="006B2502"/>
    <w:rsid w:val="006B3851"/>
    <w:rsid w:val="006C545D"/>
    <w:rsid w:val="006E32AE"/>
    <w:rsid w:val="006E5BD2"/>
    <w:rsid w:val="006F51C5"/>
    <w:rsid w:val="00712200"/>
    <w:rsid w:val="00725DD5"/>
    <w:rsid w:val="00726CDA"/>
    <w:rsid w:val="00743B57"/>
    <w:rsid w:val="00751426"/>
    <w:rsid w:val="00763EC3"/>
    <w:rsid w:val="007911E5"/>
    <w:rsid w:val="00793D13"/>
    <w:rsid w:val="007F6C54"/>
    <w:rsid w:val="007F6FBC"/>
    <w:rsid w:val="00803ABB"/>
    <w:rsid w:val="00806AA7"/>
    <w:rsid w:val="0080721A"/>
    <w:rsid w:val="0081285B"/>
    <w:rsid w:val="00835FB2"/>
    <w:rsid w:val="00873B6B"/>
    <w:rsid w:val="00873FEA"/>
    <w:rsid w:val="008761D1"/>
    <w:rsid w:val="0088457D"/>
    <w:rsid w:val="008A1D12"/>
    <w:rsid w:val="008A2187"/>
    <w:rsid w:val="008A4DFE"/>
    <w:rsid w:val="008A5369"/>
    <w:rsid w:val="008C54AD"/>
    <w:rsid w:val="008D055E"/>
    <w:rsid w:val="0091134B"/>
    <w:rsid w:val="0091514A"/>
    <w:rsid w:val="00955C3E"/>
    <w:rsid w:val="0097525F"/>
    <w:rsid w:val="009A7E1C"/>
    <w:rsid w:val="009D3E6A"/>
    <w:rsid w:val="009E769E"/>
    <w:rsid w:val="00A01E38"/>
    <w:rsid w:val="00A32464"/>
    <w:rsid w:val="00A66722"/>
    <w:rsid w:val="00A92331"/>
    <w:rsid w:val="00A97869"/>
    <w:rsid w:val="00AA0E1E"/>
    <w:rsid w:val="00AE2C3E"/>
    <w:rsid w:val="00AF1A64"/>
    <w:rsid w:val="00AF1AE3"/>
    <w:rsid w:val="00B30E4F"/>
    <w:rsid w:val="00B40089"/>
    <w:rsid w:val="00B43484"/>
    <w:rsid w:val="00B457B0"/>
    <w:rsid w:val="00B62E8D"/>
    <w:rsid w:val="00B67808"/>
    <w:rsid w:val="00B90257"/>
    <w:rsid w:val="00B960E8"/>
    <w:rsid w:val="00B97973"/>
    <w:rsid w:val="00BD48D4"/>
    <w:rsid w:val="00BE7C1A"/>
    <w:rsid w:val="00C205A5"/>
    <w:rsid w:val="00C20DDC"/>
    <w:rsid w:val="00C3477E"/>
    <w:rsid w:val="00C43CD5"/>
    <w:rsid w:val="00C607D6"/>
    <w:rsid w:val="00C85D3E"/>
    <w:rsid w:val="00C94097"/>
    <w:rsid w:val="00CE6F63"/>
    <w:rsid w:val="00CE7A43"/>
    <w:rsid w:val="00CF741D"/>
    <w:rsid w:val="00D00C6C"/>
    <w:rsid w:val="00D351AC"/>
    <w:rsid w:val="00D67FAB"/>
    <w:rsid w:val="00D8105E"/>
    <w:rsid w:val="00DA6761"/>
    <w:rsid w:val="00DA6868"/>
    <w:rsid w:val="00DB2B34"/>
    <w:rsid w:val="00DE2209"/>
    <w:rsid w:val="00DF5DA6"/>
    <w:rsid w:val="00E03F54"/>
    <w:rsid w:val="00E04F9E"/>
    <w:rsid w:val="00E10776"/>
    <w:rsid w:val="00E15F3F"/>
    <w:rsid w:val="00E24576"/>
    <w:rsid w:val="00E55DA0"/>
    <w:rsid w:val="00E73574"/>
    <w:rsid w:val="00E80723"/>
    <w:rsid w:val="00E91652"/>
    <w:rsid w:val="00EA38FF"/>
    <w:rsid w:val="00EB0614"/>
    <w:rsid w:val="00EE4D96"/>
    <w:rsid w:val="00F32EB0"/>
    <w:rsid w:val="00F375E9"/>
    <w:rsid w:val="00F4383F"/>
    <w:rsid w:val="00F474E1"/>
    <w:rsid w:val="00F542DB"/>
    <w:rsid w:val="00F61C9E"/>
    <w:rsid w:val="00FA1314"/>
    <w:rsid w:val="00FE66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148F4"/>
  <w15:chartTrackingRefBased/>
  <w15:docId w15:val="{C34DC2A9-5DF5-470F-BCDA-525E71410C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0EE5"/>
    <w:pPr>
      <w:spacing w:after="0" w:line="240"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20DDC"/>
    <w:pPr>
      <w:spacing w:after="0" w:line="240" w:lineRule="auto"/>
    </w:pPr>
  </w:style>
  <w:style w:type="paragraph" w:styleId="ListParagraph">
    <w:name w:val="List Paragraph"/>
    <w:basedOn w:val="Normal"/>
    <w:uiPriority w:val="34"/>
    <w:qFormat/>
    <w:rsid w:val="002B0EE5"/>
    <w:pPr>
      <w:ind w:left="720"/>
      <w:contextualSpacing/>
    </w:pPr>
  </w:style>
  <w:style w:type="character" w:styleId="Strong">
    <w:name w:val="Strong"/>
    <w:basedOn w:val="DefaultParagraphFont"/>
    <w:uiPriority w:val="22"/>
    <w:qFormat/>
    <w:rsid w:val="00B67808"/>
    <w:rPr>
      <w:b/>
      <w:bCs/>
    </w:rPr>
  </w:style>
  <w:style w:type="paragraph" w:styleId="NormalWeb">
    <w:name w:val="Normal (Web)"/>
    <w:basedOn w:val="Normal"/>
    <w:uiPriority w:val="99"/>
    <w:semiHidden/>
    <w:unhideWhenUsed/>
    <w:rsid w:val="0062791D"/>
    <w:pPr>
      <w:spacing w:before="100" w:beforeAutospacing="1" w:after="100" w:afterAutospacing="1"/>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62791D"/>
    <w:rPr>
      <w:color w:val="0000FF"/>
      <w:u w:val="single"/>
    </w:rPr>
  </w:style>
  <w:style w:type="character" w:styleId="Emphasis">
    <w:name w:val="Emphasis"/>
    <w:basedOn w:val="DefaultParagraphFont"/>
    <w:uiPriority w:val="20"/>
    <w:qFormat/>
    <w:rsid w:val="0062791D"/>
    <w:rPr>
      <w:i/>
      <w:iCs/>
    </w:rPr>
  </w:style>
  <w:style w:type="paragraph" w:styleId="BalloonText">
    <w:name w:val="Balloon Text"/>
    <w:basedOn w:val="Normal"/>
    <w:link w:val="BalloonTextChar"/>
    <w:uiPriority w:val="99"/>
    <w:semiHidden/>
    <w:unhideWhenUsed/>
    <w:rsid w:val="00835FB2"/>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35FB2"/>
    <w:rPr>
      <w:rFonts w:ascii="Segoe UI" w:eastAsiaTheme="minorEastAsia" w:hAnsi="Segoe UI" w:cs="Segoe UI"/>
      <w:sz w:val="18"/>
      <w:szCs w:val="18"/>
      <w:lang w:eastAsia="en-GB"/>
    </w:rPr>
  </w:style>
  <w:style w:type="paragraph" w:customStyle="1" w:styleId="Default">
    <w:name w:val="Default"/>
    <w:rsid w:val="00726CDA"/>
    <w:pPr>
      <w:autoSpaceDE w:val="0"/>
      <w:autoSpaceDN w:val="0"/>
      <w:adjustRightInd w:val="0"/>
      <w:spacing w:after="0" w:line="240" w:lineRule="auto"/>
    </w:pPr>
    <w:rPr>
      <w:rFonts w:ascii="HelveticaNeue Condensed" w:hAnsi="HelveticaNeue Condensed" w:cs="HelveticaNeue Condensed"/>
      <w:color w:val="000000"/>
      <w:sz w:val="24"/>
      <w:szCs w:val="24"/>
    </w:rPr>
  </w:style>
  <w:style w:type="character" w:customStyle="1" w:styleId="A1">
    <w:name w:val="A1"/>
    <w:uiPriority w:val="99"/>
    <w:rsid w:val="007F6C54"/>
    <w:rPr>
      <w:rFonts w:cs="Helvetica Neue LT"/>
      <w:color w:val="000000"/>
      <w:sz w:val="20"/>
      <w:szCs w:val="20"/>
    </w:rPr>
  </w:style>
  <w:style w:type="paragraph" w:styleId="Caption">
    <w:name w:val="caption"/>
    <w:basedOn w:val="Normal"/>
    <w:next w:val="Normal"/>
    <w:uiPriority w:val="35"/>
    <w:unhideWhenUsed/>
    <w:qFormat/>
    <w:rsid w:val="005120A0"/>
    <w:pPr>
      <w:spacing w:after="200"/>
    </w:pPr>
    <w:rPr>
      <w:i/>
      <w:iCs/>
      <w:color w:val="44546A" w:themeColor="text2"/>
      <w:sz w:val="18"/>
      <w:szCs w:val="18"/>
    </w:rPr>
  </w:style>
  <w:style w:type="character" w:styleId="CommentReference">
    <w:name w:val="annotation reference"/>
    <w:basedOn w:val="DefaultParagraphFont"/>
    <w:uiPriority w:val="99"/>
    <w:semiHidden/>
    <w:unhideWhenUsed/>
    <w:rsid w:val="00E91652"/>
    <w:rPr>
      <w:sz w:val="16"/>
      <w:szCs w:val="16"/>
    </w:rPr>
  </w:style>
  <w:style w:type="paragraph" w:styleId="CommentText">
    <w:name w:val="annotation text"/>
    <w:basedOn w:val="Normal"/>
    <w:link w:val="CommentTextChar"/>
    <w:uiPriority w:val="99"/>
    <w:semiHidden/>
    <w:unhideWhenUsed/>
    <w:rsid w:val="00E91652"/>
    <w:rPr>
      <w:sz w:val="20"/>
      <w:szCs w:val="20"/>
    </w:rPr>
  </w:style>
  <w:style w:type="character" w:customStyle="1" w:styleId="CommentTextChar">
    <w:name w:val="Comment Text Char"/>
    <w:basedOn w:val="DefaultParagraphFont"/>
    <w:link w:val="CommentText"/>
    <w:uiPriority w:val="99"/>
    <w:semiHidden/>
    <w:rsid w:val="00E91652"/>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E91652"/>
    <w:rPr>
      <w:b/>
      <w:bCs/>
    </w:rPr>
  </w:style>
  <w:style w:type="character" w:customStyle="1" w:styleId="CommentSubjectChar">
    <w:name w:val="Comment Subject Char"/>
    <w:basedOn w:val="CommentTextChar"/>
    <w:link w:val="CommentSubject"/>
    <w:uiPriority w:val="99"/>
    <w:semiHidden/>
    <w:rsid w:val="00E91652"/>
    <w:rPr>
      <w:rFonts w:eastAsiaTheme="minorEastAsia"/>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6476246">
      <w:bodyDiv w:val="1"/>
      <w:marLeft w:val="0"/>
      <w:marRight w:val="0"/>
      <w:marTop w:val="0"/>
      <w:marBottom w:val="0"/>
      <w:divBdr>
        <w:top w:val="none" w:sz="0" w:space="0" w:color="auto"/>
        <w:left w:val="none" w:sz="0" w:space="0" w:color="auto"/>
        <w:bottom w:val="none" w:sz="0" w:space="0" w:color="auto"/>
        <w:right w:val="none" w:sz="0" w:space="0" w:color="auto"/>
      </w:divBdr>
    </w:div>
    <w:div w:id="492575752">
      <w:bodyDiv w:val="1"/>
      <w:marLeft w:val="0"/>
      <w:marRight w:val="0"/>
      <w:marTop w:val="0"/>
      <w:marBottom w:val="0"/>
      <w:divBdr>
        <w:top w:val="none" w:sz="0" w:space="0" w:color="auto"/>
        <w:left w:val="none" w:sz="0" w:space="0" w:color="auto"/>
        <w:bottom w:val="none" w:sz="0" w:space="0" w:color="auto"/>
        <w:right w:val="none" w:sz="0" w:space="0" w:color="auto"/>
      </w:divBdr>
    </w:div>
    <w:div w:id="729428844">
      <w:bodyDiv w:val="1"/>
      <w:marLeft w:val="0"/>
      <w:marRight w:val="0"/>
      <w:marTop w:val="0"/>
      <w:marBottom w:val="0"/>
      <w:divBdr>
        <w:top w:val="none" w:sz="0" w:space="0" w:color="auto"/>
        <w:left w:val="none" w:sz="0" w:space="0" w:color="auto"/>
        <w:bottom w:val="none" w:sz="0" w:space="0" w:color="auto"/>
        <w:right w:val="none" w:sz="0" w:space="0" w:color="auto"/>
      </w:divBdr>
    </w:div>
    <w:div w:id="869413956">
      <w:bodyDiv w:val="1"/>
      <w:marLeft w:val="0"/>
      <w:marRight w:val="0"/>
      <w:marTop w:val="0"/>
      <w:marBottom w:val="0"/>
      <w:divBdr>
        <w:top w:val="none" w:sz="0" w:space="0" w:color="auto"/>
        <w:left w:val="none" w:sz="0" w:space="0" w:color="auto"/>
        <w:bottom w:val="none" w:sz="0" w:space="0" w:color="auto"/>
        <w:right w:val="none" w:sz="0" w:space="0" w:color="auto"/>
      </w:divBdr>
    </w:div>
    <w:div w:id="917055552">
      <w:bodyDiv w:val="1"/>
      <w:marLeft w:val="0"/>
      <w:marRight w:val="0"/>
      <w:marTop w:val="0"/>
      <w:marBottom w:val="0"/>
      <w:divBdr>
        <w:top w:val="none" w:sz="0" w:space="0" w:color="auto"/>
        <w:left w:val="none" w:sz="0" w:space="0" w:color="auto"/>
        <w:bottom w:val="none" w:sz="0" w:space="0" w:color="auto"/>
        <w:right w:val="none" w:sz="0" w:space="0" w:color="auto"/>
      </w:divBdr>
    </w:div>
    <w:div w:id="1255481139">
      <w:bodyDiv w:val="1"/>
      <w:marLeft w:val="0"/>
      <w:marRight w:val="0"/>
      <w:marTop w:val="0"/>
      <w:marBottom w:val="0"/>
      <w:divBdr>
        <w:top w:val="none" w:sz="0" w:space="0" w:color="auto"/>
        <w:left w:val="none" w:sz="0" w:space="0" w:color="auto"/>
        <w:bottom w:val="none" w:sz="0" w:space="0" w:color="auto"/>
        <w:right w:val="none" w:sz="0" w:space="0" w:color="auto"/>
      </w:divBdr>
    </w:div>
    <w:div w:id="1380126584">
      <w:bodyDiv w:val="1"/>
      <w:marLeft w:val="0"/>
      <w:marRight w:val="0"/>
      <w:marTop w:val="0"/>
      <w:marBottom w:val="0"/>
      <w:divBdr>
        <w:top w:val="none" w:sz="0" w:space="0" w:color="auto"/>
        <w:left w:val="none" w:sz="0" w:space="0" w:color="auto"/>
        <w:bottom w:val="none" w:sz="0" w:space="0" w:color="auto"/>
        <w:right w:val="none" w:sz="0" w:space="0" w:color="auto"/>
      </w:divBdr>
    </w:div>
    <w:div w:id="1520969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www.cityandguilds.com/qualifications-and-apprenticeships/construction/construction/7907-painting-decorating" TargetMode="External"/><Relationship Id="rId21" Type="http://schemas.openxmlformats.org/officeDocument/2006/relationships/hyperlink" Target="http://www.cityandguilds.com/qualifications-and-apprenticeships/construction/construction/6707-painting-and-decorating" TargetMode="External"/><Relationship Id="rId34" Type="http://schemas.openxmlformats.org/officeDocument/2006/relationships/hyperlink" Target="http://www.cityandguilds.com/qualifications-and-apprenticeships/construction/construction/6565-accessing-operations-and-rigging-construction" TargetMode="External"/><Relationship Id="rId42" Type="http://schemas.openxmlformats.org/officeDocument/2006/relationships/hyperlink" Target="http://www.cityandguilds.com/qualifications-and-apprenticeships/construction/construction/6706-carpentry-and-joinery" TargetMode="External"/><Relationship Id="rId47" Type="http://schemas.openxmlformats.org/officeDocument/2006/relationships/hyperlink" Target="http://www.cityandguilds.com/qualifications-and-apprenticeships/construction/construction/6713-dry-lining" TargetMode="External"/><Relationship Id="rId50" Type="http://schemas.openxmlformats.org/officeDocument/2006/relationships/hyperlink" Target="https://www.cityandguilds.com/qualifications-and-apprenticeships/construction/construction/6718-roof-slating-and-tiling" TargetMode="External"/><Relationship Id="rId55" Type="http://schemas.openxmlformats.org/officeDocument/2006/relationships/hyperlink" Target="http://www.cityandguilds.com/qualifications-and-apprenticeships/construction/construction/7908-plastering" TargetMode="External"/><Relationship Id="rId63" Type="http://schemas.openxmlformats.org/officeDocument/2006/relationships/hyperlink" Target="http://www.cityandguilds.com/qualifications-and-apprenticeships/construction/construction/6565-accessing-operations-and-rigging-construction" TargetMode="External"/><Relationship Id="rId68" Type="http://schemas.openxmlformats.org/officeDocument/2006/relationships/hyperlink" Target="http://www.cityandguilds.com/qualifications-and-apprenticeships/construction/construction/6561-plant-operations-construction" TargetMode="External"/><Relationship Id="rId76" Type="http://schemas.openxmlformats.org/officeDocument/2006/relationships/hyperlink" Target="https://www.cityandguilds.com/qualifications-and-apprenticeships/utilities/utilities/6038-safe-location-and-avoidance-of-underground-services" TargetMode="External"/><Relationship Id="rId84" Type="http://schemas.openxmlformats.org/officeDocument/2006/relationships/hyperlink" Target="http://www.cityandguilds.com/qualifications-and-apprenticeships/construction/construction/6219-construction-skills" TargetMode="External"/><Relationship Id="rId89" Type="http://schemas.openxmlformats.org/officeDocument/2006/relationships/hyperlink" Target="http://www.cityandguilds.com/qualifications-and-apprenticeships/construction/construction/6710-wall-and-floor-tiling" TargetMode="External"/><Relationship Id="rId97" Type="http://schemas.openxmlformats.org/officeDocument/2006/relationships/hyperlink" Target="http://www.cityandguilds.com/qualifications-and-apprenticeships/construction/construction/~/link.aspx?_id=B8A6E32B65E848B49785C4BA26BB32D8&amp;_z=z" TargetMode="External"/><Relationship Id="rId7" Type="http://schemas.openxmlformats.org/officeDocument/2006/relationships/settings" Target="settings.xml"/><Relationship Id="rId71" Type="http://schemas.openxmlformats.org/officeDocument/2006/relationships/hyperlink" Target="http://www.cityandguilds.com/qualifications-and-apprenticeships/construction/construction/6574-construction-operations-nvq-construction" TargetMode="External"/><Relationship Id="rId92" Type="http://schemas.openxmlformats.org/officeDocument/2006/relationships/hyperlink" Target="http://www.cityandguilds.com/qualifications-and-apprenticeships/built-environment-services" TargetMode="External"/><Relationship Id="rId2" Type="http://schemas.openxmlformats.org/officeDocument/2006/relationships/customXml" Target="../customXml/item2.xml"/><Relationship Id="rId16" Type="http://schemas.openxmlformats.org/officeDocument/2006/relationships/hyperlink" Target="http://www.cityandguilds.com/apprenticeships" TargetMode="External"/><Relationship Id="rId29" Type="http://schemas.openxmlformats.org/officeDocument/2006/relationships/hyperlink" Target="http://www.cityandguilds.com/qualifications-and-apprenticeships/construction/construction/6570-trowel-occupations-construction" TargetMode="External"/><Relationship Id="rId11" Type="http://schemas.microsoft.com/office/2011/relationships/commentsExtended" Target="commentsExtended.xml"/><Relationship Id="rId24" Type="http://schemas.openxmlformats.org/officeDocument/2006/relationships/hyperlink" Target="http://www.cityandguilds.com/qualifications-and-apprenticeships/construction/construction/7905-bricklaying" TargetMode="External"/><Relationship Id="rId32" Type="http://schemas.openxmlformats.org/officeDocument/2006/relationships/hyperlink" Target="http://www.cityandguilds.com/qualifications-and-apprenticeships/construction/construction/6573-plastering-construction" TargetMode="External"/><Relationship Id="rId37" Type="http://schemas.openxmlformats.org/officeDocument/2006/relationships/hyperlink" Target="http://www.cityandguilds.com/what-we-offer/employers" TargetMode="External"/><Relationship Id="rId40" Type="http://schemas.openxmlformats.org/officeDocument/2006/relationships/hyperlink" Target="https://www.smartscreen.co.uk/" TargetMode="External"/><Relationship Id="rId45" Type="http://schemas.openxmlformats.org/officeDocument/2006/relationships/hyperlink" Target="http://www.cityandguilds.com/qualifications-and-apprenticeships/construction/construction/6710-wall-and-floor-tiling" TargetMode="External"/><Relationship Id="rId53" Type="http://schemas.openxmlformats.org/officeDocument/2006/relationships/hyperlink" Target="http://www.cityandguilds.com/qualifications-and-apprenticeships/construction/construction/7906-carpentry-joinery" TargetMode="External"/><Relationship Id="rId58" Type="http://schemas.openxmlformats.org/officeDocument/2006/relationships/hyperlink" Target="http://www.cityandguilds.com/qualifications-and-apprenticeships/construction/construction/6571-wood-occupations-construction" TargetMode="External"/><Relationship Id="rId66" Type="http://schemas.openxmlformats.org/officeDocument/2006/relationships/hyperlink" Target="http://www.cityandguilds.com/qualifications-and-apprenticeships/construction/construction/6580-formwork-construction" TargetMode="External"/><Relationship Id="rId74" Type="http://schemas.openxmlformats.org/officeDocument/2006/relationships/hyperlink" Target="http://www.cityandguilds.com/qualifications-and-apprenticeships/construction/construction/6073-building-information-modelling" TargetMode="External"/><Relationship Id="rId79" Type="http://schemas.openxmlformats.org/officeDocument/2006/relationships/hyperlink" Target="http://www.cityandguilds.com/qualifications-and-apprenticeships/utilities/utilities/6150-confined-spaces" TargetMode="External"/><Relationship Id="rId87" Type="http://schemas.openxmlformats.org/officeDocument/2006/relationships/hyperlink" Target="http://www.cityandguilds.com/qualifications-and-apprenticeships/construction/construction/6707-painting-and-decorating" TargetMode="External"/><Relationship Id="rId5" Type="http://schemas.openxmlformats.org/officeDocument/2006/relationships/numbering" Target="numbering.xml"/><Relationship Id="rId61" Type="http://schemas.openxmlformats.org/officeDocument/2006/relationships/hyperlink" Target="https://www.cityandguilds.com/qualifications-and-apprenticeships/construction/construction/5931-insulation-and-building-treatments" TargetMode="External"/><Relationship Id="rId82" Type="http://schemas.openxmlformats.org/officeDocument/2006/relationships/hyperlink" Target="http://www.cityandguilds.com/qualifications-and-apprenticeships/business-skills" TargetMode="External"/><Relationship Id="rId90" Type="http://schemas.openxmlformats.org/officeDocument/2006/relationships/hyperlink" Target="http://www.cityandguilds.com/qualifications-and-apprenticeships/construction/construction/6715-masonry" TargetMode="External"/><Relationship Id="rId95" Type="http://schemas.openxmlformats.org/officeDocument/2006/relationships/hyperlink" Target="https://www.cityandguilds.com/qualifications-and-apprenticeships/utilities" TargetMode="External"/><Relationship Id="rId19" Type="http://schemas.openxmlformats.org/officeDocument/2006/relationships/hyperlink" Target="http://www.cityandguilds.com/qualifications-and-apprenticeships/construction/construction/6705-bricklaying" TargetMode="External"/><Relationship Id="rId14" Type="http://schemas.openxmlformats.org/officeDocument/2006/relationships/hyperlink" Target="http://www.cityandguilds.com/techbac" TargetMode="External"/><Relationship Id="rId22" Type="http://schemas.openxmlformats.org/officeDocument/2006/relationships/hyperlink" Target="http://www.cityandguilds.com/qualifications-and-apprenticeships/construction/construction/6708-plastering" TargetMode="External"/><Relationship Id="rId27" Type="http://schemas.openxmlformats.org/officeDocument/2006/relationships/hyperlink" Target="http://www.cityandguilds.com/qualifications-and-apprenticeships/construction/construction/7908-plastering" TargetMode="External"/><Relationship Id="rId30" Type="http://schemas.openxmlformats.org/officeDocument/2006/relationships/hyperlink" Target="http://www.cityandguilds.com/qualifications-and-apprenticeships/construction/construction/6571-wood-occupations-construction" TargetMode="External"/><Relationship Id="rId35" Type="http://schemas.openxmlformats.org/officeDocument/2006/relationships/hyperlink" Target="https://www.i-l-m.com/" TargetMode="External"/><Relationship Id="rId43" Type="http://schemas.openxmlformats.org/officeDocument/2006/relationships/hyperlink" Target="http://www.cityandguilds.com/qualifications-and-apprenticeships/construction/construction/6707-painting-and-decorating" TargetMode="External"/><Relationship Id="rId48" Type="http://schemas.openxmlformats.org/officeDocument/2006/relationships/hyperlink" Target="http://www.cityandguilds.com/qualifications-and-apprenticeships/construction/construction/6715-masonry" TargetMode="External"/><Relationship Id="rId56" Type="http://schemas.openxmlformats.org/officeDocument/2006/relationships/hyperlink" Target="http://www.cityandguilds.com/qualifications-and-apprenticeships/construction/construction/6720-technicals-in-constructing-the-built-environment" TargetMode="External"/><Relationship Id="rId64" Type="http://schemas.openxmlformats.org/officeDocument/2006/relationships/hyperlink" Target="https://www.cityandguilds.com/qualifications-and-apprenticeships/construction/construction/6567-interior-systems-construction" TargetMode="External"/><Relationship Id="rId69" Type="http://schemas.openxmlformats.org/officeDocument/2006/relationships/hyperlink" Target="http://www.cityandguilds.com/qualifications-and-apprenticeships/construction/construction/6562-maintenance-operations-construction" TargetMode="External"/><Relationship Id="rId77" Type="http://schemas.openxmlformats.org/officeDocument/2006/relationships/hyperlink" Target="https://www.cityandguilds.com/qualifications-and-apprenticeships/utilities/utilities/6038-safe-location-and-avoidance-of-underground-services" TargetMode="External"/><Relationship Id="rId100"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www.cityandguilds.com/qualifications-and-apprenticeships/construction/construction/6709-construction-operations-general-construction" TargetMode="External"/><Relationship Id="rId72" Type="http://schemas.openxmlformats.org/officeDocument/2006/relationships/hyperlink" Target="http://www.cityandguilds.com/qualifications-and-apprenticeships/construction/construction/6072-health-and-safety-in-a-construction-environment" TargetMode="External"/><Relationship Id="rId80" Type="http://schemas.openxmlformats.org/officeDocument/2006/relationships/hyperlink" Target="http://www.cityandguilds.com/qualifications-and-apprenticeships/skills-for-work-and-life/employability-personal-and-social-development/5546-employability-skills" TargetMode="External"/><Relationship Id="rId85" Type="http://schemas.openxmlformats.org/officeDocument/2006/relationships/hyperlink" Target="http://www.cityandguilds.com/qualifications-and-apprenticeships/construction/construction/6705-bricklaying" TargetMode="External"/><Relationship Id="rId93" Type="http://schemas.openxmlformats.org/officeDocument/2006/relationships/hyperlink" Target="http://www.cityandguilds.com/qualifications-and-apprenticeships/transport-maintenance" TargetMode="External"/><Relationship Id="rId98" Type="http://schemas.openxmlformats.org/officeDocument/2006/relationships/fontTable" Target="fontTable.xml"/><Relationship Id="rId3" Type="http://schemas.openxmlformats.org/officeDocument/2006/relationships/customXml" Target="../customXml/item3.xml"/><Relationship Id="rId12" Type="http://schemas.microsoft.com/office/2016/09/relationships/commentsIds" Target="commentsIds.xml"/><Relationship Id="rId17" Type="http://schemas.openxmlformats.org/officeDocument/2006/relationships/hyperlink" Target="http://www.cityandguilds.com/qualifications-and-apprenticeships/construction/construction/6578-construction-site-management" TargetMode="External"/><Relationship Id="rId25" Type="http://schemas.openxmlformats.org/officeDocument/2006/relationships/hyperlink" Target="http://www.cityandguilds.com/qualifications-and-apprenticeships/construction/construction/7906-carpentry-joinery" TargetMode="External"/><Relationship Id="rId33" Type="http://schemas.openxmlformats.org/officeDocument/2006/relationships/hyperlink" Target="http://www.cityandguilds.com/qualifications-and-apprenticeships/construction/construction/6576-occupational-work-supervision-construction" TargetMode="External"/><Relationship Id="rId38" Type="http://schemas.openxmlformats.org/officeDocument/2006/relationships/hyperlink" Target="http://www.digitalme.co.uk/" TargetMode="External"/><Relationship Id="rId46" Type="http://schemas.openxmlformats.org/officeDocument/2006/relationships/hyperlink" Target="http://www.cityandguilds.com/qualifications-and-apprenticeships/construction/construction/6711-maintenance-operations" TargetMode="External"/><Relationship Id="rId59" Type="http://schemas.openxmlformats.org/officeDocument/2006/relationships/hyperlink" Target="http://www.cityandguilds.com/qualifications-and-apprenticeships/construction/construction/6572-decorative-finishing-and-industrial-painting-occupations-construction" TargetMode="External"/><Relationship Id="rId67" Type="http://schemas.openxmlformats.org/officeDocument/2006/relationships/hyperlink" Target="http://www.cityandguilds.com/qualifications-and-apprenticeships/construction/construction/2455-steelfixing-occupations" TargetMode="External"/><Relationship Id="rId20" Type="http://schemas.openxmlformats.org/officeDocument/2006/relationships/hyperlink" Target="http://www.cityandguilds.com/qualifications-and-apprenticeships/construction/construction/6706-carpentry-and-joinery" TargetMode="External"/><Relationship Id="rId41" Type="http://schemas.openxmlformats.org/officeDocument/2006/relationships/hyperlink" Target="http://www.cityandguilds.com/qualifications-and-apprenticeships/construction/construction/6705-bricklaying" TargetMode="External"/><Relationship Id="rId54" Type="http://schemas.openxmlformats.org/officeDocument/2006/relationships/hyperlink" Target="http://www.cityandguilds.com/qualifications-and-apprenticeships/construction/construction/7907-painting-decorating" TargetMode="External"/><Relationship Id="rId62" Type="http://schemas.openxmlformats.org/officeDocument/2006/relationships/hyperlink" Target="http://www.cityandguilds.com/qualifications-and-apprenticeships/construction/construction/6560-wall-and-floor-tiling-construction" TargetMode="External"/><Relationship Id="rId70" Type="http://schemas.openxmlformats.org/officeDocument/2006/relationships/hyperlink" Target="http://www.cityandguilds.com/qualifications-and-apprenticeships/construction/construction/6566-highways-maintenance-construction" TargetMode="External"/><Relationship Id="rId75" Type="http://schemas.openxmlformats.org/officeDocument/2006/relationships/hyperlink" Target="http://www.cityandguilds.com/qualifications-and-apprenticeships/utilities/utilities/6157-streetworks-excavation-and-reinstatement" TargetMode="External"/><Relationship Id="rId83" Type="http://schemas.openxmlformats.org/officeDocument/2006/relationships/hyperlink" Target="https://www.i-l-m.com/learning-and-development/specialist-qualifications/Leadership-in-the-construction-industry" TargetMode="External"/><Relationship Id="rId88" Type="http://schemas.openxmlformats.org/officeDocument/2006/relationships/hyperlink" Target="http://www.cityandguilds.com/qualifications-and-apprenticeships/construction/construction/6708-plastering" TargetMode="External"/><Relationship Id="rId91" Type="http://schemas.openxmlformats.org/officeDocument/2006/relationships/hyperlink" Target="http://www.cityandguilds.com/qualifications-and-apprenticeships/building-services-industry" TargetMode="External"/><Relationship Id="rId96" Type="http://schemas.openxmlformats.org/officeDocument/2006/relationships/hyperlink" Target="http://www.cityandguilds.com/qualifications-and-apprenticeships/construction/construction/6219-construction-skills"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www.cityandguilds.com/techbac" TargetMode="External"/><Relationship Id="rId23" Type="http://schemas.openxmlformats.org/officeDocument/2006/relationships/hyperlink" Target="http://www.cityandguilds.com/qualifications-and-apprenticeships/construction/construction/6715-masonry" TargetMode="External"/><Relationship Id="rId28" Type="http://schemas.openxmlformats.org/officeDocument/2006/relationships/hyperlink" Target="http://www.cityandguilds.com/qualifications-and-apprenticeships/construction/construction/6720-technicals-in-constructing-the-built-environment" TargetMode="External"/><Relationship Id="rId36" Type="http://schemas.openxmlformats.org/officeDocument/2006/relationships/hyperlink" Target="http://www.kineo.com/" TargetMode="External"/><Relationship Id="rId49" Type="http://schemas.openxmlformats.org/officeDocument/2006/relationships/hyperlink" Target="http://www.cityandguilds.com/qualifications-and-apprenticeships/construction/construction/6715-masonry" TargetMode="External"/><Relationship Id="rId57" Type="http://schemas.openxmlformats.org/officeDocument/2006/relationships/hyperlink" Target="http://www.cityandguilds.com/qualifications-and-apprenticeships/construction/construction/6570-trowel-occupations-construction" TargetMode="External"/><Relationship Id="rId10" Type="http://schemas.openxmlformats.org/officeDocument/2006/relationships/comments" Target="comments.xml"/><Relationship Id="rId31" Type="http://schemas.openxmlformats.org/officeDocument/2006/relationships/hyperlink" Target="http://www.cityandguilds.com/qualifications-and-apprenticeships/construction/construction/6572-decorative-finishing-and-industrial-painting-occupations-construction" TargetMode="External"/><Relationship Id="rId44" Type="http://schemas.openxmlformats.org/officeDocument/2006/relationships/hyperlink" Target="http://www.cityandguilds.com/qualifications-and-apprenticeships/construction/construction/6708-plastering" TargetMode="External"/><Relationship Id="rId52" Type="http://schemas.openxmlformats.org/officeDocument/2006/relationships/hyperlink" Target="http://www.cityandguilds.com/qualifications-and-apprenticeships/construction/construction/7905-bricklaying" TargetMode="External"/><Relationship Id="rId60" Type="http://schemas.openxmlformats.org/officeDocument/2006/relationships/hyperlink" Target="http://www.cityandguilds.com/qualifications-and-apprenticeships/construction/construction/6573-plastering-construction" TargetMode="External"/><Relationship Id="rId65" Type="http://schemas.openxmlformats.org/officeDocument/2006/relationships/hyperlink" Target="http://www.cityandguilds.com/qualifications-and-apprenticeships/construction/construction/6569-roofing-occupations-construction" TargetMode="External"/><Relationship Id="rId73" Type="http://schemas.openxmlformats.org/officeDocument/2006/relationships/hyperlink" Target="http://www.cityandguilds.com/qualifications-and-apprenticeships/construction/construction/6073-building-information-modelling" TargetMode="External"/><Relationship Id="rId78" Type="http://schemas.openxmlformats.org/officeDocument/2006/relationships/hyperlink" Target="https://www.cityandguilds.com/qualifications-and-apprenticeships/utilities/utilities/6038-safe-location-and-avoidance-of-underground-services" TargetMode="External"/><Relationship Id="rId81" Type="http://schemas.openxmlformats.org/officeDocument/2006/relationships/hyperlink" Target="http://www.cityandguilds.com/qualifications-and-apprenticeships/skills-for-work-and-life" TargetMode="External"/><Relationship Id="rId86" Type="http://schemas.openxmlformats.org/officeDocument/2006/relationships/hyperlink" Target="http://www.cityandguilds.com/qualifications-and-apprenticeships/construction/construction/6706-carpentry-and-joinery" TargetMode="External"/><Relationship Id="rId94" Type="http://schemas.openxmlformats.org/officeDocument/2006/relationships/hyperlink" Target="http://www.cityandguilds.com/qualifications-and-apprenticeships/engineering" TargetMode="External"/><Relationship Id="rId99" Type="http://schemas.microsoft.com/office/2011/relationships/people" Target="people.xml"/><Relationship Id="rId4" Type="http://schemas.openxmlformats.org/officeDocument/2006/relationships/customXml" Target="../customXml/item4.xml"/><Relationship Id="rId9"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hyperlink" Target="http://www.cityandguilds.com/qualifications-and-apprenticeships/construction/construction/6577-construction-site-supervision" TargetMode="External"/><Relationship Id="rId39" Type="http://schemas.openxmlformats.org/officeDocument/2006/relationships/hyperlink" Target="http://www.cityandguilds.com/what-we-offer/centres/improving-teaching-learning/learning-assist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CF48ADEDA63D446BC37400DAC5C283F" ma:contentTypeVersion="12" ma:contentTypeDescription="Create a new document." ma:contentTypeScope="" ma:versionID="c74feebcf92e5cf676bbe4aca34ef110">
  <xsd:schema xmlns:xsd="http://www.w3.org/2001/XMLSchema" xmlns:xs="http://www.w3.org/2001/XMLSchema" xmlns:p="http://schemas.microsoft.com/office/2006/metadata/properties" xmlns:ns3="e73a25dd-71fe-4869-a0bc-213349e201cd" targetNamespace="http://schemas.microsoft.com/office/2006/metadata/properties" ma:root="true" ma:fieldsID="93a916b6985f61ca2b4d715d2c894e2a" ns3:_="">
    <xsd:import namespace="e73a25dd-71fe-4869-a0bc-213349e201cd"/>
    <xsd:element name="properties">
      <xsd:complexType>
        <xsd:sequence>
          <xsd:element name="documentManagement">
            <xsd:complexType>
              <xsd:all>
                <xsd:element ref="ns3:SharedWithUsers" minOccurs="0"/>
                <xsd:element ref="ns3:SharedWithDetails" minOccurs="0"/>
                <xsd:element ref="ns3:SharingHintHash" minOccurs="0"/>
                <xsd:element ref="ns3:UniqueSourceRef" minOccurs="0"/>
                <xsd:element ref="ns3:FileHash" minOccurs="0"/>
                <xsd:element ref="ns3:CloudMigratorVersion" minOccurs="0"/>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73a25dd-71fe-4869-a0bc-213349e201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element name="UniqueSourceRef" ma:index="11" nillable="true" ma:displayName="UniqueSourceRef" ma:internalName="UniqueSourceRef">
      <xsd:simpleType>
        <xsd:restriction base="dms:Note">
          <xsd:maxLength value="255"/>
        </xsd:restriction>
      </xsd:simpleType>
    </xsd:element>
    <xsd:element name="FileHash" ma:index="12" nillable="true" ma:displayName="FileHash" ma:internalName="FileHash">
      <xsd:simpleType>
        <xsd:restriction base="dms:Note">
          <xsd:maxLength value="255"/>
        </xsd:restriction>
      </xsd:simpleType>
    </xsd:element>
    <xsd:element name="CloudMigratorVersion" ma:index="13" nillable="true" ma:displayName="CloudMigratorVersion" ma:internalName="CloudMigratorVersion">
      <xsd:simpleType>
        <xsd:restriction base="dms:Note">
          <xsd:maxLength value="255"/>
        </xsd:restriction>
      </xsd:simpleType>
    </xsd:element>
    <xsd:element name="MediaServiceMetadata" ma:index="14" nillable="true" ma:displayName="MediaServiceMetadata" ma:hidden="true" ma:internalName="MediaServiceMetadata" ma:readOnly="true">
      <xsd:simpleType>
        <xsd:restriction base="dms:Note"/>
      </xsd:simpleType>
    </xsd:element>
    <xsd:element name="MediaServiceFastMetadata" ma:index="15" nillable="true" ma:displayName="MediaServiceFastMetadata" ma:hidden="true" ma:internalName="MediaServiceFastMetadata" ma:readOnly="true">
      <xsd:simpleType>
        <xsd:restriction base="dms:Note"/>
      </xsd:simpleType>
    </xsd:element>
    <xsd:element name="MediaServiceDateTaken" ma:index="16" nillable="true" ma:displayName="MediaServiceDateTaken" ma:hidden="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Location" ma:index="19"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CloudMigratorVersion xmlns="e73a25dd-71fe-4869-a0bc-213349e201cd" xsi:nil="true"/>
    <UniqueSourceRef xmlns="e73a25dd-71fe-4869-a0bc-213349e201cd" xsi:nil="true"/>
    <FileHash xmlns="e73a25dd-71fe-4869-a0bc-213349e201cd"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F25868-7E46-4142-BB52-A0CE786A4302}">
  <ds:schemaRefs>
    <ds:schemaRef ds:uri="http://schemas.microsoft.com/sharepoint/v3/contenttype/forms"/>
  </ds:schemaRefs>
</ds:datastoreItem>
</file>

<file path=customXml/itemProps2.xml><?xml version="1.0" encoding="utf-8"?>
<ds:datastoreItem xmlns:ds="http://schemas.openxmlformats.org/officeDocument/2006/customXml" ds:itemID="{B02E60B5-2CBF-4737-A584-6EC878CCC8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73a25dd-71fe-4869-a0bc-213349e201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6D65112-54F0-41DF-9E10-4A7A9BE3DBC6}">
  <ds:schemaRefs>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e73a25dd-71fe-4869-a0bc-213349e201cd"/>
    <ds:schemaRef ds:uri="http://www.w3.org/XML/1998/namespace"/>
  </ds:schemaRefs>
</ds:datastoreItem>
</file>

<file path=customXml/itemProps4.xml><?xml version="1.0" encoding="utf-8"?>
<ds:datastoreItem xmlns:ds="http://schemas.openxmlformats.org/officeDocument/2006/customXml" ds:itemID="{7886E347-1641-4A3F-A3C7-01FFC6D697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6478</Words>
  <Characters>36928</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Hunt, Nathan</dc:creator>
  <cp:keywords/>
  <dc:description/>
  <cp:lastModifiedBy>Hunt, Nathan</cp:lastModifiedBy>
  <cp:revision>3</cp:revision>
  <dcterms:created xsi:type="dcterms:W3CDTF">2019-12-18T13:36:00Z</dcterms:created>
  <dcterms:modified xsi:type="dcterms:W3CDTF">2020-01-14T13:50:00Z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0x010100ECF48ADEDA63D446BC37400DAC5C283F</vt:lpwstr>
  </property>
</Properties>
</file>