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Arial"/>
        </w:rPr>
        <w:id w:val="-1315092382"/>
        <w:docPartObj>
          <w:docPartGallery w:val="Cover Pages"/>
          <w:docPartUnique/>
        </w:docPartObj>
      </w:sdtPr>
      <w:sdtContent>
        <w:p w14:paraId="5D131332" w14:textId="14D07659" w:rsidR="005E5602" w:rsidRDefault="005E5602" w:rsidP="00DC2736">
          <w:pPr>
            <w:spacing w:line="360" w:lineRule="auto"/>
            <w:jc w:val="center"/>
            <w:rPr>
              <w:rFonts w:cs="Arial"/>
              <w:b/>
              <w:sz w:val="32"/>
              <w:szCs w:val="32"/>
            </w:rPr>
          </w:pPr>
        </w:p>
        <w:p w14:paraId="50BA19D4" w14:textId="6BADE3F6" w:rsidR="00061D9A" w:rsidRPr="00F97AD2" w:rsidRDefault="00323F53" w:rsidP="008759BB">
          <w:pPr>
            <w:spacing w:line="360" w:lineRule="auto"/>
            <w:jc w:val="center"/>
            <w:rPr>
              <w:rFonts w:cs="Arial"/>
              <w:b/>
              <w:sz w:val="32"/>
              <w:szCs w:val="32"/>
            </w:rPr>
          </w:pPr>
          <w:r>
            <w:rPr>
              <w:rFonts w:cs="Arial"/>
              <w:b/>
              <w:sz w:val="32"/>
              <w:szCs w:val="32"/>
            </w:rPr>
            <w:t xml:space="preserve">Module code: </w:t>
          </w:r>
          <w:r w:rsidR="00DC2736">
            <w:rPr>
              <w:rFonts w:cs="Arial"/>
              <w:b/>
              <w:sz w:val="32"/>
              <w:szCs w:val="32"/>
            </w:rPr>
            <w:t>BMSW5102</w:t>
          </w:r>
        </w:p>
        <w:p w14:paraId="0E7DB907" w14:textId="4C3AF5B0" w:rsidR="00061D9A" w:rsidRDefault="00061D9A" w:rsidP="008759BB">
          <w:pPr>
            <w:spacing w:line="360" w:lineRule="auto"/>
            <w:jc w:val="center"/>
            <w:rPr>
              <w:rFonts w:cs="Arial"/>
              <w:b/>
              <w:sz w:val="32"/>
              <w:szCs w:val="32"/>
            </w:rPr>
          </w:pPr>
          <w:r w:rsidRPr="00F97AD2">
            <w:rPr>
              <w:rFonts w:cs="Arial"/>
              <w:b/>
              <w:sz w:val="32"/>
              <w:szCs w:val="32"/>
            </w:rPr>
            <w:t>Developing Relationships and Workplace Achievement</w:t>
          </w:r>
        </w:p>
        <w:p w14:paraId="6B7D7B42" w14:textId="78A6742B" w:rsidR="00DC2736" w:rsidRPr="00F97AD2" w:rsidRDefault="00DC2736" w:rsidP="00DC2736">
          <w:pPr>
            <w:spacing w:line="360" w:lineRule="auto"/>
            <w:jc w:val="center"/>
            <w:rPr>
              <w:rFonts w:cs="Arial"/>
              <w:b/>
              <w:sz w:val="32"/>
              <w:szCs w:val="32"/>
            </w:rPr>
          </w:pPr>
          <w:r w:rsidRPr="00F97AD2">
            <w:rPr>
              <w:rFonts w:cs="Arial"/>
              <w:b/>
              <w:sz w:val="32"/>
              <w:szCs w:val="32"/>
            </w:rPr>
            <w:t>Student Name</w:t>
          </w:r>
          <w:r w:rsidR="00323F53">
            <w:rPr>
              <w:rFonts w:cs="Arial"/>
              <w:b/>
              <w:sz w:val="32"/>
              <w:szCs w:val="32"/>
            </w:rPr>
            <w:t>: Andreea Oana Vlasceanu</w:t>
          </w:r>
        </w:p>
        <w:p w14:paraId="47EE889D" w14:textId="56F54437" w:rsidR="00DC2736" w:rsidRDefault="00DC2736" w:rsidP="00DC2736">
          <w:pPr>
            <w:spacing w:line="360" w:lineRule="auto"/>
            <w:jc w:val="center"/>
            <w:rPr>
              <w:rFonts w:cs="Arial"/>
              <w:b/>
              <w:sz w:val="32"/>
              <w:szCs w:val="32"/>
            </w:rPr>
          </w:pPr>
          <w:r w:rsidRPr="00F97AD2">
            <w:rPr>
              <w:rFonts w:cs="Arial"/>
              <w:b/>
              <w:sz w:val="32"/>
              <w:szCs w:val="32"/>
            </w:rPr>
            <w:t>Student Number</w:t>
          </w:r>
          <w:r w:rsidR="00323F53">
            <w:rPr>
              <w:rFonts w:cs="Arial"/>
              <w:b/>
              <w:sz w:val="32"/>
              <w:szCs w:val="32"/>
            </w:rPr>
            <w:t>: 2108084</w:t>
          </w:r>
        </w:p>
        <w:p w14:paraId="2340B2B1" w14:textId="77777777" w:rsidR="00DC2736" w:rsidRPr="00F97AD2" w:rsidRDefault="00DC2736" w:rsidP="00DC2736">
          <w:pPr>
            <w:spacing w:line="360" w:lineRule="auto"/>
            <w:jc w:val="center"/>
            <w:rPr>
              <w:rFonts w:cs="Arial"/>
              <w:b/>
              <w:sz w:val="32"/>
              <w:szCs w:val="32"/>
            </w:rPr>
          </w:pPr>
        </w:p>
        <w:p w14:paraId="3D56ACB8" w14:textId="652DC3A1" w:rsidR="0094612F" w:rsidRPr="00F97AD2" w:rsidRDefault="00262DFB" w:rsidP="008759BB">
          <w:pPr>
            <w:spacing w:line="360" w:lineRule="auto"/>
            <w:jc w:val="center"/>
            <w:rPr>
              <w:rFonts w:cs="Arial"/>
            </w:rPr>
          </w:pPr>
          <w:r w:rsidRPr="00F97AD2">
            <w:rPr>
              <w:rFonts w:cs="Arial"/>
              <w:noProof/>
              <w:lang w:eastAsia="en-GB"/>
            </w:rPr>
            <mc:AlternateContent>
              <mc:Choice Requires="wps">
                <w:drawing>
                  <wp:anchor distT="0" distB="0" distL="114300" distR="114300" simplePos="0" relativeHeight="251658752" behindDoc="0" locked="0" layoutInCell="1" allowOverlap="1" wp14:anchorId="77815A9F" wp14:editId="08C73A28">
                    <wp:simplePos x="0" y="0"/>
                    <wp:positionH relativeFrom="margin">
                      <wp:align>center</wp:align>
                    </wp:positionH>
                    <wp:positionV relativeFrom="page">
                      <wp:posOffset>7971155</wp:posOffset>
                    </wp:positionV>
                    <wp:extent cx="7315200" cy="139065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390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4E2D81" w14:textId="089C3374" w:rsidR="00262DFB" w:rsidRPr="00262DFB" w:rsidRDefault="00262DFB" w:rsidP="00262DFB">
                                <w:pPr>
                                  <w:pStyle w:val="NoSpacing"/>
                                  <w:spacing w:line="276" w:lineRule="auto"/>
                                  <w:jc w:val="right"/>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7815A9F" id="_x0000_t202" coordsize="21600,21600" o:spt="202" path="m,l,21600r21600,l21600,xe">
                    <v:stroke joinstyle="miter"/>
                    <v:path gradientshapeok="t" o:connecttype="rect"/>
                  </v:shapetype>
                  <v:shape id="Text Box 152" o:spid="_x0000_s1026" type="#_x0000_t202" style="position:absolute;left:0;text-align:left;margin-left:0;margin-top:627.65pt;width:8in;height:109.5pt;z-index:251658752;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" filled="f" stroked="f" strokeweight=".5pt">
                    <v:textbox inset="126pt,0,54pt,0">
                      <w:txbxContent>
                        <w:p w14:paraId="104E2D81" w14:textId="089C3374" w:rsidR="00262DFB" w:rsidRPr="00262DFB" w:rsidRDefault="00262DFB" w:rsidP="00262DFB">
                          <w:pPr>
                            <w:pStyle w:val="NoSpacing"/>
                            <w:spacing w:line="276" w:lineRule="auto"/>
                            <w:jc w:val="right"/>
                            <w:rPr>
                              <w:color w:val="595959" w:themeColor="text1" w:themeTint="A6"/>
                              <w:sz w:val="28"/>
                              <w:szCs w:val="28"/>
                            </w:rPr>
                          </w:pPr>
                        </w:p>
                      </w:txbxContent>
                    </v:textbox>
                    <w10:wrap type="square" anchorx="margin" anchory="page"/>
                  </v:shape>
                </w:pict>
              </mc:Fallback>
            </mc:AlternateContent>
          </w:r>
          <w:r w:rsidRPr="00F97AD2">
            <w:rPr>
              <w:rFonts w:cs="Arial"/>
            </w:rPr>
            <w:br w:type="page"/>
          </w:r>
        </w:p>
        <w:p w14:paraId="744C586B" w14:textId="77777777" w:rsidR="00700C2B" w:rsidRPr="00F97AD2" w:rsidRDefault="00700C2B" w:rsidP="008759BB">
          <w:pPr>
            <w:spacing w:line="360" w:lineRule="auto"/>
            <w:jc w:val="center"/>
            <w:rPr>
              <w:rFonts w:cs="Arial"/>
              <w:b/>
              <w:sz w:val="24"/>
              <w:szCs w:val="24"/>
            </w:rPr>
          </w:pPr>
        </w:p>
        <w:p w14:paraId="2FE8F6E2" w14:textId="77777777" w:rsidR="00700C2B" w:rsidRPr="00F97AD2" w:rsidRDefault="00700C2B" w:rsidP="008759BB">
          <w:pPr>
            <w:spacing w:line="360" w:lineRule="auto"/>
            <w:jc w:val="center"/>
            <w:rPr>
              <w:rFonts w:cs="Arial"/>
              <w:b/>
              <w:sz w:val="24"/>
              <w:szCs w:val="24"/>
            </w:rPr>
          </w:pPr>
        </w:p>
        <w:p w14:paraId="1754193E" w14:textId="77777777" w:rsidR="00700C2B" w:rsidRPr="00F97AD2" w:rsidRDefault="00700C2B" w:rsidP="008759BB">
          <w:pPr>
            <w:spacing w:line="360" w:lineRule="auto"/>
            <w:jc w:val="center"/>
            <w:rPr>
              <w:rFonts w:cs="Arial"/>
              <w:b/>
              <w:sz w:val="24"/>
              <w:szCs w:val="24"/>
            </w:rPr>
          </w:pPr>
        </w:p>
        <w:p w14:paraId="1B669542" w14:textId="56D5FAAA" w:rsidR="0094612F" w:rsidRPr="005F365C" w:rsidRDefault="001677B3" w:rsidP="005F365C">
          <w:pPr>
            <w:pStyle w:val="Heading1"/>
            <w:rPr>
              <w:b/>
            </w:rPr>
          </w:pPr>
          <w:r w:rsidRPr="005F365C">
            <w:rPr>
              <w:b/>
            </w:rPr>
            <w:t>Abstract</w:t>
          </w:r>
        </w:p>
        <w:p w14:paraId="0564FF20" w14:textId="77777777" w:rsidR="001677B3" w:rsidRPr="00F97AD2" w:rsidRDefault="001677B3" w:rsidP="008759BB">
          <w:pPr>
            <w:spacing w:line="360" w:lineRule="auto"/>
            <w:rPr>
              <w:rFonts w:cs="Arial"/>
              <w:b/>
              <w:sz w:val="24"/>
              <w:szCs w:val="24"/>
            </w:rPr>
          </w:pPr>
        </w:p>
        <w:p w14:paraId="25840D51" w14:textId="4378ABA4" w:rsidR="0094612F" w:rsidRPr="00F97AD2" w:rsidRDefault="0094612F" w:rsidP="008759BB">
          <w:pPr>
            <w:spacing w:line="360" w:lineRule="auto"/>
            <w:rPr>
              <w:rFonts w:cs="Arial"/>
            </w:rPr>
          </w:pPr>
          <w:r w:rsidRPr="00F97AD2">
            <w:rPr>
              <w:rFonts w:cs="Arial"/>
            </w:rPr>
            <w:t>The goal of this report is to give a critical analysis of how the HR department helped the oil and gas companies Rosneft and Essar Oil merge and buy each other. The report starts by pointing out the most important institutional and cultural differences between Russia and India, as well as the problems that these differences could cause in the merger and acquisition process. The report then highlights the role of International Human Resource Management (IHRM) in implementing effective mergers and acquisitions at both pre-merger and post-merger stages. At the end of the report, the board of directors are given key suggestions for how to handle the HR parts of the merger and acquisition process. Key findings show that cultural differences can cause big problems during the integration process and that the success of the merger and acquisition will depend heavily on how well the HR department can deal with these differences and manage the workforce during the transition period. The report recommends that the HR department should be involved in the merger and acquisition process from the early stages to ensure a smooth transition and effective integration of the two companies' cultures and systems.</w:t>
          </w:r>
        </w:p>
        <w:p w14:paraId="490CCD41" w14:textId="77777777" w:rsidR="0094612F" w:rsidRPr="00F97AD2" w:rsidRDefault="0094612F" w:rsidP="008759BB">
          <w:pPr>
            <w:spacing w:line="360" w:lineRule="auto"/>
            <w:rPr>
              <w:rFonts w:cs="Arial"/>
            </w:rPr>
          </w:pPr>
        </w:p>
        <w:p w14:paraId="0B2B02BE" w14:textId="77777777" w:rsidR="0094612F" w:rsidRPr="00F97AD2" w:rsidRDefault="0094612F" w:rsidP="008759BB">
          <w:pPr>
            <w:spacing w:line="360" w:lineRule="auto"/>
            <w:rPr>
              <w:rFonts w:cs="Arial"/>
            </w:rPr>
          </w:pPr>
        </w:p>
        <w:p w14:paraId="0C14FB7C" w14:textId="77777777" w:rsidR="0094612F" w:rsidRPr="00F97AD2" w:rsidRDefault="0094612F" w:rsidP="008759BB">
          <w:pPr>
            <w:spacing w:line="360" w:lineRule="auto"/>
            <w:rPr>
              <w:rFonts w:cs="Arial"/>
            </w:rPr>
          </w:pPr>
        </w:p>
        <w:p w14:paraId="1C0069F7" w14:textId="77777777" w:rsidR="0094612F" w:rsidRPr="00F97AD2" w:rsidRDefault="0094612F" w:rsidP="008759BB">
          <w:pPr>
            <w:spacing w:line="360" w:lineRule="auto"/>
            <w:rPr>
              <w:rFonts w:cs="Arial"/>
            </w:rPr>
          </w:pPr>
        </w:p>
        <w:p w14:paraId="1EADD9D8" w14:textId="77777777" w:rsidR="0094612F" w:rsidRPr="00F97AD2" w:rsidRDefault="0094612F" w:rsidP="008759BB">
          <w:pPr>
            <w:spacing w:line="360" w:lineRule="auto"/>
            <w:rPr>
              <w:rFonts w:cs="Arial"/>
            </w:rPr>
          </w:pPr>
        </w:p>
        <w:p w14:paraId="56EDD8C2" w14:textId="77777777" w:rsidR="0094612F" w:rsidRPr="00F97AD2" w:rsidRDefault="0094612F" w:rsidP="008759BB">
          <w:pPr>
            <w:spacing w:line="360" w:lineRule="auto"/>
            <w:rPr>
              <w:rFonts w:cs="Arial"/>
            </w:rPr>
          </w:pPr>
        </w:p>
        <w:p w14:paraId="7DA174DF" w14:textId="77777777" w:rsidR="0094612F" w:rsidRPr="00F97AD2" w:rsidRDefault="0094612F" w:rsidP="008759BB">
          <w:pPr>
            <w:spacing w:line="360" w:lineRule="auto"/>
            <w:rPr>
              <w:rFonts w:cs="Arial"/>
            </w:rPr>
          </w:pPr>
        </w:p>
        <w:p w14:paraId="360D8C84" w14:textId="77777777" w:rsidR="0094612F" w:rsidRPr="00F97AD2" w:rsidRDefault="0094612F" w:rsidP="008759BB">
          <w:pPr>
            <w:spacing w:line="360" w:lineRule="auto"/>
            <w:rPr>
              <w:rFonts w:cs="Arial"/>
            </w:rPr>
          </w:pPr>
        </w:p>
        <w:p w14:paraId="40D48762" w14:textId="77777777" w:rsidR="0094612F" w:rsidRPr="00F97AD2" w:rsidRDefault="0094612F" w:rsidP="008759BB">
          <w:pPr>
            <w:spacing w:line="360" w:lineRule="auto"/>
            <w:rPr>
              <w:rFonts w:cs="Arial"/>
            </w:rPr>
          </w:pPr>
        </w:p>
        <w:p w14:paraId="05B2263C" w14:textId="403DFF9D" w:rsidR="00987BA5" w:rsidRPr="00F97AD2" w:rsidRDefault="00000000" w:rsidP="008759BB">
          <w:pPr>
            <w:spacing w:line="360" w:lineRule="auto"/>
            <w:rPr>
              <w:rFonts w:cs="Arial"/>
            </w:rPr>
          </w:pPr>
        </w:p>
      </w:sdtContent>
    </w:sdt>
    <w:p w14:paraId="72BD9423" w14:textId="6B24B07C" w:rsidR="00262DFB" w:rsidRPr="00F97AD2" w:rsidRDefault="00262DFB" w:rsidP="008759BB">
      <w:pPr>
        <w:spacing w:line="360" w:lineRule="auto"/>
        <w:rPr>
          <w:rFonts w:eastAsiaTheme="majorEastAsia" w:cs="Arial"/>
          <w:lang w:val="en-US"/>
        </w:rPr>
      </w:pPr>
    </w:p>
    <w:sdt>
      <w:sdtPr>
        <w:rPr>
          <w:rFonts w:eastAsiaTheme="minorHAnsi" w:cs="Arial"/>
          <w:sz w:val="22"/>
          <w:szCs w:val="22"/>
          <w:lang w:val="en-GB"/>
        </w:rPr>
        <w:id w:val="173001647"/>
        <w:docPartObj>
          <w:docPartGallery w:val="Table of Contents"/>
          <w:docPartUnique/>
        </w:docPartObj>
      </w:sdtPr>
      <w:sdtEndPr>
        <w:rPr>
          <w:b/>
          <w:bCs/>
          <w:noProof/>
        </w:rPr>
      </w:sdtEndPr>
      <w:sdtContent>
        <w:p w14:paraId="065B6E8D" w14:textId="49AFA79A" w:rsidR="00262DFB" w:rsidRPr="00F97AD2" w:rsidRDefault="00262DFB" w:rsidP="008759BB">
          <w:pPr>
            <w:pStyle w:val="TOCHeading"/>
            <w:spacing w:line="360" w:lineRule="auto"/>
            <w:rPr>
              <w:rFonts w:cs="Arial"/>
              <w:b/>
            </w:rPr>
          </w:pPr>
          <w:r w:rsidRPr="00F97AD2">
            <w:rPr>
              <w:rFonts w:cs="Arial"/>
              <w:b/>
            </w:rPr>
            <w:t>Table of Contents</w:t>
          </w:r>
        </w:p>
        <w:p w14:paraId="7DBE3963" w14:textId="77777777" w:rsidR="00496216" w:rsidRPr="00F97AD2" w:rsidRDefault="00262DFB" w:rsidP="008759BB">
          <w:pPr>
            <w:pStyle w:val="TOC1"/>
            <w:tabs>
              <w:tab w:val="right" w:leader="dot" w:pos="9016"/>
            </w:tabs>
            <w:spacing w:line="360" w:lineRule="auto"/>
            <w:rPr>
              <w:rFonts w:eastAsiaTheme="minorEastAsia" w:cs="Arial"/>
              <w:noProof/>
              <w:lang w:val="en-US"/>
            </w:rPr>
          </w:pPr>
          <w:r w:rsidRPr="00F97AD2">
            <w:rPr>
              <w:rFonts w:cs="Arial"/>
            </w:rPr>
            <w:fldChar w:fldCharType="begin"/>
          </w:r>
          <w:r w:rsidRPr="00F97AD2">
            <w:rPr>
              <w:rFonts w:cs="Arial"/>
            </w:rPr>
            <w:instrText xml:space="preserve"> TOC \o "1-3" \h \z \u </w:instrText>
          </w:r>
          <w:r w:rsidRPr="00F97AD2">
            <w:rPr>
              <w:rFonts w:cs="Arial"/>
            </w:rPr>
            <w:fldChar w:fldCharType="separate"/>
          </w:r>
          <w:hyperlink w:anchor="_Toc129466628" w:history="1">
            <w:r w:rsidR="00496216" w:rsidRPr="00F97AD2">
              <w:rPr>
                <w:rStyle w:val="Hyperlink"/>
                <w:rFonts w:cs="Arial"/>
                <w:noProof/>
                <w:color w:val="auto"/>
              </w:rPr>
              <w:t>1. Introduction</w:t>
            </w:r>
            <w:r w:rsidR="00496216" w:rsidRPr="00F97AD2">
              <w:rPr>
                <w:rFonts w:cs="Arial"/>
                <w:noProof/>
                <w:webHidden/>
              </w:rPr>
              <w:tab/>
            </w:r>
            <w:r w:rsidR="00496216" w:rsidRPr="00F97AD2">
              <w:rPr>
                <w:rFonts w:cs="Arial"/>
                <w:noProof/>
                <w:webHidden/>
              </w:rPr>
              <w:fldChar w:fldCharType="begin"/>
            </w:r>
            <w:r w:rsidR="00496216" w:rsidRPr="00F97AD2">
              <w:rPr>
                <w:rFonts w:cs="Arial"/>
                <w:noProof/>
                <w:webHidden/>
              </w:rPr>
              <w:instrText xml:space="preserve"> PAGEREF _Toc129466628 \h </w:instrText>
            </w:r>
            <w:r w:rsidR="00496216" w:rsidRPr="00F97AD2">
              <w:rPr>
                <w:rFonts w:cs="Arial"/>
                <w:noProof/>
                <w:webHidden/>
              </w:rPr>
            </w:r>
            <w:r w:rsidR="00496216" w:rsidRPr="00F97AD2">
              <w:rPr>
                <w:rFonts w:cs="Arial"/>
                <w:noProof/>
                <w:webHidden/>
              </w:rPr>
              <w:fldChar w:fldCharType="separate"/>
            </w:r>
            <w:r w:rsidR="00962CED">
              <w:rPr>
                <w:rFonts w:cs="Arial"/>
                <w:noProof/>
                <w:webHidden/>
              </w:rPr>
              <w:t>1</w:t>
            </w:r>
            <w:r w:rsidR="00496216" w:rsidRPr="00F97AD2">
              <w:rPr>
                <w:rFonts w:cs="Arial"/>
                <w:noProof/>
                <w:webHidden/>
              </w:rPr>
              <w:fldChar w:fldCharType="end"/>
            </w:r>
          </w:hyperlink>
        </w:p>
        <w:p w14:paraId="05AC80AF" w14:textId="77777777" w:rsidR="00496216" w:rsidRPr="00F97AD2" w:rsidRDefault="00000000" w:rsidP="008759BB">
          <w:pPr>
            <w:pStyle w:val="TOC1"/>
            <w:tabs>
              <w:tab w:val="right" w:leader="dot" w:pos="9016"/>
            </w:tabs>
            <w:spacing w:line="360" w:lineRule="auto"/>
            <w:rPr>
              <w:rFonts w:eastAsiaTheme="minorEastAsia" w:cs="Arial"/>
              <w:noProof/>
              <w:lang w:val="en-US"/>
            </w:rPr>
          </w:pPr>
          <w:hyperlink w:anchor="_Toc129466629" w:history="1">
            <w:r w:rsidR="00496216" w:rsidRPr="00F97AD2">
              <w:rPr>
                <w:rStyle w:val="Hyperlink"/>
                <w:rFonts w:cs="Arial"/>
                <w:noProof/>
                <w:color w:val="auto"/>
              </w:rPr>
              <w:t>2. Cultural and Institutional Issues in International HRM: Russia vs. India</w:t>
            </w:r>
            <w:r w:rsidR="00496216" w:rsidRPr="00F97AD2">
              <w:rPr>
                <w:rFonts w:cs="Arial"/>
                <w:noProof/>
                <w:webHidden/>
              </w:rPr>
              <w:tab/>
            </w:r>
            <w:r w:rsidR="00496216" w:rsidRPr="00F97AD2">
              <w:rPr>
                <w:rFonts w:cs="Arial"/>
                <w:noProof/>
                <w:webHidden/>
              </w:rPr>
              <w:fldChar w:fldCharType="begin"/>
            </w:r>
            <w:r w:rsidR="00496216" w:rsidRPr="00F97AD2">
              <w:rPr>
                <w:rFonts w:cs="Arial"/>
                <w:noProof/>
                <w:webHidden/>
              </w:rPr>
              <w:instrText xml:space="preserve"> PAGEREF _Toc129466629 \h </w:instrText>
            </w:r>
            <w:r w:rsidR="00496216" w:rsidRPr="00F97AD2">
              <w:rPr>
                <w:rFonts w:cs="Arial"/>
                <w:noProof/>
                <w:webHidden/>
              </w:rPr>
            </w:r>
            <w:r w:rsidR="00496216" w:rsidRPr="00F97AD2">
              <w:rPr>
                <w:rFonts w:cs="Arial"/>
                <w:noProof/>
                <w:webHidden/>
              </w:rPr>
              <w:fldChar w:fldCharType="separate"/>
            </w:r>
            <w:r w:rsidR="00962CED">
              <w:rPr>
                <w:rFonts w:cs="Arial"/>
                <w:noProof/>
                <w:webHidden/>
              </w:rPr>
              <w:t>1</w:t>
            </w:r>
            <w:r w:rsidR="00496216" w:rsidRPr="00F97AD2">
              <w:rPr>
                <w:rFonts w:cs="Arial"/>
                <w:noProof/>
                <w:webHidden/>
              </w:rPr>
              <w:fldChar w:fldCharType="end"/>
            </w:r>
          </w:hyperlink>
        </w:p>
        <w:p w14:paraId="0E12203E" w14:textId="77777777" w:rsidR="00496216" w:rsidRPr="00F97AD2" w:rsidRDefault="00000000" w:rsidP="008759BB">
          <w:pPr>
            <w:pStyle w:val="TOC2"/>
            <w:tabs>
              <w:tab w:val="right" w:leader="dot" w:pos="9016"/>
            </w:tabs>
            <w:spacing w:line="360" w:lineRule="auto"/>
            <w:rPr>
              <w:rFonts w:eastAsiaTheme="minorEastAsia" w:cs="Arial"/>
              <w:noProof/>
              <w:lang w:val="en-US"/>
            </w:rPr>
          </w:pPr>
          <w:hyperlink w:anchor="_Toc129466631" w:history="1">
            <w:r w:rsidR="00496216" w:rsidRPr="00F97AD2">
              <w:rPr>
                <w:rStyle w:val="Hyperlink"/>
                <w:rFonts w:cs="Arial"/>
                <w:noProof/>
                <w:color w:val="auto"/>
              </w:rPr>
              <w:t>2.1 Cultural Analysis of Russia and India</w:t>
            </w:r>
            <w:r w:rsidR="00496216" w:rsidRPr="00F97AD2">
              <w:rPr>
                <w:rFonts w:cs="Arial"/>
                <w:noProof/>
                <w:webHidden/>
              </w:rPr>
              <w:tab/>
            </w:r>
            <w:r w:rsidR="00496216" w:rsidRPr="00F97AD2">
              <w:rPr>
                <w:rFonts w:cs="Arial"/>
                <w:noProof/>
                <w:webHidden/>
              </w:rPr>
              <w:fldChar w:fldCharType="begin"/>
            </w:r>
            <w:r w:rsidR="00496216" w:rsidRPr="00F97AD2">
              <w:rPr>
                <w:rFonts w:cs="Arial"/>
                <w:noProof/>
                <w:webHidden/>
              </w:rPr>
              <w:instrText xml:space="preserve"> PAGEREF _Toc129466631 \h </w:instrText>
            </w:r>
            <w:r w:rsidR="00496216" w:rsidRPr="00F97AD2">
              <w:rPr>
                <w:rFonts w:cs="Arial"/>
                <w:noProof/>
                <w:webHidden/>
              </w:rPr>
            </w:r>
            <w:r w:rsidR="00496216" w:rsidRPr="00F97AD2">
              <w:rPr>
                <w:rFonts w:cs="Arial"/>
                <w:noProof/>
                <w:webHidden/>
              </w:rPr>
              <w:fldChar w:fldCharType="separate"/>
            </w:r>
            <w:r w:rsidR="00962CED">
              <w:rPr>
                <w:rFonts w:cs="Arial"/>
                <w:noProof/>
                <w:webHidden/>
              </w:rPr>
              <w:t>2</w:t>
            </w:r>
            <w:r w:rsidR="00496216" w:rsidRPr="00F97AD2">
              <w:rPr>
                <w:rFonts w:cs="Arial"/>
                <w:noProof/>
                <w:webHidden/>
              </w:rPr>
              <w:fldChar w:fldCharType="end"/>
            </w:r>
          </w:hyperlink>
        </w:p>
        <w:p w14:paraId="317C0F32" w14:textId="77777777" w:rsidR="00496216" w:rsidRPr="00F97AD2" w:rsidRDefault="00000000" w:rsidP="008759BB">
          <w:pPr>
            <w:pStyle w:val="TOC2"/>
            <w:tabs>
              <w:tab w:val="right" w:leader="dot" w:pos="9016"/>
            </w:tabs>
            <w:spacing w:line="360" w:lineRule="auto"/>
            <w:rPr>
              <w:rFonts w:eastAsiaTheme="minorEastAsia" w:cs="Arial"/>
              <w:noProof/>
              <w:lang w:val="en-US"/>
            </w:rPr>
          </w:pPr>
          <w:hyperlink w:anchor="_Toc129466634" w:history="1">
            <w:r w:rsidR="00496216" w:rsidRPr="00F97AD2">
              <w:rPr>
                <w:rStyle w:val="Hyperlink"/>
                <w:rFonts w:cs="Arial"/>
                <w:noProof/>
                <w:color w:val="auto"/>
              </w:rPr>
              <w:t>2.2 Institutional Approach to IHRM and its Impact to Russia and India</w:t>
            </w:r>
            <w:r w:rsidR="00496216" w:rsidRPr="00F97AD2">
              <w:rPr>
                <w:rFonts w:cs="Arial"/>
                <w:noProof/>
                <w:webHidden/>
              </w:rPr>
              <w:tab/>
            </w:r>
            <w:r w:rsidR="00496216" w:rsidRPr="00F97AD2">
              <w:rPr>
                <w:rFonts w:cs="Arial"/>
                <w:noProof/>
                <w:webHidden/>
              </w:rPr>
              <w:fldChar w:fldCharType="begin"/>
            </w:r>
            <w:r w:rsidR="00496216" w:rsidRPr="00F97AD2">
              <w:rPr>
                <w:rFonts w:cs="Arial"/>
                <w:noProof/>
                <w:webHidden/>
              </w:rPr>
              <w:instrText xml:space="preserve"> PAGEREF _Toc129466634 \h </w:instrText>
            </w:r>
            <w:r w:rsidR="00496216" w:rsidRPr="00F97AD2">
              <w:rPr>
                <w:rFonts w:cs="Arial"/>
                <w:noProof/>
                <w:webHidden/>
              </w:rPr>
            </w:r>
            <w:r w:rsidR="00496216" w:rsidRPr="00F97AD2">
              <w:rPr>
                <w:rFonts w:cs="Arial"/>
                <w:noProof/>
                <w:webHidden/>
              </w:rPr>
              <w:fldChar w:fldCharType="separate"/>
            </w:r>
            <w:r w:rsidR="00962CED">
              <w:rPr>
                <w:rFonts w:cs="Arial"/>
                <w:noProof/>
                <w:webHidden/>
              </w:rPr>
              <w:t>3</w:t>
            </w:r>
            <w:r w:rsidR="00496216" w:rsidRPr="00F97AD2">
              <w:rPr>
                <w:rFonts w:cs="Arial"/>
                <w:noProof/>
                <w:webHidden/>
              </w:rPr>
              <w:fldChar w:fldCharType="end"/>
            </w:r>
          </w:hyperlink>
        </w:p>
        <w:p w14:paraId="7F5FB618" w14:textId="77777777" w:rsidR="00496216" w:rsidRPr="00F97AD2" w:rsidRDefault="00000000" w:rsidP="008759BB">
          <w:pPr>
            <w:pStyle w:val="TOC1"/>
            <w:tabs>
              <w:tab w:val="right" w:leader="dot" w:pos="9016"/>
            </w:tabs>
            <w:spacing w:line="360" w:lineRule="auto"/>
            <w:rPr>
              <w:rFonts w:eastAsiaTheme="minorEastAsia" w:cs="Arial"/>
              <w:noProof/>
              <w:lang w:val="en-US"/>
            </w:rPr>
          </w:pPr>
          <w:hyperlink w:anchor="_Toc129466635" w:history="1">
            <w:r w:rsidR="00496216" w:rsidRPr="00F97AD2">
              <w:rPr>
                <w:rStyle w:val="Hyperlink"/>
                <w:rFonts w:cs="Arial"/>
                <w:noProof/>
                <w:color w:val="auto"/>
              </w:rPr>
              <w:t>3. International HRM and M&amp;As: Suggestions for Effective Integration</w:t>
            </w:r>
            <w:r w:rsidR="00496216" w:rsidRPr="00F97AD2">
              <w:rPr>
                <w:rFonts w:cs="Arial"/>
                <w:noProof/>
                <w:webHidden/>
              </w:rPr>
              <w:tab/>
            </w:r>
            <w:r w:rsidR="00496216" w:rsidRPr="00F97AD2">
              <w:rPr>
                <w:rFonts w:cs="Arial"/>
                <w:noProof/>
                <w:webHidden/>
              </w:rPr>
              <w:fldChar w:fldCharType="begin"/>
            </w:r>
            <w:r w:rsidR="00496216" w:rsidRPr="00F97AD2">
              <w:rPr>
                <w:rFonts w:cs="Arial"/>
                <w:noProof/>
                <w:webHidden/>
              </w:rPr>
              <w:instrText xml:space="preserve"> PAGEREF _Toc129466635 \h </w:instrText>
            </w:r>
            <w:r w:rsidR="00496216" w:rsidRPr="00F97AD2">
              <w:rPr>
                <w:rFonts w:cs="Arial"/>
                <w:noProof/>
                <w:webHidden/>
              </w:rPr>
            </w:r>
            <w:r w:rsidR="00496216" w:rsidRPr="00F97AD2">
              <w:rPr>
                <w:rFonts w:cs="Arial"/>
                <w:noProof/>
                <w:webHidden/>
              </w:rPr>
              <w:fldChar w:fldCharType="separate"/>
            </w:r>
            <w:r w:rsidR="00962CED">
              <w:rPr>
                <w:rFonts w:cs="Arial"/>
                <w:noProof/>
                <w:webHidden/>
              </w:rPr>
              <w:t>4</w:t>
            </w:r>
            <w:r w:rsidR="00496216" w:rsidRPr="00F97AD2">
              <w:rPr>
                <w:rFonts w:cs="Arial"/>
                <w:noProof/>
                <w:webHidden/>
              </w:rPr>
              <w:fldChar w:fldCharType="end"/>
            </w:r>
          </w:hyperlink>
        </w:p>
        <w:p w14:paraId="15D9BB1F" w14:textId="77777777" w:rsidR="00496216" w:rsidRPr="00F97AD2" w:rsidRDefault="00000000" w:rsidP="008759BB">
          <w:pPr>
            <w:pStyle w:val="TOC2"/>
            <w:tabs>
              <w:tab w:val="right" w:leader="dot" w:pos="9016"/>
            </w:tabs>
            <w:spacing w:line="360" w:lineRule="auto"/>
            <w:rPr>
              <w:rFonts w:eastAsiaTheme="minorEastAsia" w:cs="Arial"/>
              <w:noProof/>
              <w:lang w:val="en-US"/>
            </w:rPr>
          </w:pPr>
          <w:hyperlink w:anchor="_Toc129466636" w:history="1">
            <w:r w:rsidR="00496216" w:rsidRPr="00F97AD2">
              <w:rPr>
                <w:rStyle w:val="Hyperlink"/>
                <w:rFonts w:cs="Arial"/>
                <w:noProof/>
                <w:color w:val="auto"/>
              </w:rPr>
              <w:t>3.1 The Purpose of M&amp;A and the Integration Plan</w:t>
            </w:r>
            <w:r w:rsidR="00496216" w:rsidRPr="00F97AD2">
              <w:rPr>
                <w:rFonts w:cs="Arial"/>
                <w:noProof/>
                <w:webHidden/>
              </w:rPr>
              <w:tab/>
            </w:r>
            <w:r w:rsidR="00496216" w:rsidRPr="00F97AD2">
              <w:rPr>
                <w:rFonts w:cs="Arial"/>
                <w:noProof/>
                <w:webHidden/>
              </w:rPr>
              <w:fldChar w:fldCharType="begin"/>
            </w:r>
            <w:r w:rsidR="00496216" w:rsidRPr="00F97AD2">
              <w:rPr>
                <w:rFonts w:cs="Arial"/>
                <w:noProof/>
                <w:webHidden/>
              </w:rPr>
              <w:instrText xml:space="preserve"> PAGEREF _Toc129466636 \h </w:instrText>
            </w:r>
            <w:r w:rsidR="00496216" w:rsidRPr="00F97AD2">
              <w:rPr>
                <w:rFonts w:cs="Arial"/>
                <w:noProof/>
                <w:webHidden/>
              </w:rPr>
            </w:r>
            <w:r w:rsidR="00496216" w:rsidRPr="00F97AD2">
              <w:rPr>
                <w:rFonts w:cs="Arial"/>
                <w:noProof/>
                <w:webHidden/>
              </w:rPr>
              <w:fldChar w:fldCharType="separate"/>
            </w:r>
            <w:r w:rsidR="00962CED">
              <w:rPr>
                <w:rFonts w:cs="Arial"/>
                <w:noProof/>
                <w:webHidden/>
              </w:rPr>
              <w:t>4</w:t>
            </w:r>
            <w:r w:rsidR="00496216" w:rsidRPr="00F97AD2">
              <w:rPr>
                <w:rFonts w:cs="Arial"/>
                <w:noProof/>
                <w:webHidden/>
              </w:rPr>
              <w:fldChar w:fldCharType="end"/>
            </w:r>
          </w:hyperlink>
        </w:p>
        <w:p w14:paraId="5CEC463D" w14:textId="77777777" w:rsidR="00496216" w:rsidRPr="00F97AD2" w:rsidRDefault="00000000" w:rsidP="008759BB">
          <w:pPr>
            <w:pStyle w:val="TOC2"/>
            <w:tabs>
              <w:tab w:val="right" w:leader="dot" w:pos="9016"/>
            </w:tabs>
            <w:spacing w:line="360" w:lineRule="auto"/>
            <w:rPr>
              <w:rFonts w:eastAsiaTheme="minorEastAsia" w:cs="Arial"/>
              <w:noProof/>
              <w:lang w:val="en-US"/>
            </w:rPr>
          </w:pPr>
          <w:hyperlink w:anchor="_Toc129466637" w:history="1">
            <w:r w:rsidR="00496216" w:rsidRPr="00F97AD2">
              <w:rPr>
                <w:rStyle w:val="Hyperlink"/>
                <w:rFonts w:cs="Arial"/>
                <w:noProof/>
                <w:color w:val="auto"/>
              </w:rPr>
              <w:t>3.2 IHRM's contribution to efficient M&amp;A implementation</w:t>
            </w:r>
            <w:r w:rsidR="00496216" w:rsidRPr="00F97AD2">
              <w:rPr>
                <w:rFonts w:cs="Arial"/>
                <w:noProof/>
                <w:webHidden/>
              </w:rPr>
              <w:tab/>
            </w:r>
            <w:r w:rsidR="00496216" w:rsidRPr="00F97AD2">
              <w:rPr>
                <w:rFonts w:cs="Arial"/>
                <w:noProof/>
                <w:webHidden/>
              </w:rPr>
              <w:fldChar w:fldCharType="begin"/>
            </w:r>
            <w:r w:rsidR="00496216" w:rsidRPr="00F97AD2">
              <w:rPr>
                <w:rFonts w:cs="Arial"/>
                <w:noProof/>
                <w:webHidden/>
              </w:rPr>
              <w:instrText xml:space="preserve"> PAGEREF _Toc129466637 \h </w:instrText>
            </w:r>
            <w:r w:rsidR="00496216" w:rsidRPr="00F97AD2">
              <w:rPr>
                <w:rFonts w:cs="Arial"/>
                <w:noProof/>
                <w:webHidden/>
              </w:rPr>
            </w:r>
            <w:r w:rsidR="00496216" w:rsidRPr="00F97AD2">
              <w:rPr>
                <w:rFonts w:cs="Arial"/>
                <w:noProof/>
                <w:webHidden/>
              </w:rPr>
              <w:fldChar w:fldCharType="separate"/>
            </w:r>
            <w:r w:rsidR="00962CED">
              <w:rPr>
                <w:rFonts w:cs="Arial"/>
                <w:noProof/>
                <w:webHidden/>
              </w:rPr>
              <w:t>5</w:t>
            </w:r>
            <w:r w:rsidR="00496216" w:rsidRPr="00F97AD2">
              <w:rPr>
                <w:rFonts w:cs="Arial"/>
                <w:noProof/>
                <w:webHidden/>
              </w:rPr>
              <w:fldChar w:fldCharType="end"/>
            </w:r>
          </w:hyperlink>
        </w:p>
        <w:p w14:paraId="6F4F71EA" w14:textId="77777777" w:rsidR="00496216" w:rsidRPr="00F97AD2" w:rsidRDefault="00000000" w:rsidP="008759BB">
          <w:pPr>
            <w:pStyle w:val="TOC1"/>
            <w:tabs>
              <w:tab w:val="right" w:leader="dot" w:pos="9016"/>
            </w:tabs>
            <w:spacing w:line="360" w:lineRule="auto"/>
            <w:rPr>
              <w:rFonts w:eastAsiaTheme="minorEastAsia" w:cs="Arial"/>
              <w:noProof/>
              <w:lang w:val="en-US"/>
            </w:rPr>
          </w:pPr>
          <w:hyperlink w:anchor="_Toc129466638" w:history="1">
            <w:r w:rsidR="00496216" w:rsidRPr="00F97AD2">
              <w:rPr>
                <w:rStyle w:val="Hyperlink"/>
                <w:rFonts w:cs="Arial"/>
                <w:noProof/>
                <w:color w:val="auto"/>
              </w:rPr>
              <w:t>4. Conclusion</w:t>
            </w:r>
            <w:r w:rsidR="00496216" w:rsidRPr="00F97AD2">
              <w:rPr>
                <w:rFonts w:cs="Arial"/>
                <w:noProof/>
                <w:webHidden/>
              </w:rPr>
              <w:tab/>
            </w:r>
            <w:r w:rsidR="00496216" w:rsidRPr="00F97AD2">
              <w:rPr>
                <w:rFonts w:cs="Arial"/>
                <w:noProof/>
                <w:webHidden/>
              </w:rPr>
              <w:fldChar w:fldCharType="begin"/>
            </w:r>
            <w:r w:rsidR="00496216" w:rsidRPr="00F97AD2">
              <w:rPr>
                <w:rFonts w:cs="Arial"/>
                <w:noProof/>
                <w:webHidden/>
              </w:rPr>
              <w:instrText xml:space="preserve"> PAGEREF _Toc129466638 \h </w:instrText>
            </w:r>
            <w:r w:rsidR="00496216" w:rsidRPr="00F97AD2">
              <w:rPr>
                <w:rFonts w:cs="Arial"/>
                <w:noProof/>
                <w:webHidden/>
              </w:rPr>
            </w:r>
            <w:r w:rsidR="00496216" w:rsidRPr="00F97AD2">
              <w:rPr>
                <w:rFonts w:cs="Arial"/>
                <w:noProof/>
                <w:webHidden/>
              </w:rPr>
              <w:fldChar w:fldCharType="separate"/>
            </w:r>
            <w:r w:rsidR="00962CED">
              <w:rPr>
                <w:rFonts w:cs="Arial"/>
                <w:noProof/>
                <w:webHidden/>
              </w:rPr>
              <w:t>6</w:t>
            </w:r>
            <w:r w:rsidR="00496216" w:rsidRPr="00F97AD2">
              <w:rPr>
                <w:rFonts w:cs="Arial"/>
                <w:noProof/>
                <w:webHidden/>
              </w:rPr>
              <w:fldChar w:fldCharType="end"/>
            </w:r>
          </w:hyperlink>
        </w:p>
        <w:p w14:paraId="55D22374" w14:textId="77777777" w:rsidR="00496216" w:rsidRPr="00F97AD2" w:rsidRDefault="00000000" w:rsidP="008759BB">
          <w:pPr>
            <w:pStyle w:val="TOC1"/>
            <w:tabs>
              <w:tab w:val="right" w:leader="dot" w:pos="9016"/>
            </w:tabs>
            <w:spacing w:line="360" w:lineRule="auto"/>
            <w:rPr>
              <w:rFonts w:eastAsiaTheme="minorEastAsia" w:cs="Arial"/>
              <w:noProof/>
              <w:lang w:val="en-US"/>
            </w:rPr>
          </w:pPr>
          <w:hyperlink w:anchor="_Toc129466639" w:history="1">
            <w:r w:rsidR="00496216" w:rsidRPr="00F97AD2">
              <w:rPr>
                <w:rStyle w:val="Hyperlink"/>
                <w:rFonts w:cs="Arial"/>
                <w:noProof/>
                <w:color w:val="auto"/>
              </w:rPr>
              <w:t>References</w:t>
            </w:r>
            <w:r w:rsidR="00496216" w:rsidRPr="00F97AD2">
              <w:rPr>
                <w:rFonts w:cs="Arial"/>
                <w:noProof/>
                <w:webHidden/>
              </w:rPr>
              <w:tab/>
            </w:r>
            <w:r w:rsidR="00496216" w:rsidRPr="00F97AD2">
              <w:rPr>
                <w:rFonts w:cs="Arial"/>
                <w:noProof/>
                <w:webHidden/>
              </w:rPr>
              <w:fldChar w:fldCharType="begin"/>
            </w:r>
            <w:r w:rsidR="00496216" w:rsidRPr="00F97AD2">
              <w:rPr>
                <w:rFonts w:cs="Arial"/>
                <w:noProof/>
                <w:webHidden/>
              </w:rPr>
              <w:instrText xml:space="preserve"> PAGEREF _Toc129466639 \h </w:instrText>
            </w:r>
            <w:r w:rsidR="00496216" w:rsidRPr="00F97AD2">
              <w:rPr>
                <w:rFonts w:cs="Arial"/>
                <w:noProof/>
                <w:webHidden/>
              </w:rPr>
            </w:r>
            <w:r w:rsidR="00496216" w:rsidRPr="00F97AD2">
              <w:rPr>
                <w:rFonts w:cs="Arial"/>
                <w:noProof/>
                <w:webHidden/>
              </w:rPr>
              <w:fldChar w:fldCharType="separate"/>
            </w:r>
            <w:r w:rsidR="00962CED">
              <w:rPr>
                <w:rFonts w:cs="Arial"/>
                <w:noProof/>
                <w:webHidden/>
              </w:rPr>
              <w:t>7</w:t>
            </w:r>
            <w:r w:rsidR="00496216" w:rsidRPr="00F97AD2">
              <w:rPr>
                <w:rFonts w:cs="Arial"/>
                <w:noProof/>
                <w:webHidden/>
              </w:rPr>
              <w:fldChar w:fldCharType="end"/>
            </w:r>
          </w:hyperlink>
        </w:p>
        <w:p w14:paraId="7CACD449" w14:textId="55DFE1A7" w:rsidR="00262DFB" w:rsidRPr="00F97AD2" w:rsidRDefault="00262DFB" w:rsidP="008759BB">
          <w:pPr>
            <w:spacing w:line="360" w:lineRule="auto"/>
            <w:rPr>
              <w:rFonts w:cs="Arial"/>
            </w:rPr>
          </w:pPr>
          <w:r w:rsidRPr="00F97AD2">
            <w:rPr>
              <w:rFonts w:cs="Arial"/>
              <w:b/>
              <w:bCs/>
              <w:noProof/>
            </w:rPr>
            <w:fldChar w:fldCharType="end"/>
          </w:r>
        </w:p>
      </w:sdtContent>
    </w:sdt>
    <w:p w14:paraId="75D4CF82" w14:textId="77777777" w:rsidR="0015098B" w:rsidRPr="00F97AD2" w:rsidRDefault="0015098B" w:rsidP="008759BB">
      <w:pPr>
        <w:spacing w:line="360" w:lineRule="auto"/>
        <w:rPr>
          <w:rFonts w:cs="Arial"/>
        </w:rPr>
      </w:pPr>
    </w:p>
    <w:p w14:paraId="601E45AB" w14:textId="7D2BE685" w:rsidR="005206D8" w:rsidRPr="00F97AD2" w:rsidRDefault="0015098B" w:rsidP="008759BB">
      <w:pPr>
        <w:spacing w:line="360" w:lineRule="auto"/>
        <w:rPr>
          <w:rFonts w:cs="Arial"/>
          <w:b/>
          <w:sz w:val="32"/>
          <w:szCs w:val="32"/>
        </w:rPr>
      </w:pPr>
      <w:r w:rsidRPr="00F97AD2">
        <w:rPr>
          <w:rFonts w:cs="Arial"/>
          <w:b/>
          <w:sz w:val="32"/>
          <w:szCs w:val="32"/>
        </w:rPr>
        <w:t>List of Abbreviation-</w:t>
      </w:r>
    </w:p>
    <w:p w14:paraId="2C5CBF84" w14:textId="74CAD822" w:rsidR="0015098B" w:rsidRPr="00F97AD2" w:rsidRDefault="0015098B" w:rsidP="008759BB">
      <w:pPr>
        <w:spacing w:line="360" w:lineRule="auto"/>
        <w:rPr>
          <w:rFonts w:cs="Arial"/>
        </w:rPr>
      </w:pPr>
      <w:r w:rsidRPr="00F97AD2">
        <w:rPr>
          <w:rFonts w:cs="Arial"/>
        </w:rPr>
        <w:t>Merger and Acquisition (M&amp;A)</w:t>
      </w:r>
    </w:p>
    <w:p w14:paraId="26E021B3" w14:textId="147E62A4" w:rsidR="0015098B" w:rsidRPr="00F97AD2" w:rsidRDefault="0015098B" w:rsidP="008759BB">
      <w:pPr>
        <w:spacing w:line="360" w:lineRule="auto"/>
        <w:rPr>
          <w:rFonts w:cs="Arial"/>
        </w:rPr>
      </w:pPr>
      <w:r w:rsidRPr="00F97AD2">
        <w:rPr>
          <w:rFonts w:cs="Arial"/>
        </w:rPr>
        <w:t>Human Resource (HR)</w:t>
      </w:r>
    </w:p>
    <w:p w14:paraId="4F9AED57" w14:textId="03246CF0" w:rsidR="0015098B" w:rsidRPr="00F97AD2" w:rsidRDefault="0015098B" w:rsidP="008759BB">
      <w:pPr>
        <w:spacing w:line="360" w:lineRule="auto"/>
        <w:rPr>
          <w:rFonts w:cs="Arial"/>
        </w:rPr>
      </w:pPr>
      <w:r w:rsidRPr="00F97AD2">
        <w:rPr>
          <w:rFonts w:cs="Arial"/>
        </w:rPr>
        <w:t>Human Resource Management (HRM)</w:t>
      </w:r>
    </w:p>
    <w:p w14:paraId="2773F221" w14:textId="340B8AA0" w:rsidR="0015098B" w:rsidRPr="00F97AD2" w:rsidRDefault="0015098B" w:rsidP="008759BB">
      <w:pPr>
        <w:spacing w:line="360" w:lineRule="auto"/>
        <w:rPr>
          <w:rFonts w:cs="Arial"/>
        </w:rPr>
      </w:pPr>
      <w:r w:rsidRPr="00F97AD2">
        <w:rPr>
          <w:rFonts w:cs="Arial"/>
        </w:rPr>
        <w:t>International Human Resource Management (IHRM)</w:t>
      </w:r>
    </w:p>
    <w:p w14:paraId="04F36078" w14:textId="07C884CF" w:rsidR="00D25BB2" w:rsidRPr="00F97AD2" w:rsidRDefault="00D25BB2" w:rsidP="008759BB">
      <w:pPr>
        <w:spacing w:line="360" w:lineRule="auto"/>
        <w:rPr>
          <w:rFonts w:cs="Arial"/>
          <w:b/>
          <w:sz w:val="28"/>
          <w:szCs w:val="28"/>
        </w:rPr>
      </w:pPr>
    </w:p>
    <w:p w14:paraId="329BA8EE" w14:textId="18AC80FD" w:rsidR="00D25BB2" w:rsidRPr="00F97AD2" w:rsidRDefault="00D25BB2" w:rsidP="008759BB">
      <w:pPr>
        <w:spacing w:line="360" w:lineRule="auto"/>
        <w:rPr>
          <w:rFonts w:cs="Arial"/>
        </w:rPr>
      </w:pPr>
    </w:p>
    <w:p w14:paraId="2CDD2B2D" w14:textId="3BCE18D7" w:rsidR="00D25BB2" w:rsidRPr="00F97AD2" w:rsidRDefault="00D25BB2" w:rsidP="008759BB">
      <w:pPr>
        <w:spacing w:line="360" w:lineRule="auto"/>
        <w:rPr>
          <w:rFonts w:cs="Arial"/>
        </w:rPr>
      </w:pPr>
    </w:p>
    <w:p w14:paraId="6C9BD27C" w14:textId="30E6CBD8" w:rsidR="00D25BB2" w:rsidRPr="00F97AD2" w:rsidRDefault="00D25BB2" w:rsidP="008759BB">
      <w:pPr>
        <w:spacing w:line="360" w:lineRule="auto"/>
        <w:rPr>
          <w:rFonts w:cs="Arial"/>
        </w:rPr>
      </w:pPr>
    </w:p>
    <w:p w14:paraId="031BB6B2" w14:textId="77777777" w:rsidR="009B448E" w:rsidRPr="00F97AD2" w:rsidRDefault="009B448E" w:rsidP="008759BB">
      <w:pPr>
        <w:spacing w:line="360" w:lineRule="auto"/>
        <w:rPr>
          <w:rFonts w:cs="Arial"/>
        </w:rPr>
      </w:pPr>
    </w:p>
    <w:p w14:paraId="593C7632" w14:textId="77777777" w:rsidR="009B448E" w:rsidRPr="00F97AD2" w:rsidRDefault="009B448E" w:rsidP="008759BB">
      <w:pPr>
        <w:spacing w:line="360" w:lineRule="auto"/>
        <w:rPr>
          <w:rFonts w:cs="Arial"/>
        </w:rPr>
      </w:pPr>
    </w:p>
    <w:p w14:paraId="2126ED6B" w14:textId="6D6EF471" w:rsidR="00D25BB2" w:rsidRPr="00F97AD2" w:rsidRDefault="00D25BB2" w:rsidP="008759BB">
      <w:pPr>
        <w:spacing w:line="360" w:lineRule="auto"/>
        <w:rPr>
          <w:rFonts w:cs="Arial"/>
        </w:rPr>
      </w:pPr>
    </w:p>
    <w:p w14:paraId="09EC2118" w14:textId="77777777" w:rsidR="00796845" w:rsidRPr="00F97AD2" w:rsidRDefault="00796845" w:rsidP="008759BB">
      <w:pPr>
        <w:spacing w:line="360" w:lineRule="auto"/>
        <w:rPr>
          <w:rFonts w:cs="Arial"/>
        </w:rPr>
      </w:pPr>
    </w:p>
    <w:p w14:paraId="3859C68D" w14:textId="6A353401" w:rsidR="00D60F5D" w:rsidRPr="00F97AD2" w:rsidRDefault="00D60F5D" w:rsidP="008759BB">
      <w:pPr>
        <w:pStyle w:val="Heading1"/>
        <w:spacing w:line="360" w:lineRule="auto"/>
        <w:rPr>
          <w:rFonts w:cs="Arial"/>
          <w:sz w:val="22"/>
          <w:szCs w:val="22"/>
        </w:rPr>
        <w:sectPr w:rsidR="00D60F5D" w:rsidRPr="00F97AD2" w:rsidSect="00262DFB">
          <w:headerReference w:type="default" r:id="rId8"/>
          <w:headerReference w:type="first" r:id="rId9"/>
          <w:pgSz w:w="11906" w:h="16838"/>
          <w:pgMar w:top="1440" w:right="1440" w:bottom="1440" w:left="1440" w:header="708" w:footer="708" w:gutter="0"/>
          <w:pgNumType w:start="0"/>
          <w:cols w:space="708"/>
          <w:titlePg/>
          <w:docGrid w:linePitch="360"/>
        </w:sectPr>
      </w:pPr>
      <w:bookmarkStart w:id="0" w:name="_Toc129466628"/>
    </w:p>
    <w:p w14:paraId="286530A4" w14:textId="17426BFB" w:rsidR="00C03028" w:rsidRDefault="00B77F8E" w:rsidP="008759BB">
      <w:pPr>
        <w:pStyle w:val="Heading1"/>
        <w:spacing w:line="360" w:lineRule="auto"/>
        <w:rPr>
          <w:rFonts w:cs="Arial"/>
          <w:b/>
        </w:rPr>
      </w:pPr>
      <w:r w:rsidRPr="00F97AD2">
        <w:rPr>
          <w:rFonts w:cs="Arial"/>
          <w:b/>
        </w:rPr>
        <w:lastRenderedPageBreak/>
        <w:t xml:space="preserve">1. </w:t>
      </w:r>
      <w:r w:rsidR="005206D8" w:rsidRPr="00F97AD2">
        <w:rPr>
          <w:rFonts w:cs="Arial"/>
          <w:b/>
        </w:rPr>
        <w:t>Introductio</w:t>
      </w:r>
      <w:bookmarkEnd w:id="0"/>
      <w:r w:rsidR="0041057F" w:rsidRPr="00F97AD2">
        <w:rPr>
          <w:rFonts w:cs="Arial"/>
          <w:b/>
        </w:rPr>
        <w:t>n</w:t>
      </w:r>
    </w:p>
    <w:p w14:paraId="522979B3" w14:textId="77777777" w:rsidR="00F97AD2" w:rsidRPr="00F97AD2" w:rsidRDefault="00F97AD2" w:rsidP="008759BB">
      <w:pPr>
        <w:spacing w:line="360" w:lineRule="auto"/>
      </w:pPr>
    </w:p>
    <w:p w14:paraId="5F9FCCE2" w14:textId="4A532FAA" w:rsidR="005206D8" w:rsidRPr="00F97AD2" w:rsidRDefault="00796845" w:rsidP="008759BB">
      <w:pPr>
        <w:spacing w:line="360" w:lineRule="auto"/>
        <w:rPr>
          <w:rFonts w:cs="Arial"/>
        </w:rPr>
      </w:pPr>
      <w:r w:rsidRPr="00F97AD2">
        <w:rPr>
          <w:rFonts w:cs="Arial"/>
        </w:rPr>
        <w:t>The oil and gas industry is a substantial and complex component of the global economy. It plays an essential role in driving transportation, manufacturing, and other vital industries. This report examines the global merger and acquisition between Rosneft and Essar Oil, two industry leaders. Rosneft, a Russian state-owned company, is predominantly involved in the upstream sector of the oil and gas industry, including exploration, reserve recovery, and well drilling. Moreover, it has large operations in the midstream and downstream segments, including transportation, pipelines, refining, and marketing. Rosneft was founded in 1993 and has a market share of over 40% in Russia, making it one of the world's largest oil companies</w:t>
      </w:r>
      <w:r w:rsidR="008F506A" w:rsidRPr="00F97AD2">
        <w:rPr>
          <w:rFonts w:cs="Arial"/>
        </w:rPr>
        <w:t xml:space="preserve"> (Poussenkova, 2007)</w:t>
      </w:r>
      <w:r w:rsidRPr="00F97AD2">
        <w:rPr>
          <w:rFonts w:cs="Arial"/>
        </w:rPr>
        <w:t>. Essar Oil, on the other hand, is an Indian integrated oil and petrol company that primarily operates in the downstream sector, refining and marketing petroleum products. Also, it engages in the upstream and midstream sectors, which include exploration and production, transportation and storage of crude oil and natural gas. Essar Oil was founded in 1969 and has a significant market share in India with over 1,400 retail outlets</w:t>
      </w:r>
      <w:r w:rsidR="006756A8" w:rsidRPr="00F97AD2">
        <w:rPr>
          <w:rFonts w:cs="Arial"/>
        </w:rPr>
        <w:t xml:space="preserve"> (Ray, 2016)</w:t>
      </w:r>
      <w:r w:rsidRPr="00F97AD2">
        <w:rPr>
          <w:rFonts w:cs="Arial"/>
        </w:rPr>
        <w:t>. Rosneft and Essar Oil's merger and acquisition present significant challenges and opportunities for the affected companies. As the HR team tasked with overseeing the integration process, it is vital to understand the cultural and institutional gaps between the two countries and to design strategies for overcoming them. In addition, understanding the role of international human resource management (IHRM) in the execution of successful mergers and acquisitions is essential. In the following sections, we will investigate these concerns in depth and give solutions for the HR department to guarantee a smooth and successful integration process.</w:t>
      </w:r>
    </w:p>
    <w:p w14:paraId="7751CE56" w14:textId="77777777" w:rsidR="0099547E" w:rsidRPr="00F97AD2" w:rsidRDefault="0099547E" w:rsidP="008759BB">
      <w:pPr>
        <w:spacing w:line="360" w:lineRule="auto"/>
        <w:rPr>
          <w:rFonts w:cs="Arial"/>
          <w:b/>
          <w:sz w:val="32"/>
          <w:szCs w:val="32"/>
        </w:rPr>
      </w:pPr>
    </w:p>
    <w:p w14:paraId="570680C8" w14:textId="1865BF71" w:rsidR="0099547E" w:rsidRPr="00F97AD2" w:rsidRDefault="0099547E" w:rsidP="008759BB">
      <w:pPr>
        <w:spacing w:line="360" w:lineRule="auto"/>
        <w:rPr>
          <w:rStyle w:val="Heading1Char"/>
          <w:rFonts w:cs="Arial"/>
          <w:b/>
        </w:rPr>
      </w:pPr>
      <w:bookmarkStart w:id="1" w:name="_Toc129466629"/>
      <w:r w:rsidRPr="00F97AD2">
        <w:rPr>
          <w:rStyle w:val="Heading1Char"/>
          <w:rFonts w:cs="Arial"/>
          <w:b/>
        </w:rPr>
        <w:t>2. Cultural and Institutional Issues in International HRM: Russia vs. India</w:t>
      </w:r>
      <w:bookmarkEnd w:id="1"/>
    </w:p>
    <w:p w14:paraId="126E11D1" w14:textId="03383EEC" w:rsidR="0099547E" w:rsidRDefault="0099547E" w:rsidP="008759BB">
      <w:pPr>
        <w:spacing w:line="360" w:lineRule="auto"/>
        <w:rPr>
          <w:rStyle w:val="Heading1Char"/>
          <w:rFonts w:cs="Arial"/>
          <w:sz w:val="22"/>
          <w:szCs w:val="22"/>
        </w:rPr>
      </w:pPr>
      <w:bookmarkStart w:id="2" w:name="_Toc129466416"/>
      <w:bookmarkStart w:id="3" w:name="_Toc129466478"/>
      <w:bookmarkStart w:id="4" w:name="_Toc129466630"/>
      <w:r w:rsidRPr="00F97AD2">
        <w:rPr>
          <w:rStyle w:val="Heading1Char"/>
          <w:rFonts w:cs="Arial"/>
          <w:sz w:val="22"/>
          <w:szCs w:val="22"/>
        </w:rPr>
        <w:t>Comparing cultural and institutional elements between Russia and India is essential to understanding international human resource management. By studying these aspects, firms may better connect their HR processes with the local environment, improving performance and effectiveness.</w:t>
      </w:r>
      <w:bookmarkEnd w:id="2"/>
      <w:bookmarkEnd w:id="3"/>
      <w:bookmarkEnd w:id="4"/>
    </w:p>
    <w:p w14:paraId="5F1560A5" w14:textId="77777777" w:rsidR="00F97AD2" w:rsidRPr="00F97AD2" w:rsidRDefault="00F97AD2" w:rsidP="008759BB">
      <w:pPr>
        <w:spacing w:line="360" w:lineRule="auto"/>
        <w:rPr>
          <w:rStyle w:val="Heading1Char"/>
          <w:rFonts w:cs="Arial"/>
          <w:sz w:val="22"/>
          <w:szCs w:val="22"/>
        </w:rPr>
      </w:pPr>
    </w:p>
    <w:p w14:paraId="3C6358C3" w14:textId="77777777" w:rsidR="00C03028" w:rsidRPr="00F97AD2" w:rsidRDefault="00262DFB" w:rsidP="008759BB">
      <w:pPr>
        <w:pStyle w:val="Heading2"/>
        <w:spacing w:line="360" w:lineRule="auto"/>
        <w:rPr>
          <w:rFonts w:ascii="Arial" w:hAnsi="Arial" w:cs="Arial"/>
          <w:b/>
          <w:color w:val="auto"/>
          <w:sz w:val="28"/>
          <w:szCs w:val="28"/>
        </w:rPr>
      </w:pPr>
      <w:bookmarkStart w:id="5" w:name="_Toc129466631"/>
      <w:r w:rsidRPr="00F97AD2">
        <w:rPr>
          <w:rFonts w:ascii="Arial" w:hAnsi="Arial" w:cs="Arial"/>
          <w:b/>
          <w:color w:val="auto"/>
          <w:sz w:val="28"/>
          <w:szCs w:val="28"/>
        </w:rPr>
        <w:lastRenderedPageBreak/>
        <w:t xml:space="preserve">2.1 </w:t>
      </w:r>
      <w:r w:rsidR="00F941CA" w:rsidRPr="00F97AD2">
        <w:rPr>
          <w:rFonts w:ascii="Arial" w:hAnsi="Arial" w:cs="Arial"/>
          <w:b/>
          <w:color w:val="auto"/>
          <w:sz w:val="28"/>
          <w:szCs w:val="28"/>
        </w:rPr>
        <w:t>Cultural Analysis of Russia and India</w:t>
      </w:r>
      <w:bookmarkEnd w:id="5"/>
    </w:p>
    <w:p w14:paraId="3BCA0E3A" w14:textId="77777777" w:rsidR="00C03028" w:rsidRPr="00F97AD2" w:rsidRDefault="00C03028" w:rsidP="008759BB">
      <w:pPr>
        <w:spacing w:line="360" w:lineRule="auto"/>
        <w:rPr>
          <w:rFonts w:cs="Arial"/>
        </w:rPr>
      </w:pPr>
    </w:p>
    <w:p w14:paraId="36471965" w14:textId="4A510FB3" w:rsidR="00CE6237" w:rsidRPr="00A04AF2" w:rsidRDefault="00CE6237" w:rsidP="00A04AF2">
      <w:pPr>
        <w:spacing w:line="360" w:lineRule="auto"/>
        <w:rPr>
          <w:rFonts w:cs="Arial"/>
        </w:rPr>
      </w:pPr>
      <w:r w:rsidRPr="00F97AD2">
        <w:rPr>
          <w:rFonts w:cs="Arial"/>
        </w:rPr>
        <w:t xml:space="preserve">Culture is the collection of common values, beliefs, practises, behaviours, and artefacts that serve to distinguish one civilization or group from another. It influences people's thoughts, feelings, and actions in their day-to-day lives, including how they behave in organisations. The behaviour of organisations is impacted by a number of cultural factors including, but not limited to, power distance, individualism-collectivism, uncertainty avoidance, and masculinity-femininity. The cultural dimensions theory developed by Hofstede and the cultural dilemmas model developed by Trompenaars are two of the most well-known cultural models that may be utilised to study the differences or similarities that exist between Russia </w:t>
      </w:r>
      <w:r w:rsidRPr="00A04AF2">
        <w:rPr>
          <w:rFonts w:cs="Arial"/>
        </w:rPr>
        <w:t>and India.</w:t>
      </w:r>
    </w:p>
    <w:p w14:paraId="60A618CC" w14:textId="50520580" w:rsidR="00CE6237" w:rsidRPr="00A04AF2" w:rsidRDefault="00CE6237" w:rsidP="00966EA7">
      <w:pPr>
        <w:spacing w:line="360" w:lineRule="auto"/>
        <w:rPr>
          <w:rFonts w:cs="Arial"/>
        </w:rPr>
      </w:pPr>
      <w:bookmarkStart w:id="6" w:name="_Toc129465344"/>
      <w:bookmarkStart w:id="7" w:name="_Toc129466418"/>
      <w:bookmarkStart w:id="8" w:name="_Toc129466480"/>
      <w:bookmarkStart w:id="9" w:name="_Toc129466632"/>
      <w:r w:rsidRPr="00A04AF2">
        <w:rPr>
          <w:rFonts w:cs="Arial"/>
        </w:rPr>
        <w:t>The cultural dimensions hypothesis developed by Hofstede is predicated on six aspects of national culture. These aspects include power distance, individualism-collectivism, masculinity-femininity, uncertainty avoidance, long-term orientation, and indulgence-restraint. According to Hofstede's research, Russia has a high power distance and masculinity score</w:t>
      </w:r>
      <w:r w:rsidR="00A04AF2">
        <w:rPr>
          <w:rFonts w:cs="Arial"/>
        </w:rPr>
        <w:t xml:space="preserve"> (</w:t>
      </w:r>
      <w:r w:rsidR="00A04AF2" w:rsidRPr="00541C7F">
        <w:rPr>
          <w:rFonts w:cs="Arial"/>
        </w:rPr>
        <w:t>DiMaggio</w:t>
      </w:r>
      <w:r w:rsidR="00A04AF2">
        <w:rPr>
          <w:rFonts w:cs="Arial"/>
        </w:rPr>
        <w:t xml:space="preserve"> &amp; Powell, 1991)</w:t>
      </w:r>
      <w:r w:rsidRPr="00A04AF2">
        <w:rPr>
          <w:rFonts w:cs="Arial"/>
        </w:rPr>
        <w:t>. This indicates that there is a big difference between the powerful and the powerless in society, as well as a strong focus on conventional gender roles. On the other hand, India has a low power distance and a high collectivism score, which indicates that the social hierarchical structure is generally flat and that there is a great emphasis on group harmony and collaboration.</w:t>
      </w:r>
      <w:bookmarkEnd w:id="6"/>
      <w:bookmarkEnd w:id="7"/>
      <w:bookmarkEnd w:id="8"/>
      <w:bookmarkEnd w:id="9"/>
    </w:p>
    <w:p w14:paraId="03E91B1B" w14:textId="6858B98D" w:rsidR="00CE6237" w:rsidRPr="00F97AD2" w:rsidRDefault="00CE6237" w:rsidP="00966EA7">
      <w:pPr>
        <w:spacing w:line="360" w:lineRule="auto"/>
      </w:pPr>
      <w:bookmarkStart w:id="10" w:name="_Toc129465345"/>
      <w:bookmarkStart w:id="11" w:name="_Toc129466419"/>
      <w:bookmarkStart w:id="12" w:name="_Toc129466481"/>
      <w:bookmarkStart w:id="13" w:name="_Toc129466633"/>
      <w:r w:rsidRPr="00F97AD2">
        <w:t>The cultural problems model developed by Trompenaars is predicated on the following seven elements of culture: universalism against particularism, individuality versus collectivism, neutrality versus emotion, specificity versus diffuseness, achievement versus ascription, time, and environment. According to the findings of Trompenaars's research, Russia possesses a unique culture, one in which there is a distinct divide between one's professional and personal life, and in which interpersonal connections are centred on the accomplishment of specified goals</w:t>
      </w:r>
      <w:r w:rsidR="00966EA7">
        <w:t xml:space="preserve"> (</w:t>
      </w:r>
      <w:r w:rsidR="00966EA7">
        <w:rPr>
          <w:rFonts w:cs="Arial"/>
        </w:rPr>
        <w:t xml:space="preserve">Greenwood, and Meyer, </w:t>
      </w:r>
      <w:r w:rsidR="00966EA7" w:rsidRPr="00541C7F">
        <w:rPr>
          <w:rFonts w:cs="Arial"/>
        </w:rPr>
        <w:t>2008</w:t>
      </w:r>
      <w:r w:rsidR="00966EA7">
        <w:rPr>
          <w:rFonts w:cs="Arial"/>
        </w:rPr>
        <w:t>)</w:t>
      </w:r>
      <w:r w:rsidRPr="00F97AD2">
        <w:t xml:space="preserve">. On the other hand, India has a culture that is more diffuse, which means that business and personal life are connected and </w:t>
      </w:r>
      <w:r w:rsidR="008F506A" w:rsidRPr="00F97AD2">
        <w:t>those interactions</w:t>
      </w:r>
      <w:r w:rsidRPr="00F97AD2">
        <w:t xml:space="preserve"> are founded on mutual trust and respect for one another.</w:t>
      </w:r>
      <w:bookmarkEnd w:id="10"/>
      <w:bookmarkEnd w:id="11"/>
      <w:bookmarkEnd w:id="12"/>
      <w:bookmarkEnd w:id="13"/>
    </w:p>
    <w:p w14:paraId="3EBE1E33" w14:textId="77777777" w:rsidR="00CE6237" w:rsidRDefault="00CE6237" w:rsidP="008759BB">
      <w:pPr>
        <w:pStyle w:val="Heading2"/>
        <w:spacing w:line="360" w:lineRule="auto"/>
        <w:rPr>
          <w:rFonts w:ascii="Arial" w:eastAsiaTheme="minorHAnsi" w:hAnsi="Arial" w:cs="Arial"/>
          <w:b/>
          <w:color w:val="auto"/>
          <w:sz w:val="28"/>
          <w:szCs w:val="28"/>
        </w:rPr>
      </w:pPr>
      <w:r w:rsidRPr="00FA3069">
        <w:rPr>
          <w:rFonts w:ascii="Arial" w:eastAsiaTheme="minorHAnsi" w:hAnsi="Arial" w:cs="Arial"/>
          <w:b/>
          <w:color w:val="auto"/>
          <w:sz w:val="28"/>
          <w:szCs w:val="28"/>
        </w:rPr>
        <w:t xml:space="preserve"> </w:t>
      </w:r>
    </w:p>
    <w:p w14:paraId="58312170" w14:textId="77777777" w:rsidR="008759BB" w:rsidRDefault="008759BB" w:rsidP="008759BB"/>
    <w:p w14:paraId="6FDC98A1" w14:textId="77777777" w:rsidR="008759BB" w:rsidRPr="008759BB" w:rsidRDefault="008759BB" w:rsidP="008759BB"/>
    <w:p w14:paraId="58A1EB1F" w14:textId="10398AFF" w:rsidR="00404A19" w:rsidRPr="00FA3069" w:rsidRDefault="00262DFB" w:rsidP="008759BB">
      <w:pPr>
        <w:pStyle w:val="Heading2"/>
        <w:spacing w:line="360" w:lineRule="auto"/>
        <w:rPr>
          <w:rFonts w:ascii="Arial" w:hAnsi="Arial" w:cs="Arial"/>
          <w:b/>
          <w:color w:val="auto"/>
          <w:sz w:val="28"/>
          <w:szCs w:val="28"/>
        </w:rPr>
      </w:pPr>
      <w:bookmarkStart w:id="14" w:name="_Toc129466634"/>
      <w:r w:rsidRPr="00FA3069">
        <w:rPr>
          <w:rFonts w:ascii="Arial" w:hAnsi="Arial" w:cs="Arial"/>
          <w:b/>
          <w:color w:val="auto"/>
          <w:sz w:val="28"/>
          <w:szCs w:val="28"/>
        </w:rPr>
        <w:lastRenderedPageBreak/>
        <w:t xml:space="preserve">2.2 </w:t>
      </w:r>
      <w:r w:rsidR="0033273D" w:rsidRPr="00FA3069">
        <w:rPr>
          <w:rFonts w:ascii="Arial" w:hAnsi="Arial" w:cs="Arial"/>
          <w:b/>
          <w:color w:val="auto"/>
          <w:sz w:val="28"/>
          <w:szCs w:val="28"/>
        </w:rPr>
        <w:t xml:space="preserve">Institutional </w:t>
      </w:r>
      <w:r w:rsidR="00003D27" w:rsidRPr="00FA3069">
        <w:rPr>
          <w:rFonts w:ascii="Arial" w:hAnsi="Arial" w:cs="Arial"/>
          <w:b/>
          <w:color w:val="auto"/>
          <w:sz w:val="28"/>
          <w:szCs w:val="28"/>
        </w:rPr>
        <w:t>Approach to IHRM and its Impact to</w:t>
      </w:r>
      <w:r w:rsidR="0033273D" w:rsidRPr="00FA3069">
        <w:rPr>
          <w:rFonts w:ascii="Arial" w:hAnsi="Arial" w:cs="Arial"/>
          <w:b/>
          <w:color w:val="auto"/>
          <w:sz w:val="28"/>
          <w:szCs w:val="28"/>
        </w:rPr>
        <w:t xml:space="preserve"> Russia and India</w:t>
      </w:r>
      <w:bookmarkEnd w:id="14"/>
    </w:p>
    <w:p w14:paraId="27825C9F" w14:textId="77777777" w:rsidR="00C90529" w:rsidRPr="00F97AD2" w:rsidRDefault="00C90529" w:rsidP="008759BB">
      <w:pPr>
        <w:spacing w:line="360" w:lineRule="auto"/>
        <w:rPr>
          <w:rFonts w:cs="Arial"/>
        </w:rPr>
      </w:pPr>
    </w:p>
    <w:p w14:paraId="7C3CE183" w14:textId="47D4FB21" w:rsidR="00347271" w:rsidRPr="00F97AD2" w:rsidRDefault="00347271" w:rsidP="008759BB">
      <w:pPr>
        <w:spacing w:line="360" w:lineRule="auto"/>
        <w:rPr>
          <w:rFonts w:cs="Arial"/>
        </w:rPr>
      </w:pPr>
      <w:r w:rsidRPr="00F97AD2">
        <w:rPr>
          <w:rFonts w:cs="Arial"/>
        </w:rPr>
        <w:t>The institutional approach to International Human Resource Management (IHRM) emphasises how important formal and informal institutions are in shaping HRM practises in multinational companies. This approach says that institutions, which include political, economic, and social factors, have a big effect on HRM practises in different countries. Institutions can be made up of laws, rules, and values that have an effect on organisational practises and can make things harder or easier for multinational companies to do business around the world.</w:t>
      </w:r>
    </w:p>
    <w:p w14:paraId="32791D47" w14:textId="29D1ACC4" w:rsidR="00347271" w:rsidRPr="00F97AD2" w:rsidRDefault="00347271" w:rsidP="008759BB">
      <w:pPr>
        <w:spacing w:line="360" w:lineRule="auto"/>
        <w:rPr>
          <w:rFonts w:cs="Arial"/>
        </w:rPr>
      </w:pPr>
      <w:r w:rsidRPr="00F97AD2">
        <w:rPr>
          <w:rFonts w:cs="Arial"/>
        </w:rPr>
        <w:t>Institutional settings in Russia and India are different, which can have an effect on IHRM practises. In Russia, the government is centralised and authoritarian, and it has a lot of control over the economy and social life. Most economic institutions are run by the government, and there is a lot of corruption and red tape for foreign businesses. The social institutions are shaped by a strong sense of collectivism, with a hierarchical view of authority and loyalty to the group</w:t>
      </w:r>
      <w:r w:rsidR="00DC0535">
        <w:rPr>
          <w:rFonts w:cs="Arial"/>
        </w:rPr>
        <w:t xml:space="preserve"> (Perlmutter,</w:t>
      </w:r>
      <w:r w:rsidR="00DC0535" w:rsidRPr="00541C7F">
        <w:rPr>
          <w:rFonts w:cs="Arial"/>
        </w:rPr>
        <w:t xml:space="preserve"> 1969</w:t>
      </w:r>
      <w:r w:rsidR="00DC0535">
        <w:rPr>
          <w:rFonts w:cs="Arial"/>
        </w:rPr>
        <w:t>)</w:t>
      </w:r>
      <w:r w:rsidRPr="00F97AD2">
        <w:rPr>
          <w:rFonts w:cs="Arial"/>
        </w:rPr>
        <w:t>. These institutional features can make it hard for multinational companies to do business in Russia, especially when it comes to hiring and keeping good people. For example, foreign companies may find it hard to deal with the complicated legal and bureaucratic procedures needed to do business in Russia. They may also find it hard to find and keep skilled local workers who are hesitant to work for foreign-owned companies</w:t>
      </w:r>
      <w:r w:rsidR="0025164C" w:rsidRPr="00F97AD2">
        <w:rPr>
          <w:rFonts w:cs="Arial"/>
        </w:rPr>
        <w:t xml:space="preserve"> (Khanna, 2015)</w:t>
      </w:r>
      <w:r w:rsidRPr="00F97AD2">
        <w:rPr>
          <w:rFonts w:cs="Arial"/>
        </w:rPr>
        <w:t>.</w:t>
      </w:r>
    </w:p>
    <w:p w14:paraId="1C1E5926" w14:textId="4050B561" w:rsidR="00347271" w:rsidRPr="00F97AD2" w:rsidRDefault="00347271" w:rsidP="008759BB">
      <w:pPr>
        <w:spacing w:line="360" w:lineRule="auto"/>
        <w:rPr>
          <w:rFonts w:cs="Arial"/>
        </w:rPr>
      </w:pPr>
      <w:r w:rsidRPr="00F97AD2">
        <w:rPr>
          <w:rFonts w:cs="Arial"/>
        </w:rPr>
        <w:t>In the same way, India's political institutions are made up of a complex, decentralised, democratic government where the private sector has a lot of power</w:t>
      </w:r>
      <w:r w:rsidR="00932ADF" w:rsidRPr="00F97AD2">
        <w:rPr>
          <w:rFonts w:cs="Arial"/>
        </w:rPr>
        <w:t xml:space="preserve"> (Heller, 2001)</w:t>
      </w:r>
      <w:r w:rsidRPr="00F97AD2">
        <w:rPr>
          <w:rFonts w:cs="Arial"/>
        </w:rPr>
        <w:t>. Economic institutions are also different, with a mix of state and private control and a growing focus on innovation and entrepreneurship. The social institutions are based on a caste system and have a lot of different kinds of people</w:t>
      </w:r>
      <w:r w:rsidR="003D2794">
        <w:rPr>
          <w:rFonts w:cs="Arial"/>
        </w:rPr>
        <w:t xml:space="preserve"> (</w:t>
      </w:r>
      <w:r w:rsidR="003D2794" w:rsidRPr="00541C7F">
        <w:rPr>
          <w:rFonts w:cs="Arial"/>
        </w:rPr>
        <w:t>Hasp</w:t>
      </w:r>
      <w:r w:rsidR="003D2794">
        <w:rPr>
          <w:rFonts w:cs="Arial"/>
        </w:rPr>
        <w:t xml:space="preserve">eslagh and Jemison, </w:t>
      </w:r>
      <w:r w:rsidR="003D2794" w:rsidRPr="00541C7F">
        <w:rPr>
          <w:rFonts w:cs="Arial"/>
        </w:rPr>
        <w:t>1991</w:t>
      </w:r>
      <w:r w:rsidR="003D2794">
        <w:rPr>
          <w:rFonts w:cs="Arial"/>
        </w:rPr>
        <w:t>)</w:t>
      </w:r>
      <w:r w:rsidRPr="00F97AD2">
        <w:rPr>
          <w:rFonts w:cs="Arial"/>
        </w:rPr>
        <w:t xml:space="preserve">. Family and group </w:t>
      </w:r>
      <w:r w:rsidR="00932ADF" w:rsidRPr="00F97AD2">
        <w:rPr>
          <w:rFonts w:cs="Arial"/>
        </w:rPr>
        <w:t>identity is</w:t>
      </w:r>
      <w:r w:rsidRPr="00F97AD2">
        <w:rPr>
          <w:rFonts w:cs="Arial"/>
        </w:rPr>
        <w:t xml:space="preserve"> very important. These institutional features can affect how IHRM is done in India, especially when it comes to cultural differences and getting employees to work hard. For example, foreign companies may find it hard to understand how the caste system works and how it affects the workplace. They may need to change their HRM practises to make sure that everyone is welcome and that the workplace is diverse.</w:t>
      </w:r>
    </w:p>
    <w:p w14:paraId="10F38F4F" w14:textId="2157970F" w:rsidR="00347271" w:rsidRPr="00F97AD2" w:rsidRDefault="00347271" w:rsidP="008759BB">
      <w:pPr>
        <w:spacing w:line="360" w:lineRule="auto"/>
        <w:rPr>
          <w:rFonts w:cs="Arial"/>
        </w:rPr>
      </w:pPr>
      <w:r w:rsidRPr="00F97AD2">
        <w:rPr>
          <w:rFonts w:cs="Arial"/>
        </w:rPr>
        <w:t xml:space="preserve">People can use theories like the neo-institutional theory and the theory of isomorphism to learn more about how these institutions affect IHRM practises. The neo-institutional theory focuses on how institutions shape the behaviour and practise of organisations and says that </w:t>
      </w:r>
      <w:r w:rsidRPr="00F97AD2">
        <w:rPr>
          <w:rFonts w:cs="Arial"/>
        </w:rPr>
        <w:lastRenderedPageBreak/>
        <w:t>organisations must conform to institutional pressures in order to be accepted in a given setting (Scott, 1995). Isomorphism is a theory that says organisations often do things the same way as their competitors to gain legitimacy and avoid institutiona</w:t>
      </w:r>
      <w:r w:rsidR="005E7BAE" w:rsidRPr="00F97AD2">
        <w:rPr>
          <w:rFonts w:cs="Arial"/>
        </w:rPr>
        <w:t>l pressures (DiMaggio</w:t>
      </w:r>
      <w:r w:rsidRPr="00F97AD2">
        <w:rPr>
          <w:rFonts w:cs="Arial"/>
        </w:rPr>
        <w:t>, 1991). By applying these frameworks to Russia and India, people can see how multinational companies must deal with institutional pressures to succeed in these markets. For example, if a foreign company wants to be taken seriously and not seen as an outsider, it may need to use the same HRM methods as its competitors.</w:t>
      </w:r>
    </w:p>
    <w:p w14:paraId="7FDCDC7C" w14:textId="57F68EB7" w:rsidR="00464419" w:rsidRPr="00F97AD2" w:rsidRDefault="00347271" w:rsidP="008759BB">
      <w:pPr>
        <w:spacing w:line="360" w:lineRule="auto"/>
        <w:rPr>
          <w:rFonts w:cs="Arial"/>
        </w:rPr>
      </w:pPr>
      <w:r w:rsidRPr="00F97AD2">
        <w:rPr>
          <w:rFonts w:cs="Arial"/>
        </w:rPr>
        <w:t>In the end, the institutional context of Russia and India has a big effect on how multinational companies handle IHRM. The HRM practises of foreign companies in these markets are affected by political, economic, and social institutions. Theories like neo-institutional theory and the theory of isomorphism can help us understand the institutional pressures that multinational businesses face in these situations</w:t>
      </w:r>
      <w:r w:rsidR="00880DC8">
        <w:rPr>
          <w:rFonts w:cs="Arial"/>
        </w:rPr>
        <w:t xml:space="preserve"> (Hall</w:t>
      </w:r>
      <w:r w:rsidR="00880DC8" w:rsidRPr="00541C7F">
        <w:rPr>
          <w:rFonts w:cs="Arial"/>
        </w:rPr>
        <w:t>, 1960</w:t>
      </w:r>
      <w:r w:rsidR="00880DC8">
        <w:rPr>
          <w:rFonts w:cs="Arial"/>
        </w:rPr>
        <w:t>)</w:t>
      </w:r>
      <w:r w:rsidRPr="00F97AD2">
        <w:rPr>
          <w:rFonts w:cs="Arial"/>
        </w:rPr>
        <w:t>. Multinational companies must invest in local knowledge, build strong relationships with stakeholders, and come up with flexible HRM strategies that balance global standards with local realities if they want to do well in these tough environments.</w:t>
      </w:r>
    </w:p>
    <w:p w14:paraId="55613D8C" w14:textId="77777777" w:rsidR="00464419" w:rsidRPr="00F97AD2" w:rsidRDefault="00464419" w:rsidP="008759BB">
      <w:pPr>
        <w:spacing w:line="360" w:lineRule="auto"/>
        <w:rPr>
          <w:rFonts w:cs="Arial"/>
        </w:rPr>
      </w:pPr>
    </w:p>
    <w:p w14:paraId="3BB90F0D" w14:textId="0E830053" w:rsidR="00464419" w:rsidRPr="00FA3069" w:rsidRDefault="00464419" w:rsidP="008759BB">
      <w:pPr>
        <w:pStyle w:val="Heading1"/>
        <w:spacing w:line="360" w:lineRule="auto"/>
        <w:rPr>
          <w:rFonts w:cs="Arial"/>
          <w:b/>
        </w:rPr>
      </w:pPr>
      <w:bookmarkStart w:id="15" w:name="_Toc129466635"/>
      <w:r w:rsidRPr="00FA3069">
        <w:rPr>
          <w:rFonts w:cs="Arial"/>
          <w:b/>
        </w:rPr>
        <w:t>3. International HRM and M&amp;As: Suggestions for Effective Integration</w:t>
      </w:r>
      <w:bookmarkEnd w:id="15"/>
    </w:p>
    <w:p w14:paraId="5E51A16C" w14:textId="77777777" w:rsidR="00394F8C" w:rsidRPr="00F97AD2" w:rsidRDefault="00394F8C" w:rsidP="008759BB">
      <w:pPr>
        <w:spacing w:line="360" w:lineRule="auto"/>
        <w:rPr>
          <w:rFonts w:cs="Arial"/>
        </w:rPr>
      </w:pPr>
    </w:p>
    <w:p w14:paraId="7F07A19E" w14:textId="7CD85B9C" w:rsidR="00FA3069" w:rsidRPr="00F97AD2" w:rsidRDefault="00394F8C" w:rsidP="008759BB">
      <w:pPr>
        <w:spacing w:line="360" w:lineRule="auto"/>
        <w:rPr>
          <w:rFonts w:cs="Arial"/>
        </w:rPr>
      </w:pPr>
      <w:r w:rsidRPr="00F97AD2">
        <w:rPr>
          <w:rFonts w:cs="Arial"/>
        </w:rPr>
        <w:t>Mergers and acquisitions are complicated, especially when it comes to integrating human resources. International HRM addresses cultural differences, aligns HR policies and procedures, and retains essential people to ensure integration success.</w:t>
      </w:r>
    </w:p>
    <w:p w14:paraId="2C06CA8E" w14:textId="458333A6" w:rsidR="005206D8" w:rsidRPr="00FA3069" w:rsidRDefault="00A36473" w:rsidP="008759BB">
      <w:pPr>
        <w:pStyle w:val="Heading2"/>
        <w:spacing w:line="360" w:lineRule="auto"/>
        <w:rPr>
          <w:rFonts w:ascii="Arial" w:hAnsi="Arial" w:cs="Arial"/>
          <w:b/>
          <w:color w:val="auto"/>
          <w:sz w:val="28"/>
          <w:szCs w:val="28"/>
        </w:rPr>
      </w:pPr>
      <w:bookmarkStart w:id="16" w:name="_Toc129466636"/>
      <w:r w:rsidRPr="00FA3069">
        <w:rPr>
          <w:rFonts w:ascii="Arial" w:hAnsi="Arial" w:cs="Arial"/>
          <w:b/>
          <w:color w:val="auto"/>
          <w:sz w:val="28"/>
          <w:szCs w:val="28"/>
        </w:rPr>
        <w:t xml:space="preserve">3.1 </w:t>
      </w:r>
      <w:r w:rsidR="00C03A07" w:rsidRPr="00FA3069">
        <w:rPr>
          <w:rFonts w:ascii="Arial" w:hAnsi="Arial" w:cs="Arial"/>
          <w:b/>
          <w:color w:val="auto"/>
          <w:sz w:val="28"/>
          <w:szCs w:val="28"/>
        </w:rPr>
        <w:t>The Purpose of M&amp;A and the Integration Plan</w:t>
      </w:r>
      <w:bookmarkEnd w:id="16"/>
    </w:p>
    <w:p w14:paraId="4EA12D43" w14:textId="77777777" w:rsidR="00586494" w:rsidRPr="00F97AD2" w:rsidRDefault="00586494" w:rsidP="008759BB">
      <w:pPr>
        <w:spacing w:line="360" w:lineRule="auto"/>
        <w:rPr>
          <w:rFonts w:cs="Arial"/>
        </w:rPr>
      </w:pPr>
    </w:p>
    <w:p w14:paraId="14C1A275" w14:textId="0678E8B4" w:rsidR="007E2C43" w:rsidRPr="00F97AD2" w:rsidRDefault="007E2C43" w:rsidP="008759BB">
      <w:pPr>
        <w:spacing w:line="360" w:lineRule="auto"/>
        <w:rPr>
          <w:rFonts w:cs="Arial"/>
        </w:rPr>
      </w:pPr>
      <w:r w:rsidRPr="00F97AD2">
        <w:rPr>
          <w:rFonts w:cs="Arial"/>
        </w:rPr>
        <w:t>The Rosneft and Essar Oil merger was motivated by several considerations, including the necessity for worldwide expansion, access to new markets, and the pursuit of economies of scale. The major objective of the combination is to establish a presence in the Indian energy sector, which is anticipated to continue expanding over the next few years. Rosneft will get access to Essar's refineries and distribution network with the acquisition of Essar Oil, enabling it to become a key participant in the Indian oil and gas b</w:t>
      </w:r>
      <w:r w:rsidR="006E116C" w:rsidRPr="00F97AD2">
        <w:rPr>
          <w:rFonts w:cs="Arial"/>
        </w:rPr>
        <w:t>usiness (Aithal</w:t>
      </w:r>
      <w:r w:rsidRPr="00F97AD2">
        <w:rPr>
          <w:rFonts w:cs="Arial"/>
        </w:rPr>
        <w:t>, 2020).</w:t>
      </w:r>
    </w:p>
    <w:p w14:paraId="71CB2D0F" w14:textId="77E5D524" w:rsidR="007E2C43" w:rsidRPr="00F97AD2" w:rsidRDefault="007E2C43" w:rsidP="008759BB">
      <w:pPr>
        <w:spacing w:line="360" w:lineRule="auto"/>
        <w:rPr>
          <w:rFonts w:cs="Arial"/>
        </w:rPr>
      </w:pPr>
      <w:r w:rsidRPr="00F97AD2">
        <w:rPr>
          <w:rFonts w:cs="Arial"/>
        </w:rPr>
        <w:t xml:space="preserve">Rosneft is anticipated to acquire a majority interest in Essar Oil as part of the proposed merger. Rosneft will thus supervise Essar's activities and be responsible for combining the </w:t>
      </w:r>
      <w:r w:rsidRPr="00F97AD2">
        <w:rPr>
          <w:rFonts w:cs="Arial"/>
        </w:rPr>
        <w:lastRenderedPageBreak/>
        <w:t>two enterprises. To ensure the success of the integration, Rosneft must implement an adequate integration plan. The functional integration plan entails merging particular functional areas, such as marketing, sales, and finance, across the two firms. By integrating processes and removing duplication of activities, this strategy can assist create economies of scale and enhance effici</w:t>
      </w:r>
      <w:r w:rsidR="007B4654" w:rsidRPr="00F97AD2">
        <w:rPr>
          <w:rFonts w:cs="Arial"/>
        </w:rPr>
        <w:t>ency (Birkinshaw</w:t>
      </w:r>
      <w:r w:rsidRPr="00F97AD2">
        <w:rPr>
          <w:rFonts w:cs="Arial"/>
        </w:rPr>
        <w:t>, 1998).</w:t>
      </w:r>
    </w:p>
    <w:p w14:paraId="1AD53DF1" w14:textId="4C2A8FCA" w:rsidR="007E2C43" w:rsidRPr="00F97AD2" w:rsidRDefault="007E2C43" w:rsidP="008759BB">
      <w:pPr>
        <w:spacing w:line="360" w:lineRule="auto"/>
        <w:rPr>
          <w:rFonts w:cs="Arial"/>
        </w:rPr>
      </w:pPr>
      <w:r w:rsidRPr="00F97AD2">
        <w:rPr>
          <w:rFonts w:cs="Arial"/>
        </w:rPr>
        <w:t>The complete integration plan integrates all areas of the two businesses, including operations, management, and culture. This strategy can be useful for building synergy and developing an united company culture. Yet, implementation can be more difficult and time-consuming (Cartwright &amp; Cooper, 1993). The proper integration plan will be selected based on a number of variables, including the size and complexity of the two organisations, the compatibility of their operations and cultures, and the merger's objectives.</w:t>
      </w:r>
    </w:p>
    <w:p w14:paraId="507A97F5" w14:textId="0A247B95" w:rsidR="00CF43C4" w:rsidRDefault="007E2C43" w:rsidP="008759BB">
      <w:pPr>
        <w:spacing w:line="360" w:lineRule="auto"/>
        <w:rPr>
          <w:rFonts w:cs="Arial"/>
        </w:rPr>
      </w:pPr>
      <w:r w:rsidRPr="00F97AD2">
        <w:rPr>
          <w:rFonts w:cs="Arial"/>
        </w:rPr>
        <w:t>The purpose of the Rosneft and Essar Oil combination is to obtain a foothold in the Indian energy industry, achieve economies of scale, and diversify operations. Rosneft will be responsible for combining the two enterprises and, based on existing information, the merger will likely constitute an acquisition. Rosneft will need to pick a suitable integration approach, such as functional integration or complete integration, and prepare a comprehensive integration plan to assure the success of the integration. Rosneft can achieve the required synergies and become a big participant in the Indian oil and gas market by taking this action.</w:t>
      </w:r>
    </w:p>
    <w:p w14:paraId="62D02F9F" w14:textId="77777777" w:rsidR="00FA3069" w:rsidRPr="00F97AD2" w:rsidRDefault="00FA3069" w:rsidP="008759BB">
      <w:pPr>
        <w:spacing w:line="360" w:lineRule="auto"/>
        <w:rPr>
          <w:rFonts w:cs="Arial"/>
        </w:rPr>
      </w:pPr>
    </w:p>
    <w:p w14:paraId="082614B3" w14:textId="5CF116D6" w:rsidR="006719AB" w:rsidRPr="00FA3069" w:rsidRDefault="006719AB" w:rsidP="008759BB">
      <w:pPr>
        <w:pStyle w:val="Heading2"/>
        <w:spacing w:line="360" w:lineRule="auto"/>
        <w:rPr>
          <w:rFonts w:ascii="Arial" w:hAnsi="Arial" w:cs="Arial"/>
          <w:b/>
          <w:color w:val="auto"/>
          <w:sz w:val="28"/>
          <w:szCs w:val="28"/>
        </w:rPr>
      </w:pPr>
      <w:bookmarkStart w:id="17" w:name="_Toc129466637"/>
      <w:r w:rsidRPr="00FA3069">
        <w:rPr>
          <w:rFonts w:ascii="Arial" w:hAnsi="Arial" w:cs="Arial"/>
          <w:b/>
          <w:color w:val="auto"/>
          <w:sz w:val="28"/>
          <w:szCs w:val="28"/>
        </w:rPr>
        <w:t>3.2 IHRM's contribution to efficient M&amp;A implementation</w:t>
      </w:r>
      <w:bookmarkEnd w:id="17"/>
    </w:p>
    <w:p w14:paraId="576906CD" w14:textId="77777777" w:rsidR="00CF43C4" w:rsidRPr="00F97AD2" w:rsidRDefault="00CF43C4" w:rsidP="008759BB">
      <w:pPr>
        <w:spacing w:line="360" w:lineRule="auto"/>
        <w:rPr>
          <w:rFonts w:cs="Arial"/>
        </w:rPr>
      </w:pPr>
    </w:p>
    <w:p w14:paraId="7762201A" w14:textId="7BD5B81B" w:rsidR="00837D05" w:rsidRPr="00F97AD2" w:rsidRDefault="00837D05" w:rsidP="008759BB">
      <w:pPr>
        <w:spacing w:line="360" w:lineRule="auto"/>
        <w:rPr>
          <w:rFonts w:cs="Arial"/>
        </w:rPr>
      </w:pPr>
      <w:r w:rsidRPr="00F97AD2">
        <w:rPr>
          <w:rFonts w:cs="Arial"/>
        </w:rPr>
        <w:t>Cultural and institutional differences cause HR problems in cross-border mergers and acquisitions. During the pre-stage, HR has to deal with resistance from employees and make sure that they are able to adapt to the new culture. Post-merger, HR has to deal with cultural clashes, employee turnover, and talent retention.</w:t>
      </w:r>
    </w:p>
    <w:p w14:paraId="7EEC6EBE" w14:textId="1B408176" w:rsidR="00837D05" w:rsidRPr="00F97AD2" w:rsidRDefault="00837D05" w:rsidP="008759BB">
      <w:pPr>
        <w:spacing w:line="360" w:lineRule="auto"/>
        <w:rPr>
          <w:rFonts w:cs="Arial"/>
        </w:rPr>
      </w:pPr>
      <w:r w:rsidRPr="00F97AD2">
        <w:rPr>
          <w:rFonts w:cs="Arial"/>
        </w:rPr>
        <w:t>HR plays a vital role in M&amp;A implementation by ensuring the strategic alignment of HR policies with business goals. It means figuring out the differences between cultures and making HR plans that fit with the organization's culture, values, and goals</w:t>
      </w:r>
      <w:r w:rsidR="00CE3D34" w:rsidRPr="00F97AD2">
        <w:rPr>
          <w:rFonts w:cs="Arial"/>
        </w:rPr>
        <w:t xml:space="preserve"> (Aguilera, 2004)</w:t>
      </w:r>
      <w:r w:rsidRPr="00F97AD2">
        <w:rPr>
          <w:rFonts w:cs="Arial"/>
        </w:rPr>
        <w:t>. HRM makes it more likely that a merger or acquisition will be successful by reducing risks, dealing with employee resistance, and making it easier to integrate different types of workers.</w:t>
      </w:r>
    </w:p>
    <w:p w14:paraId="6699058A" w14:textId="0C3E29FD" w:rsidR="00837D05" w:rsidRPr="00F97AD2" w:rsidRDefault="00837D05" w:rsidP="008759BB">
      <w:pPr>
        <w:spacing w:line="360" w:lineRule="auto"/>
        <w:rPr>
          <w:rFonts w:cs="Arial"/>
        </w:rPr>
      </w:pPr>
      <w:r w:rsidRPr="00F97AD2">
        <w:rPr>
          <w:rFonts w:cs="Arial"/>
        </w:rPr>
        <w:t xml:space="preserve">The integration typology created by Haspeslagh and Jemison says that HR should focus on four things: cultural integration, strategic fit, structural integration, and process alignment. </w:t>
      </w:r>
      <w:r w:rsidRPr="00F97AD2">
        <w:rPr>
          <w:rFonts w:cs="Arial"/>
        </w:rPr>
        <w:lastRenderedPageBreak/>
        <w:t>The model by Adler and Ghadar says that HR strategies should take into account national culture, corporate culture, and professional culture. Based on Perlmutter's model, HR should find a balance between the need for global integration and the need for local responsiveness.</w:t>
      </w:r>
    </w:p>
    <w:p w14:paraId="3442A2FB" w14:textId="5B4476DE" w:rsidR="00837D05" w:rsidRPr="00F97AD2" w:rsidRDefault="00837D05" w:rsidP="008759BB">
      <w:pPr>
        <w:spacing w:line="360" w:lineRule="auto"/>
        <w:rPr>
          <w:rFonts w:cs="Arial"/>
        </w:rPr>
      </w:pPr>
      <w:r w:rsidRPr="00F97AD2">
        <w:rPr>
          <w:rFonts w:cs="Arial"/>
        </w:rPr>
        <w:t>Hall's theory of communication across cultures shows how important communication is in M&amp;A integration. Effective communication makes it easier for employees to understand why the merger is happening, builds trust, and lowers resistance</w:t>
      </w:r>
      <w:r w:rsidR="00880DC8">
        <w:rPr>
          <w:rFonts w:cs="Arial"/>
        </w:rPr>
        <w:t xml:space="preserve"> (Scott, </w:t>
      </w:r>
      <w:r w:rsidR="00880DC8" w:rsidRPr="00541C7F">
        <w:rPr>
          <w:rFonts w:cs="Arial"/>
        </w:rPr>
        <w:t>1995</w:t>
      </w:r>
      <w:r w:rsidR="00880DC8">
        <w:rPr>
          <w:rFonts w:cs="Arial"/>
        </w:rPr>
        <w:t>)</w:t>
      </w:r>
      <w:r w:rsidRPr="00F97AD2">
        <w:rPr>
          <w:rFonts w:cs="Arial"/>
        </w:rPr>
        <w:t>.</w:t>
      </w:r>
    </w:p>
    <w:p w14:paraId="5C7960B2" w14:textId="67BFBF1A" w:rsidR="00CF43C4" w:rsidRDefault="00837D05" w:rsidP="008759BB">
      <w:pPr>
        <w:spacing w:line="360" w:lineRule="auto"/>
        <w:rPr>
          <w:rFonts w:cs="Arial"/>
        </w:rPr>
      </w:pPr>
      <w:r w:rsidRPr="00F97AD2">
        <w:rPr>
          <w:rFonts w:cs="Arial"/>
        </w:rPr>
        <w:t>In conclusion, HR is a key part of M&amp;A implementation, and HRM strategies should be in line with the strategic reasons for the M&amp;A and the proposed integration strategy. During the M&amp;A process, HR professionals can use relevant theories and frameworks to find and deal with HR challenges.</w:t>
      </w:r>
    </w:p>
    <w:p w14:paraId="42132834" w14:textId="77777777" w:rsidR="00FA3069" w:rsidRPr="00F97AD2" w:rsidRDefault="00FA3069" w:rsidP="008759BB">
      <w:pPr>
        <w:spacing w:line="360" w:lineRule="auto"/>
        <w:rPr>
          <w:rFonts w:cs="Arial"/>
        </w:rPr>
      </w:pPr>
    </w:p>
    <w:p w14:paraId="4D39B3CF" w14:textId="6CF95A60" w:rsidR="005206D8" w:rsidRPr="00FA3069" w:rsidRDefault="00CD0623" w:rsidP="008759BB">
      <w:pPr>
        <w:pStyle w:val="Heading1"/>
        <w:spacing w:line="360" w:lineRule="auto"/>
        <w:rPr>
          <w:rFonts w:cs="Arial"/>
          <w:b/>
        </w:rPr>
      </w:pPr>
      <w:bookmarkStart w:id="18" w:name="_Toc129466638"/>
      <w:r w:rsidRPr="00FA3069">
        <w:rPr>
          <w:rFonts w:cs="Arial"/>
          <w:b/>
        </w:rPr>
        <w:t xml:space="preserve">4. </w:t>
      </w:r>
      <w:r w:rsidR="00262DFB" w:rsidRPr="00FA3069">
        <w:rPr>
          <w:rFonts w:cs="Arial"/>
          <w:b/>
        </w:rPr>
        <w:t>Conclusion</w:t>
      </w:r>
      <w:bookmarkEnd w:id="18"/>
      <w:r w:rsidR="00404A19" w:rsidRPr="00FA3069">
        <w:rPr>
          <w:rFonts w:cs="Arial"/>
          <w:b/>
        </w:rPr>
        <w:t xml:space="preserve"> </w:t>
      </w:r>
    </w:p>
    <w:p w14:paraId="4F2803B9" w14:textId="77777777" w:rsidR="00C90529" w:rsidRPr="00F97AD2" w:rsidRDefault="00C90529" w:rsidP="008759BB">
      <w:pPr>
        <w:spacing w:line="360" w:lineRule="auto"/>
        <w:rPr>
          <w:rFonts w:cs="Arial"/>
        </w:rPr>
      </w:pPr>
    </w:p>
    <w:p w14:paraId="7FAF7882" w14:textId="06138D99" w:rsidR="00262DFB" w:rsidRPr="00F97AD2" w:rsidRDefault="00837D05" w:rsidP="008759BB">
      <w:pPr>
        <w:spacing w:line="360" w:lineRule="auto"/>
        <w:rPr>
          <w:rFonts w:cs="Arial"/>
        </w:rPr>
      </w:pPr>
      <w:r w:rsidRPr="00F97AD2">
        <w:rPr>
          <w:rFonts w:cs="Arial"/>
        </w:rPr>
        <w:t>In conclusion, the cultural and institutional comparison of Russia and India illustrates the enormous disparities between these two nations, especially with regard to their political, economic, and social institutions. The institutional approach to IHRM demonstrates that the institutional environment plays a crucial role in defining HR practises, and that these practises must be changed to meet the institutional set</w:t>
      </w:r>
      <w:r w:rsidR="00431CD5" w:rsidRPr="00F97AD2">
        <w:rPr>
          <w:rFonts w:cs="Arial"/>
        </w:rPr>
        <w:t xml:space="preserve">tings of the various countries. </w:t>
      </w:r>
      <w:r w:rsidRPr="00F97AD2">
        <w:rPr>
          <w:rFonts w:cs="Arial"/>
        </w:rPr>
        <w:t xml:space="preserve">Managing cultural differences, talent retention, communication, and leadership development are HR problems that occur throughout the pre- and post-M&amp;A phases. By aligning with the strategic justification for the merger and the proposed integration strategy, HRM practises </w:t>
      </w:r>
      <w:r w:rsidR="00431CD5" w:rsidRPr="00F97AD2">
        <w:rPr>
          <w:rFonts w:cs="Arial"/>
        </w:rPr>
        <w:t>may enhance the success of M&amp;A. regarding</w:t>
      </w:r>
      <w:r w:rsidRPr="00F97AD2">
        <w:rPr>
          <w:rFonts w:cs="Arial"/>
        </w:rPr>
        <w:t xml:space="preserve"> the convergence-divergence </w:t>
      </w:r>
      <w:r w:rsidR="00431CD5" w:rsidRPr="00F97AD2">
        <w:rPr>
          <w:rFonts w:cs="Arial"/>
        </w:rPr>
        <w:t>argument;</w:t>
      </w:r>
      <w:r w:rsidRPr="00F97AD2">
        <w:rPr>
          <w:rFonts w:cs="Arial"/>
        </w:rPr>
        <w:t xml:space="preserve"> we advocate that HRM techniques be adapted to varied nation settings in order to support a seamless M&amp;A transition. We recommend that both companies work together to build an all-encompassing HR strategy that takes into account cultural differences, talent management, communication, and leadership development. The HR department should play a vital role in the M&amp;A process by ensuring that HRM practices are aligned with the merger's strategic justification and</w:t>
      </w:r>
      <w:r w:rsidR="00431CD5" w:rsidRPr="00F97AD2">
        <w:rPr>
          <w:rFonts w:cs="Arial"/>
        </w:rPr>
        <w:t xml:space="preserve"> proposed integration strategy. </w:t>
      </w:r>
      <w:r w:rsidRPr="00F97AD2">
        <w:rPr>
          <w:rFonts w:cs="Arial"/>
        </w:rPr>
        <w:t>Our recommendations to the IHRM department include developing a comprehensive HR plan that takes into account the cultural differences between Russia and India, identifying key HR challenges during the pre-and post-M&amp;A stages, and aligning HRM practise with the merger's strategic rationale and proposed integration strategy. So, the IHRM department can enable a seamless transfer of the M&amp;A process and increase Rosneft and Essar Oil's prospects of success.</w:t>
      </w:r>
    </w:p>
    <w:p w14:paraId="48B187B5" w14:textId="77777777" w:rsidR="00AA5730" w:rsidRPr="00F97AD2" w:rsidRDefault="00AA5730" w:rsidP="008759BB">
      <w:pPr>
        <w:pStyle w:val="Heading1"/>
        <w:spacing w:line="360" w:lineRule="auto"/>
        <w:rPr>
          <w:rFonts w:cs="Arial"/>
          <w:sz w:val="22"/>
          <w:szCs w:val="22"/>
        </w:rPr>
      </w:pPr>
    </w:p>
    <w:p w14:paraId="2D18E77A" w14:textId="5C1F2E30" w:rsidR="00541C7F" w:rsidRDefault="00AA5730" w:rsidP="00541C7F">
      <w:pPr>
        <w:spacing w:line="360" w:lineRule="auto"/>
        <w:rPr>
          <w:rFonts w:cs="Arial"/>
          <w:b/>
          <w:sz w:val="32"/>
          <w:szCs w:val="32"/>
        </w:rPr>
      </w:pPr>
      <w:bookmarkStart w:id="19" w:name="_Toc129466639"/>
      <w:r w:rsidRPr="00FA3069">
        <w:rPr>
          <w:rFonts w:cs="Arial"/>
          <w:b/>
          <w:sz w:val="32"/>
          <w:szCs w:val="32"/>
        </w:rPr>
        <w:t>References</w:t>
      </w:r>
      <w:bookmarkEnd w:id="19"/>
    </w:p>
    <w:p w14:paraId="333BD4FC" w14:textId="77777777" w:rsidR="00A82F86" w:rsidRDefault="00A82F86" w:rsidP="00541C7F">
      <w:pPr>
        <w:spacing w:line="360" w:lineRule="auto"/>
        <w:rPr>
          <w:rFonts w:cs="Arial"/>
          <w:b/>
          <w:sz w:val="32"/>
          <w:szCs w:val="32"/>
        </w:rPr>
      </w:pPr>
    </w:p>
    <w:p w14:paraId="44DC5840" w14:textId="7FE8873D" w:rsidR="00541C7F" w:rsidRDefault="00541C7F" w:rsidP="00AA1549">
      <w:pPr>
        <w:spacing w:line="360" w:lineRule="auto"/>
        <w:rPr>
          <w:rFonts w:cs="Arial"/>
        </w:rPr>
      </w:pPr>
      <w:r w:rsidRPr="00541C7F">
        <w:rPr>
          <w:rFonts w:cs="Arial"/>
        </w:rPr>
        <w:t xml:space="preserve">Adler, N.J. and Ghadar, F., </w:t>
      </w:r>
      <w:r w:rsidR="001A357F">
        <w:rPr>
          <w:rFonts w:cs="Arial"/>
        </w:rPr>
        <w:t>(</w:t>
      </w:r>
      <w:r w:rsidRPr="00541C7F">
        <w:rPr>
          <w:rFonts w:cs="Arial"/>
        </w:rPr>
        <w:t>1990</w:t>
      </w:r>
      <w:r w:rsidR="001A357F">
        <w:rPr>
          <w:rFonts w:cs="Arial"/>
        </w:rPr>
        <w:t>)</w:t>
      </w:r>
      <w:r w:rsidRPr="00541C7F">
        <w:rPr>
          <w:rFonts w:cs="Arial"/>
        </w:rPr>
        <w:t>. Strategic human resource management: a global perspective. Human resource management: An international comparison, 26, p.235.</w:t>
      </w:r>
    </w:p>
    <w:p w14:paraId="4BAE73E7" w14:textId="0C452559" w:rsidR="00541C7F" w:rsidRDefault="00541C7F" w:rsidP="00AA1549">
      <w:pPr>
        <w:spacing w:line="360" w:lineRule="auto"/>
        <w:rPr>
          <w:rFonts w:cs="Arial"/>
        </w:rPr>
      </w:pPr>
      <w:r w:rsidRPr="00541C7F">
        <w:rPr>
          <w:rFonts w:cs="Arial"/>
        </w:rPr>
        <w:t xml:space="preserve">Aguilera, R.V. and Dencker, J.C., </w:t>
      </w:r>
      <w:r w:rsidR="001A357F">
        <w:rPr>
          <w:rFonts w:cs="Arial"/>
        </w:rPr>
        <w:t>(</w:t>
      </w:r>
      <w:r w:rsidRPr="00541C7F">
        <w:rPr>
          <w:rFonts w:cs="Arial"/>
        </w:rPr>
        <w:t>2004</w:t>
      </w:r>
      <w:r w:rsidR="001A357F">
        <w:rPr>
          <w:rFonts w:cs="Arial"/>
        </w:rPr>
        <w:t>)</w:t>
      </w:r>
      <w:r w:rsidRPr="00541C7F">
        <w:rPr>
          <w:rFonts w:cs="Arial"/>
        </w:rPr>
        <w:t>. The role of human resource management in cross-border mergers and acquisitions. The International Journal of Human Resource Management, 15(8), pp.1355-1370.</w:t>
      </w:r>
    </w:p>
    <w:p w14:paraId="0FBD0073" w14:textId="1B587FF3" w:rsidR="00541C7F" w:rsidRDefault="00541C7F" w:rsidP="00AA1549">
      <w:pPr>
        <w:spacing w:line="360" w:lineRule="auto"/>
        <w:rPr>
          <w:rFonts w:cs="Arial"/>
        </w:rPr>
      </w:pPr>
      <w:r w:rsidRPr="00541C7F">
        <w:rPr>
          <w:rFonts w:cs="Arial"/>
        </w:rPr>
        <w:t xml:space="preserve">Birkinshaw, J., </w:t>
      </w:r>
      <w:r w:rsidR="001A357F">
        <w:rPr>
          <w:rFonts w:cs="Arial"/>
        </w:rPr>
        <w:t>(</w:t>
      </w:r>
      <w:r w:rsidRPr="00541C7F">
        <w:rPr>
          <w:rFonts w:cs="Arial"/>
        </w:rPr>
        <w:t>1998</w:t>
      </w:r>
      <w:r w:rsidR="001A357F">
        <w:rPr>
          <w:rFonts w:cs="Arial"/>
        </w:rPr>
        <w:t>)</w:t>
      </w:r>
      <w:r w:rsidRPr="00541C7F">
        <w:rPr>
          <w:rFonts w:cs="Arial"/>
        </w:rPr>
        <w:t>. Foreign-owned subsidiaries and regional development: the case of Sweden. Multinational corporate evolution and subsidiary development, pp.268-298.</w:t>
      </w:r>
    </w:p>
    <w:p w14:paraId="6F6DB68B" w14:textId="58DDF7A2" w:rsidR="00541C7F" w:rsidRDefault="00541C7F" w:rsidP="00AA1549">
      <w:pPr>
        <w:spacing w:line="360" w:lineRule="auto"/>
        <w:rPr>
          <w:rFonts w:cs="Arial"/>
        </w:rPr>
      </w:pPr>
      <w:r w:rsidRPr="00541C7F">
        <w:rPr>
          <w:rFonts w:cs="Arial"/>
        </w:rPr>
        <w:t xml:space="preserve">Boxenbaum, E. and Jonsson, S., </w:t>
      </w:r>
      <w:r w:rsidR="001A357F">
        <w:rPr>
          <w:rFonts w:cs="Arial"/>
        </w:rPr>
        <w:t>(</w:t>
      </w:r>
      <w:r w:rsidRPr="00541C7F">
        <w:rPr>
          <w:rFonts w:cs="Arial"/>
        </w:rPr>
        <w:t>2017</w:t>
      </w:r>
      <w:r w:rsidR="001A357F">
        <w:rPr>
          <w:rFonts w:cs="Arial"/>
        </w:rPr>
        <w:t>)</w:t>
      </w:r>
      <w:r w:rsidRPr="00541C7F">
        <w:rPr>
          <w:rFonts w:cs="Arial"/>
        </w:rPr>
        <w:t>. Isomorphism, diffusion and decoupling: Concept evolution and theoretical challenges. The Sage handbook of organizational institutionalism, 2, pp.77-101.</w:t>
      </w:r>
    </w:p>
    <w:p w14:paraId="54DD6A71" w14:textId="6ABDB32F" w:rsidR="00541C7F" w:rsidRDefault="00541C7F" w:rsidP="00AA1549">
      <w:pPr>
        <w:spacing w:line="360" w:lineRule="auto"/>
        <w:rPr>
          <w:rFonts w:cs="Arial"/>
        </w:rPr>
      </w:pPr>
      <w:r w:rsidRPr="00541C7F">
        <w:rPr>
          <w:rFonts w:cs="Arial"/>
        </w:rPr>
        <w:t xml:space="preserve">Cartwright, S. and Cooper, C.L., </w:t>
      </w:r>
      <w:r w:rsidR="001A357F">
        <w:rPr>
          <w:rFonts w:cs="Arial"/>
        </w:rPr>
        <w:t>(</w:t>
      </w:r>
      <w:r w:rsidRPr="00541C7F">
        <w:rPr>
          <w:rFonts w:cs="Arial"/>
        </w:rPr>
        <w:t>1993</w:t>
      </w:r>
      <w:r w:rsidR="001A357F">
        <w:rPr>
          <w:rFonts w:cs="Arial"/>
        </w:rPr>
        <w:t>)</w:t>
      </w:r>
      <w:r w:rsidRPr="00541C7F">
        <w:rPr>
          <w:rFonts w:cs="Arial"/>
        </w:rPr>
        <w:t>. The role of culture compatibility in successful organizational marriage. Academy of Management Perspectives, 7(2), pp.57-70.</w:t>
      </w:r>
    </w:p>
    <w:p w14:paraId="339501A5" w14:textId="77777777" w:rsidR="00541C7F" w:rsidRDefault="00541C7F" w:rsidP="00AA1549">
      <w:pPr>
        <w:spacing w:line="360" w:lineRule="auto"/>
        <w:rPr>
          <w:rFonts w:cs="Arial"/>
        </w:rPr>
      </w:pPr>
      <w:r w:rsidRPr="00541C7F">
        <w:rPr>
          <w:rFonts w:cs="Arial"/>
        </w:rPr>
        <w:t>DiMaggio, P. J., &amp; Powell, W. W. (1991). The iron cage revisited: Institutional isomorphism and collective rationality in organizational fields. American Sociological Review, 48(2), 147-160.</w:t>
      </w:r>
    </w:p>
    <w:p w14:paraId="34EAFFAE" w14:textId="5187BD14" w:rsidR="00541C7F" w:rsidRDefault="00541C7F" w:rsidP="00AA1549">
      <w:pPr>
        <w:spacing w:line="360" w:lineRule="auto"/>
        <w:rPr>
          <w:rFonts w:cs="Arial"/>
        </w:rPr>
      </w:pPr>
      <w:r w:rsidRPr="00541C7F">
        <w:rPr>
          <w:rFonts w:cs="Arial"/>
        </w:rPr>
        <w:t xml:space="preserve">Greenwood, R. and Meyer, R.E., </w:t>
      </w:r>
      <w:r w:rsidR="001A357F">
        <w:rPr>
          <w:rFonts w:cs="Arial"/>
        </w:rPr>
        <w:t>(</w:t>
      </w:r>
      <w:r w:rsidRPr="00541C7F">
        <w:rPr>
          <w:rFonts w:cs="Arial"/>
        </w:rPr>
        <w:t>2008</w:t>
      </w:r>
      <w:r w:rsidR="001A357F">
        <w:rPr>
          <w:rFonts w:cs="Arial"/>
        </w:rPr>
        <w:t>)</w:t>
      </w:r>
      <w:r w:rsidRPr="00541C7F">
        <w:rPr>
          <w:rFonts w:cs="Arial"/>
        </w:rPr>
        <w:t>. Influencing ideas: A celebration of DiMaggio and Powell (1983). Journal of management inquiry, 17(4), pp.258-264.</w:t>
      </w:r>
    </w:p>
    <w:p w14:paraId="31881760" w14:textId="0A86508F" w:rsidR="00541C7F" w:rsidRDefault="00541C7F" w:rsidP="00AA1549">
      <w:pPr>
        <w:spacing w:line="360" w:lineRule="auto"/>
        <w:rPr>
          <w:rFonts w:cs="Arial"/>
        </w:rPr>
      </w:pPr>
      <w:r w:rsidRPr="00541C7F">
        <w:rPr>
          <w:rFonts w:cs="Arial"/>
        </w:rPr>
        <w:t xml:space="preserve">Greany, T. and McGinity, R., </w:t>
      </w:r>
      <w:r w:rsidR="001A357F">
        <w:rPr>
          <w:rFonts w:cs="Arial"/>
        </w:rPr>
        <w:t>(</w:t>
      </w:r>
      <w:r w:rsidRPr="00541C7F">
        <w:rPr>
          <w:rFonts w:cs="Arial"/>
        </w:rPr>
        <w:t>2021</w:t>
      </w:r>
      <w:r w:rsidR="001A357F">
        <w:rPr>
          <w:rFonts w:cs="Arial"/>
        </w:rPr>
        <w:t>)</w:t>
      </w:r>
      <w:r w:rsidRPr="00541C7F">
        <w:rPr>
          <w:rFonts w:cs="Arial"/>
        </w:rPr>
        <w:t>. Structural integration and knowledge exchange in multi-academy trusts: comparing approaches with evidence and theory from non-educational sectors. School Leadership &amp; Management, 41(4-5), pp.311-333.</w:t>
      </w:r>
    </w:p>
    <w:p w14:paraId="750FDC62" w14:textId="1B00807A" w:rsidR="00541C7F" w:rsidRDefault="00541C7F" w:rsidP="00AA1549">
      <w:pPr>
        <w:spacing w:line="360" w:lineRule="auto"/>
        <w:rPr>
          <w:rFonts w:cs="Arial"/>
        </w:rPr>
      </w:pPr>
      <w:r w:rsidRPr="00541C7F">
        <w:rPr>
          <w:rFonts w:cs="Arial"/>
        </w:rPr>
        <w:t xml:space="preserve">Haspeslagh, P.C. and Jemison, D.B., </w:t>
      </w:r>
      <w:r w:rsidR="001A357F">
        <w:rPr>
          <w:rFonts w:cs="Arial"/>
        </w:rPr>
        <w:t>(</w:t>
      </w:r>
      <w:r w:rsidRPr="00541C7F">
        <w:rPr>
          <w:rFonts w:cs="Arial"/>
        </w:rPr>
        <w:t>1991</w:t>
      </w:r>
      <w:r w:rsidR="001A357F">
        <w:rPr>
          <w:rFonts w:cs="Arial"/>
        </w:rPr>
        <w:t>)</w:t>
      </w:r>
      <w:r w:rsidRPr="00541C7F">
        <w:rPr>
          <w:rFonts w:cs="Arial"/>
        </w:rPr>
        <w:t>. Managing acquisitions: Creating value through corporate renewal (V</w:t>
      </w:r>
      <w:r w:rsidR="001A357F">
        <w:rPr>
          <w:rFonts w:cs="Arial"/>
        </w:rPr>
        <w:t>ol. 416). New York: Free Press.</w:t>
      </w:r>
    </w:p>
    <w:p w14:paraId="2FA65E8F" w14:textId="0416B536" w:rsidR="00541C7F" w:rsidRDefault="00541C7F" w:rsidP="00AA1549">
      <w:pPr>
        <w:spacing w:line="360" w:lineRule="auto"/>
        <w:rPr>
          <w:rFonts w:cs="Arial"/>
        </w:rPr>
      </w:pPr>
      <w:r w:rsidRPr="00541C7F">
        <w:rPr>
          <w:rFonts w:cs="Arial"/>
        </w:rPr>
        <w:t xml:space="preserve">Hall, E.T., </w:t>
      </w:r>
      <w:r w:rsidR="005F365C">
        <w:rPr>
          <w:rFonts w:cs="Arial"/>
        </w:rPr>
        <w:t>(</w:t>
      </w:r>
      <w:r w:rsidRPr="00541C7F">
        <w:rPr>
          <w:rFonts w:cs="Arial"/>
        </w:rPr>
        <w:t>1960</w:t>
      </w:r>
      <w:r w:rsidR="005F365C">
        <w:rPr>
          <w:rFonts w:cs="Arial"/>
        </w:rPr>
        <w:t>)</w:t>
      </w:r>
      <w:r w:rsidRPr="00541C7F">
        <w:rPr>
          <w:rFonts w:cs="Arial"/>
        </w:rPr>
        <w:t xml:space="preserve">. The silent language in overseas business. Harvard business review, 38(3), pp.87-96. Heller, P. and Isaac, T.T., </w:t>
      </w:r>
      <w:r w:rsidR="001A357F">
        <w:rPr>
          <w:rFonts w:cs="Arial"/>
        </w:rPr>
        <w:t>(</w:t>
      </w:r>
      <w:r w:rsidRPr="00541C7F">
        <w:rPr>
          <w:rFonts w:cs="Arial"/>
        </w:rPr>
        <w:t>2005</w:t>
      </w:r>
      <w:r w:rsidR="001A357F">
        <w:rPr>
          <w:rFonts w:cs="Arial"/>
        </w:rPr>
        <w:t>)</w:t>
      </w:r>
      <w:r w:rsidRPr="00541C7F">
        <w:rPr>
          <w:rFonts w:cs="Arial"/>
        </w:rPr>
        <w:t>. The politics and institutional design of participatory democracy: lessons from Kerala, India. Democratizing Democracy: Beyond the Liberal Democratic Canon, 1, p.405.</w:t>
      </w:r>
    </w:p>
    <w:p w14:paraId="5B3F0873" w14:textId="79638430" w:rsidR="00541C7F" w:rsidRPr="00541C7F" w:rsidRDefault="00541C7F" w:rsidP="00AA1549">
      <w:pPr>
        <w:spacing w:line="360" w:lineRule="auto"/>
        <w:rPr>
          <w:rFonts w:cs="Arial"/>
        </w:rPr>
      </w:pPr>
      <w:r w:rsidRPr="00541C7F">
        <w:rPr>
          <w:rFonts w:cs="Arial"/>
        </w:rPr>
        <w:t xml:space="preserve">Kotter, J.P., </w:t>
      </w:r>
      <w:r w:rsidR="00CA25AE">
        <w:rPr>
          <w:rFonts w:cs="Arial"/>
        </w:rPr>
        <w:t>(</w:t>
      </w:r>
      <w:r w:rsidRPr="00541C7F">
        <w:rPr>
          <w:rFonts w:cs="Arial"/>
        </w:rPr>
        <w:t>2008</w:t>
      </w:r>
      <w:r w:rsidR="00CA25AE">
        <w:rPr>
          <w:rFonts w:cs="Arial"/>
        </w:rPr>
        <w:t>)</w:t>
      </w:r>
      <w:r w:rsidRPr="00541C7F">
        <w:rPr>
          <w:rFonts w:cs="Arial"/>
        </w:rPr>
        <w:t>. Corporate culture and performance. Simon and Schuster.</w:t>
      </w:r>
    </w:p>
    <w:p w14:paraId="1C33FB99" w14:textId="358B6890" w:rsidR="00541C7F" w:rsidRPr="00541C7F" w:rsidRDefault="00541C7F" w:rsidP="00AA1549">
      <w:pPr>
        <w:pStyle w:val="Heading1"/>
        <w:spacing w:line="360" w:lineRule="auto"/>
        <w:rPr>
          <w:rFonts w:cs="Arial"/>
          <w:sz w:val="22"/>
          <w:szCs w:val="22"/>
        </w:rPr>
      </w:pPr>
      <w:r w:rsidRPr="00541C7F">
        <w:rPr>
          <w:rFonts w:cs="Arial"/>
          <w:sz w:val="22"/>
          <w:szCs w:val="22"/>
        </w:rPr>
        <w:lastRenderedPageBreak/>
        <w:t xml:space="preserve">Khanna, T., Palepu, K.G. and Sinha, J., </w:t>
      </w:r>
      <w:r w:rsidR="00CA25AE">
        <w:rPr>
          <w:rFonts w:cs="Arial"/>
          <w:sz w:val="22"/>
          <w:szCs w:val="22"/>
        </w:rPr>
        <w:t>(</w:t>
      </w:r>
      <w:r w:rsidRPr="00541C7F">
        <w:rPr>
          <w:rFonts w:cs="Arial"/>
          <w:sz w:val="22"/>
          <w:szCs w:val="22"/>
        </w:rPr>
        <w:t>2015</w:t>
      </w:r>
      <w:r w:rsidR="00CA25AE">
        <w:rPr>
          <w:rFonts w:cs="Arial"/>
          <w:sz w:val="22"/>
          <w:szCs w:val="22"/>
        </w:rPr>
        <w:t>)</w:t>
      </w:r>
      <w:r w:rsidRPr="00541C7F">
        <w:rPr>
          <w:rFonts w:cs="Arial"/>
          <w:sz w:val="22"/>
          <w:szCs w:val="22"/>
        </w:rPr>
        <w:t>. Strategies that fit emerging markets. In International Business Strategy (pp. 615-631). Routledge.</w:t>
      </w:r>
    </w:p>
    <w:p w14:paraId="1147CB91" w14:textId="20565127" w:rsidR="00541C7F" w:rsidRPr="00541C7F" w:rsidRDefault="00541C7F" w:rsidP="00AA1549">
      <w:pPr>
        <w:pStyle w:val="Heading1"/>
        <w:spacing w:line="360" w:lineRule="auto"/>
        <w:rPr>
          <w:rFonts w:cs="Arial"/>
          <w:sz w:val="22"/>
          <w:szCs w:val="22"/>
        </w:rPr>
      </w:pPr>
      <w:r w:rsidRPr="00541C7F">
        <w:rPr>
          <w:rFonts w:cs="Arial"/>
          <w:sz w:val="22"/>
          <w:szCs w:val="22"/>
        </w:rPr>
        <w:t xml:space="preserve">Perlmutter, H., </w:t>
      </w:r>
      <w:r w:rsidR="00CA25AE">
        <w:rPr>
          <w:rFonts w:cs="Arial"/>
          <w:sz w:val="22"/>
          <w:szCs w:val="22"/>
        </w:rPr>
        <w:t>(</w:t>
      </w:r>
      <w:r w:rsidRPr="00541C7F">
        <w:rPr>
          <w:rFonts w:cs="Arial"/>
          <w:sz w:val="22"/>
          <w:szCs w:val="22"/>
        </w:rPr>
        <w:t>1969</w:t>
      </w:r>
      <w:r w:rsidR="00CA25AE">
        <w:rPr>
          <w:rFonts w:cs="Arial"/>
          <w:sz w:val="22"/>
          <w:szCs w:val="22"/>
        </w:rPr>
        <w:t>)</w:t>
      </w:r>
      <w:r w:rsidRPr="00541C7F">
        <w:rPr>
          <w:rFonts w:cs="Arial"/>
          <w:sz w:val="22"/>
          <w:szCs w:val="22"/>
        </w:rPr>
        <w:t>. The tortuous evolution of the multinational corporation. ColumbiaJournal of World Business, 4, 9-18. Perlmutter94Columbia Journal of World Business1969.</w:t>
      </w:r>
    </w:p>
    <w:p w14:paraId="0A5928E2" w14:textId="423E33C3" w:rsidR="00541C7F" w:rsidRPr="00541C7F" w:rsidRDefault="00541C7F" w:rsidP="00AA1549">
      <w:pPr>
        <w:pStyle w:val="Heading1"/>
        <w:spacing w:line="360" w:lineRule="auto"/>
        <w:rPr>
          <w:rFonts w:cs="Arial"/>
          <w:sz w:val="22"/>
          <w:szCs w:val="22"/>
        </w:rPr>
      </w:pPr>
      <w:r w:rsidRPr="00541C7F">
        <w:rPr>
          <w:rFonts w:cs="Arial"/>
          <w:sz w:val="22"/>
          <w:szCs w:val="22"/>
        </w:rPr>
        <w:t xml:space="preserve">Ray, S. and Chaudhuri, S., </w:t>
      </w:r>
      <w:r w:rsidR="00CA25AE">
        <w:rPr>
          <w:rFonts w:cs="Arial"/>
          <w:sz w:val="22"/>
          <w:szCs w:val="22"/>
        </w:rPr>
        <w:t>(</w:t>
      </w:r>
      <w:r w:rsidRPr="00541C7F">
        <w:rPr>
          <w:rFonts w:cs="Arial"/>
          <w:sz w:val="22"/>
          <w:szCs w:val="22"/>
        </w:rPr>
        <w:t>2016</w:t>
      </w:r>
      <w:r w:rsidR="00CA25AE">
        <w:rPr>
          <w:rFonts w:cs="Arial"/>
          <w:sz w:val="22"/>
          <w:szCs w:val="22"/>
        </w:rPr>
        <w:t>)</w:t>
      </w:r>
      <w:r w:rsidRPr="00541C7F">
        <w:rPr>
          <w:rFonts w:cs="Arial"/>
          <w:sz w:val="22"/>
          <w:szCs w:val="22"/>
        </w:rPr>
        <w:t>. Social and economic impact analysis of Vadinar refinery of Essar oil: The case of a mega refinery.</w:t>
      </w:r>
    </w:p>
    <w:p w14:paraId="6054C68E" w14:textId="0004585F" w:rsidR="00AA5730" w:rsidRPr="00F97AD2" w:rsidRDefault="00541C7F" w:rsidP="00AA1549">
      <w:pPr>
        <w:pStyle w:val="Heading1"/>
        <w:spacing w:line="360" w:lineRule="auto"/>
        <w:ind w:left="2160" w:hanging="2160"/>
        <w:rPr>
          <w:rFonts w:cs="Arial"/>
          <w:sz w:val="22"/>
          <w:szCs w:val="22"/>
        </w:rPr>
      </w:pPr>
      <w:r w:rsidRPr="00541C7F">
        <w:rPr>
          <w:rFonts w:cs="Arial"/>
          <w:sz w:val="22"/>
          <w:szCs w:val="22"/>
        </w:rPr>
        <w:t xml:space="preserve">Scott, W.R., </w:t>
      </w:r>
      <w:r w:rsidR="00CA25AE">
        <w:rPr>
          <w:rFonts w:cs="Arial"/>
          <w:sz w:val="22"/>
          <w:szCs w:val="22"/>
        </w:rPr>
        <w:t>(</w:t>
      </w:r>
      <w:r w:rsidRPr="00541C7F">
        <w:rPr>
          <w:rFonts w:cs="Arial"/>
          <w:sz w:val="22"/>
          <w:szCs w:val="22"/>
        </w:rPr>
        <w:t>1995</w:t>
      </w:r>
      <w:r w:rsidR="00CA25AE">
        <w:rPr>
          <w:rFonts w:cs="Arial"/>
          <w:sz w:val="22"/>
          <w:szCs w:val="22"/>
        </w:rPr>
        <w:t>)</w:t>
      </w:r>
      <w:r w:rsidRPr="00541C7F">
        <w:rPr>
          <w:rFonts w:cs="Arial"/>
          <w:sz w:val="22"/>
          <w:szCs w:val="22"/>
        </w:rPr>
        <w:t xml:space="preserve"> Institutions and Organizations. Thousands Oaks. Cal: Sage Publications.</w:t>
      </w:r>
    </w:p>
    <w:p w14:paraId="07824B48" w14:textId="55FA623A" w:rsidR="00AA5730" w:rsidRPr="00F97AD2" w:rsidRDefault="00AA5730" w:rsidP="00AA1549">
      <w:pPr>
        <w:pStyle w:val="Heading1"/>
        <w:spacing w:line="360" w:lineRule="auto"/>
        <w:ind w:left="2160" w:hanging="2160"/>
        <w:rPr>
          <w:rFonts w:cs="Arial"/>
          <w:sz w:val="22"/>
          <w:szCs w:val="22"/>
        </w:rPr>
      </w:pPr>
    </w:p>
    <w:sectPr w:rsidR="00AA5730" w:rsidRPr="00F97AD2" w:rsidSect="00D60F5D">
      <w:headerReference w:type="default" r:id="rId10"/>
      <w:headerReference w:type="first" r:id="rId1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7A2FF5" w14:textId="77777777" w:rsidR="0088162C" w:rsidRDefault="0088162C" w:rsidP="00987BA5">
      <w:pPr>
        <w:spacing w:after="0" w:line="240" w:lineRule="auto"/>
      </w:pPr>
      <w:r>
        <w:separator/>
      </w:r>
    </w:p>
  </w:endnote>
  <w:endnote w:type="continuationSeparator" w:id="0">
    <w:p w14:paraId="1D78C671" w14:textId="77777777" w:rsidR="0088162C" w:rsidRDefault="0088162C" w:rsidP="00987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charset w:val="88"/>
    <w:family w:val="auto"/>
    <w:pitch w:val="variable"/>
    <w:sig w:usb0="A10102FF" w:usb1="38CF7CFA" w:usb2="00010016" w:usb3="00000000" w:csb0="001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8"/>
    <w:family w:val="auto"/>
    <w:pitch w:val="variable"/>
    <w:sig w:usb0="A10102FF" w:usb1="38CF7CFA" w:usb2="00010016" w:usb3="00000000" w:csb0="0014000F" w:csb1="00000000"/>
  </w:font>
  <w:font w:name="Tahoma">
    <w:panose1 w:val="020B0604030504040204"/>
    <w:charset w:val="00"/>
    <w:family w:val="auto"/>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E9F6F" w14:textId="77777777" w:rsidR="0088162C" w:rsidRDefault="0088162C" w:rsidP="00987BA5">
      <w:pPr>
        <w:spacing w:after="0" w:line="240" w:lineRule="auto"/>
      </w:pPr>
      <w:r>
        <w:separator/>
      </w:r>
    </w:p>
  </w:footnote>
  <w:footnote w:type="continuationSeparator" w:id="0">
    <w:p w14:paraId="0E8AD049" w14:textId="77777777" w:rsidR="0088162C" w:rsidRDefault="0088162C" w:rsidP="00987B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20612" w14:textId="4790479E" w:rsidR="00D60F5D" w:rsidRDefault="00D60F5D">
    <w:pPr>
      <w:pStyle w:val="Header"/>
      <w:jc w:val="center"/>
    </w:pPr>
  </w:p>
  <w:p w14:paraId="46876AA9" w14:textId="77777777" w:rsidR="00D60F5D" w:rsidRDefault="00D60F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C2007" w14:textId="57D723A6" w:rsidR="00D60F5D" w:rsidRDefault="00D60F5D" w:rsidP="00CC419E">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9981150"/>
      <w:docPartObj>
        <w:docPartGallery w:val="Page Numbers (Top of Page)"/>
        <w:docPartUnique/>
      </w:docPartObj>
    </w:sdtPr>
    <w:sdtEndPr>
      <w:rPr>
        <w:noProof/>
      </w:rPr>
    </w:sdtEndPr>
    <w:sdtContent>
      <w:p w14:paraId="76B9CE5F" w14:textId="13362787" w:rsidR="00CC419E" w:rsidRDefault="00CC419E">
        <w:pPr>
          <w:pStyle w:val="Header"/>
          <w:jc w:val="right"/>
        </w:pPr>
        <w:r>
          <w:fldChar w:fldCharType="begin"/>
        </w:r>
        <w:r>
          <w:instrText xml:space="preserve"> PAGE   \* MERGEFORMAT </w:instrText>
        </w:r>
        <w:r>
          <w:fldChar w:fldCharType="separate"/>
        </w:r>
        <w:r w:rsidR="00DC2736">
          <w:rPr>
            <w:noProof/>
          </w:rPr>
          <w:t>8</w:t>
        </w:r>
        <w:r>
          <w:rPr>
            <w:noProof/>
          </w:rPr>
          <w:fldChar w:fldCharType="end"/>
        </w:r>
      </w:p>
    </w:sdtContent>
  </w:sdt>
  <w:p w14:paraId="69EEAAAA" w14:textId="77777777" w:rsidR="00D60F5D" w:rsidRDefault="00D60F5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671C3" w14:textId="77777777" w:rsidR="003F07DA" w:rsidRDefault="003F07DA" w:rsidP="00CC419E">
    <w:pPr>
      <w:pStyle w:val="Header"/>
      <w:jc w:val="right"/>
    </w:pPr>
    <w: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F7D4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A083C95"/>
    <w:multiLevelType w:val="hybridMultilevel"/>
    <w:tmpl w:val="F15E6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DC4314"/>
    <w:multiLevelType w:val="hybridMultilevel"/>
    <w:tmpl w:val="A9F6DA32"/>
    <w:lvl w:ilvl="0" w:tplc="C4CC508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6360939">
    <w:abstractNumId w:val="0"/>
  </w:num>
  <w:num w:numId="2" w16cid:durableId="2069104674">
    <w:abstractNumId w:val="1"/>
  </w:num>
  <w:num w:numId="3" w16cid:durableId="20099448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206D8"/>
    <w:rsid w:val="00003D27"/>
    <w:rsid w:val="000402BE"/>
    <w:rsid w:val="000571AD"/>
    <w:rsid w:val="00061D9A"/>
    <w:rsid w:val="0008605C"/>
    <w:rsid w:val="00142299"/>
    <w:rsid w:val="0015098B"/>
    <w:rsid w:val="001677B3"/>
    <w:rsid w:val="0017657E"/>
    <w:rsid w:val="001A10EE"/>
    <w:rsid w:val="001A357F"/>
    <w:rsid w:val="001C1D33"/>
    <w:rsid w:val="0022427D"/>
    <w:rsid w:val="0025164C"/>
    <w:rsid w:val="00262DFB"/>
    <w:rsid w:val="00323F53"/>
    <w:rsid w:val="00326088"/>
    <w:rsid w:val="0033273D"/>
    <w:rsid w:val="00347271"/>
    <w:rsid w:val="00355584"/>
    <w:rsid w:val="00386543"/>
    <w:rsid w:val="00386A56"/>
    <w:rsid w:val="00394F8C"/>
    <w:rsid w:val="003B417E"/>
    <w:rsid w:val="003C77F0"/>
    <w:rsid w:val="003D2794"/>
    <w:rsid w:val="003F07DA"/>
    <w:rsid w:val="003F1BE8"/>
    <w:rsid w:val="00404A19"/>
    <w:rsid w:val="0041057F"/>
    <w:rsid w:val="00416FDD"/>
    <w:rsid w:val="00431CD5"/>
    <w:rsid w:val="00464419"/>
    <w:rsid w:val="00493DCC"/>
    <w:rsid w:val="00496216"/>
    <w:rsid w:val="004E20B3"/>
    <w:rsid w:val="005206D8"/>
    <w:rsid w:val="00541C7F"/>
    <w:rsid w:val="00573B68"/>
    <w:rsid w:val="00586494"/>
    <w:rsid w:val="005E5602"/>
    <w:rsid w:val="005E7BAE"/>
    <w:rsid w:val="005F365C"/>
    <w:rsid w:val="0060334D"/>
    <w:rsid w:val="0063390B"/>
    <w:rsid w:val="006719AB"/>
    <w:rsid w:val="006756A8"/>
    <w:rsid w:val="006E116C"/>
    <w:rsid w:val="00700C2B"/>
    <w:rsid w:val="00784523"/>
    <w:rsid w:val="00796845"/>
    <w:rsid w:val="007B4654"/>
    <w:rsid w:val="007E2C43"/>
    <w:rsid w:val="00837D05"/>
    <w:rsid w:val="00846D86"/>
    <w:rsid w:val="0086127F"/>
    <w:rsid w:val="008759BB"/>
    <w:rsid w:val="00880DC8"/>
    <w:rsid w:val="0088162C"/>
    <w:rsid w:val="0088211D"/>
    <w:rsid w:val="008F4E25"/>
    <w:rsid w:val="008F506A"/>
    <w:rsid w:val="00931135"/>
    <w:rsid w:val="00932ADF"/>
    <w:rsid w:val="0094612F"/>
    <w:rsid w:val="00962CED"/>
    <w:rsid w:val="00966EA7"/>
    <w:rsid w:val="00987BA5"/>
    <w:rsid w:val="0099547E"/>
    <w:rsid w:val="009B448E"/>
    <w:rsid w:val="00A04AF2"/>
    <w:rsid w:val="00A139E3"/>
    <w:rsid w:val="00A30EE8"/>
    <w:rsid w:val="00A36473"/>
    <w:rsid w:val="00A649D2"/>
    <w:rsid w:val="00A82F86"/>
    <w:rsid w:val="00AA1549"/>
    <w:rsid w:val="00AA5730"/>
    <w:rsid w:val="00B4717A"/>
    <w:rsid w:val="00B77F8E"/>
    <w:rsid w:val="00C03028"/>
    <w:rsid w:val="00C03A07"/>
    <w:rsid w:val="00C86201"/>
    <w:rsid w:val="00C90529"/>
    <w:rsid w:val="00CA25AE"/>
    <w:rsid w:val="00CC419E"/>
    <w:rsid w:val="00CD0623"/>
    <w:rsid w:val="00CE3D34"/>
    <w:rsid w:val="00CE6237"/>
    <w:rsid w:val="00CF43C4"/>
    <w:rsid w:val="00D25BB2"/>
    <w:rsid w:val="00D42D87"/>
    <w:rsid w:val="00D60F5D"/>
    <w:rsid w:val="00DC0535"/>
    <w:rsid w:val="00DC2736"/>
    <w:rsid w:val="00DC2D7E"/>
    <w:rsid w:val="00E40DCD"/>
    <w:rsid w:val="00E61275"/>
    <w:rsid w:val="00EC1138"/>
    <w:rsid w:val="00F11E31"/>
    <w:rsid w:val="00F941CA"/>
    <w:rsid w:val="00F97AD2"/>
    <w:rsid w:val="00FA3069"/>
    <w:rsid w:val="00FE14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011653"/>
  <w15:docId w15:val="{A5C899C1-B9B3-4067-954C-18C68012A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6EA7"/>
    <w:pPr>
      <w:jc w:val="both"/>
    </w:pPr>
    <w:rPr>
      <w:rFonts w:ascii="Arial" w:hAnsi="Arial"/>
    </w:rPr>
  </w:style>
  <w:style w:type="paragraph" w:styleId="Heading1">
    <w:name w:val="heading 1"/>
    <w:aliases w:val="1. Heading 1"/>
    <w:basedOn w:val="Normal"/>
    <w:next w:val="Normal"/>
    <w:link w:val="Heading1Char"/>
    <w:uiPriority w:val="9"/>
    <w:qFormat/>
    <w:rsid w:val="003F1BE8"/>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262D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2DFB"/>
    <w:pPr>
      <w:ind w:left="720"/>
      <w:contextualSpacing/>
    </w:pPr>
  </w:style>
  <w:style w:type="character" w:customStyle="1" w:styleId="Heading1Char">
    <w:name w:val="Heading 1 Char"/>
    <w:aliases w:val="1. Heading 1 Char"/>
    <w:basedOn w:val="DefaultParagraphFont"/>
    <w:link w:val="Heading1"/>
    <w:uiPriority w:val="9"/>
    <w:rsid w:val="003F1BE8"/>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262DF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62DFB"/>
    <w:pPr>
      <w:outlineLvl w:val="9"/>
    </w:pPr>
    <w:rPr>
      <w:lang w:val="en-US"/>
    </w:rPr>
  </w:style>
  <w:style w:type="paragraph" w:styleId="TOC1">
    <w:name w:val="toc 1"/>
    <w:basedOn w:val="Normal"/>
    <w:next w:val="Normal"/>
    <w:autoRedefine/>
    <w:uiPriority w:val="39"/>
    <w:unhideWhenUsed/>
    <w:rsid w:val="00262DFB"/>
    <w:pPr>
      <w:spacing w:after="100"/>
    </w:pPr>
  </w:style>
  <w:style w:type="paragraph" w:styleId="TOC2">
    <w:name w:val="toc 2"/>
    <w:basedOn w:val="Normal"/>
    <w:next w:val="Normal"/>
    <w:autoRedefine/>
    <w:uiPriority w:val="39"/>
    <w:unhideWhenUsed/>
    <w:rsid w:val="00262DFB"/>
    <w:pPr>
      <w:spacing w:after="100"/>
      <w:ind w:left="220"/>
    </w:pPr>
  </w:style>
  <w:style w:type="character" w:styleId="Hyperlink">
    <w:name w:val="Hyperlink"/>
    <w:basedOn w:val="DefaultParagraphFont"/>
    <w:uiPriority w:val="99"/>
    <w:unhideWhenUsed/>
    <w:rsid w:val="00262DFB"/>
    <w:rPr>
      <w:color w:val="0563C1" w:themeColor="hyperlink"/>
      <w:u w:val="single"/>
    </w:rPr>
  </w:style>
  <w:style w:type="paragraph" w:styleId="NoSpacing">
    <w:name w:val="No Spacing"/>
    <w:link w:val="NoSpacingChar"/>
    <w:uiPriority w:val="1"/>
    <w:qFormat/>
    <w:rsid w:val="00262D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2DFB"/>
    <w:rPr>
      <w:rFonts w:eastAsiaTheme="minorEastAsia"/>
      <w:lang w:val="en-US"/>
    </w:rPr>
  </w:style>
  <w:style w:type="paragraph" w:styleId="Header">
    <w:name w:val="header"/>
    <w:basedOn w:val="Normal"/>
    <w:link w:val="HeaderChar"/>
    <w:uiPriority w:val="99"/>
    <w:unhideWhenUsed/>
    <w:rsid w:val="00987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A5"/>
  </w:style>
  <w:style w:type="paragraph" w:styleId="Footer">
    <w:name w:val="footer"/>
    <w:basedOn w:val="Normal"/>
    <w:link w:val="FooterChar"/>
    <w:uiPriority w:val="99"/>
    <w:unhideWhenUsed/>
    <w:rsid w:val="00987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A5"/>
  </w:style>
  <w:style w:type="paragraph" w:styleId="BalloonText">
    <w:name w:val="Balloon Text"/>
    <w:basedOn w:val="Normal"/>
    <w:link w:val="BalloonTextChar"/>
    <w:uiPriority w:val="99"/>
    <w:semiHidden/>
    <w:unhideWhenUsed/>
    <w:rsid w:val="009461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612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4.xml"/><Relationship Id="rId5" Type="http://schemas.openxmlformats.org/officeDocument/2006/relationships/webSettings" Target="webSettings.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E24733-A42A-DB46-B519-D723E3664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Pages>
  <Words>2973</Words>
  <Characters>16950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Name</dc:creator>
  <cp:keywords/>
  <dc:description/>
  <cp:lastModifiedBy>andreea vlasceanu</cp:lastModifiedBy>
  <cp:revision>89</cp:revision>
  <dcterms:created xsi:type="dcterms:W3CDTF">2022-02-03T11:14:00Z</dcterms:created>
  <dcterms:modified xsi:type="dcterms:W3CDTF">2023-03-17T11:06:00Z</dcterms:modified>
</cp:coreProperties>
</file>