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EAD73" w14:textId="77777777" w:rsidR="001152C1"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b/>
          <w:bCs/>
          <w:color w:val="0E101A"/>
          <w:kern w:val="0"/>
          <w:sz w:val="24"/>
          <w:szCs w:val="24"/>
          <w:lang w:eastAsia="en-PK"/>
          <w14:ligatures w14:val="none"/>
        </w:rPr>
        <w:t>Introduction:</w:t>
      </w:r>
      <w:r w:rsidRPr="003B2AE6">
        <w:rPr>
          <w:rFonts w:ascii="Times New Roman" w:eastAsia="Times New Roman" w:hAnsi="Times New Roman" w:cs="Times New Roman"/>
          <w:color w:val="0E101A"/>
          <w:kern w:val="0"/>
          <w:sz w:val="24"/>
          <w:szCs w:val="24"/>
          <w:lang w:eastAsia="en-PK"/>
          <w14:ligatures w14:val="none"/>
        </w:rPr>
        <w:t> </w:t>
      </w:r>
    </w:p>
    <w:p w14:paraId="1AE0DD89" w14:textId="77777777" w:rsidR="001152C1" w:rsidRPr="00C522B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C522B6">
        <w:rPr>
          <w:rFonts w:ascii="Times New Roman" w:eastAsia="Times New Roman" w:hAnsi="Times New Roman" w:cs="Times New Roman"/>
          <w:color w:val="0E101A"/>
          <w:kern w:val="0"/>
          <w:sz w:val="24"/>
          <w:szCs w:val="24"/>
          <w:lang w:eastAsia="en-PK"/>
          <w14:ligatures w14:val="none"/>
        </w:rPr>
        <w:t xml:space="preserve">British Gas is one of the largest energy suppliers in the United Kingdom. British Gas is owned by "Centrica Companies," among the country's largest providers of services and power distribution. British Gas New Heating Limited and British Gas Services Limited represent additional names for the company. Furthermore, British Gas is one of the country's largest and most recognisable names, delivering excellent energy services to nearly 12 million homes. It is also regarded as one of the UK's Big Six premier electrical providers. However, British Gas has recently had an economic crisis because of various identified concerns in 2023. British Gas received criticism and handed down by the public after repeated media reports revealed the company's poor human resource management HRM, as well as poor customer service and terrible behaviour of pressurising its customers. As a result of the horrible services, the firm lost thousands of valuable customers. The company British Gas also took part in following the Fire and rehiring, when during the 2020 pandemic, the firm stated that it would lay off over 5,000 people </w:t>
      </w:r>
      <w:proofErr w:type="gramStart"/>
      <w:r w:rsidRPr="00C522B6">
        <w:rPr>
          <w:rFonts w:ascii="Times New Roman" w:eastAsia="Times New Roman" w:hAnsi="Times New Roman" w:cs="Times New Roman"/>
          <w:color w:val="0E101A"/>
          <w:kern w:val="0"/>
          <w:sz w:val="24"/>
          <w:szCs w:val="24"/>
          <w:lang w:eastAsia="en-PK"/>
          <w14:ligatures w14:val="none"/>
        </w:rPr>
        <w:t>in order to</w:t>
      </w:r>
      <w:proofErr w:type="gramEnd"/>
      <w:r w:rsidRPr="00C522B6">
        <w:rPr>
          <w:rFonts w:ascii="Times New Roman" w:eastAsia="Times New Roman" w:hAnsi="Times New Roman" w:cs="Times New Roman"/>
          <w:color w:val="0E101A"/>
          <w:kern w:val="0"/>
          <w:sz w:val="24"/>
          <w:szCs w:val="24"/>
          <w:lang w:eastAsia="en-PK"/>
          <w14:ligatures w14:val="none"/>
        </w:rPr>
        <w:t xml:space="preserve"> "stop any further decline." For an undetermined amount of time, the Covid-19 epidemic was a challenge for every continent. The pandemic is recognised as a historic event since it had a huge influence on the way we live and corporate structures throughout the world, as well as on the mechanism of Human Resource Management in </w:t>
      </w:r>
      <w:proofErr w:type="gramStart"/>
      <w:r w:rsidRPr="00C522B6">
        <w:rPr>
          <w:rFonts w:ascii="Times New Roman" w:eastAsia="Times New Roman" w:hAnsi="Times New Roman" w:cs="Times New Roman"/>
          <w:color w:val="0E101A"/>
          <w:kern w:val="0"/>
          <w:sz w:val="24"/>
          <w:szCs w:val="24"/>
          <w:lang w:eastAsia="en-PK"/>
          <w14:ligatures w14:val="none"/>
        </w:rPr>
        <w:t>a large number of</w:t>
      </w:r>
      <w:proofErr w:type="gramEnd"/>
      <w:r w:rsidRPr="00C522B6">
        <w:rPr>
          <w:rFonts w:ascii="Times New Roman" w:eastAsia="Times New Roman" w:hAnsi="Times New Roman" w:cs="Times New Roman"/>
          <w:color w:val="0E101A"/>
          <w:kern w:val="0"/>
          <w:sz w:val="24"/>
          <w:szCs w:val="24"/>
          <w:lang w:eastAsia="en-PK"/>
          <w14:ligatures w14:val="none"/>
        </w:rPr>
        <w:t xml:space="preserve"> commercial companies. When no one understood the importance of unavoidable serious issues, the shutdown of the foundation business operations and workers working from home began to replace usual practises, the pandemic's impact on industries was critically analysed.</w:t>
      </w:r>
    </w:p>
    <w:p w14:paraId="3F9F928F" w14:textId="77777777" w:rsidR="001152C1" w:rsidRPr="00C522B6" w:rsidRDefault="001152C1" w:rsidP="001152C1">
      <w:pPr>
        <w:spacing w:after="0" w:line="360" w:lineRule="auto"/>
        <w:jc w:val="both"/>
        <w:rPr>
          <w:rFonts w:ascii="Times New Roman" w:eastAsia="Times New Roman" w:hAnsi="Times New Roman" w:cs="Times New Roman"/>
          <w:color w:val="0E101A"/>
          <w:kern w:val="0"/>
          <w:sz w:val="24"/>
          <w:szCs w:val="24"/>
          <w:lang w:val="en-US" w:eastAsia="en-PK"/>
          <w14:ligatures w14:val="none"/>
        </w:rPr>
      </w:pPr>
      <w:r w:rsidRPr="00C522B6">
        <w:rPr>
          <w:rFonts w:ascii="Times New Roman" w:eastAsia="Times New Roman" w:hAnsi="Times New Roman" w:cs="Times New Roman"/>
          <w:color w:val="0E101A"/>
          <w:kern w:val="0"/>
          <w:sz w:val="24"/>
          <w:szCs w:val="24"/>
          <w:lang w:eastAsia="en-PK"/>
          <w14:ligatures w14:val="none"/>
        </w:rPr>
        <w:t xml:space="preserve">One of the practises that occurred during the epidemic time was also the implementation of the practice known as "fire and rehire", which has one of the most damaging effects in the Human Resource Management business. </w:t>
      </w:r>
      <w:r>
        <w:rPr>
          <w:rFonts w:ascii="Times New Roman" w:eastAsia="Times New Roman" w:hAnsi="Times New Roman" w:cs="Times New Roman"/>
          <w:color w:val="0E101A"/>
          <w:kern w:val="0"/>
          <w:sz w:val="24"/>
          <w:szCs w:val="24"/>
          <w:lang w:val="en-US" w:eastAsia="en-PK"/>
          <w14:ligatures w14:val="none"/>
        </w:rPr>
        <w:t>In addition to this the</w:t>
      </w:r>
      <w:r w:rsidRPr="00C522B6">
        <w:rPr>
          <w:rFonts w:ascii="Times New Roman" w:eastAsia="Times New Roman" w:hAnsi="Times New Roman" w:cs="Times New Roman"/>
          <w:color w:val="0E101A"/>
          <w:kern w:val="0"/>
          <w:sz w:val="24"/>
          <w:szCs w:val="24"/>
          <w:lang w:eastAsia="en-PK"/>
          <w14:ligatures w14:val="none"/>
        </w:rPr>
        <w:t xml:space="preserve"> article will </w:t>
      </w:r>
      <w:r>
        <w:rPr>
          <w:rFonts w:ascii="Times New Roman" w:eastAsia="Times New Roman" w:hAnsi="Times New Roman" w:cs="Times New Roman"/>
          <w:color w:val="0E101A"/>
          <w:kern w:val="0"/>
          <w:sz w:val="24"/>
          <w:szCs w:val="24"/>
          <w:lang w:val="en-US" w:eastAsia="en-PK"/>
          <w14:ligatures w14:val="none"/>
        </w:rPr>
        <w:t xml:space="preserve">highlights </w:t>
      </w:r>
      <w:r w:rsidRPr="00C522B6">
        <w:rPr>
          <w:rFonts w:ascii="Times New Roman" w:eastAsia="Times New Roman" w:hAnsi="Times New Roman" w:cs="Times New Roman"/>
          <w:color w:val="0E101A"/>
          <w:kern w:val="0"/>
          <w:sz w:val="24"/>
          <w:szCs w:val="24"/>
          <w:lang w:eastAsia="en-PK"/>
          <w14:ligatures w14:val="none"/>
        </w:rPr>
        <w:t>numerous big and long-term conflicts and disagreements between the firm 'British Gas' and its engineers</w:t>
      </w:r>
      <w:r>
        <w:rPr>
          <w:rFonts w:ascii="Times New Roman" w:eastAsia="Times New Roman" w:hAnsi="Times New Roman" w:cs="Times New Roman"/>
          <w:color w:val="0E101A"/>
          <w:kern w:val="0"/>
          <w:sz w:val="24"/>
          <w:szCs w:val="24"/>
          <w:lang w:val="en-US" w:eastAsia="en-PK"/>
          <w14:ligatures w14:val="none"/>
        </w:rPr>
        <w:t>,</w:t>
      </w:r>
      <w:r w:rsidRPr="00C522B6">
        <w:rPr>
          <w:rFonts w:ascii="Times New Roman" w:eastAsia="Times New Roman" w:hAnsi="Times New Roman" w:cs="Times New Roman"/>
          <w:color w:val="0E101A"/>
          <w:kern w:val="0"/>
          <w:sz w:val="24"/>
          <w:szCs w:val="24"/>
          <w:lang w:eastAsia="en-PK"/>
          <w14:ligatures w14:val="none"/>
        </w:rPr>
        <w:t xml:space="preserve"> 'British Gas' and the engineers who work for the company on the new policy. Addressing the</w:t>
      </w:r>
      <w:r>
        <w:rPr>
          <w:rFonts w:ascii="Times New Roman" w:eastAsia="Times New Roman" w:hAnsi="Times New Roman" w:cs="Times New Roman"/>
          <w:color w:val="0E101A"/>
          <w:kern w:val="0"/>
          <w:sz w:val="24"/>
          <w:szCs w:val="24"/>
          <w:lang w:val="en-US" w:eastAsia="en-PK"/>
          <w14:ligatures w14:val="none"/>
        </w:rPr>
        <w:t xml:space="preserve"> </w:t>
      </w:r>
      <w:r w:rsidRPr="00C522B6">
        <w:rPr>
          <w:rFonts w:ascii="Times New Roman" w:eastAsia="Times New Roman" w:hAnsi="Times New Roman" w:cs="Times New Roman"/>
          <w:color w:val="0E101A"/>
          <w:kern w:val="0"/>
          <w:sz w:val="24"/>
          <w:szCs w:val="24"/>
          <w:lang w:eastAsia="en-PK"/>
          <w14:ligatures w14:val="none"/>
        </w:rPr>
        <w:t>legal consequences of changing terms in an employment contract</w:t>
      </w:r>
      <w:r>
        <w:rPr>
          <w:rFonts w:ascii="Times New Roman" w:eastAsia="Times New Roman" w:hAnsi="Times New Roman" w:cs="Times New Roman"/>
          <w:color w:val="0E101A"/>
          <w:kern w:val="0"/>
          <w:sz w:val="24"/>
          <w:szCs w:val="24"/>
          <w:lang w:val="en-US" w:eastAsia="en-PK"/>
          <w14:ligatures w14:val="none"/>
        </w:rPr>
        <w:t xml:space="preserve">, </w:t>
      </w:r>
      <w:r w:rsidRPr="00C522B6">
        <w:rPr>
          <w:rFonts w:ascii="Times New Roman" w:eastAsia="Times New Roman" w:hAnsi="Times New Roman" w:cs="Times New Roman"/>
          <w:color w:val="0E101A"/>
          <w:kern w:val="0"/>
          <w:sz w:val="24"/>
          <w:szCs w:val="24"/>
          <w:lang w:val="en-US" w:eastAsia="en-PK"/>
          <w14:ligatures w14:val="none"/>
        </w:rPr>
        <w:t>Human Resources Involvement in Fire and Rehire Strateg</w:t>
      </w:r>
      <w:r>
        <w:rPr>
          <w:rFonts w:ascii="Times New Roman" w:eastAsia="Times New Roman" w:hAnsi="Times New Roman" w:cs="Times New Roman"/>
          <w:color w:val="0E101A"/>
          <w:kern w:val="0"/>
          <w:sz w:val="24"/>
          <w:szCs w:val="24"/>
          <w:lang w:val="en-US" w:eastAsia="en-PK"/>
          <w14:ligatures w14:val="none"/>
        </w:rPr>
        <w:t xml:space="preserve">ies. </w:t>
      </w:r>
      <w:r w:rsidRPr="00C522B6">
        <w:rPr>
          <w:rFonts w:ascii="Times New Roman" w:eastAsia="Times New Roman" w:hAnsi="Times New Roman" w:cs="Times New Roman"/>
          <w:color w:val="0E101A"/>
          <w:kern w:val="0"/>
          <w:sz w:val="24"/>
          <w:szCs w:val="24"/>
          <w:lang w:eastAsia="en-PK"/>
          <w14:ligatures w14:val="none"/>
        </w:rPr>
        <w:t xml:space="preserve">In addition, changes were made to their working circumstances. 'British Gas sought to create an effective and efficient working structure, maybe in reaction to the ongoing need to lower employee costs while maintaining market supremacy. The dealing of nine months between British Gas employers and employees in mid-2020 addressed key concerns in favour of the engineers, which the GMB trade union backed. The firm wanted the engineers to sign a brand-new agreement that required them to work extra hours without any increase in salaries. Initially, over 1000 engineers refused to sign because of changes made to </w:t>
      </w:r>
      <w:r w:rsidRPr="00C522B6">
        <w:rPr>
          <w:rFonts w:ascii="Times New Roman" w:eastAsia="Times New Roman" w:hAnsi="Times New Roman" w:cs="Times New Roman"/>
          <w:color w:val="0E101A"/>
          <w:kern w:val="0"/>
          <w:sz w:val="24"/>
          <w:szCs w:val="24"/>
          <w:lang w:eastAsia="en-PK"/>
          <w14:ligatures w14:val="none"/>
        </w:rPr>
        <w:lastRenderedPageBreak/>
        <w:t>their job terms in the deal. As a result, British Gas initiated a "fire and rehire" policy, forcing engineers to choose between accepting the new agreements and terms and risking their jobs.</w:t>
      </w:r>
      <w:r w:rsidRPr="003B2AE6">
        <w:rPr>
          <w:rFonts w:ascii="Times New Roman" w:eastAsia="Times New Roman" w:hAnsi="Times New Roman" w:cs="Times New Roman"/>
          <w:color w:val="0E101A"/>
          <w:kern w:val="0"/>
          <w:sz w:val="24"/>
          <w:szCs w:val="24"/>
          <w:lang w:eastAsia="en-PK"/>
          <w14:ligatures w14:val="none"/>
        </w:rPr>
        <w:t xml:space="preserve"> (Jia, </w:t>
      </w:r>
      <w:r w:rsidRPr="003B2AE6">
        <w:rPr>
          <w:rFonts w:ascii="Times New Roman" w:eastAsia="Times New Roman" w:hAnsi="Times New Roman" w:cs="Times New Roman"/>
          <w:i/>
          <w:iCs/>
          <w:color w:val="0E101A"/>
          <w:kern w:val="0"/>
          <w:sz w:val="24"/>
          <w:szCs w:val="24"/>
          <w:lang w:eastAsia="en-PK"/>
          <w14:ligatures w14:val="none"/>
        </w:rPr>
        <w:t>et al., </w:t>
      </w:r>
      <w:r w:rsidRPr="003B2AE6">
        <w:rPr>
          <w:rFonts w:ascii="Times New Roman" w:eastAsia="Times New Roman" w:hAnsi="Times New Roman" w:cs="Times New Roman"/>
          <w:color w:val="0E101A"/>
          <w:kern w:val="0"/>
          <w:sz w:val="24"/>
          <w:szCs w:val="24"/>
          <w:lang w:eastAsia="en-PK"/>
          <w14:ligatures w14:val="none"/>
        </w:rPr>
        <w:t>B., 2016.)</w:t>
      </w:r>
    </w:p>
    <w:p w14:paraId="67C63DDB"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1.1 The latest Legal Status of the strategy fire and Rehire Procedures:</w:t>
      </w:r>
    </w:p>
    <w:p w14:paraId="3B3FE675"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Employee firing and rehiring is a common practice in the U.K. and legally. Nevertheless, throughout the past several years, it has received much unfavourable media attention, which means companies that depend on the fire and hire strategies are now under closer examination. Although, according to (Bernstein, A., 2022.), there is no legal restriction to firing someone and hiring them back, the procedure is not without danger, and doing so carries some risk. Organisations that have unlawfully implemented fire and rehire techniques to make specific changes in the employment terms and conditions of their staff members without their consent have been subject to legal actions (which incorporate charges for unjust termination) as firing and rehiring practices can seriously harm a company’s reputation and employee relations. The widely recognised (Bal, </w:t>
      </w:r>
      <w:r w:rsidRPr="003B2AE6">
        <w:rPr>
          <w:rFonts w:ascii="Times New Roman" w:eastAsia="Times New Roman" w:hAnsi="Times New Roman" w:cs="Times New Roman"/>
          <w:i/>
          <w:iCs/>
          <w:color w:val="0E101A"/>
          <w:kern w:val="0"/>
          <w:sz w:val="24"/>
          <w:szCs w:val="24"/>
          <w:lang w:eastAsia="en-PK"/>
          <w14:ligatures w14:val="none"/>
        </w:rPr>
        <w:t>et al </w:t>
      </w:r>
      <w:r w:rsidRPr="003B2AE6">
        <w:rPr>
          <w:rFonts w:ascii="Times New Roman" w:eastAsia="Times New Roman" w:hAnsi="Times New Roman" w:cs="Times New Roman"/>
          <w:color w:val="0E101A"/>
          <w:kern w:val="0"/>
          <w:sz w:val="24"/>
          <w:szCs w:val="24"/>
          <w:lang w:eastAsia="en-PK"/>
          <w14:ligatures w14:val="none"/>
        </w:rPr>
        <w:t xml:space="preserve">Brookes, A., 2022.) energy and utility company British Gas has recently received much criticism for using the disagreeable “fire and rehire” method. Due to its consequences for workers' rights, workplace relations and interaction, and the more extensive discussion of equitable hiring practices, this strategy, characterised by terminating old employment contracts while offering new and fresh conditions to employees, has attracted much concern. British Gas, a unit of Centrica PLC, has long been one of the top suppliers of energy-related products and services, including utility services of high quality and standards all over the U.K. It has encountered a variety of difficulties over time </w:t>
      </w:r>
      <w:proofErr w:type="gramStart"/>
      <w:r w:rsidRPr="003B2AE6">
        <w:rPr>
          <w:rFonts w:ascii="Times New Roman" w:eastAsia="Times New Roman" w:hAnsi="Times New Roman" w:cs="Times New Roman"/>
          <w:color w:val="0E101A"/>
          <w:kern w:val="0"/>
          <w:sz w:val="24"/>
          <w:szCs w:val="24"/>
          <w:lang w:eastAsia="en-PK"/>
          <w14:ligatures w14:val="none"/>
        </w:rPr>
        <w:t>as a result of</w:t>
      </w:r>
      <w:proofErr w:type="gramEnd"/>
      <w:r w:rsidRPr="003B2AE6">
        <w:rPr>
          <w:rFonts w:ascii="Times New Roman" w:eastAsia="Times New Roman" w:hAnsi="Times New Roman" w:cs="Times New Roman"/>
          <w:color w:val="0E101A"/>
          <w:kern w:val="0"/>
          <w:sz w:val="24"/>
          <w:szCs w:val="24"/>
          <w:lang w:eastAsia="en-PK"/>
          <w14:ligatures w14:val="none"/>
        </w:rPr>
        <w:t xml:space="preserve"> market and regulatory developments. Moreover, growing competition in the energy industry. British Gas, a significant employer, employs a critical and expanded workforce, including engineers, customer service operators and office staff members, all participating in the company’s management and providing services.</w:t>
      </w:r>
    </w:p>
    <w:p w14:paraId="1D78DF90"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1.2 “Fire and Rehire” Strategy Implementation:</w:t>
      </w:r>
    </w:p>
    <w:p w14:paraId="41254E9C"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British Gas decided to execute the “fire and rehire” method to significantly reduce expenses in response to financial challenges and evolving market conditions after the pandemic in 2020. (Lansley, S., 2021.) As covid 19 was a challenge for an undetermined amount of time for every continent. The pandemic is recognised as a historic event since it had a significant influence on the way we live and corporate structures throughout the world, as well as on the mechanism of </w:t>
      </w:r>
      <w:r w:rsidRPr="003B2AE6">
        <w:rPr>
          <w:rFonts w:ascii="Times New Roman" w:eastAsia="Times New Roman" w:hAnsi="Times New Roman" w:cs="Times New Roman"/>
          <w:color w:val="0E101A"/>
          <w:kern w:val="0"/>
          <w:sz w:val="24"/>
          <w:szCs w:val="24"/>
          <w:lang w:eastAsia="en-PK"/>
          <w14:ligatures w14:val="none"/>
        </w:rPr>
        <w:lastRenderedPageBreak/>
        <w:t xml:space="preserve">Human Resource Management in many commercial companies. When no one grasped the magnitude of inescapable serious issues, the closure of core business operations and workers working from home began to replace usual practices, the pandemic’s impact on industries was critically analysed, and then the corporation </w:t>
      </w:r>
      <w:proofErr w:type="gramStart"/>
      <w:r w:rsidRPr="003B2AE6">
        <w:rPr>
          <w:rFonts w:ascii="Times New Roman" w:eastAsia="Times New Roman" w:hAnsi="Times New Roman" w:cs="Times New Roman"/>
          <w:color w:val="0E101A"/>
          <w:kern w:val="0"/>
          <w:sz w:val="24"/>
          <w:szCs w:val="24"/>
          <w:lang w:eastAsia="en-PK"/>
          <w14:ligatures w14:val="none"/>
        </w:rPr>
        <w:t>made an announcement about</w:t>
      </w:r>
      <w:proofErr w:type="gramEnd"/>
      <w:r w:rsidRPr="003B2AE6">
        <w:rPr>
          <w:rFonts w:ascii="Times New Roman" w:eastAsia="Times New Roman" w:hAnsi="Times New Roman" w:cs="Times New Roman"/>
          <w:color w:val="0E101A"/>
          <w:kern w:val="0"/>
          <w:sz w:val="24"/>
          <w:szCs w:val="24"/>
          <w:lang w:eastAsia="en-PK"/>
          <w14:ligatures w14:val="none"/>
        </w:rPr>
        <w:t xml:space="preserve"> its plans to change the employment contracts for a significant number of its workers at the very beginning of 2021. Thousands of employees’ current employment agreements ended as part of the plan, and new contracts with numerous modifications were provided to them. Changes to working hours, pay scales, and benefits were among the most significant. British Gas was criticised and penalised by the employees for their poor and unacceptable modifications in the employment strategies and by the public also after numerous media reports exposed its terrible human resource management HRM, customer service, and the heinous practise of invading people’s homes to coerce them into buying their products. As a result, the company lost thousands of its most important clients. In a competitive environment, the firm announced the layoff of 4,000 employees (Devereux &amp; Wadsworth, 2022). During the 2020 pandemic, the firm said it would lay off over 5,000 people to “stop any further decline.” </w:t>
      </w:r>
    </w:p>
    <w:p w14:paraId="4F459275"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1.3 Several variables contributed to British Gas’s decision to use the “fire and rehire” strategy:</w:t>
      </w:r>
    </w:p>
    <w:p w14:paraId="3B107FE6"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British Gas had financial issues, including a drop in earnings, which demanded cost-cutting measures to maintain the company’s long-term viability. The U.K. energy business has seen an increase in smaller, adaptable energy suppliers, which has increased competition and put pressure on major corporations like British Gas to stay cost competitive. Switching to cleaner, renewable energy sources necessitated investments and changes to business structures. The corporation may have viewed the “fire and rehire” policy as a way of putting resources towards these transformations. Compromise in employee wages and benefits for a considerable share of operating expenses. Changing these expenses through the “fire and rehire” technique may have been regarded </w:t>
      </w:r>
      <w:proofErr w:type="gramStart"/>
      <w:r w:rsidRPr="003B2AE6">
        <w:rPr>
          <w:rFonts w:ascii="Times New Roman" w:eastAsia="Times New Roman" w:hAnsi="Times New Roman" w:cs="Times New Roman"/>
          <w:color w:val="0E101A"/>
          <w:kern w:val="0"/>
          <w:sz w:val="24"/>
          <w:szCs w:val="24"/>
          <w:lang w:eastAsia="en-PK"/>
          <w14:ligatures w14:val="none"/>
        </w:rPr>
        <w:t>as a means to</w:t>
      </w:r>
      <w:proofErr w:type="gramEnd"/>
      <w:r w:rsidRPr="003B2AE6">
        <w:rPr>
          <w:rFonts w:ascii="Times New Roman" w:eastAsia="Times New Roman" w:hAnsi="Times New Roman" w:cs="Times New Roman"/>
          <w:color w:val="0E101A"/>
          <w:kern w:val="0"/>
          <w:sz w:val="24"/>
          <w:szCs w:val="24"/>
          <w:lang w:eastAsia="en-PK"/>
          <w14:ligatures w14:val="none"/>
        </w:rPr>
        <w:t xml:space="preserve"> generate short-term financial relief. For an undetermined amount of time, the Covid-19 epidemic was challenging for every continent. British Gas said this method needed to be implemented to increase profitability, minimise operations, and maintain competitiveness in the continuously evolving power market. The corporation listed difficulties impacting the need for cost reductions, including the rise in competition from smaller energy suppliers, shifting client preferences, and the shift towards renewable energy sources. (Rights, L., 2018.)</w:t>
      </w:r>
    </w:p>
    <w:p w14:paraId="03077BE4"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lastRenderedPageBreak/>
        <w:t>1.4 “Fire and rehire practises.”</w:t>
      </w:r>
    </w:p>
    <w:p w14:paraId="51288B6E"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“Fire and rehire” practises have been a source of conflict, as case studies from numerous sectors demonstrated. Existing employees are terminated and rehired under new terms, generally in the terms and conditions of fewer benefits, low salary rates, and altered working conditions. The primary motivation for these techniques is reducing expenses, as businesses aim to reduce expenditures while maintaining profitability. Staff reform also helps organisations adjust to changing market circumstances. (Izah, M., 2021.) For example, companies in the consumer goods industry have employed “fire and rehire” to overcome the problems brought about by internet purchasing patterns. High street businesses were under pressure to cut costs and optimise operations, which resulted in changed contracts for current employees. A study (Armstrong, S., 2023.) claimed that “Fire and rehire” has been noticed as a technique to realign labour costs in the industrial industry, where technology is changing the worker picture. As new technologies are introduced, the skills demanded of workers change, causing corporations to replace existing staff or seek salary reductions in spending. Such approaches, however, frequently attract substantial opposition from labour organisations and the </w:t>
      </w:r>
      <w:proofErr w:type="gramStart"/>
      <w:r w:rsidRPr="003B2AE6">
        <w:rPr>
          <w:rFonts w:ascii="Times New Roman" w:eastAsia="Times New Roman" w:hAnsi="Times New Roman" w:cs="Times New Roman"/>
          <w:color w:val="0E101A"/>
          <w:kern w:val="0"/>
          <w:sz w:val="24"/>
          <w:szCs w:val="24"/>
          <w:lang w:eastAsia="en-PK"/>
          <w14:ligatures w14:val="none"/>
        </w:rPr>
        <w:t>general public</w:t>
      </w:r>
      <w:proofErr w:type="gramEnd"/>
      <w:r w:rsidRPr="003B2AE6">
        <w:rPr>
          <w:rFonts w:ascii="Times New Roman" w:eastAsia="Times New Roman" w:hAnsi="Times New Roman" w:cs="Times New Roman"/>
          <w:color w:val="0E101A"/>
          <w:kern w:val="0"/>
          <w:sz w:val="24"/>
          <w:szCs w:val="24"/>
          <w:lang w:eastAsia="en-PK"/>
          <w14:ligatures w14:val="none"/>
        </w:rPr>
        <w:t xml:space="preserve"> since they can reduce employee morale and increase job instability. There are legal and ethical considerations about pushing workers into renegotiated agreements. Organisations that use these techniques risk damaging their reputations and facing legal consequences.</w:t>
      </w:r>
    </w:p>
    <w:p w14:paraId="1B79DE3F" w14:textId="77777777" w:rsidR="001152C1" w:rsidRPr="003B2AE6" w:rsidRDefault="001152C1" w:rsidP="001152C1">
      <w:pPr>
        <w:pStyle w:val="Heading2"/>
        <w:spacing w:line="360" w:lineRule="auto"/>
        <w:jc w:val="both"/>
        <w:rPr>
          <w:sz w:val="24"/>
          <w:szCs w:val="24"/>
          <w:lang w:eastAsia="en-PK"/>
        </w:rPr>
      </w:pPr>
      <w:r>
        <w:rPr>
          <w:sz w:val="24"/>
          <w:szCs w:val="24"/>
          <w:lang w:val="en-US" w:eastAsia="en-PK"/>
        </w:rPr>
        <w:t xml:space="preserve">2. </w:t>
      </w:r>
      <w:r w:rsidRPr="003B2AE6">
        <w:rPr>
          <w:sz w:val="24"/>
          <w:szCs w:val="24"/>
          <w:lang w:eastAsia="en-PK"/>
        </w:rPr>
        <w:t>Explains the legal implications of changing contractual employment terms:</w:t>
      </w:r>
    </w:p>
    <w:p w14:paraId="2D4FD4DB"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2.1 Employment Contracts in the United Kingdom</w:t>
      </w:r>
    </w:p>
    <w:p w14:paraId="6AA59159"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Employment contracts in the United Kingdom are controlled by a variety of laws and regulations, including the Employment Rights Act. Employers must give written statements of employment particulars defining essential factors such as job duties, salaries, benefits for employees, bonuses and working hours within two months of an employee’s initial hire.</w:t>
      </w:r>
    </w:p>
    <w:p w14:paraId="6CC60195"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2.2 Employee’s consent:</w:t>
      </w:r>
    </w:p>
    <w:p w14:paraId="0337B3CF"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Employers must generally develop employee approval to change contractual employment conditions. Changes must be conveyed straightforwardly and openly, and employees’ consent should be the organisation's utmost priority. When modifying the conditions of employment, it is essential to obtain the employee’s consent and permission. Employers cannot implement </w:t>
      </w:r>
      <w:r w:rsidRPr="003B2AE6">
        <w:rPr>
          <w:rFonts w:ascii="Times New Roman" w:eastAsia="Times New Roman" w:hAnsi="Times New Roman" w:cs="Times New Roman"/>
          <w:color w:val="0E101A"/>
          <w:kern w:val="0"/>
          <w:sz w:val="24"/>
          <w:szCs w:val="24"/>
          <w:lang w:eastAsia="en-PK"/>
          <w14:ligatures w14:val="none"/>
        </w:rPr>
        <w:lastRenderedPageBreak/>
        <w:t xml:space="preserve">modifications suddenly without the employee’s consent. Genuine, </w:t>
      </w:r>
      <w:proofErr w:type="gramStart"/>
      <w:r w:rsidRPr="003B2AE6">
        <w:rPr>
          <w:rFonts w:ascii="Times New Roman" w:eastAsia="Times New Roman" w:hAnsi="Times New Roman" w:cs="Times New Roman"/>
          <w:color w:val="0E101A"/>
          <w:kern w:val="0"/>
          <w:sz w:val="24"/>
          <w:szCs w:val="24"/>
          <w:lang w:eastAsia="en-PK"/>
          <w14:ligatures w14:val="none"/>
        </w:rPr>
        <w:t>updated</w:t>
      </w:r>
      <w:proofErr w:type="gramEnd"/>
      <w:r w:rsidRPr="003B2AE6">
        <w:rPr>
          <w:rFonts w:ascii="Times New Roman" w:eastAsia="Times New Roman" w:hAnsi="Times New Roman" w:cs="Times New Roman"/>
          <w:color w:val="0E101A"/>
          <w:kern w:val="0"/>
          <w:sz w:val="24"/>
          <w:szCs w:val="24"/>
          <w:lang w:eastAsia="en-PK"/>
          <w14:ligatures w14:val="none"/>
        </w:rPr>
        <w:t xml:space="preserve"> and independent approval must be obtained. Employers must convey planned changes correctly and provide employees with detailed information about the changes. Employees may then make a knowledgeable choice about whether to accept the revised conditions of employment. Employers can seek employee approval, but the practicalities of permission differ. Employees, for example, may feel pushed to agree to changes owing to job uncertainty or fear of consequences. This kind of pressure has the potential to damage the democratic concept of participation. Furthermore, if employees refuse to consent to changes, employers must carefully evaluate what they will do next, which may include negotiating or taking other measures. Employers can seek employee approval, but the practicalities of permission differ. Employees, for example, may feel pushed to agree to changes owing to job uncertainty or fear of consequences. This kind of pressure has the potential to damage the democratic concept of participation. Furthermore, if employees refuse to consent to changes, employers must carefully evaluate what they will do next, which may include negotiating or taking other measures. (Davidescu, </w:t>
      </w:r>
      <w:r w:rsidRPr="003B2AE6">
        <w:rPr>
          <w:rFonts w:ascii="Times New Roman" w:eastAsia="Times New Roman" w:hAnsi="Times New Roman" w:cs="Times New Roman"/>
          <w:i/>
          <w:iCs/>
          <w:color w:val="0E101A"/>
          <w:kern w:val="0"/>
          <w:sz w:val="24"/>
          <w:szCs w:val="24"/>
          <w:lang w:eastAsia="en-PK"/>
          <w14:ligatures w14:val="none"/>
        </w:rPr>
        <w:t>et al.</w:t>
      </w:r>
      <w:r w:rsidRPr="003B2AE6">
        <w:rPr>
          <w:rFonts w:ascii="Times New Roman" w:eastAsia="Times New Roman" w:hAnsi="Times New Roman" w:cs="Times New Roman"/>
          <w:color w:val="0E101A"/>
          <w:kern w:val="0"/>
          <w:sz w:val="24"/>
          <w:szCs w:val="24"/>
          <w:lang w:eastAsia="en-PK"/>
          <w14:ligatures w14:val="none"/>
        </w:rPr>
        <w:t>, I., 2020.)</w:t>
      </w:r>
    </w:p>
    <w:p w14:paraId="0AF9B749"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2.3 Demanding Advice/Consultations:</w:t>
      </w:r>
    </w:p>
    <w:p w14:paraId="28F93002" w14:textId="77777777" w:rsidR="001152C1"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A piece of advice is critical when considering significant changes that may affect the rights and freedom of workers and working conditions. When implementing cooperative changes that affect a group of employees, such as firings employees on a vast scale, responsibility for consultation comes into action. Consultation ensures (Raskin, M., 2016.) that worker viewpoints are considered before decisions are made. Although the legislation fails to require a precise consultation procedure for specific adjustments, companies are encouraged to communicate with employees to ensure flexibility and equality. Companies should participate in meaningful discussions with employees </w:t>
      </w:r>
      <w:proofErr w:type="gramStart"/>
      <w:r w:rsidRPr="003B2AE6">
        <w:rPr>
          <w:rFonts w:ascii="Times New Roman" w:eastAsia="Times New Roman" w:hAnsi="Times New Roman" w:cs="Times New Roman"/>
          <w:color w:val="0E101A"/>
          <w:kern w:val="0"/>
          <w:sz w:val="24"/>
          <w:szCs w:val="24"/>
          <w:lang w:eastAsia="en-PK"/>
          <w14:ligatures w14:val="none"/>
        </w:rPr>
        <w:t>whom</w:t>
      </w:r>
      <w:proofErr w:type="gramEnd"/>
      <w:r w:rsidRPr="003B2AE6">
        <w:rPr>
          <w:rFonts w:ascii="Times New Roman" w:eastAsia="Times New Roman" w:hAnsi="Times New Roman" w:cs="Times New Roman"/>
          <w:color w:val="0E101A"/>
          <w:kern w:val="0"/>
          <w:sz w:val="24"/>
          <w:szCs w:val="24"/>
          <w:lang w:eastAsia="en-PK"/>
          <w14:ligatures w14:val="none"/>
        </w:rPr>
        <w:t xml:space="preserve"> trade unions or employee representatives accompany to gather their suggestions as well. Although the legislation fails to require a precise consultation procedure for specific adjustments, companies are encouraged to communicate with employees to ensure flexibility and equality. Companies should participate in meaningful discussions with employees </w:t>
      </w:r>
      <w:proofErr w:type="gramStart"/>
      <w:r w:rsidRPr="003B2AE6">
        <w:rPr>
          <w:rFonts w:ascii="Times New Roman" w:eastAsia="Times New Roman" w:hAnsi="Times New Roman" w:cs="Times New Roman"/>
          <w:color w:val="0E101A"/>
          <w:kern w:val="0"/>
          <w:sz w:val="24"/>
          <w:szCs w:val="24"/>
          <w:lang w:eastAsia="en-PK"/>
          <w14:ligatures w14:val="none"/>
        </w:rPr>
        <w:t>whom</w:t>
      </w:r>
      <w:proofErr w:type="gramEnd"/>
      <w:r w:rsidRPr="003B2AE6">
        <w:rPr>
          <w:rFonts w:ascii="Times New Roman" w:eastAsia="Times New Roman" w:hAnsi="Times New Roman" w:cs="Times New Roman"/>
          <w:color w:val="0E101A"/>
          <w:kern w:val="0"/>
          <w:sz w:val="24"/>
          <w:szCs w:val="24"/>
          <w:lang w:eastAsia="en-PK"/>
          <w14:ligatures w14:val="none"/>
        </w:rPr>
        <w:t xml:space="preserve"> trade unions or employee representatives accompany to gather their suggestions as well. It is essential to seek advice effectively to avoid disputes and compensation being paid to impacted employees. A dedication to fairness and respect for employees’ ideas is demonstrated via sufficient discussion.</w:t>
      </w:r>
    </w:p>
    <w:p w14:paraId="7AB387F1"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p>
    <w:p w14:paraId="54732797"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lastRenderedPageBreak/>
        <w:t>2.4 Equality among every employee:</w:t>
      </w:r>
    </w:p>
    <w:p w14:paraId="60C2B7D3"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Equality is a fundamental concept of the law of employment, and it is essential when adapting to new employment conditions. Alterations must be justified and reasonable. What defines “fair” might vary depending on the circumstances of the modifications, the impact on staff members, and the broader environment. Employers should avoid carrying out discriminating or unjust changes. According to research (Gray, A.D., 2023.), making changes on its own that adversely impact a particular population or group of employees, for example, might be considered discrimination. Similarly, enforcing modifications that violate fundamental worker rights, such as salary cuts that violate minimum salary guidelines, may be considered inequitable. Courts and administration consider the equity of modifications by determining whether the employer had a valid business motive to adjust and whether the procedure was fair. It might be declared unfair if the change was undefined, adopted without discussion, or had an unreasonable adverse impact on employees. The importance of justice cannot be underlined. Any modifications should be reasonable and justified. Employees can take legal action if the modifications are considered unjustified, </w:t>
      </w:r>
      <w:proofErr w:type="gramStart"/>
      <w:r w:rsidRPr="003B2AE6">
        <w:rPr>
          <w:rFonts w:ascii="Times New Roman" w:eastAsia="Times New Roman" w:hAnsi="Times New Roman" w:cs="Times New Roman"/>
          <w:color w:val="0E101A"/>
          <w:kern w:val="0"/>
          <w:sz w:val="24"/>
          <w:szCs w:val="24"/>
          <w:lang w:eastAsia="en-PK"/>
          <w14:ligatures w14:val="none"/>
        </w:rPr>
        <w:t>unfair</w:t>
      </w:r>
      <w:proofErr w:type="gramEnd"/>
      <w:r w:rsidRPr="003B2AE6">
        <w:rPr>
          <w:rFonts w:ascii="Times New Roman" w:eastAsia="Times New Roman" w:hAnsi="Times New Roman" w:cs="Times New Roman"/>
          <w:color w:val="0E101A"/>
          <w:kern w:val="0"/>
          <w:sz w:val="24"/>
          <w:szCs w:val="24"/>
          <w:lang w:eastAsia="en-PK"/>
          <w14:ligatures w14:val="none"/>
        </w:rPr>
        <w:t xml:space="preserve"> or discriminatory. The “fire and rehire” method is currently increasing power. Employers will terminate employees and then offer them new contracts with different conditions. This practice has created ethical and legal problems since it might be perceived as unfair to pressure employees to accept new conditions. There have not been any substantial changes in laws relating to “fire and rehire”. Many legal actions have highlighted the reliability and fairness of “fire and rehire.” Some cases have resulted in favourable verdicts for employees, highlighting the need for companies to act reasonably and honestly when implementing contract adjustments.</w:t>
      </w:r>
    </w:p>
    <w:p w14:paraId="2913100A"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Implementing the strategy might affect teamwork and the commitment of employees significantly due to “fire and rehire” methods. Employees experience psychological and emotional trauma </w:t>
      </w:r>
      <w:proofErr w:type="gramStart"/>
      <w:r w:rsidRPr="003B2AE6">
        <w:rPr>
          <w:rFonts w:ascii="Times New Roman" w:eastAsia="Times New Roman" w:hAnsi="Times New Roman" w:cs="Times New Roman"/>
          <w:color w:val="0E101A"/>
          <w:kern w:val="0"/>
          <w:sz w:val="24"/>
          <w:szCs w:val="24"/>
          <w:lang w:eastAsia="en-PK"/>
          <w14:ligatures w14:val="none"/>
        </w:rPr>
        <w:t>as a result of</w:t>
      </w:r>
      <w:proofErr w:type="gramEnd"/>
      <w:r w:rsidRPr="003B2AE6">
        <w:rPr>
          <w:rFonts w:ascii="Times New Roman" w:eastAsia="Times New Roman" w:hAnsi="Times New Roman" w:cs="Times New Roman"/>
          <w:color w:val="0E101A"/>
          <w:kern w:val="0"/>
          <w:sz w:val="24"/>
          <w:szCs w:val="24"/>
          <w:lang w:eastAsia="en-PK"/>
          <w14:ligatures w14:val="none"/>
        </w:rPr>
        <w:t xml:space="preserve"> such procedures, which generate a sense of ambiguity and perceived unfairness among the employees who work wholeheartedly for the organisation with serious commitment and loyalty. Employees may feel undervalued and lose faith in the organisation, resulting in lower motivation and engagement, which eventually harms the standard and reputation of the company. (Munton, J.R., 2022.)</w:t>
      </w:r>
    </w:p>
    <w:p w14:paraId="5B5B292C"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2.5 Changes and “Fire and Rehire” Strategy:</w:t>
      </w:r>
    </w:p>
    <w:p w14:paraId="53475925"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The contentious practise of “fire and rehire” caused controversy over its legality and fairness in recent years. Employers engage in this practice by firing employees and then offering them </w:t>
      </w:r>
      <w:r w:rsidRPr="003B2AE6">
        <w:rPr>
          <w:rFonts w:ascii="Times New Roman" w:eastAsia="Times New Roman" w:hAnsi="Times New Roman" w:cs="Times New Roman"/>
          <w:color w:val="0E101A"/>
          <w:kern w:val="0"/>
          <w:sz w:val="24"/>
          <w:szCs w:val="24"/>
          <w:lang w:eastAsia="en-PK"/>
          <w14:ligatures w14:val="none"/>
        </w:rPr>
        <w:lastRenderedPageBreak/>
        <w:t>re-employment with modified conditions, which are frequently less beneficial than previous conditions. While it is not illegal, “fire and rehire” has created moral issues. Critics claim that it takes advantage of employees’ weaknesses and produces an economic gap between companies and workers. It can also be interpreted (Wang, </w:t>
      </w:r>
      <w:r w:rsidRPr="003B2AE6">
        <w:rPr>
          <w:rFonts w:ascii="Times New Roman" w:eastAsia="Times New Roman" w:hAnsi="Times New Roman" w:cs="Times New Roman"/>
          <w:i/>
          <w:iCs/>
          <w:color w:val="0E101A"/>
          <w:kern w:val="0"/>
          <w:sz w:val="24"/>
          <w:szCs w:val="24"/>
          <w:lang w:eastAsia="en-PK"/>
          <w14:ligatures w14:val="none"/>
        </w:rPr>
        <w:t>et al.,</w:t>
      </w:r>
      <w:r w:rsidRPr="003B2AE6">
        <w:rPr>
          <w:rFonts w:ascii="Times New Roman" w:eastAsia="Times New Roman" w:hAnsi="Times New Roman" w:cs="Times New Roman"/>
          <w:color w:val="0E101A"/>
          <w:kern w:val="0"/>
          <w:sz w:val="24"/>
          <w:szCs w:val="24"/>
          <w:lang w:eastAsia="en-PK"/>
          <w14:ligatures w14:val="none"/>
        </w:rPr>
        <w:t> U., 2021.) as decreasing the concept of work stability. To avoid accusations of unfairness or termination, employers must show a genuine business purpose for the modifications, provide sufficient consultation, and examine alternatives. Making changes to employment conditions while remaining within the legal restrictions of employee permission, consultation, and fairness necessitates a careful balance. Employers must verify that employees truly consent to changes, consult when necessary, and maintain a commitment to justice and reason. As employment law evolves, businesses must be updated about policy revisions and legal opinions to follow these limitations properly.</w:t>
      </w:r>
    </w:p>
    <w:p w14:paraId="7333CA50"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2.6 Consequences of the implementation of the strategy of “Fire and Rehire”:</w:t>
      </w:r>
    </w:p>
    <w:p w14:paraId="24E55228"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According to research (Kelly-Lyth, </w:t>
      </w:r>
      <w:r w:rsidRPr="003B2AE6">
        <w:rPr>
          <w:rFonts w:ascii="Times New Roman" w:eastAsia="Times New Roman" w:hAnsi="Times New Roman" w:cs="Times New Roman"/>
          <w:i/>
          <w:iCs/>
          <w:color w:val="0E101A"/>
          <w:kern w:val="0"/>
          <w:sz w:val="24"/>
          <w:szCs w:val="24"/>
          <w:lang w:eastAsia="en-PK"/>
          <w14:ligatures w14:val="none"/>
        </w:rPr>
        <w:t>et al.</w:t>
      </w:r>
      <w:r w:rsidRPr="003B2AE6">
        <w:rPr>
          <w:rFonts w:ascii="Times New Roman" w:eastAsia="Times New Roman" w:hAnsi="Times New Roman" w:cs="Times New Roman"/>
          <w:color w:val="0E101A"/>
          <w:kern w:val="0"/>
          <w:sz w:val="24"/>
          <w:szCs w:val="24"/>
          <w:lang w:eastAsia="en-PK"/>
          <w14:ligatures w14:val="none"/>
        </w:rPr>
        <w:t>, J., 2022.), these practices can damage worker efficiency, working together, collaboration, cooperation of the employees within the office, and maintaining the organisational culture. Employees with concerns about their job security are less inclined to be engaged and motivated, impacting their performance. Teamwork may weaken as employees feel afraid to collaborate with colleagues who may potentially be in trouble. An atmosphere of fear and distrust can have a detrimental impact on the entire organisational culture. Similar studies indicate that organisations that use “fire and rehire” practises may have more excellent unemployment rates as employees want a secure environment that secures employment somewhere. This generates the potential to disturb team relationships and lead to a lack of interest and skills among the employees related to work, thereby damaging output and efforts to collaborate. To develop employee engagement and sustain a happy work environment, organisations must think about open communication, fair treatment, and supportive practices without injustice or discrimination and should work on prioritising worker satisfaction over brief efforts to reduce expenses.</w:t>
      </w:r>
    </w:p>
    <w:p w14:paraId="0C8D7C03" w14:textId="77777777" w:rsidR="001152C1" w:rsidRPr="003B2AE6" w:rsidRDefault="001152C1" w:rsidP="001152C1">
      <w:pPr>
        <w:pStyle w:val="Heading2"/>
        <w:spacing w:line="360" w:lineRule="auto"/>
        <w:jc w:val="both"/>
        <w:rPr>
          <w:sz w:val="24"/>
          <w:szCs w:val="24"/>
          <w:lang w:val="en-US" w:eastAsia="en-PK"/>
        </w:rPr>
      </w:pPr>
      <w:r>
        <w:rPr>
          <w:sz w:val="24"/>
          <w:szCs w:val="24"/>
          <w:lang w:val="en-US" w:eastAsia="en-PK"/>
        </w:rPr>
        <w:t xml:space="preserve">3. </w:t>
      </w:r>
      <w:r w:rsidRPr="003B2AE6">
        <w:rPr>
          <w:sz w:val="24"/>
          <w:szCs w:val="24"/>
          <w:lang w:eastAsia="en-PK"/>
        </w:rPr>
        <w:t>The potential impact of any changes on employee engagement:</w:t>
      </w:r>
    </w:p>
    <w:p w14:paraId="2ADB2A66"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Employee engagement is a vital aspect that defines the success of a company. It deals with employees’ emotional commitment and involvement to their work, the company’s aims and objectives, and their entire work environment. According to (Eldor, </w:t>
      </w:r>
      <w:r w:rsidRPr="003B2AE6">
        <w:rPr>
          <w:rFonts w:ascii="Times New Roman" w:eastAsia="Times New Roman" w:hAnsi="Times New Roman" w:cs="Times New Roman"/>
          <w:i/>
          <w:iCs/>
          <w:color w:val="0E101A"/>
          <w:kern w:val="0"/>
          <w:sz w:val="24"/>
          <w:szCs w:val="24"/>
          <w:lang w:eastAsia="en-PK"/>
          <w14:ligatures w14:val="none"/>
        </w:rPr>
        <w:t>et al.,</w:t>
      </w:r>
      <w:r w:rsidRPr="003B2AE6">
        <w:rPr>
          <w:rFonts w:ascii="Times New Roman" w:eastAsia="Times New Roman" w:hAnsi="Times New Roman" w:cs="Times New Roman"/>
          <w:color w:val="0E101A"/>
          <w:kern w:val="0"/>
          <w:sz w:val="24"/>
          <w:szCs w:val="24"/>
          <w:lang w:eastAsia="en-PK"/>
          <w14:ligatures w14:val="none"/>
        </w:rPr>
        <w:t xml:space="preserve"> E., 2017.) when </w:t>
      </w:r>
      <w:r w:rsidRPr="003B2AE6">
        <w:rPr>
          <w:rFonts w:ascii="Times New Roman" w:eastAsia="Times New Roman" w:hAnsi="Times New Roman" w:cs="Times New Roman"/>
          <w:color w:val="0E101A"/>
          <w:kern w:val="0"/>
          <w:sz w:val="24"/>
          <w:szCs w:val="24"/>
          <w:lang w:eastAsia="en-PK"/>
          <w14:ligatures w14:val="none"/>
        </w:rPr>
        <w:lastRenderedPageBreak/>
        <w:t>examining future organisational changes, it is critical to assess what effect they must have on employee engagement since this directly impacts productivity, efficiency, levels of satisfaction, and the overall performance of the company to become successful, such as implementing an online employment policy. Many businesses have introduced remote work ideas in recent years after the pandemic, allowing staff members to work from the preferred areas other than the usual office environment. This shift can have an influence on employee engagement in ways that positive are as well as detrimental. On the contrary, (Burnett, </w:t>
      </w:r>
      <w:r w:rsidRPr="003B2AE6">
        <w:rPr>
          <w:rFonts w:ascii="Times New Roman" w:eastAsia="Times New Roman" w:hAnsi="Times New Roman" w:cs="Times New Roman"/>
          <w:i/>
          <w:iCs/>
          <w:color w:val="0E101A"/>
          <w:kern w:val="0"/>
          <w:sz w:val="24"/>
          <w:szCs w:val="24"/>
          <w:lang w:eastAsia="en-PK"/>
          <w14:ligatures w14:val="none"/>
        </w:rPr>
        <w:t>et al., </w:t>
      </w:r>
      <w:r w:rsidRPr="003B2AE6">
        <w:rPr>
          <w:rFonts w:ascii="Times New Roman" w:eastAsia="Times New Roman" w:hAnsi="Times New Roman" w:cs="Times New Roman"/>
          <w:color w:val="0E101A"/>
          <w:kern w:val="0"/>
          <w:sz w:val="24"/>
          <w:szCs w:val="24"/>
          <w:lang w:eastAsia="en-PK"/>
          <w14:ligatures w14:val="none"/>
        </w:rPr>
        <w:t>T.C., 2019.), working from home strategy may offer employees more freedom, resulting in a healthier balance between work and life. This improved adaptability can lead to improved job satisfaction and work fulfilment, and, as a result, a greater degree of engagement and commitment is found. Staff members who can also change their schedules at work to meet their own needs are more inclined to be acknowledged and trusted by the company they work for. Furthermore, working remotely reduces long drives and the stress associated with it such problems, allowing employees to spend their time more effectively and productively. This may result in improved participation through higher enthusiasm and recognition for the organisation. Moreover, remote work may draw in and maintain individuals who value working from multiple places, improving overall involvement percentages.</w:t>
      </w:r>
    </w:p>
    <w:p w14:paraId="34F66472"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3.1 Benefits of employee engagement and employment contract:</w:t>
      </w:r>
    </w:p>
    <w:p w14:paraId="6B7837A3" w14:textId="77777777" w:rsidR="001152C1"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According to the study (</w:t>
      </w:r>
      <w:proofErr w:type="spellStart"/>
      <w:r w:rsidRPr="003B2AE6">
        <w:rPr>
          <w:rFonts w:ascii="Times New Roman" w:eastAsia="Times New Roman" w:hAnsi="Times New Roman" w:cs="Times New Roman"/>
          <w:color w:val="0E101A"/>
          <w:kern w:val="0"/>
          <w:sz w:val="24"/>
          <w:szCs w:val="24"/>
          <w:lang w:eastAsia="en-PK"/>
          <w14:ligatures w14:val="none"/>
        </w:rPr>
        <w:t>Gutermann</w:t>
      </w:r>
      <w:proofErr w:type="spellEnd"/>
      <w:r w:rsidRPr="003B2AE6">
        <w:rPr>
          <w:rFonts w:ascii="Times New Roman" w:eastAsia="Times New Roman" w:hAnsi="Times New Roman" w:cs="Times New Roman"/>
          <w:color w:val="0E101A"/>
          <w:kern w:val="0"/>
          <w:sz w:val="24"/>
          <w:szCs w:val="24"/>
          <w:lang w:eastAsia="en-PK"/>
          <w14:ligatures w14:val="none"/>
        </w:rPr>
        <w:t> </w:t>
      </w:r>
      <w:r w:rsidRPr="003B2AE6">
        <w:rPr>
          <w:rFonts w:ascii="Times New Roman" w:eastAsia="Times New Roman" w:hAnsi="Times New Roman" w:cs="Times New Roman"/>
          <w:i/>
          <w:iCs/>
          <w:color w:val="0E101A"/>
          <w:kern w:val="0"/>
          <w:sz w:val="24"/>
          <w:szCs w:val="24"/>
          <w:lang w:eastAsia="en-PK"/>
          <w14:ligatures w14:val="none"/>
        </w:rPr>
        <w:t>et al.,</w:t>
      </w:r>
      <w:r w:rsidRPr="003B2AE6">
        <w:rPr>
          <w:rFonts w:ascii="Times New Roman" w:eastAsia="Times New Roman" w:hAnsi="Times New Roman" w:cs="Times New Roman"/>
          <w:color w:val="0E101A"/>
          <w:kern w:val="0"/>
          <w:sz w:val="24"/>
          <w:szCs w:val="24"/>
          <w:lang w:eastAsia="en-PK"/>
          <w14:ligatures w14:val="none"/>
        </w:rPr>
        <w:t> 2017), employee engagement describes the employees’ devotion and demonstrates how driven and respected an employee is in the firm. A company must ensure that its employees compete, and the company must also recognise the efforts of its employees as well as the accomplishments of its employees by offering rewards for loyalty and creativity certificates since this will help the company. Furthermore, any change in a business, such as investing or technological growth, could harm employee engagement because they are uninformed of such changes. A corporation will also seek to create an office climate that prioritises mental health and encourages its staff to adjust to and accept these changes. Hence, this examines the elements to improve and make good and beneficial changes while making improvements towards the commitments and dedication of the employees to adopt new ways during advancements, adaptability to learn quickly and uniting and considers when the change in a commitment is made in an organisation.</w:t>
      </w:r>
    </w:p>
    <w:p w14:paraId="7DFB5A54" w14:textId="77777777" w:rsidR="001152C1"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p>
    <w:p w14:paraId="2EC53AEF"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p>
    <w:p w14:paraId="5F72A463"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lastRenderedPageBreak/>
        <w:t>3.2 New adaptable learning: </w:t>
      </w:r>
    </w:p>
    <w:p w14:paraId="4C194155"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The most noteworthy employee engagement research based on previous employment (Eisenberger et al., 2016) demonstrated that motivating factors and employee enthusiasm depend upon innovative and adaptable learning opportunities, flexibility to work freely, and mental requirements that encourage employees to practise new skills and the </w:t>
      </w:r>
      <w:proofErr w:type="gramStart"/>
      <w:r w:rsidRPr="003B2AE6">
        <w:rPr>
          <w:rFonts w:ascii="Times New Roman" w:eastAsia="Times New Roman" w:hAnsi="Times New Roman" w:cs="Times New Roman"/>
          <w:color w:val="0E101A"/>
          <w:kern w:val="0"/>
          <w:sz w:val="24"/>
          <w:szCs w:val="24"/>
          <w:lang w:eastAsia="en-PK"/>
          <w14:ligatures w14:val="none"/>
        </w:rPr>
        <w:t>manner in which</w:t>
      </w:r>
      <w:proofErr w:type="gramEnd"/>
      <w:r w:rsidRPr="003B2AE6">
        <w:rPr>
          <w:rFonts w:ascii="Times New Roman" w:eastAsia="Times New Roman" w:hAnsi="Times New Roman" w:cs="Times New Roman"/>
          <w:color w:val="0E101A"/>
          <w:kern w:val="0"/>
          <w:sz w:val="24"/>
          <w:szCs w:val="24"/>
          <w:lang w:eastAsia="en-PK"/>
          <w14:ligatures w14:val="none"/>
        </w:rPr>
        <w:t xml:space="preserve"> work is done efficiently and effectively. Staff participation can be a helpful aspect of individuals in both their personal and professional development. An individual’s basic need for satisfaction cannot be separated from an employee’s dedication to any company they work for if a corporation promotes an atmosphere of encouragement, adaptability, and free will and take an interest towards its workers. In such a scenario, employees will undoubtedly perform their duties with total sincerity, commitment, and dedication bringing importance to the work, assisting employees in realising the significance they are to the company’s success, as well as maintaining employees' active involvement. There are additionally many opportunities for employees to work with complete independence, and staff members may inspire others to work effectively in the organisation. Furthermore, the job will increase the workers’ dedication. Employee engagement and loyalty need a chance and rewards. Enthusiasm and work sincerity are dependent on the connection between employers and workers and fair terms and circumstances. According to research, solid mental health may assist a person in developing a feeling of personal development if we use a motivating approach, which increases the probability of group engagement and total focus among workers on the task at hand. Creating and committing entirely to such big goals, as well as (Ahmed et al., 2020) represents someone’s values, behaviour, and dreams, which are also helpful parts of the staff members' uniqueness. An investigation has also discovered a relationship between the environment and the circulatory system, establishing a link between intrinsic stimulation and motivation and natural experience to feel anything. The flow is a broad sensation and emotion that people experience when they are completely immersed in their task. By seeing engagement in the yearning for freedom, the relationship between an internal drive and experience of flow promotes belief and self-trust.</w:t>
      </w:r>
    </w:p>
    <w:p w14:paraId="7FEC2BC6"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3.3 Results by making changes in contracts on employee engagement.</w:t>
      </w:r>
    </w:p>
    <w:p w14:paraId="2258393A"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According to the study (Braganza et al., 2021), changing an employee’s contract can have several kinds of consequences on how the person feels about working in an organisation. The type of the changes is determined by the general employment surroundings, as well as the </w:t>
      </w:r>
      <w:r w:rsidRPr="003B2AE6">
        <w:rPr>
          <w:rFonts w:ascii="Times New Roman" w:eastAsia="Times New Roman" w:hAnsi="Times New Roman" w:cs="Times New Roman"/>
          <w:color w:val="0E101A"/>
          <w:kern w:val="0"/>
          <w:sz w:val="24"/>
          <w:szCs w:val="24"/>
          <w:lang w:eastAsia="en-PK"/>
          <w14:ligatures w14:val="none"/>
        </w:rPr>
        <w:lastRenderedPageBreak/>
        <w:t xml:space="preserve">conditions and relationships, </w:t>
      </w:r>
      <w:proofErr w:type="gramStart"/>
      <w:r w:rsidRPr="003B2AE6">
        <w:rPr>
          <w:rFonts w:ascii="Times New Roman" w:eastAsia="Times New Roman" w:hAnsi="Times New Roman" w:cs="Times New Roman"/>
          <w:color w:val="0E101A"/>
          <w:kern w:val="0"/>
          <w:sz w:val="24"/>
          <w:szCs w:val="24"/>
          <w:lang w:eastAsia="en-PK"/>
          <w14:ligatures w14:val="none"/>
        </w:rPr>
        <w:t>and also</w:t>
      </w:r>
      <w:proofErr w:type="gramEnd"/>
      <w:r w:rsidRPr="003B2AE6">
        <w:rPr>
          <w:rFonts w:ascii="Times New Roman" w:eastAsia="Times New Roman" w:hAnsi="Times New Roman" w:cs="Times New Roman"/>
          <w:color w:val="0E101A"/>
          <w:kern w:val="0"/>
          <w:sz w:val="24"/>
          <w:szCs w:val="24"/>
          <w:lang w:eastAsia="en-PK"/>
          <w14:ligatures w14:val="none"/>
        </w:rPr>
        <w:t xml:space="preserve"> the implementation of the changes, all of which will affect particular results. Here are some outcomes that could occur. However, the financial crisis all around the world has resulted in considerable changes in firm work and responsibilities. Employee engagement is critical for the person and the company. Employees may need to understand the contract’s limitations </w:t>
      </w:r>
      <w:proofErr w:type="gramStart"/>
      <w:r w:rsidRPr="003B2AE6">
        <w:rPr>
          <w:rFonts w:ascii="Times New Roman" w:eastAsia="Times New Roman" w:hAnsi="Times New Roman" w:cs="Times New Roman"/>
          <w:color w:val="0E101A"/>
          <w:kern w:val="0"/>
          <w:sz w:val="24"/>
          <w:szCs w:val="24"/>
          <w:lang w:eastAsia="en-PK"/>
          <w14:ligatures w14:val="none"/>
        </w:rPr>
        <w:t>in order to</w:t>
      </w:r>
      <w:proofErr w:type="gramEnd"/>
      <w:r w:rsidRPr="003B2AE6">
        <w:rPr>
          <w:rFonts w:ascii="Times New Roman" w:eastAsia="Times New Roman" w:hAnsi="Times New Roman" w:cs="Times New Roman"/>
          <w:color w:val="0E101A"/>
          <w:kern w:val="0"/>
          <w:sz w:val="24"/>
          <w:szCs w:val="24"/>
          <w:lang w:eastAsia="en-PK"/>
          <w14:ligatures w14:val="none"/>
        </w:rPr>
        <w:t xml:space="preserve"> prevent the corporation from achieving its aims. A method to manage engagement among workers techniques is required in each company. More rigorous requirements and consistent achievement are achievable that can promote staff efficiency, adaptability, collaboration, and good relationship among staff members and the organisation.</w:t>
      </w:r>
    </w:p>
    <w:p w14:paraId="2D9827EF" w14:textId="77777777" w:rsidR="001152C1" w:rsidRPr="003B2AE6" w:rsidRDefault="001152C1" w:rsidP="001152C1">
      <w:pPr>
        <w:pStyle w:val="Heading2"/>
        <w:spacing w:line="360" w:lineRule="auto"/>
        <w:jc w:val="both"/>
        <w:rPr>
          <w:sz w:val="24"/>
          <w:szCs w:val="24"/>
          <w:lang w:eastAsia="en-PK"/>
        </w:rPr>
      </w:pPr>
      <w:r>
        <w:rPr>
          <w:sz w:val="24"/>
          <w:szCs w:val="24"/>
          <w:lang w:val="en-US" w:eastAsia="en-PK"/>
        </w:rPr>
        <w:t xml:space="preserve">4. </w:t>
      </w:r>
      <w:r w:rsidRPr="003B2AE6">
        <w:rPr>
          <w:sz w:val="24"/>
          <w:szCs w:val="24"/>
          <w:lang w:eastAsia="en-PK"/>
        </w:rPr>
        <w:t>Evaluates H.R.'s involvement in this issue and consider whether traditional models of HRM provide an adequate framework for managing contemporary employment relations:</w:t>
      </w:r>
    </w:p>
    <w:p w14:paraId="4140C8B3"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4.1 Examine H.R.’s role in maintaining employee relations: </w:t>
      </w:r>
    </w:p>
    <w:p w14:paraId="6D6062CD"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Human Resources (H.R.) has a vital role in managing employee relationships throughout an organisation. It provides a connection between staff members and upper management, facilitating positive interaction, good communication and resolving conflicts. Human resources are responsible for setting up and carrying out strategies that promote equitable procedures, equal opportunity, equal employment rights and adherence to labour regulations without favouritism and discrimination. It also handles worker complaints, firing processes, and staff management inquiries. (Nankervis, </w:t>
      </w:r>
      <w:r w:rsidRPr="003B2AE6">
        <w:rPr>
          <w:rFonts w:ascii="Times New Roman" w:eastAsia="Times New Roman" w:hAnsi="Times New Roman" w:cs="Times New Roman"/>
          <w:i/>
          <w:iCs/>
          <w:color w:val="0E101A"/>
          <w:kern w:val="0"/>
          <w:sz w:val="24"/>
          <w:szCs w:val="24"/>
          <w:lang w:eastAsia="en-PK"/>
          <w14:ligatures w14:val="none"/>
        </w:rPr>
        <w:t>et al.,</w:t>
      </w:r>
      <w:r w:rsidRPr="003B2AE6">
        <w:rPr>
          <w:rFonts w:ascii="Times New Roman" w:eastAsia="Times New Roman" w:hAnsi="Times New Roman" w:cs="Times New Roman"/>
          <w:color w:val="0E101A"/>
          <w:kern w:val="0"/>
          <w:sz w:val="24"/>
          <w:szCs w:val="24"/>
          <w:lang w:eastAsia="en-PK"/>
          <w14:ligatures w14:val="none"/>
        </w:rPr>
        <w:t> J., 2022.)</w:t>
      </w:r>
    </w:p>
    <w:p w14:paraId="25BB4245"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4.2 Traditional Human Resource Management HRM models to deal with current issues such as “fire and rehire”:</w:t>
      </w:r>
    </w:p>
    <w:p w14:paraId="1BEA04D8"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Traditional Human Resource Management (HRM) models might have difficulty dealing with modern challenges such as “fire and rehire.” These models frequently emphasise ways to reduce expenses and short-term advantages, which can result in dissatisfaction among staff members and may decrease organisational reputation. Modern difficulties regarding the advancement of technology require a more planned and professional response, </w:t>
      </w:r>
      <w:proofErr w:type="gramStart"/>
      <w:r w:rsidRPr="003B2AE6">
        <w:rPr>
          <w:rFonts w:ascii="Times New Roman" w:eastAsia="Times New Roman" w:hAnsi="Times New Roman" w:cs="Times New Roman"/>
          <w:color w:val="0E101A"/>
          <w:kern w:val="0"/>
          <w:sz w:val="24"/>
          <w:szCs w:val="24"/>
          <w:lang w:eastAsia="en-PK"/>
          <w14:ligatures w14:val="none"/>
        </w:rPr>
        <w:t>taking into account</w:t>
      </w:r>
      <w:proofErr w:type="gramEnd"/>
      <w:r w:rsidRPr="003B2AE6">
        <w:rPr>
          <w:rFonts w:ascii="Times New Roman" w:eastAsia="Times New Roman" w:hAnsi="Times New Roman" w:cs="Times New Roman"/>
          <w:color w:val="0E101A"/>
          <w:kern w:val="0"/>
          <w:sz w:val="24"/>
          <w:szCs w:val="24"/>
          <w:lang w:eastAsia="en-PK"/>
          <w14:ligatures w14:val="none"/>
        </w:rPr>
        <w:t xml:space="preserve"> the implications for the future and the influence on staff satisfaction. Traditional HRM models have their benefits which may not be entirely prepared to deal with modern difficulties such as “fire and rehire.” Even in situations of difficult decisions, H.R. can contribute to a </w:t>
      </w:r>
      <w:r w:rsidRPr="003B2AE6">
        <w:rPr>
          <w:rFonts w:ascii="Times New Roman" w:eastAsia="Times New Roman" w:hAnsi="Times New Roman" w:cs="Times New Roman"/>
          <w:color w:val="0E101A"/>
          <w:kern w:val="0"/>
          <w:sz w:val="24"/>
          <w:szCs w:val="24"/>
          <w:lang w:eastAsia="en-PK"/>
          <w14:ligatures w14:val="none"/>
        </w:rPr>
        <w:lastRenderedPageBreak/>
        <w:t>healthy workplace culture, improved employee well-being, and a solid organisational reputation by taking a more strategic, ethical, and employee-centric approach. Modern H.R. practises may effectively solve staff wellness, health and satisfaction and organisational reputation challenges. Some examples include flexible work arrangements, wellness programs, mental health support, and a concentration on inclusion and diversity. Organisations may improve employee happiness and their reputation as socially responsible organisations by prioritising employee wellbeing and promoting a good work environment which will help the employees and the organisation to grow equally and in a successful manner. (Qadir, </w:t>
      </w:r>
      <w:r w:rsidRPr="003B2AE6">
        <w:rPr>
          <w:rFonts w:ascii="Times New Roman" w:eastAsia="Times New Roman" w:hAnsi="Times New Roman" w:cs="Times New Roman"/>
          <w:i/>
          <w:iCs/>
          <w:color w:val="0E101A"/>
          <w:kern w:val="0"/>
          <w:sz w:val="24"/>
          <w:szCs w:val="24"/>
          <w:lang w:eastAsia="en-PK"/>
          <w14:ligatures w14:val="none"/>
        </w:rPr>
        <w:t>et al.,</w:t>
      </w:r>
      <w:r w:rsidRPr="003B2AE6">
        <w:rPr>
          <w:rFonts w:ascii="Times New Roman" w:eastAsia="Times New Roman" w:hAnsi="Times New Roman" w:cs="Times New Roman"/>
          <w:color w:val="0E101A"/>
          <w:kern w:val="0"/>
          <w:sz w:val="24"/>
          <w:szCs w:val="24"/>
          <w:lang w:eastAsia="en-PK"/>
          <w14:ligatures w14:val="none"/>
        </w:rPr>
        <w:t> S., 2017.)</w:t>
      </w:r>
    </w:p>
    <w:p w14:paraId="7BC899A6"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4.3 The evolvement of HRM or human resource management policies:</w:t>
      </w:r>
    </w:p>
    <w:p w14:paraId="59BB6492"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In the past few years, HRM human resource management policies have begun to emphasise ethical and long-term employment practices. One such framework is the “principle of employee approach,” which prioritises employee satisfaction and development. This strategy (Ahammad, T., 2017.) involves creating a healthy work environment, providing chances for constant growth, and assuring fair salaries. Another approach is “Flexible Arrangements of Work,” which allows for different demands while protecting performance and efficiency. Active interaction is essential for sustaining successful workplace relationships. Ongoing feedback discussions, open discussions and interactive meetings promote management and employee transparency and confidence. Participation by staff members, whether through input boxes or multidisciplinary teams, allows employees to participate in making choices and creates a sense of responsibility and the need for staff’s position in an organisation. Human resource practices increase trust, </w:t>
      </w:r>
      <w:proofErr w:type="gramStart"/>
      <w:r w:rsidRPr="003B2AE6">
        <w:rPr>
          <w:rFonts w:ascii="Times New Roman" w:eastAsia="Times New Roman" w:hAnsi="Times New Roman" w:cs="Times New Roman"/>
          <w:color w:val="0E101A"/>
          <w:kern w:val="0"/>
          <w:sz w:val="24"/>
          <w:szCs w:val="24"/>
          <w:lang w:eastAsia="en-PK"/>
          <w14:ligatures w14:val="none"/>
        </w:rPr>
        <w:t>confidence</w:t>
      </w:r>
      <w:proofErr w:type="gramEnd"/>
      <w:r w:rsidRPr="003B2AE6">
        <w:rPr>
          <w:rFonts w:ascii="Times New Roman" w:eastAsia="Times New Roman" w:hAnsi="Times New Roman" w:cs="Times New Roman"/>
          <w:color w:val="0E101A"/>
          <w:kern w:val="0"/>
          <w:sz w:val="24"/>
          <w:szCs w:val="24"/>
          <w:lang w:eastAsia="en-PK"/>
          <w14:ligatures w14:val="none"/>
        </w:rPr>
        <w:t xml:space="preserve"> and respect toward the corporation. Clearly, discussing company targets, policies, and performance data stimulates workers while additionally avoiding misconceptions. According to (Silva, and Lima, 2018.), numerous organisations have shown these concepts. The dedication to work-life balance and environmental sustainability has brought about the company’s loyalty while planning to eradicate pay disparities between men and women inequities demonstrate honesty. It is possible to maintain effective working relationships without having the strategy of “fire and rehire.” Instead of firing off employees, an organisation can work and train the employees for additional duties throughout the epidemic. Protecting a position and teamwork among the employees and focusing on upgrading and improving one’s abilities shows a commitment to ongoing growth and loyalty of the employee with the organisation. Throughout the present evolving business market, </w:t>
      </w:r>
      <w:r w:rsidRPr="003B2AE6">
        <w:rPr>
          <w:rFonts w:ascii="Times New Roman" w:eastAsia="Times New Roman" w:hAnsi="Times New Roman" w:cs="Times New Roman"/>
          <w:color w:val="0E101A"/>
          <w:kern w:val="0"/>
          <w:sz w:val="24"/>
          <w:szCs w:val="24"/>
          <w:lang w:eastAsia="en-PK"/>
          <w14:ligatures w14:val="none"/>
        </w:rPr>
        <w:lastRenderedPageBreak/>
        <w:t>organisations frequently address the problem of combining their requirement for adaptability and development with the welfare of employees and rights. To achieve this delicate equilibrium, a thorough and complete plan that emphasises the beneficial relationship between organisational performance and the well-being of staff must be implemented. </w:t>
      </w:r>
    </w:p>
    <w:p w14:paraId="050E2B34" w14:textId="77777777" w:rsidR="001152C1" w:rsidRPr="003B2AE6" w:rsidRDefault="001152C1" w:rsidP="001152C1">
      <w:pPr>
        <w:pStyle w:val="Heading2"/>
        <w:spacing w:line="360" w:lineRule="auto"/>
        <w:jc w:val="both"/>
        <w:rPr>
          <w:sz w:val="24"/>
          <w:szCs w:val="24"/>
          <w:lang w:eastAsia="en-PK"/>
        </w:rPr>
      </w:pPr>
      <w:r w:rsidRPr="003B2AE6">
        <w:rPr>
          <w:sz w:val="24"/>
          <w:szCs w:val="24"/>
          <w:lang w:eastAsia="en-PK"/>
        </w:rPr>
        <w:t>4.4 Organisational adaptability to quickly adapt to modification:</w:t>
      </w:r>
    </w:p>
    <w:p w14:paraId="0B9C2E87"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In the beginning, it is critical to recognise the importance of organisational adaptability in being successful and adapting to quickly shifting circumstances in the market. The capability of an organisation to adapt immediately and make intelligent decisions can decide its future. However, this must not develop at the cost of employee rights and wellness. Adopting a comprehensive approach which </w:t>
      </w:r>
      <w:proofErr w:type="gramStart"/>
      <w:r w:rsidRPr="003B2AE6">
        <w:rPr>
          <w:rFonts w:ascii="Times New Roman" w:eastAsia="Times New Roman" w:hAnsi="Times New Roman" w:cs="Times New Roman"/>
          <w:color w:val="0E101A"/>
          <w:kern w:val="0"/>
          <w:sz w:val="24"/>
          <w:szCs w:val="24"/>
          <w:lang w:eastAsia="en-PK"/>
          <w14:ligatures w14:val="none"/>
        </w:rPr>
        <w:t>takes into account</w:t>
      </w:r>
      <w:proofErr w:type="gramEnd"/>
      <w:r w:rsidRPr="003B2AE6">
        <w:rPr>
          <w:rFonts w:ascii="Times New Roman" w:eastAsia="Times New Roman" w:hAnsi="Times New Roman" w:cs="Times New Roman"/>
          <w:color w:val="0E101A"/>
          <w:kern w:val="0"/>
          <w:sz w:val="24"/>
          <w:szCs w:val="24"/>
          <w:lang w:eastAsia="en-PK"/>
          <w14:ligatures w14:val="none"/>
        </w:rPr>
        <w:t xml:space="preserve"> both business requirements and employee concerns is an excellent method to handle the situation. (Saha, </w:t>
      </w:r>
      <w:r w:rsidRPr="003B2AE6">
        <w:rPr>
          <w:rFonts w:ascii="Times New Roman" w:eastAsia="Times New Roman" w:hAnsi="Times New Roman" w:cs="Times New Roman"/>
          <w:i/>
          <w:iCs/>
          <w:color w:val="0E101A"/>
          <w:kern w:val="0"/>
          <w:sz w:val="24"/>
          <w:szCs w:val="24"/>
          <w:lang w:eastAsia="en-PK"/>
          <w14:ligatures w14:val="none"/>
        </w:rPr>
        <w:t>et al.,</w:t>
      </w:r>
      <w:r w:rsidRPr="003B2AE6">
        <w:rPr>
          <w:rFonts w:ascii="Times New Roman" w:eastAsia="Times New Roman" w:hAnsi="Times New Roman" w:cs="Times New Roman"/>
          <w:color w:val="0E101A"/>
          <w:kern w:val="0"/>
          <w:sz w:val="24"/>
          <w:szCs w:val="24"/>
          <w:lang w:eastAsia="en-PK"/>
          <w14:ligatures w14:val="none"/>
        </w:rPr>
        <w:t> P., 2017.)</w:t>
      </w:r>
    </w:p>
    <w:p w14:paraId="01B1B335"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Organisations may use </w:t>
      </w:r>
      <w:proofErr w:type="gramStart"/>
      <w:r w:rsidRPr="003B2AE6">
        <w:rPr>
          <w:rFonts w:ascii="Times New Roman" w:eastAsia="Times New Roman" w:hAnsi="Times New Roman" w:cs="Times New Roman"/>
          <w:color w:val="0E101A"/>
          <w:kern w:val="0"/>
          <w:sz w:val="24"/>
          <w:szCs w:val="24"/>
          <w:lang w:eastAsia="en-PK"/>
          <w14:ligatures w14:val="none"/>
        </w:rPr>
        <w:t>a number of</w:t>
      </w:r>
      <w:proofErr w:type="gramEnd"/>
      <w:r w:rsidRPr="003B2AE6">
        <w:rPr>
          <w:rFonts w:ascii="Times New Roman" w:eastAsia="Times New Roman" w:hAnsi="Times New Roman" w:cs="Times New Roman"/>
          <w:color w:val="0E101A"/>
          <w:kern w:val="0"/>
          <w:sz w:val="24"/>
          <w:szCs w:val="24"/>
          <w:lang w:eastAsia="en-PK"/>
          <w14:ligatures w14:val="none"/>
        </w:rPr>
        <w:t xml:space="preserve"> strategies to attain this balance:</w:t>
      </w:r>
    </w:p>
    <w:p w14:paraId="1934BAA5"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b/>
          <w:bCs/>
          <w:color w:val="0E101A"/>
          <w:kern w:val="0"/>
          <w:sz w:val="24"/>
          <w:szCs w:val="24"/>
          <w:lang w:eastAsia="en-PK"/>
          <w14:ligatures w14:val="none"/>
        </w:rPr>
        <w:t>Precise Communication Techniques: </w:t>
      </w:r>
    </w:p>
    <w:p w14:paraId="16E8FCE0"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Encourage a transparent and open communication platform between employees and management. Share the company’s targets, strategies, and issues on a regular basis. Employees will be able to give opinions and suggestions regarding specific issues </w:t>
      </w:r>
      <w:proofErr w:type="gramStart"/>
      <w:r w:rsidRPr="003B2AE6">
        <w:rPr>
          <w:rFonts w:ascii="Times New Roman" w:eastAsia="Times New Roman" w:hAnsi="Times New Roman" w:cs="Times New Roman"/>
          <w:color w:val="0E101A"/>
          <w:kern w:val="0"/>
          <w:sz w:val="24"/>
          <w:szCs w:val="24"/>
          <w:lang w:eastAsia="en-PK"/>
          <w14:ligatures w14:val="none"/>
        </w:rPr>
        <w:t>as long as</w:t>
      </w:r>
      <w:proofErr w:type="gramEnd"/>
      <w:r w:rsidRPr="003B2AE6">
        <w:rPr>
          <w:rFonts w:ascii="Times New Roman" w:eastAsia="Times New Roman" w:hAnsi="Times New Roman" w:cs="Times New Roman"/>
          <w:color w:val="0E101A"/>
          <w:kern w:val="0"/>
          <w:sz w:val="24"/>
          <w:szCs w:val="24"/>
          <w:lang w:eastAsia="en-PK"/>
          <w14:ligatures w14:val="none"/>
        </w:rPr>
        <w:t xml:space="preserve"> the employees understand the circumstances surrounding their options.</w:t>
      </w:r>
    </w:p>
    <w:p w14:paraId="0339D8F2"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b/>
          <w:bCs/>
          <w:color w:val="0E101A"/>
          <w:kern w:val="0"/>
          <w:sz w:val="24"/>
          <w:szCs w:val="24"/>
          <w:lang w:eastAsia="en-PK"/>
          <w14:ligatures w14:val="none"/>
        </w:rPr>
        <w:t>Flexible Working Agreements: </w:t>
      </w:r>
    </w:p>
    <w:p w14:paraId="5D447EE6"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Encourage workplace policies that meet the personal requirements of employees. Working from home choices, hours that vary, and sharing employment programs are a few instances of flexibility. Such practises enable employees to balance work and personal life appropriately while actively contributing to the organisation.</w:t>
      </w:r>
    </w:p>
    <w:p w14:paraId="27C5263C"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b/>
          <w:bCs/>
          <w:color w:val="0E101A"/>
          <w:kern w:val="0"/>
          <w:sz w:val="24"/>
          <w:szCs w:val="24"/>
          <w:lang w:eastAsia="en-PK"/>
          <w14:ligatures w14:val="none"/>
        </w:rPr>
        <w:t>Work on Professional Growth: </w:t>
      </w:r>
    </w:p>
    <w:p w14:paraId="51588CC2" w14:textId="77777777" w:rsidR="001152C1"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Promote the continuous development of new skills and modern learning organisation-related work. Offering opportunities for workers to improve their abilities helps them personally as well as the organisation by building a more effective and efficient team.</w:t>
      </w:r>
    </w:p>
    <w:p w14:paraId="4D1CDAD3"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p>
    <w:p w14:paraId="67039D27"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b/>
          <w:bCs/>
          <w:color w:val="0E101A"/>
          <w:kern w:val="0"/>
          <w:sz w:val="24"/>
          <w:szCs w:val="24"/>
          <w:lang w:eastAsia="en-PK"/>
          <w14:ligatures w14:val="none"/>
        </w:rPr>
        <w:t>“Wellbeing Strategy”:</w:t>
      </w:r>
    </w:p>
    <w:p w14:paraId="10B0CC78"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 xml:space="preserve">Creating holistic wellness programs that prioritise a person’s mental, emotional, and physical health. Wellness seminars which are compulsory to attend, mental health support, and fitness tools are a few instances of efforts that may help to promote a healthier and more engaged </w:t>
      </w:r>
      <w:r w:rsidRPr="003B2AE6">
        <w:rPr>
          <w:rFonts w:ascii="Times New Roman" w:eastAsia="Times New Roman" w:hAnsi="Times New Roman" w:cs="Times New Roman"/>
          <w:color w:val="0E101A"/>
          <w:kern w:val="0"/>
          <w:sz w:val="24"/>
          <w:szCs w:val="24"/>
          <w:lang w:eastAsia="en-PK"/>
          <w14:ligatures w14:val="none"/>
        </w:rPr>
        <w:lastRenderedPageBreak/>
        <w:t>workplace for the employees to work according to their choice and freewill, which will lead to a successful and a growing organisation in future.</w:t>
      </w:r>
    </w:p>
    <w:p w14:paraId="69A0CF43"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b/>
          <w:bCs/>
          <w:color w:val="0E101A"/>
          <w:kern w:val="0"/>
          <w:sz w:val="24"/>
          <w:szCs w:val="24"/>
          <w:lang w:eastAsia="en-PK"/>
          <w14:ligatures w14:val="none"/>
        </w:rPr>
        <w:t>Social Management: </w:t>
      </w:r>
    </w:p>
    <w:p w14:paraId="593C3BF8"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Developing responsible as well as ethical management practises that prioritise sustainability over time ahead of immediate advantages. Staff and clients will have greater trust and confidence in you if you express a dedication to making ethical choices in a company.</w:t>
      </w:r>
    </w:p>
    <w:p w14:paraId="76D571E1"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b/>
          <w:bCs/>
          <w:color w:val="0E101A"/>
          <w:kern w:val="0"/>
          <w:sz w:val="24"/>
          <w:szCs w:val="24"/>
          <w:lang w:eastAsia="en-PK"/>
          <w14:ligatures w14:val="none"/>
        </w:rPr>
        <w:t>Appreciation of Performance: </w:t>
      </w:r>
    </w:p>
    <w:p w14:paraId="757ECE4E"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Recognising and acknowledging the workers for their achievements and efforts. Honest evaluations of performance and fair awards and appreciation inspire employees by connecting their efforts with the objectives of the organisation.</w:t>
      </w:r>
    </w:p>
    <w:p w14:paraId="1CBD730F"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b/>
          <w:bCs/>
          <w:color w:val="0E101A"/>
          <w:kern w:val="0"/>
          <w:sz w:val="24"/>
          <w:szCs w:val="24"/>
          <w:lang w:eastAsia="en-PK"/>
          <w14:ligatures w14:val="none"/>
        </w:rPr>
        <w:t>Collaboration in Important Decision-Making:</w:t>
      </w:r>
    </w:p>
    <w:p w14:paraId="2AF3CF82"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By involving employees in the process to take any critical step or while making any important decisions involving them effectively. This gives employees an interest in challenges affecting their workplace and creates an atmosphere of personal responsibility and dedication.</w:t>
      </w:r>
    </w:p>
    <w:p w14:paraId="666C6586"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b/>
          <w:bCs/>
          <w:color w:val="0E101A"/>
          <w:kern w:val="0"/>
          <w:sz w:val="24"/>
          <w:szCs w:val="24"/>
          <w:lang w:eastAsia="en-PK"/>
          <w14:ligatures w14:val="none"/>
        </w:rPr>
        <w:t>Consideration regarding Boundaries: </w:t>
      </w:r>
    </w:p>
    <w:p w14:paraId="677FA177"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Particularly in the modern era of technology, a company should set clear boundaries for job expectations. To avoid emotional exhaustion, encourage employees to take a break from work beyond their permitted hours.</w:t>
      </w:r>
    </w:p>
    <w:p w14:paraId="26623FA1"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b/>
          <w:bCs/>
          <w:color w:val="0E101A"/>
          <w:kern w:val="0"/>
          <w:sz w:val="24"/>
          <w:szCs w:val="24"/>
          <w:lang w:eastAsia="en-PK"/>
          <w14:ligatures w14:val="none"/>
        </w:rPr>
        <w:t>Supportive rules and regulations:</w:t>
      </w:r>
    </w:p>
    <w:p w14:paraId="222FBE76"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To establish and enforce rules that maintain employee rights, such as a fair salary system, equality for all, and appropriate working hours. These policies provide the framework for the organisation’s appreciation and justice.</w:t>
      </w:r>
    </w:p>
    <w:p w14:paraId="1CAA6679"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b/>
          <w:bCs/>
          <w:color w:val="0E101A"/>
          <w:kern w:val="0"/>
          <w:sz w:val="24"/>
          <w:szCs w:val="24"/>
          <w:lang w:eastAsia="en-PK"/>
          <w14:ligatures w14:val="none"/>
        </w:rPr>
        <w:t>Sustainable Development: </w:t>
      </w:r>
    </w:p>
    <w:p w14:paraId="5029ECE0"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By prioritising sustainable development over immediate advantages. Evaluate how decisions might impact the organisation as well as its staff members in the long run. Prioritise campaigns that work to guarantee that staff members are satisfied during their time with the company.</w:t>
      </w:r>
    </w:p>
    <w:p w14:paraId="73711AB3"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b/>
          <w:bCs/>
          <w:color w:val="0E101A"/>
          <w:kern w:val="0"/>
          <w:sz w:val="24"/>
          <w:szCs w:val="24"/>
          <w:lang w:eastAsia="en-PK"/>
          <w14:ligatures w14:val="none"/>
        </w:rPr>
        <w:t>4.5 Employee engagement a critical factor in organisational success:</w:t>
      </w:r>
    </w:p>
    <w:p w14:paraId="551A3040" w14:textId="77777777" w:rsidR="001152C1"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Because of their contentious nature, “fire and rehire” practices have gotten much criticism. Corresponding to (</w:t>
      </w:r>
      <w:proofErr w:type="spellStart"/>
      <w:r w:rsidRPr="003B2AE6">
        <w:rPr>
          <w:rFonts w:ascii="Times New Roman" w:eastAsia="Times New Roman" w:hAnsi="Times New Roman" w:cs="Times New Roman"/>
          <w:color w:val="0E101A"/>
          <w:kern w:val="0"/>
          <w:sz w:val="24"/>
          <w:szCs w:val="24"/>
          <w:lang w:eastAsia="en-PK"/>
          <w14:ligatures w14:val="none"/>
        </w:rPr>
        <w:t>Sabuhari</w:t>
      </w:r>
      <w:proofErr w:type="spellEnd"/>
      <w:r w:rsidRPr="003B2AE6">
        <w:rPr>
          <w:rFonts w:ascii="Times New Roman" w:eastAsia="Times New Roman" w:hAnsi="Times New Roman" w:cs="Times New Roman"/>
          <w:color w:val="0E101A"/>
          <w:kern w:val="0"/>
          <w:sz w:val="24"/>
          <w:szCs w:val="24"/>
          <w:lang w:eastAsia="en-PK"/>
          <w14:ligatures w14:val="none"/>
        </w:rPr>
        <w:t>, </w:t>
      </w:r>
      <w:r w:rsidRPr="003B2AE6">
        <w:rPr>
          <w:rFonts w:ascii="Times New Roman" w:eastAsia="Times New Roman" w:hAnsi="Times New Roman" w:cs="Times New Roman"/>
          <w:i/>
          <w:iCs/>
          <w:color w:val="0E101A"/>
          <w:kern w:val="0"/>
          <w:sz w:val="24"/>
          <w:szCs w:val="24"/>
          <w:lang w:eastAsia="en-PK"/>
          <w14:ligatures w14:val="none"/>
        </w:rPr>
        <w:t>et al.,</w:t>
      </w:r>
      <w:r w:rsidRPr="003B2AE6">
        <w:rPr>
          <w:rFonts w:ascii="Times New Roman" w:eastAsia="Times New Roman" w:hAnsi="Times New Roman" w:cs="Times New Roman"/>
          <w:color w:val="0E101A"/>
          <w:kern w:val="0"/>
          <w:sz w:val="24"/>
          <w:szCs w:val="24"/>
          <w:lang w:eastAsia="en-PK"/>
          <w14:ligatures w14:val="none"/>
        </w:rPr>
        <w:t xml:space="preserve"> M., 2020.), employers use these techniques by firing employees and then rehiring them under new contracts with possibly less favourable conditions. While proponents say that these practices improve adaptability and growth, their adverse effect on staff satisfaction and secure employment cannot be disregarded. Such practices frequently result in frustration, misunderstanding, and lower engagement among workers. “Fire and rehire” practises can be problematic in the legal world. They may violate </w:t>
      </w:r>
      <w:r w:rsidRPr="003B2AE6">
        <w:rPr>
          <w:rFonts w:ascii="Times New Roman" w:eastAsia="Times New Roman" w:hAnsi="Times New Roman" w:cs="Times New Roman"/>
          <w:color w:val="0E101A"/>
          <w:kern w:val="0"/>
          <w:sz w:val="24"/>
          <w:szCs w:val="24"/>
          <w:lang w:eastAsia="en-PK"/>
          <w14:ligatures w14:val="none"/>
        </w:rPr>
        <w:lastRenderedPageBreak/>
        <w:t>labour regulations or employee contracts, depending on the country, resulting in legal battles and reputational harm for firms. Courts have rarely ruled against such practices, stressing the importance of employers carefully considering the legal and moral consequences of their behaviours. Employee engagement is an essential factor in organisational success. Employee engagement may be badly harmed by “fire and rehire” practises, which damage the psychological contract between employees and employers. When employees believe that their devotion and commitment are being rewarded with such approaches, their commitment and motivation unavoidably decrease. Maintaining a healthy employee and employer relationship is of the utmost importance for the future of productivity and satisfaction among staff members. Effective human resource management HRM is essential for reducing the adverse impacts of “fire and rehire” practices. When implementing organisational changes, H.R. professionals should strive for honesty, open communication, and empathy. Those organisations which appreciate their staff members and what they contribute are more likely to strive for commitment, participation, and a positive atmosphere at work. A study (Liang, </w:t>
      </w:r>
      <w:r w:rsidRPr="003B2AE6">
        <w:rPr>
          <w:rFonts w:ascii="Times New Roman" w:eastAsia="Times New Roman" w:hAnsi="Times New Roman" w:cs="Times New Roman"/>
          <w:i/>
          <w:iCs/>
          <w:color w:val="0E101A"/>
          <w:kern w:val="0"/>
          <w:sz w:val="24"/>
          <w:szCs w:val="24"/>
          <w:lang w:eastAsia="en-PK"/>
          <w14:ligatures w14:val="none"/>
        </w:rPr>
        <w:t>et al.,</w:t>
      </w:r>
      <w:r w:rsidRPr="003B2AE6">
        <w:rPr>
          <w:rFonts w:ascii="Times New Roman" w:eastAsia="Times New Roman" w:hAnsi="Times New Roman" w:cs="Times New Roman"/>
          <w:color w:val="0E101A"/>
          <w:kern w:val="0"/>
          <w:sz w:val="24"/>
          <w:szCs w:val="24"/>
          <w:lang w:eastAsia="en-PK"/>
          <w14:ligatures w14:val="none"/>
        </w:rPr>
        <w:t xml:space="preserve"> L., 2021.) has found that a moral and accountable approach to human resource management is considering people as valued resources rather than considering the employees worthless. </w:t>
      </w:r>
      <w:proofErr w:type="gramStart"/>
      <w:r w:rsidRPr="003B2AE6">
        <w:rPr>
          <w:rFonts w:ascii="Times New Roman" w:eastAsia="Times New Roman" w:hAnsi="Times New Roman" w:cs="Times New Roman"/>
          <w:color w:val="0E101A"/>
          <w:kern w:val="0"/>
          <w:sz w:val="24"/>
          <w:szCs w:val="24"/>
          <w:lang w:eastAsia="en-PK"/>
          <w14:ligatures w14:val="none"/>
        </w:rPr>
        <w:t>Considering these factors, there</w:t>
      </w:r>
      <w:proofErr w:type="gramEnd"/>
      <w:r w:rsidRPr="003B2AE6">
        <w:rPr>
          <w:rFonts w:ascii="Times New Roman" w:eastAsia="Times New Roman" w:hAnsi="Times New Roman" w:cs="Times New Roman"/>
          <w:color w:val="0E101A"/>
          <w:kern w:val="0"/>
          <w:sz w:val="24"/>
          <w:szCs w:val="24"/>
          <w:lang w:eastAsia="en-PK"/>
          <w14:ligatures w14:val="none"/>
        </w:rPr>
        <w:t xml:space="preserve"> is a critical need for moral, accountable, and long-term employment practices. Companies must understand that their success in the future is directly related to how they treat their people. Organisations can develop loyalty, creative thinking, and productivity by putting justice, respect, and employee well-being first. Teamwork is required to bring about real change. Lawmakers have a critical role in defining the legal framework that controls workplace techniques. Authorities should think about implementing laws that would prevent unfair practices and promote justice. Organisations, on the other hand, must take action to match their policies with humanitarian goals while also treating their employees as collaborators while achieving their objectives. HRM officials play a crucial role in this change. They should promote fair practices, fight for employee rights, and guarantee that their businesses uphold high ethical standards. H.R. may fill the gap between the company’s goals and how it treats its employees by developing a culture of diversity and fairness. “</w:t>
      </w:r>
      <w:proofErr w:type="gramStart"/>
      <w:r w:rsidRPr="003B2AE6">
        <w:rPr>
          <w:rFonts w:ascii="Times New Roman" w:eastAsia="Times New Roman" w:hAnsi="Times New Roman" w:cs="Times New Roman"/>
          <w:color w:val="0E101A"/>
          <w:kern w:val="0"/>
          <w:sz w:val="24"/>
          <w:szCs w:val="24"/>
          <w:lang w:eastAsia="en-PK"/>
          <w14:ligatures w14:val="none"/>
        </w:rPr>
        <w:t>fire</w:t>
      </w:r>
      <w:proofErr w:type="gramEnd"/>
      <w:r w:rsidRPr="003B2AE6">
        <w:rPr>
          <w:rFonts w:ascii="Times New Roman" w:eastAsia="Times New Roman" w:hAnsi="Times New Roman" w:cs="Times New Roman"/>
          <w:color w:val="0E101A"/>
          <w:kern w:val="0"/>
          <w:sz w:val="24"/>
          <w:szCs w:val="24"/>
          <w:lang w:eastAsia="en-PK"/>
          <w14:ligatures w14:val="none"/>
        </w:rPr>
        <w:t xml:space="preserve"> and rehire” practises present severe constitutional, legal, and employee well-being considerations. The negative consequences affecting employee engagement and organisational image represent how important it is to employ appropriate hiring methodologies.</w:t>
      </w:r>
    </w:p>
    <w:p w14:paraId="68B9DE64" w14:textId="77777777" w:rsidR="001152C1"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p>
    <w:p w14:paraId="3D9585AF"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p>
    <w:p w14:paraId="2C365EDF" w14:textId="77777777" w:rsidR="001152C1" w:rsidRPr="003B2AE6" w:rsidRDefault="001152C1" w:rsidP="001152C1">
      <w:pPr>
        <w:pStyle w:val="Heading2"/>
        <w:spacing w:line="360" w:lineRule="auto"/>
        <w:jc w:val="both"/>
        <w:rPr>
          <w:sz w:val="24"/>
          <w:szCs w:val="24"/>
          <w:lang w:eastAsia="en-PK"/>
        </w:rPr>
      </w:pPr>
      <w:r>
        <w:rPr>
          <w:sz w:val="24"/>
          <w:szCs w:val="24"/>
          <w:lang w:val="en-US" w:eastAsia="en-PK"/>
        </w:rPr>
        <w:lastRenderedPageBreak/>
        <w:t xml:space="preserve">5. </w:t>
      </w:r>
      <w:r w:rsidRPr="003B2AE6">
        <w:rPr>
          <w:sz w:val="24"/>
          <w:szCs w:val="24"/>
          <w:lang w:eastAsia="en-PK"/>
        </w:rPr>
        <w:t>Conclusion:</w:t>
      </w:r>
    </w:p>
    <w:p w14:paraId="3CE251C0"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r w:rsidRPr="003B2AE6">
        <w:rPr>
          <w:rFonts w:ascii="Times New Roman" w:eastAsia="Times New Roman" w:hAnsi="Times New Roman" w:cs="Times New Roman"/>
          <w:color w:val="0E101A"/>
          <w:kern w:val="0"/>
          <w:sz w:val="24"/>
          <w:szCs w:val="24"/>
          <w:lang w:eastAsia="en-PK"/>
          <w14:ligatures w14:val="none"/>
        </w:rPr>
        <w:t>To summarize, British Gas is one of the biggest electricity supplier companies in the United Kingdom U.K. has suffered various economic crises. Along with this, it was also criticised and penalised by the public after repeated media stories highlighted its poor human resource management HRM, customer service and the horrible behaviour of invading homes to pressure consumers. For that fire and rehire strategy was planned by the business community of the U.K., which was illegal as it created a major legal risk and could adversely impact motivation, performance, and employee relations among employees belonging to other sectors as well. Additionally, the pandemic also created an indestructible impact on various sectors as well, leading to the implementation of the fire and rehire strategy, which faced much criticism. Moreover, the economic crisis also led to a decrease in costs due to economic crisis. Furthermore, Fire and rehire is when an organisation terminates previous contracts of employees and offers the team new agreements with different rules and regulations. However, modifications of the employees’ contract can cause different consequences in how the employees are engaged in an organisation. Lastly, the employee agreements can be modified by affecting human resource management approaches a structure for managing employment relations in the U.K. would be created. "Fire and rehire" practises present serious ethical, legal, and worker welfare problems. The negative consequences for employee engagement and organisational reputation emphasise the significance of employing appropriate hiring practices. Policymakers, organisations, and human resource experts must work together to reform the labour market so that it is equitable, sustainable, and productive. We can build an atmosphere where people are respected, treated properly, and empowered to contribute to their full potential by working together.</w:t>
      </w:r>
    </w:p>
    <w:p w14:paraId="51670A31"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lang w:eastAsia="en-PK"/>
          <w14:ligatures w14:val="none"/>
        </w:rPr>
      </w:pPr>
    </w:p>
    <w:p w14:paraId="78FED2AA" w14:textId="77777777" w:rsidR="001152C1" w:rsidRPr="003B2AE6" w:rsidRDefault="001152C1" w:rsidP="001152C1">
      <w:pPr>
        <w:spacing w:line="360" w:lineRule="auto"/>
        <w:jc w:val="both"/>
        <w:rPr>
          <w:rFonts w:ascii="Times New Roman" w:hAnsi="Times New Roman" w:cs="Times New Roman"/>
          <w:sz w:val="24"/>
          <w:szCs w:val="24"/>
        </w:rPr>
      </w:pPr>
    </w:p>
    <w:p w14:paraId="62E4ADEE" w14:textId="77777777" w:rsidR="001152C1" w:rsidRPr="00C74F7D" w:rsidRDefault="001152C1" w:rsidP="001152C1">
      <w:pPr>
        <w:spacing w:line="360" w:lineRule="auto"/>
        <w:jc w:val="both"/>
        <w:rPr>
          <w:rFonts w:ascii="Times New Roman" w:hAnsi="Times New Roman" w:cs="Times New Roman"/>
          <w:sz w:val="24"/>
          <w:szCs w:val="24"/>
          <w:lang w:val="en-US"/>
        </w:rPr>
      </w:pPr>
    </w:p>
    <w:p w14:paraId="79F16C22" w14:textId="77777777" w:rsidR="001152C1" w:rsidRDefault="001152C1" w:rsidP="001152C1">
      <w:pPr>
        <w:spacing w:line="360" w:lineRule="auto"/>
        <w:jc w:val="both"/>
        <w:rPr>
          <w:rFonts w:ascii="Times New Roman" w:hAnsi="Times New Roman" w:cs="Times New Roman"/>
          <w:sz w:val="24"/>
          <w:szCs w:val="24"/>
          <w:lang w:val="en-US"/>
        </w:rPr>
      </w:pPr>
    </w:p>
    <w:p w14:paraId="3DCE4B0A" w14:textId="77777777" w:rsidR="001152C1" w:rsidRDefault="001152C1" w:rsidP="001152C1">
      <w:pPr>
        <w:spacing w:line="360" w:lineRule="auto"/>
        <w:jc w:val="both"/>
        <w:rPr>
          <w:rFonts w:ascii="Times New Roman" w:hAnsi="Times New Roman" w:cs="Times New Roman"/>
          <w:sz w:val="24"/>
          <w:szCs w:val="24"/>
          <w:lang w:val="en-US"/>
        </w:rPr>
      </w:pPr>
    </w:p>
    <w:p w14:paraId="2E218DAF" w14:textId="77777777" w:rsidR="001152C1" w:rsidRDefault="001152C1" w:rsidP="001152C1">
      <w:pPr>
        <w:spacing w:line="360" w:lineRule="auto"/>
        <w:jc w:val="both"/>
        <w:rPr>
          <w:rFonts w:ascii="Times New Roman" w:hAnsi="Times New Roman" w:cs="Times New Roman"/>
          <w:sz w:val="24"/>
          <w:szCs w:val="24"/>
          <w:lang w:val="en-US"/>
        </w:rPr>
      </w:pPr>
    </w:p>
    <w:p w14:paraId="58453E40" w14:textId="77777777" w:rsidR="001152C1" w:rsidRDefault="001152C1" w:rsidP="001152C1">
      <w:pPr>
        <w:spacing w:line="360" w:lineRule="auto"/>
        <w:jc w:val="both"/>
        <w:rPr>
          <w:rFonts w:ascii="Times New Roman" w:hAnsi="Times New Roman" w:cs="Times New Roman"/>
          <w:sz w:val="24"/>
          <w:szCs w:val="24"/>
          <w:lang w:val="en-US"/>
        </w:rPr>
      </w:pPr>
    </w:p>
    <w:p w14:paraId="7372089F" w14:textId="77777777" w:rsidR="001152C1" w:rsidRPr="00D02D44" w:rsidRDefault="001152C1" w:rsidP="001152C1">
      <w:pPr>
        <w:pStyle w:val="Heading2"/>
        <w:spacing w:line="360" w:lineRule="auto"/>
        <w:jc w:val="both"/>
        <w:rPr>
          <w:sz w:val="24"/>
          <w:szCs w:val="24"/>
          <w:shd w:val="clear" w:color="auto" w:fill="FFFFFF"/>
          <w:lang w:val="en-US"/>
        </w:rPr>
      </w:pPr>
      <w:r>
        <w:rPr>
          <w:sz w:val="24"/>
          <w:szCs w:val="24"/>
          <w:shd w:val="clear" w:color="auto" w:fill="FFFFFF"/>
          <w:lang w:val="en-US"/>
        </w:rPr>
        <w:lastRenderedPageBreak/>
        <w:t xml:space="preserve">6. </w:t>
      </w:r>
      <w:r w:rsidRPr="00D02D44">
        <w:rPr>
          <w:sz w:val="24"/>
          <w:szCs w:val="24"/>
          <w:shd w:val="clear" w:color="auto" w:fill="FFFFFF"/>
          <w:lang w:val="en-US"/>
        </w:rPr>
        <w:t>References:</w:t>
      </w:r>
    </w:p>
    <w:p w14:paraId="78C1A0C3"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Jia, S., Han, H., Zhuang, H. and Hou, B., 2016. The pollutants removal and bacterial community dynamics relationship within a full-scale British Gas/</w:t>
      </w:r>
      <w:proofErr w:type="spellStart"/>
      <w:r w:rsidRPr="00B5757F">
        <w:rPr>
          <w:rFonts w:ascii="Times New Roman" w:hAnsi="Times New Roman" w:cs="Times New Roman"/>
          <w:color w:val="222222"/>
          <w:sz w:val="24"/>
          <w:szCs w:val="24"/>
          <w:shd w:val="clear" w:color="auto" w:fill="FFFFFF"/>
        </w:rPr>
        <w:t>Lurgi</w:t>
      </w:r>
      <w:proofErr w:type="spellEnd"/>
      <w:r w:rsidRPr="00B5757F">
        <w:rPr>
          <w:rFonts w:ascii="Times New Roman" w:hAnsi="Times New Roman" w:cs="Times New Roman"/>
          <w:color w:val="222222"/>
          <w:sz w:val="24"/>
          <w:szCs w:val="24"/>
          <w:shd w:val="clear" w:color="auto" w:fill="FFFFFF"/>
        </w:rPr>
        <w:t xml:space="preserve"> coal gasification wastewater treatment using a novel system. </w:t>
      </w:r>
      <w:r w:rsidRPr="00B5757F">
        <w:rPr>
          <w:rFonts w:ascii="Times New Roman" w:hAnsi="Times New Roman" w:cs="Times New Roman"/>
          <w:i/>
          <w:iCs/>
          <w:color w:val="222222"/>
          <w:sz w:val="24"/>
          <w:szCs w:val="24"/>
          <w:shd w:val="clear" w:color="auto" w:fill="FFFFFF"/>
        </w:rPr>
        <w:t>Bioresource Technology</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200</w:t>
      </w:r>
      <w:r w:rsidRPr="00B5757F">
        <w:rPr>
          <w:rFonts w:ascii="Times New Roman" w:hAnsi="Times New Roman" w:cs="Times New Roman"/>
          <w:color w:val="222222"/>
          <w:sz w:val="24"/>
          <w:szCs w:val="24"/>
          <w:shd w:val="clear" w:color="auto" w:fill="FFFFFF"/>
        </w:rPr>
        <w:t>, pp.103-110.</w:t>
      </w:r>
    </w:p>
    <w:p w14:paraId="37415359" w14:textId="77777777" w:rsidR="001152C1" w:rsidRPr="00B5757F" w:rsidRDefault="001152C1" w:rsidP="001152C1">
      <w:pPr>
        <w:spacing w:line="360" w:lineRule="auto"/>
        <w:jc w:val="both"/>
        <w:rPr>
          <w:rFonts w:ascii="Times New Roman" w:hAnsi="Times New Roman" w:cs="Times New Roman"/>
          <w:b/>
          <w:bCs/>
          <w:color w:val="222222"/>
          <w:sz w:val="24"/>
          <w:szCs w:val="24"/>
          <w:shd w:val="clear" w:color="auto" w:fill="FFFFFF"/>
          <w:lang w:val="en-US"/>
        </w:rPr>
      </w:pPr>
      <w:r w:rsidRPr="00B5757F">
        <w:rPr>
          <w:rFonts w:ascii="Times New Roman" w:hAnsi="Times New Roman" w:cs="Times New Roman"/>
          <w:color w:val="222222"/>
          <w:sz w:val="24"/>
          <w:szCs w:val="24"/>
          <w:shd w:val="clear" w:color="auto" w:fill="FFFFFF"/>
        </w:rPr>
        <w:t>Zhuang, H., Han, H. and Shan, S., 2016. Treatment of British Gas/</w:t>
      </w:r>
      <w:proofErr w:type="spellStart"/>
      <w:r w:rsidRPr="00B5757F">
        <w:rPr>
          <w:rFonts w:ascii="Times New Roman" w:hAnsi="Times New Roman" w:cs="Times New Roman"/>
          <w:color w:val="222222"/>
          <w:sz w:val="24"/>
          <w:szCs w:val="24"/>
          <w:shd w:val="clear" w:color="auto" w:fill="FFFFFF"/>
        </w:rPr>
        <w:t>Lurgi</w:t>
      </w:r>
      <w:proofErr w:type="spellEnd"/>
      <w:r w:rsidRPr="00B5757F">
        <w:rPr>
          <w:rFonts w:ascii="Times New Roman" w:hAnsi="Times New Roman" w:cs="Times New Roman"/>
          <w:color w:val="222222"/>
          <w:sz w:val="24"/>
          <w:szCs w:val="24"/>
          <w:shd w:val="clear" w:color="auto" w:fill="FFFFFF"/>
        </w:rPr>
        <w:t xml:space="preserve"> coal gasification wastewater using a novel integration of heterogeneous Fenton oxidation on coal fly ash/sewage sludge carbon composite and anaerobic biological process. </w:t>
      </w:r>
      <w:r w:rsidRPr="00B5757F">
        <w:rPr>
          <w:rFonts w:ascii="Times New Roman" w:hAnsi="Times New Roman" w:cs="Times New Roman"/>
          <w:i/>
          <w:iCs/>
          <w:color w:val="222222"/>
          <w:sz w:val="24"/>
          <w:szCs w:val="24"/>
          <w:shd w:val="clear" w:color="auto" w:fill="FFFFFF"/>
        </w:rPr>
        <w:t>Fuel</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178</w:t>
      </w:r>
      <w:r w:rsidRPr="00B5757F">
        <w:rPr>
          <w:rFonts w:ascii="Times New Roman" w:hAnsi="Times New Roman" w:cs="Times New Roman"/>
          <w:color w:val="222222"/>
          <w:sz w:val="24"/>
          <w:szCs w:val="24"/>
          <w:shd w:val="clear" w:color="auto" w:fill="FFFFFF"/>
        </w:rPr>
        <w:t>, pp.155-162.</w:t>
      </w:r>
    </w:p>
    <w:p w14:paraId="60275692"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Devereux, H. and Wadsworth, E., 2022. Forgotten keyworkers: the experiences of British seafarers during the COVID-19 pandemic. </w:t>
      </w:r>
      <w:r w:rsidRPr="00B5757F">
        <w:rPr>
          <w:rFonts w:ascii="Times New Roman" w:hAnsi="Times New Roman" w:cs="Times New Roman"/>
          <w:i/>
          <w:iCs/>
          <w:color w:val="222222"/>
          <w:sz w:val="24"/>
          <w:szCs w:val="24"/>
          <w:shd w:val="clear" w:color="auto" w:fill="FFFFFF"/>
        </w:rPr>
        <w:t>The Economic and Labour Relations Review</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33</w:t>
      </w:r>
      <w:r w:rsidRPr="00B5757F">
        <w:rPr>
          <w:rFonts w:ascii="Times New Roman" w:hAnsi="Times New Roman" w:cs="Times New Roman"/>
          <w:color w:val="222222"/>
          <w:sz w:val="24"/>
          <w:szCs w:val="24"/>
          <w:shd w:val="clear" w:color="auto" w:fill="FFFFFF"/>
        </w:rPr>
        <w:t>(2), pp.272-289.</w:t>
      </w:r>
    </w:p>
    <w:p w14:paraId="603105B0"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Bogg, A., 2023. Fire and rehire. In </w:t>
      </w:r>
      <w:r w:rsidRPr="00B5757F">
        <w:rPr>
          <w:rFonts w:ascii="Times New Roman" w:hAnsi="Times New Roman" w:cs="Times New Roman"/>
          <w:i/>
          <w:iCs/>
          <w:color w:val="222222"/>
          <w:sz w:val="24"/>
          <w:szCs w:val="24"/>
          <w:shd w:val="clear" w:color="auto" w:fill="FFFFFF"/>
        </w:rPr>
        <w:t>Encyclopedia of Human Resource Management</w:t>
      </w:r>
      <w:r w:rsidRPr="00B5757F">
        <w:rPr>
          <w:rFonts w:ascii="Times New Roman" w:hAnsi="Times New Roman" w:cs="Times New Roman"/>
          <w:color w:val="222222"/>
          <w:sz w:val="24"/>
          <w:szCs w:val="24"/>
          <w:shd w:val="clear" w:color="auto" w:fill="FFFFFF"/>
        </w:rPr>
        <w:t> (pp. 131-132). Edward Elgar Publishing.</w:t>
      </w:r>
    </w:p>
    <w:p w14:paraId="53B42B4B"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Botta, E., 2019. A review of “Transition Management” strategies: Lessons for advancing the green low-carbon transition.</w:t>
      </w:r>
    </w:p>
    <w:p w14:paraId="41EDCDD6"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proofErr w:type="spellStart"/>
      <w:r w:rsidRPr="00B5757F">
        <w:rPr>
          <w:rFonts w:ascii="Times New Roman" w:hAnsi="Times New Roman" w:cs="Times New Roman"/>
          <w:color w:val="222222"/>
          <w:sz w:val="24"/>
          <w:szCs w:val="24"/>
          <w:shd w:val="clear" w:color="auto" w:fill="FFFFFF"/>
        </w:rPr>
        <w:t>Freyssinet</w:t>
      </w:r>
      <w:proofErr w:type="spellEnd"/>
      <w:r w:rsidRPr="00B5757F">
        <w:rPr>
          <w:rFonts w:ascii="Times New Roman" w:hAnsi="Times New Roman" w:cs="Times New Roman"/>
          <w:color w:val="222222"/>
          <w:sz w:val="24"/>
          <w:szCs w:val="24"/>
          <w:shd w:val="clear" w:color="auto" w:fill="FFFFFF"/>
        </w:rPr>
        <w:t xml:space="preserve">, J., 2022. </w:t>
      </w:r>
      <w:proofErr w:type="spellStart"/>
      <w:r w:rsidRPr="00B5757F">
        <w:rPr>
          <w:rFonts w:ascii="Times New Roman" w:hAnsi="Times New Roman" w:cs="Times New Roman"/>
          <w:color w:val="222222"/>
          <w:sz w:val="24"/>
          <w:szCs w:val="24"/>
          <w:shd w:val="clear" w:color="auto" w:fill="FFFFFF"/>
        </w:rPr>
        <w:t>Licencier</w:t>
      </w:r>
      <w:proofErr w:type="spellEnd"/>
      <w:r w:rsidRPr="00B5757F">
        <w:rPr>
          <w:rFonts w:ascii="Times New Roman" w:hAnsi="Times New Roman" w:cs="Times New Roman"/>
          <w:color w:val="222222"/>
          <w:sz w:val="24"/>
          <w:szCs w:val="24"/>
          <w:shd w:val="clear" w:color="auto" w:fill="FFFFFF"/>
        </w:rPr>
        <w:t xml:space="preserve"> et </w:t>
      </w:r>
      <w:proofErr w:type="spellStart"/>
      <w:r w:rsidRPr="00B5757F">
        <w:rPr>
          <w:rFonts w:ascii="Times New Roman" w:hAnsi="Times New Roman" w:cs="Times New Roman"/>
          <w:color w:val="222222"/>
          <w:sz w:val="24"/>
          <w:szCs w:val="24"/>
          <w:shd w:val="clear" w:color="auto" w:fill="FFFFFF"/>
        </w:rPr>
        <w:t>réembaucher</w:t>
      </w:r>
      <w:proofErr w:type="spellEnd"/>
      <w:r w:rsidRPr="00B5757F">
        <w:rPr>
          <w:rFonts w:ascii="Times New Roman" w:hAnsi="Times New Roman" w:cs="Times New Roman"/>
          <w:color w:val="222222"/>
          <w:sz w:val="24"/>
          <w:szCs w:val="24"/>
          <w:shd w:val="clear" w:color="auto" w:fill="FFFFFF"/>
        </w:rPr>
        <w:t>. </w:t>
      </w:r>
      <w:proofErr w:type="spellStart"/>
      <w:r w:rsidRPr="00B5757F">
        <w:rPr>
          <w:rFonts w:ascii="Times New Roman" w:hAnsi="Times New Roman" w:cs="Times New Roman"/>
          <w:i/>
          <w:iCs/>
          <w:color w:val="222222"/>
          <w:sz w:val="24"/>
          <w:szCs w:val="24"/>
          <w:shd w:val="clear" w:color="auto" w:fill="FFFFFF"/>
        </w:rPr>
        <w:t>Chronique</w:t>
      </w:r>
      <w:proofErr w:type="spellEnd"/>
      <w:r w:rsidRPr="00B5757F">
        <w:rPr>
          <w:rFonts w:ascii="Times New Roman" w:hAnsi="Times New Roman" w:cs="Times New Roman"/>
          <w:i/>
          <w:iCs/>
          <w:color w:val="222222"/>
          <w:sz w:val="24"/>
          <w:szCs w:val="24"/>
          <w:shd w:val="clear" w:color="auto" w:fill="FFFFFF"/>
        </w:rPr>
        <w:t xml:space="preserve"> Internationale de </w:t>
      </w:r>
      <w:proofErr w:type="spellStart"/>
      <w:r w:rsidRPr="00B5757F">
        <w:rPr>
          <w:rFonts w:ascii="Times New Roman" w:hAnsi="Times New Roman" w:cs="Times New Roman"/>
          <w:i/>
          <w:iCs/>
          <w:color w:val="222222"/>
          <w:sz w:val="24"/>
          <w:szCs w:val="24"/>
          <w:shd w:val="clear" w:color="auto" w:fill="FFFFFF"/>
        </w:rPr>
        <w:t>l'IRES</w:t>
      </w:r>
      <w:proofErr w:type="spellEnd"/>
      <w:r w:rsidRPr="00B5757F">
        <w:rPr>
          <w:rFonts w:ascii="Times New Roman" w:hAnsi="Times New Roman" w:cs="Times New Roman"/>
          <w:color w:val="222222"/>
          <w:sz w:val="24"/>
          <w:szCs w:val="24"/>
          <w:shd w:val="clear" w:color="auto" w:fill="FFFFFF"/>
        </w:rPr>
        <w:t>, (2), pp.36-46.</w:t>
      </w:r>
    </w:p>
    <w:p w14:paraId="5AFE72AB" w14:textId="77777777" w:rsidR="001152C1" w:rsidRPr="00E93EE5"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Bernstein, A., 2022. Recent trends in employment law. </w:t>
      </w:r>
      <w:r w:rsidRPr="00B5757F">
        <w:rPr>
          <w:rFonts w:ascii="Times New Roman" w:hAnsi="Times New Roman" w:cs="Times New Roman"/>
          <w:i/>
          <w:iCs/>
          <w:color w:val="222222"/>
          <w:sz w:val="24"/>
          <w:szCs w:val="24"/>
          <w:shd w:val="clear" w:color="auto" w:fill="FFFFFF"/>
        </w:rPr>
        <w:t>Nursing And Residential Care</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24</w:t>
      </w:r>
      <w:r w:rsidRPr="00B5757F">
        <w:rPr>
          <w:rFonts w:ascii="Times New Roman" w:hAnsi="Times New Roman" w:cs="Times New Roman"/>
          <w:color w:val="222222"/>
          <w:sz w:val="24"/>
          <w:szCs w:val="24"/>
          <w:shd w:val="clear" w:color="auto" w:fill="FFFFFF"/>
        </w:rPr>
        <w:t>(8), pp.1-4.</w:t>
      </w:r>
    </w:p>
    <w:p w14:paraId="6E81E17C"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Bal, M. and Brookes, A., 2022. How sustainable is human resource management really? An argument for radical sustainability. </w:t>
      </w:r>
      <w:r w:rsidRPr="00B5757F">
        <w:rPr>
          <w:rFonts w:ascii="Times New Roman" w:hAnsi="Times New Roman" w:cs="Times New Roman"/>
          <w:i/>
          <w:iCs/>
          <w:color w:val="222222"/>
          <w:sz w:val="24"/>
          <w:szCs w:val="24"/>
          <w:shd w:val="clear" w:color="auto" w:fill="FFFFFF"/>
        </w:rPr>
        <w:t>Sustainability</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14</w:t>
      </w:r>
      <w:r w:rsidRPr="00B5757F">
        <w:rPr>
          <w:rFonts w:ascii="Times New Roman" w:hAnsi="Times New Roman" w:cs="Times New Roman"/>
          <w:color w:val="222222"/>
          <w:sz w:val="24"/>
          <w:szCs w:val="24"/>
          <w:shd w:val="clear" w:color="auto" w:fill="FFFFFF"/>
        </w:rPr>
        <w:t>(7), p.4219.</w:t>
      </w:r>
    </w:p>
    <w:p w14:paraId="07B44A50"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Lansley, S., 2021. Burning injustice. In </w:t>
      </w:r>
      <w:r w:rsidRPr="00B5757F">
        <w:rPr>
          <w:rFonts w:ascii="Times New Roman" w:hAnsi="Times New Roman" w:cs="Times New Roman"/>
          <w:i/>
          <w:iCs/>
          <w:color w:val="222222"/>
          <w:sz w:val="24"/>
          <w:szCs w:val="24"/>
          <w:shd w:val="clear" w:color="auto" w:fill="FFFFFF"/>
        </w:rPr>
        <w:t>The Richer, The Poorer</w:t>
      </w:r>
      <w:r w:rsidRPr="00B5757F">
        <w:rPr>
          <w:rFonts w:ascii="Times New Roman" w:hAnsi="Times New Roman" w:cs="Times New Roman"/>
          <w:color w:val="222222"/>
          <w:sz w:val="24"/>
          <w:szCs w:val="24"/>
          <w:shd w:val="clear" w:color="auto" w:fill="FFFFFF"/>
        </w:rPr>
        <w:t> (pp. 224-230). Policy Press.</w:t>
      </w:r>
    </w:p>
    <w:p w14:paraId="2A9380B5"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Rights, L., 2018. Last Rights.</w:t>
      </w:r>
    </w:p>
    <w:p w14:paraId="77BD6895"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Izah, M., 2021. Staff Retention Strategies in Nigerian University Libraries.</w:t>
      </w:r>
    </w:p>
    <w:p w14:paraId="38620B40"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Armstrong, M. and Taylor, S., 2023. </w:t>
      </w:r>
      <w:r w:rsidRPr="00B5757F">
        <w:rPr>
          <w:rFonts w:ascii="Times New Roman" w:hAnsi="Times New Roman" w:cs="Times New Roman"/>
          <w:i/>
          <w:iCs/>
          <w:color w:val="222222"/>
          <w:sz w:val="24"/>
          <w:szCs w:val="24"/>
          <w:shd w:val="clear" w:color="auto" w:fill="FFFFFF"/>
        </w:rPr>
        <w:t>Armstrong's Handbook of Human Resource Management Practice: A Guide to the Theory and Practice of People Management</w:t>
      </w:r>
      <w:r w:rsidRPr="00B5757F">
        <w:rPr>
          <w:rFonts w:ascii="Times New Roman" w:hAnsi="Times New Roman" w:cs="Times New Roman"/>
          <w:color w:val="222222"/>
          <w:sz w:val="24"/>
          <w:szCs w:val="24"/>
          <w:shd w:val="clear" w:color="auto" w:fill="FFFFFF"/>
        </w:rPr>
        <w:t>. Kogan Page Publishers.</w:t>
      </w:r>
    </w:p>
    <w:p w14:paraId="2456581D"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Ewing, K.D. and Hendy, L., 2020. Covid-19 and the failure of labour law: part 1. </w:t>
      </w:r>
      <w:r w:rsidRPr="00B5757F">
        <w:rPr>
          <w:rFonts w:ascii="Times New Roman" w:hAnsi="Times New Roman" w:cs="Times New Roman"/>
          <w:i/>
          <w:iCs/>
          <w:color w:val="222222"/>
          <w:sz w:val="24"/>
          <w:szCs w:val="24"/>
          <w:shd w:val="clear" w:color="auto" w:fill="FFFFFF"/>
        </w:rPr>
        <w:t>Industrial Law Journal</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49</w:t>
      </w:r>
      <w:r w:rsidRPr="00B5757F">
        <w:rPr>
          <w:rFonts w:ascii="Times New Roman" w:hAnsi="Times New Roman" w:cs="Times New Roman"/>
          <w:color w:val="222222"/>
          <w:sz w:val="24"/>
          <w:szCs w:val="24"/>
          <w:shd w:val="clear" w:color="auto" w:fill="FFFFFF"/>
        </w:rPr>
        <w:t>(4), pp.497-538.</w:t>
      </w:r>
    </w:p>
    <w:p w14:paraId="1F7F1D6A"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lastRenderedPageBreak/>
        <w:t>Kelly-Lyth, A., Abraha, H. and Adams-</w:t>
      </w:r>
      <w:proofErr w:type="spellStart"/>
      <w:r w:rsidRPr="00B5757F">
        <w:rPr>
          <w:rFonts w:ascii="Times New Roman" w:hAnsi="Times New Roman" w:cs="Times New Roman"/>
          <w:color w:val="222222"/>
          <w:sz w:val="24"/>
          <w:szCs w:val="24"/>
          <w:shd w:val="clear" w:color="auto" w:fill="FFFFFF"/>
        </w:rPr>
        <w:t>Prassl</w:t>
      </w:r>
      <w:proofErr w:type="spellEnd"/>
      <w:r w:rsidRPr="00B5757F">
        <w:rPr>
          <w:rFonts w:ascii="Times New Roman" w:hAnsi="Times New Roman" w:cs="Times New Roman"/>
          <w:color w:val="222222"/>
          <w:sz w:val="24"/>
          <w:szCs w:val="24"/>
          <w:shd w:val="clear" w:color="auto" w:fill="FFFFFF"/>
        </w:rPr>
        <w:t>, J., 2022. From ‘</w:t>
      </w:r>
      <w:proofErr w:type="spellStart"/>
      <w:r w:rsidRPr="00B5757F">
        <w:rPr>
          <w:rFonts w:ascii="Times New Roman" w:hAnsi="Times New Roman" w:cs="Times New Roman"/>
          <w:color w:val="222222"/>
          <w:sz w:val="24"/>
          <w:szCs w:val="24"/>
          <w:shd w:val="clear" w:color="auto" w:fill="FFFFFF"/>
        </w:rPr>
        <w:t>Code’to</w:t>
      </w:r>
      <w:proofErr w:type="spellEnd"/>
      <w:r w:rsidRPr="00B5757F">
        <w:rPr>
          <w:rFonts w:ascii="Times New Roman" w:hAnsi="Times New Roman" w:cs="Times New Roman"/>
          <w:color w:val="222222"/>
          <w:sz w:val="24"/>
          <w:szCs w:val="24"/>
          <w:shd w:val="clear" w:color="auto" w:fill="FFFFFF"/>
        </w:rPr>
        <w:t xml:space="preserve"> ‘Guidance’: Revising the Instrument on Data and Employment. </w:t>
      </w:r>
      <w:r w:rsidRPr="00B5757F">
        <w:rPr>
          <w:rFonts w:ascii="Times New Roman" w:hAnsi="Times New Roman" w:cs="Times New Roman"/>
          <w:i/>
          <w:iCs/>
          <w:color w:val="222222"/>
          <w:sz w:val="24"/>
          <w:szCs w:val="24"/>
          <w:shd w:val="clear" w:color="auto" w:fill="FFFFFF"/>
        </w:rPr>
        <w:t>Industrial Law Journal</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51</w:t>
      </w:r>
      <w:r w:rsidRPr="00B5757F">
        <w:rPr>
          <w:rFonts w:ascii="Times New Roman" w:hAnsi="Times New Roman" w:cs="Times New Roman"/>
          <w:color w:val="222222"/>
          <w:sz w:val="24"/>
          <w:szCs w:val="24"/>
          <w:shd w:val="clear" w:color="auto" w:fill="FFFFFF"/>
        </w:rPr>
        <w:t>(3), pp.744-761.</w:t>
      </w:r>
    </w:p>
    <w:p w14:paraId="6A982CEB"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 xml:space="preserve">Davidescu, A.A., Apostu, S.A., Paul, A. and </w:t>
      </w:r>
      <w:proofErr w:type="spellStart"/>
      <w:r w:rsidRPr="00B5757F">
        <w:rPr>
          <w:rFonts w:ascii="Times New Roman" w:hAnsi="Times New Roman" w:cs="Times New Roman"/>
          <w:color w:val="222222"/>
          <w:sz w:val="24"/>
          <w:szCs w:val="24"/>
          <w:shd w:val="clear" w:color="auto" w:fill="FFFFFF"/>
        </w:rPr>
        <w:t>Casuneanu</w:t>
      </w:r>
      <w:proofErr w:type="spellEnd"/>
      <w:r w:rsidRPr="00B5757F">
        <w:rPr>
          <w:rFonts w:ascii="Times New Roman" w:hAnsi="Times New Roman" w:cs="Times New Roman"/>
          <w:color w:val="222222"/>
          <w:sz w:val="24"/>
          <w:szCs w:val="24"/>
          <w:shd w:val="clear" w:color="auto" w:fill="FFFFFF"/>
        </w:rPr>
        <w:t>, I., 2020. Work flexibility, job satisfaction, and job performance among Romanian employees—Implications for sustainable human resource management. </w:t>
      </w:r>
      <w:r w:rsidRPr="00B5757F">
        <w:rPr>
          <w:rFonts w:ascii="Times New Roman" w:hAnsi="Times New Roman" w:cs="Times New Roman"/>
          <w:i/>
          <w:iCs/>
          <w:color w:val="222222"/>
          <w:sz w:val="24"/>
          <w:szCs w:val="24"/>
          <w:shd w:val="clear" w:color="auto" w:fill="FFFFFF"/>
        </w:rPr>
        <w:t>Sustainability</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12</w:t>
      </w:r>
      <w:r w:rsidRPr="00B5757F">
        <w:rPr>
          <w:rFonts w:ascii="Times New Roman" w:hAnsi="Times New Roman" w:cs="Times New Roman"/>
          <w:color w:val="222222"/>
          <w:sz w:val="24"/>
          <w:szCs w:val="24"/>
          <w:shd w:val="clear" w:color="auto" w:fill="FFFFFF"/>
        </w:rPr>
        <w:t>(15), p.6086.</w:t>
      </w:r>
    </w:p>
    <w:p w14:paraId="6B002329"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Raskin, M., 2016. The law and legality of smart contracts. </w:t>
      </w:r>
      <w:r w:rsidRPr="00B5757F">
        <w:rPr>
          <w:rFonts w:ascii="Times New Roman" w:hAnsi="Times New Roman" w:cs="Times New Roman"/>
          <w:i/>
          <w:iCs/>
          <w:color w:val="222222"/>
          <w:sz w:val="24"/>
          <w:szCs w:val="24"/>
          <w:shd w:val="clear" w:color="auto" w:fill="FFFFFF"/>
        </w:rPr>
        <w:t>Geo. L. Tech. Rev.</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1</w:t>
      </w:r>
      <w:r w:rsidRPr="00B5757F">
        <w:rPr>
          <w:rFonts w:ascii="Times New Roman" w:hAnsi="Times New Roman" w:cs="Times New Roman"/>
          <w:color w:val="222222"/>
          <w:sz w:val="24"/>
          <w:szCs w:val="24"/>
          <w:shd w:val="clear" w:color="auto" w:fill="FFFFFF"/>
        </w:rPr>
        <w:t>, p.305.</w:t>
      </w:r>
    </w:p>
    <w:p w14:paraId="7F51DC65"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proofErr w:type="spellStart"/>
      <w:r w:rsidRPr="00B5757F">
        <w:rPr>
          <w:rFonts w:ascii="Times New Roman" w:hAnsi="Times New Roman" w:cs="Times New Roman"/>
          <w:color w:val="222222"/>
          <w:sz w:val="24"/>
          <w:szCs w:val="24"/>
          <w:shd w:val="clear" w:color="auto" w:fill="FFFFFF"/>
        </w:rPr>
        <w:t>Januarita</w:t>
      </w:r>
      <w:proofErr w:type="spellEnd"/>
      <w:r w:rsidRPr="00B5757F">
        <w:rPr>
          <w:rFonts w:ascii="Times New Roman" w:hAnsi="Times New Roman" w:cs="Times New Roman"/>
          <w:color w:val="222222"/>
          <w:sz w:val="24"/>
          <w:szCs w:val="24"/>
          <w:shd w:val="clear" w:color="auto" w:fill="FFFFFF"/>
        </w:rPr>
        <w:t xml:space="preserve">, R. and </w:t>
      </w:r>
      <w:proofErr w:type="spellStart"/>
      <w:r w:rsidRPr="00B5757F">
        <w:rPr>
          <w:rFonts w:ascii="Times New Roman" w:hAnsi="Times New Roman" w:cs="Times New Roman"/>
          <w:color w:val="222222"/>
          <w:sz w:val="24"/>
          <w:szCs w:val="24"/>
          <w:shd w:val="clear" w:color="auto" w:fill="FFFFFF"/>
        </w:rPr>
        <w:t>Sumiyati</w:t>
      </w:r>
      <w:proofErr w:type="spellEnd"/>
      <w:r w:rsidRPr="00B5757F">
        <w:rPr>
          <w:rFonts w:ascii="Times New Roman" w:hAnsi="Times New Roman" w:cs="Times New Roman"/>
          <w:color w:val="222222"/>
          <w:sz w:val="24"/>
          <w:szCs w:val="24"/>
          <w:shd w:val="clear" w:color="auto" w:fill="FFFFFF"/>
        </w:rPr>
        <w:t xml:space="preserve">, Y., 2021. Legal risk management: Can the COVID-19 pandemic be included as a force majeure clause in a </w:t>
      </w:r>
      <w:proofErr w:type="gramStart"/>
      <w:r w:rsidRPr="00B5757F">
        <w:rPr>
          <w:rFonts w:ascii="Times New Roman" w:hAnsi="Times New Roman" w:cs="Times New Roman"/>
          <w:color w:val="222222"/>
          <w:sz w:val="24"/>
          <w:szCs w:val="24"/>
          <w:shd w:val="clear" w:color="auto" w:fill="FFFFFF"/>
        </w:rPr>
        <w:t>contract?.</w:t>
      </w:r>
      <w:proofErr w:type="gramEnd"/>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International Journal of Law and Management</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63</w:t>
      </w:r>
      <w:r w:rsidRPr="00B5757F">
        <w:rPr>
          <w:rFonts w:ascii="Times New Roman" w:hAnsi="Times New Roman" w:cs="Times New Roman"/>
          <w:color w:val="222222"/>
          <w:sz w:val="24"/>
          <w:szCs w:val="24"/>
          <w:shd w:val="clear" w:color="auto" w:fill="FFFFFF"/>
        </w:rPr>
        <w:t>(2), pp.219-238.</w:t>
      </w:r>
    </w:p>
    <w:p w14:paraId="0280FC51"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lang w:val="en-US"/>
        </w:rPr>
      </w:pPr>
      <w:r w:rsidRPr="00B5757F">
        <w:rPr>
          <w:rFonts w:ascii="Times New Roman" w:hAnsi="Times New Roman" w:cs="Times New Roman"/>
          <w:color w:val="222222"/>
          <w:sz w:val="24"/>
          <w:szCs w:val="24"/>
          <w:shd w:val="clear" w:color="auto" w:fill="FFFFFF"/>
        </w:rPr>
        <w:t>Gray, A.D., 2023. Relational contract theory, the relevance of actual performance in contractual interpretation and its application to employment contracts in the United Kingdom and Australia. </w:t>
      </w:r>
      <w:r w:rsidRPr="00B5757F">
        <w:rPr>
          <w:rFonts w:ascii="Times New Roman" w:hAnsi="Times New Roman" w:cs="Times New Roman"/>
          <w:i/>
          <w:iCs/>
          <w:color w:val="222222"/>
          <w:sz w:val="24"/>
          <w:szCs w:val="24"/>
          <w:shd w:val="clear" w:color="auto" w:fill="FFFFFF"/>
        </w:rPr>
        <w:t>Common Law World Review</w:t>
      </w:r>
      <w:r w:rsidRPr="00B5757F">
        <w:rPr>
          <w:rFonts w:ascii="Times New Roman" w:hAnsi="Times New Roman" w:cs="Times New Roman"/>
          <w:color w:val="222222"/>
          <w:sz w:val="24"/>
          <w:szCs w:val="24"/>
          <w:shd w:val="clear" w:color="auto" w:fill="FFFFFF"/>
        </w:rPr>
        <w:t>, p.14737795231188384.</w:t>
      </w:r>
    </w:p>
    <w:p w14:paraId="295C5903"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Munton, J.R., 2022. Employment Contracts in the Australian High Court. </w:t>
      </w:r>
      <w:r w:rsidRPr="00B5757F">
        <w:rPr>
          <w:rFonts w:ascii="Times New Roman" w:hAnsi="Times New Roman" w:cs="Times New Roman"/>
          <w:i/>
          <w:iCs/>
          <w:color w:val="222222"/>
          <w:sz w:val="24"/>
          <w:szCs w:val="24"/>
          <w:shd w:val="clear" w:color="auto" w:fill="FFFFFF"/>
        </w:rPr>
        <w:t>Italian Labour Law e-Journal</w:t>
      </w:r>
      <w:r w:rsidRPr="00B5757F">
        <w:rPr>
          <w:rFonts w:ascii="Times New Roman" w:hAnsi="Times New Roman" w:cs="Times New Roman"/>
          <w:color w:val="222222"/>
          <w:sz w:val="24"/>
          <w:szCs w:val="24"/>
          <w:shd w:val="clear" w:color="auto" w:fill="FFFFFF"/>
        </w:rPr>
        <w:t>.</w:t>
      </w:r>
    </w:p>
    <w:p w14:paraId="56CF9AA9"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 xml:space="preserve">Wang, S., Coutts, A., Burchell, B., </w:t>
      </w:r>
      <w:proofErr w:type="spellStart"/>
      <w:r w:rsidRPr="00B5757F">
        <w:rPr>
          <w:rFonts w:ascii="Times New Roman" w:hAnsi="Times New Roman" w:cs="Times New Roman"/>
          <w:color w:val="222222"/>
          <w:sz w:val="24"/>
          <w:szCs w:val="24"/>
          <w:shd w:val="clear" w:color="auto" w:fill="FFFFFF"/>
        </w:rPr>
        <w:t>Kamerāde</w:t>
      </w:r>
      <w:proofErr w:type="spellEnd"/>
      <w:r w:rsidRPr="00B5757F">
        <w:rPr>
          <w:rFonts w:ascii="Times New Roman" w:hAnsi="Times New Roman" w:cs="Times New Roman"/>
          <w:color w:val="222222"/>
          <w:sz w:val="24"/>
          <w:szCs w:val="24"/>
          <w:shd w:val="clear" w:color="auto" w:fill="FFFFFF"/>
        </w:rPr>
        <w:t>, D. and Balderson, U., 2021. Can active labour market programmes emulate the mental health benefits of regular paid employment? Longitudinal evidence from the United Kingdom. </w:t>
      </w:r>
      <w:r w:rsidRPr="00B5757F">
        <w:rPr>
          <w:rFonts w:ascii="Times New Roman" w:hAnsi="Times New Roman" w:cs="Times New Roman"/>
          <w:i/>
          <w:iCs/>
          <w:color w:val="222222"/>
          <w:sz w:val="24"/>
          <w:szCs w:val="24"/>
          <w:shd w:val="clear" w:color="auto" w:fill="FFFFFF"/>
        </w:rPr>
        <w:t>Work, Employment and Society</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35</w:t>
      </w:r>
      <w:r w:rsidRPr="00B5757F">
        <w:rPr>
          <w:rFonts w:ascii="Times New Roman" w:hAnsi="Times New Roman" w:cs="Times New Roman"/>
          <w:color w:val="222222"/>
          <w:sz w:val="24"/>
          <w:szCs w:val="24"/>
          <w:shd w:val="clear" w:color="auto" w:fill="FFFFFF"/>
        </w:rPr>
        <w:t>(3), pp.545-565.</w:t>
      </w:r>
    </w:p>
    <w:p w14:paraId="756D3CAD"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Freedland, M.R. and Adams-</w:t>
      </w:r>
      <w:proofErr w:type="spellStart"/>
      <w:r w:rsidRPr="00B5757F">
        <w:rPr>
          <w:rFonts w:ascii="Times New Roman" w:hAnsi="Times New Roman" w:cs="Times New Roman"/>
          <w:color w:val="222222"/>
          <w:sz w:val="24"/>
          <w:szCs w:val="24"/>
          <w:shd w:val="clear" w:color="auto" w:fill="FFFFFF"/>
        </w:rPr>
        <w:t>Prassl</w:t>
      </w:r>
      <w:proofErr w:type="spellEnd"/>
      <w:r w:rsidRPr="00B5757F">
        <w:rPr>
          <w:rFonts w:ascii="Times New Roman" w:hAnsi="Times New Roman" w:cs="Times New Roman"/>
          <w:color w:val="222222"/>
          <w:sz w:val="24"/>
          <w:szCs w:val="24"/>
          <w:shd w:val="clear" w:color="auto" w:fill="FFFFFF"/>
        </w:rPr>
        <w:t xml:space="preserve">, J., 2017. Employees, workers, and </w:t>
      </w:r>
      <w:proofErr w:type="spellStart"/>
      <w:r w:rsidRPr="00B5757F">
        <w:rPr>
          <w:rFonts w:ascii="Times New Roman" w:hAnsi="Times New Roman" w:cs="Times New Roman"/>
          <w:color w:val="222222"/>
          <w:sz w:val="24"/>
          <w:szCs w:val="24"/>
          <w:shd w:val="clear" w:color="auto" w:fill="FFFFFF"/>
        </w:rPr>
        <w:t>the'sharing</w:t>
      </w:r>
      <w:proofErr w:type="spellEnd"/>
      <w:r w:rsidRPr="00B5757F">
        <w:rPr>
          <w:rFonts w:ascii="Times New Roman" w:hAnsi="Times New Roman" w:cs="Times New Roman"/>
          <w:color w:val="222222"/>
          <w:sz w:val="24"/>
          <w:szCs w:val="24"/>
          <w:shd w:val="clear" w:color="auto" w:fill="FFFFFF"/>
        </w:rPr>
        <w:t xml:space="preserve"> economy': Changing practices and changing concepts in the United Kingdom.</w:t>
      </w:r>
    </w:p>
    <w:p w14:paraId="7ABDBFA4"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Lansley, S., 2021. Burning injustice. In </w:t>
      </w:r>
      <w:r w:rsidRPr="00B5757F">
        <w:rPr>
          <w:rFonts w:ascii="Times New Roman" w:hAnsi="Times New Roman" w:cs="Times New Roman"/>
          <w:i/>
          <w:iCs/>
          <w:color w:val="222222"/>
          <w:sz w:val="24"/>
          <w:szCs w:val="24"/>
          <w:shd w:val="clear" w:color="auto" w:fill="FFFFFF"/>
        </w:rPr>
        <w:t>The Richer, The Poorer</w:t>
      </w:r>
      <w:r w:rsidRPr="00B5757F">
        <w:rPr>
          <w:rFonts w:ascii="Times New Roman" w:hAnsi="Times New Roman" w:cs="Times New Roman"/>
          <w:color w:val="222222"/>
          <w:sz w:val="24"/>
          <w:szCs w:val="24"/>
          <w:shd w:val="clear" w:color="auto" w:fill="FFFFFF"/>
        </w:rPr>
        <w:t> (pp. 224-230). Policy Press.</w:t>
      </w:r>
    </w:p>
    <w:p w14:paraId="5C6DEE16"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lang w:val="en-US"/>
        </w:rPr>
      </w:pPr>
      <w:r w:rsidRPr="00B5757F">
        <w:rPr>
          <w:rFonts w:ascii="Times New Roman" w:hAnsi="Times New Roman" w:cs="Times New Roman"/>
          <w:color w:val="222222"/>
          <w:sz w:val="24"/>
          <w:szCs w:val="24"/>
          <w:shd w:val="clear" w:color="auto" w:fill="FFFFFF"/>
        </w:rPr>
        <w:t>Kelly-Lyth, A., Abraha, H. and Adams-</w:t>
      </w:r>
      <w:proofErr w:type="spellStart"/>
      <w:r w:rsidRPr="00B5757F">
        <w:rPr>
          <w:rFonts w:ascii="Times New Roman" w:hAnsi="Times New Roman" w:cs="Times New Roman"/>
          <w:color w:val="222222"/>
          <w:sz w:val="24"/>
          <w:szCs w:val="24"/>
          <w:shd w:val="clear" w:color="auto" w:fill="FFFFFF"/>
        </w:rPr>
        <w:t>Prassl</w:t>
      </w:r>
      <w:proofErr w:type="spellEnd"/>
      <w:r w:rsidRPr="00B5757F">
        <w:rPr>
          <w:rFonts w:ascii="Times New Roman" w:hAnsi="Times New Roman" w:cs="Times New Roman"/>
          <w:color w:val="222222"/>
          <w:sz w:val="24"/>
          <w:szCs w:val="24"/>
          <w:shd w:val="clear" w:color="auto" w:fill="FFFFFF"/>
        </w:rPr>
        <w:t>, J., 2022. From ‘</w:t>
      </w:r>
      <w:proofErr w:type="spellStart"/>
      <w:r w:rsidRPr="00B5757F">
        <w:rPr>
          <w:rFonts w:ascii="Times New Roman" w:hAnsi="Times New Roman" w:cs="Times New Roman"/>
          <w:color w:val="222222"/>
          <w:sz w:val="24"/>
          <w:szCs w:val="24"/>
          <w:shd w:val="clear" w:color="auto" w:fill="FFFFFF"/>
        </w:rPr>
        <w:t>Code’to</w:t>
      </w:r>
      <w:proofErr w:type="spellEnd"/>
      <w:r w:rsidRPr="00B5757F">
        <w:rPr>
          <w:rFonts w:ascii="Times New Roman" w:hAnsi="Times New Roman" w:cs="Times New Roman"/>
          <w:color w:val="222222"/>
          <w:sz w:val="24"/>
          <w:szCs w:val="24"/>
          <w:shd w:val="clear" w:color="auto" w:fill="FFFFFF"/>
        </w:rPr>
        <w:t xml:space="preserve"> ‘Guidance’: Revising the Instrument on Data and Employment. </w:t>
      </w:r>
      <w:r w:rsidRPr="00B5757F">
        <w:rPr>
          <w:rFonts w:ascii="Times New Roman" w:hAnsi="Times New Roman" w:cs="Times New Roman"/>
          <w:i/>
          <w:iCs/>
          <w:color w:val="222222"/>
          <w:sz w:val="24"/>
          <w:szCs w:val="24"/>
          <w:shd w:val="clear" w:color="auto" w:fill="FFFFFF"/>
        </w:rPr>
        <w:t>Industrial Law Journal</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51</w:t>
      </w:r>
      <w:r w:rsidRPr="00B5757F">
        <w:rPr>
          <w:rFonts w:ascii="Times New Roman" w:hAnsi="Times New Roman" w:cs="Times New Roman"/>
          <w:color w:val="222222"/>
          <w:sz w:val="24"/>
          <w:szCs w:val="24"/>
          <w:shd w:val="clear" w:color="auto" w:fill="FFFFFF"/>
        </w:rPr>
        <w:t>(3), pp.744-761.</w:t>
      </w:r>
    </w:p>
    <w:p w14:paraId="0053B769"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Eldor, L. and Vigoda-Gadot, E., 2017. The nature of employee engagement: Rethinking the employee–organization relationship. </w:t>
      </w:r>
      <w:r w:rsidRPr="00B5757F">
        <w:rPr>
          <w:rFonts w:ascii="Times New Roman" w:hAnsi="Times New Roman" w:cs="Times New Roman"/>
          <w:i/>
          <w:iCs/>
          <w:color w:val="222222"/>
          <w:sz w:val="24"/>
          <w:szCs w:val="24"/>
          <w:shd w:val="clear" w:color="auto" w:fill="FFFFFF"/>
        </w:rPr>
        <w:t>The International Journal of Human Resource Management</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28</w:t>
      </w:r>
      <w:r w:rsidRPr="00B5757F">
        <w:rPr>
          <w:rFonts w:ascii="Times New Roman" w:hAnsi="Times New Roman" w:cs="Times New Roman"/>
          <w:color w:val="222222"/>
          <w:sz w:val="24"/>
          <w:szCs w:val="24"/>
          <w:shd w:val="clear" w:color="auto" w:fill="FFFFFF"/>
        </w:rPr>
        <w:t>(3), pp.526-552.</w:t>
      </w:r>
    </w:p>
    <w:p w14:paraId="26AFDC76"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Burnett, J.R. and Lisk, T.C., 2019. The future of employee engagement: Real-time monitoring and digital tools for engaging a workforce. </w:t>
      </w:r>
      <w:r w:rsidRPr="00B5757F">
        <w:rPr>
          <w:rFonts w:ascii="Times New Roman" w:hAnsi="Times New Roman" w:cs="Times New Roman"/>
          <w:i/>
          <w:iCs/>
          <w:color w:val="222222"/>
          <w:sz w:val="24"/>
          <w:szCs w:val="24"/>
          <w:shd w:val="clear" w:color="auto" w:fill="FFFFFF"/>
        </w:rPr>
        <w:t>International Studies of Management &amp; Organization</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49</w:t>
      </w:r>
      <w:r w:rsidRPr="00B5757F">
        <w:rPr>
          <w:rFonts w:ascii="Times New Roman" w:hAnsi="Times New Roman" w:cs="Times New Roman"/>
          <w:color w:val="222222"/>
          <w:sz w:val="24"/>
          <w:szCs w:val="24"/>
          <w:shd w:val="clear" w:color="auto" w:fill="FFFFFF"/>
        </w:rPr>
        <w:t>(1), pp.108-119.</w:t>
      </w:r>
    </w:p>
    <w:p w14:paraId="43A95FE1"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lastRenderedPageBreak/>
        <w:t>Van Wingerden, J., Derks, D. and Bakker, A.B., 2017. The impact of personal resources and job crafting interventions on work engagement and performance. </w:t>
      </w:r>
      <w:r w:rsidRPr="00B5757F">
        <w:rPr>
          <w:rFonts w:ascii="Times New Roman" w:hAnsi="Times New Roman" w:cs="Times New Roman"/>
          <w:i/>
          <w:iCs/>
          <w:color w:val="222222"/>
          <w:sz w:val="24"/>
          <w:szCs w:val="24"/>
          <w:shd w:val="clear" w:color="auto" w:fill="FFFFFF"/>
        </w:rPr>
        <w:t>Human Resource Management</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56</w:t>
      </w:r>
      <w:r w:rsidRPr="00B5757F">
        <w:rPr>
          <w:rFonts w:ascii="Times New Roman" w:hAnsi="Times New Roman" w:cs="Times New Roman"/>
          <w:color w:val="222222"/>
          <w:sz w:val="24"/>
          <w:szCs w:val="24"/>
          <w:shd w:val="clear" w:color="auto" w:fill="FFFFFF"/>
        </w:rPr>
        <w:t>(1), pp.51-67.</w:t>
      </w:r>
    </w:p>
    <w:p w14:paraId="53D007C4"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Nankervis, A., Baird, M., Coffey, J. and Shields, J., 2022. </w:t>
      </w:r>
      <w:r w:rsidRPr="00B5757F">
        <w:rPr>
          <w:rFonts w:ascii="Times New Roman" w:hAnsi="Times New Roman" w:cs="Times New Roman"/>
          <w:i/>
          <w:iCs/>
          <w:color w:val="222222"/>
          <w:sz w:val="24"/>
          <w:szCs w:val="24"/>
          <w:shd w:val="clear" w:color="auto" w:fill="FFFFFF"/>
        </w:rPr>
        <w:t>Human Resource Management 11e</w:t>
      </w:r>
      <w:r w:rsidRPr="00B5757F">
        <w:rPr>
          <w:rFonts w:ascii="Times New Roman" w:hAnsi="Times New Roman" w:cs="Times New Roman"/>
          <w:color w:val="222222"/>
          <w:sz w:val="24"/>
          <w:szCs w:val="24"/>
          <w:shd w:val="clear" w:color="auto" w:fill="FFFFFF"/>
        </w:rPr>
        <w:t>. Cengage AU.</w:t>
      </w:r>
    </w:p>
    <w:p w14:paraId="6EC6B98D"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Nankervis, A., Baird, M., Coffey, J. and Shields, J., 2019. </w:t>
      </w:r>
      <w:r w:rsidRPr="00B5757F">
        <w:rPr>
          <w:rFonts w:ascii="Times New Roman" w:hAnsi="Times New Roman" w:cs="Times New Roman"/>
          <w:i/>
          <w:iCs/>
          <w:color w:val="222222"/>
          <w:sz w:val="24"/>
          <w:szCs w:val="24"/>
          <w:shd w:val="clear" w:color="auto" w:fill="FFFFFF"/>
        </w:rPr>
        <w:t>Human resource management</w:t>
      </w:r>
      <w:r w:rsidRPr="00B5757F">
        <w:rPr>
          <w:rFonts w:ascii="Times New Roman" w:hAnsi="Times New Roman" w:cs="Times New Roman"/>
          <w:color w:val="222222"/>
          <w:sz w:val="24"/>
          <w:szCs w:val="24"/>
          <w:shd w:val="clear" w:color="auto" w:fill="FFFFFF"/>
        </w:rPr>
        <w:t>. Cengage AU.</w:t>
      </w:r>
    </w:p>
    <w:p w14:paraId="58C93DC6"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lang w:val="en-US"/>
        </w:rPr>
      </w:pPr>
      <w:r w:rsidRPr="00B5757F">
        <w:rPr>
          <w:rFonts w:ascii="Times New Roman" w:hAnsi="Times New Roman" w:cs="Times New Roman"/>
          <w:color w:val="222222"/>
          <w:sz w:val="24"/>
          <w:szCs w:val="24"/>
          <w:shd w:val="clear" w:color="auto" w:fill="FFFFFF"/>
        </w:rPr>
        <w:t>Wilton, N., 2019. An introduction to human resource management. </w:t>
      </w:r>
      <w:r w:rsidRPr="00B5757F">
        <w:rPr>
          <w:rFonts w:ascii="Times New Roman" w:hAnsi="Times New Roman" w:cs="Times New Roman"/>
          <w:i/>
          <w:iCs/>
          <w:color w:val="222222"/>
          <w:sz w:val="24"/>
          <w:szCs w:val="24"/>
          <w:shd w:val="clear" w:color="auto" w:fill="FFFFFF"/>
        </w:rPr>
        <w:t>An Introduction to Human Resource Management</w:t>
      </w:r>
      <w:r w:rsidRPr="00B5757F">
        <w:rPr>
          <w:rFonts w:ascii="Times New Roman" w:hAnsi="Times New Roman" w:cs="Times New Roman"/>
          <w:color w:val="222222"/>
          <w:sz w:val="24"/>
          <w:szCs w:val="24"/>
          <w:shd w:val="clear" w:color="auto" w:fill="FFFFFF"/>
        </w:rPr>
        <w:t>, pp.1-632.</w:t>
      </w:r>
    </w:p>
    <w:p w14:paraId="3B53AFF8"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Qadir, A. and Agrawal, S., 2017. Human resource information system (HRIS): re-engineering the traditional human resource management for leveraging strategic human resource management. </w:t>
      </w:r>
      <w:r w:rsidRPr="00B5757F">
        <w:rPr>
          <w:rFonts w:ascii="Times New Roman" w:hAnsi="Times New Roman" w:cs="Times New Roman"/>
          <w:i/>
          <w:iCs/>
          <w:color w:val="222222"/>
          <w:sz w:val="24"/>
          <w:szCs w:val="24"/>
          <w:shd w:val="clear" w:color="auto" w:fill="FFFFFF"/>
        </w:rPr>
        <w:t>MIS Review</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22</w:t>
      </w:r>
      <w:r w:rsidRPr="00B5757F">
        <w:rPr>
          <w:rFonts w:ascii="Times New Roman" w:hAnsi="Times New Roman" w:cs="Times New Roman"/>
          <w:color w:val="222222"/>
          <w:sz w:val="24"/>
          <w:szCs w:val="24"/>
          <w:shd w:val="clear" w:color="auto" w:fill="FFFFFF"/>
        </w:rPr>
        <w:t>(1/2), pp.41-58.</w:t>
      </w:r>
    </w:p>
    <w:p w14:paraId="14928B2C"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Wei, G. and Jin, Y., 2021. Human resource management model based on three-layer BP neural network and machine learning. </w:t>
      </w:r>
      <w:r w:rsidRPr="00B5757F">
        <w:rPr>
          <w:rFonts w:ascii="Times New Roman" w:hAnsi="Times New Roman" w:cs="Times New Roman"/>
          <w:i/>
          <w:iCs/>
          <w:color w:val="222222"/>
          <w:sz w:val="24"/>
          <w:szCs w:val="24"/>
          <w:shd w:val="clear" w:color="auto" w:fill="FFFFFF"/>
        </w:rPr>
        <w:t>Journal of Intelligent &amp; Fuzzy Systems</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40</w:t>
      </w:r>
      <w:r w:rsidRPr="00B5757F">
        <w:rPr>
          <w:rFonts w:ascii="Times New Roman" w:hAnsi="Times New Roman" w:cs="Times New Roman"/>
          <w:color w:val="222222"/>
          <w:sz w:val="24"/>
          <w:szCs w:val="24"/>
          <w:shd w:val="clear" w:color="auto" w:fill="FFFFFF"/>
        </w:rPr>
        <w:t>(2), pp.2289-2300.</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1152C1" w:rsidRPr="001A26D4" w14:paraId="5C7D90B1" w14:textId="77777777" w:rsidTr="00144EFF">
        <w:tc>
          <w:tcPr>
            <w:tcW w:w="0" w:type="auto"/>
            <w:shd w:val="clear" w:color="auto" w:fill="FFFFFF"/>
            <w:tcMar>
              <w:top w:w="120" w:type="dxa"/>
              <w:left w:w="0" w:type="dxa"/>
              <w:bottom w:w="120" w:type="dxa"/>
              <w:right w:w="0" w:type="dxa"/>
            </w:tcMar>
            <w:hideMark/>
          </w:tcPr>
          <w:p w14:paraId="54F1D4CD" w14:textId="77777777" w:rsidR="001152C1" w:rsidRPr="001A26D4" w:rsidRDefault="001152C1" w:rsidP="001152C1">
            <w:pPr>
              <w:spacing w:after="0" w:line="360" w:lineRule="auto"/>
              <w:jc w:val="both"/>
              <w:rPr>
                <w:rFonts w:ascii="Times New Roman" w:eastAsia="Times New Roman" w:hAnsi="Times New Roman" w:cs="Times New Roman"/>
                <w:color w:val="222222"/>
                <w:kern w:val="0"/>
                <w:sz w:val="24"/>
                <w:szCs w:val="24"/>
                <w:lang w:eastAsia="en-PK"/>
                <w14:ligatures w14:val="none"/>
              </w:rPr>
            </w:pPr>
            <w:r w:rsidRPr="001A26D4">
              <w:rPr>
                <w:rFonts w:ascii="Times New Roman" w:eastAsia="Times New Roman" w:hAnsi="Times New Roman" w:cs="Times New Roman"/>
                <w:color w:val="222222"/>
                <w:kern w:val="0"/>
                <w:sz w:val="24"/>
                <w:szCs w:val="24"/>
                <w:lang w:eastAsia="en-PK"/>
                <w14:ligatures w14:val="none"/>
              </w:rPr>
              <w:t>Ahammad, T., 2017. Personnel management to human resource management (HRM): How HRM functions. </w:t>
            </w:r>
            <w:r w:rsidRPr="001A26D4">
              <w:rPr>
                <w:rFonts w:ascii="Times New Roman" w:eastAsia="Times New Roman" w:hAnsi="Times New Roman" w:cs="Times New Roman"/>
                <w:i/>
                <w:iCs/>
                <w:color w:val="222222"/>
                <w:kern w:val="0"/>
                <w:sz w:val="24"/>
                <w:szCs w:val="24"/>
                <w:lang w:eastAsia="en-PK"/>
                <w14:ligatures w14:val="none"/>
              </w:rPr>
              <w:t>Journal of Modern Accounting and Auditing</w:t>
            </w:r>
            <w:r w:rsidRPr="001A26D4">
              <w:rPr>
                <w:rFonts w:ascii="Times New Roman" w:eastAsia="Times New Roman" w:hAnsi="Times New Roman" w:cs="Times New Roman"/>
                <w:color w:val="222222"/>
                <w:kern w:val="0"/>
                <w:sz w:val="24"/>
                <w:szCs w:val="24"/>
                <w:lang w:eastAsia="en-PK"/>
                <w14:ligatures w14:val="none"/>
              </w:rPr>
              <w:t>, </w:t>
            </w:r>
            <w:r w:rsidRPr="001A26D4">
              <w:rPr>
                <w:rFonts w:ascii="Times New Roman" w:eastAsia="Times New Roman" w:hAnsi="Times New Roman" w:cs="Times New Roman"/>
                <w:i/>
                <w:iCs/>
                <w:color w:val="222222"/>
                <w:kern w:val="0"/>
                <w:sz w:val="24"/>
                <w:szCs w:val="24"/>
                <w:lang w:eastAsia="en-PK"/>
                <w14:ligatures w14:val="none"/>
              </w:rPr>
              <w:t>13</w:t>
            </w:r>
            <w:r w:rsidRPr="001A26D4">
              <w:rPr>
                <w:rFonts w:ascii="Times New Roman" w:eastAsia="Times New Roman" w:hAnsi="Times New Roman" w:cs="Times New Roman"/>
                <w:color w:val="222222"/>
                <w:kern w:val="0"/>
                <w:sz w:val="24"/>
                <w:szCs w:val="24"/>
                <w:lang w:eastAsia="en-PK"/>
                <w14:ligatures w14:val="none"/>
              </w:rPr>
              <w:t>(9), pp.412-420.</w:t>
            </w:r>
          </w:p>
        </w:tc>
      </w:tr>
    </w:tbl>
    <w:p w14:paraId="5824B66F"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Silva, M.S.A.E. and Lima, C.G.D.S., 2018. The role of information systems in human resource management. </w:t>
      </w:r>
      <w:r w:rsidRPr="00B5757F">
        <w:rPr>
          <w:rFonts w:ascii="Times New Roman" w:hAnsi="Times New Roman" w:cs="Times New Roman"/>
          <w:i/>
          <w:iCs/>
          <w:color w:val="222222"/>
          <w:sz w:val="24"/>
          <w:szCs w:val="24"/>
          <w:shd w:val="clear" w:color="auto" w:fill="FFFFFF"/>
        </w:rPr>
        <w:t>Management of Information Systems</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16</w:t>
      </w:r>
      <w:r w:rsidRPr="00B5757F">
        <w:rPr>
          <w:rFonts w:ascii="Times New Roman" w:hAnsi="Times New Roman" w:cs="Times New Roman"/>
          <w:color w:val="222222"/>
          <w:sz w:val="24"/>
          <w:szCs w:val="24"/>
          <w:shd w:val="clear" w:color="auto" w:fill="FFFFFF"/>
        </w:rPr>
        <w:t>, pp.113-126.</w:t>
      </w:r>
    </w:p>
    <w:p w14:paraId="13779BE4"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 xml:space="preserve">Saha, N., Gregar, A. and </w:t>
      </w:r>
      <w:proofErr w:type="spellStart"/>
      <w:r w:rsidRPr="00B5757F">
        <w:rPr>
          <w:rFonts w:ascii="Times New Roman" w:hAnsi="Times New Roman" w:cs="Times New Roman"/>
          <w:color w:val="222222"/>
          <w:sz w:val="24"/>
          <w:szCs w:val="24"/>
          <w:shd w:val="clear" w:color="auto" w:fill="FFFFFF"/>
        </w:rPr>
        <w:t>Sáha</w:t>
      </w:r>
      <w:proofErr w:type="spellEnd"/>
      <w:r w:rsidRPr="00B5757F">
        <w:rPr>
          <w:rFonts w:ascii="Times New Roman" w:hAnsi="Times New Roman" w:cs="Times New Roman"/>
          <w:color w:val="222222"/>
          <w:sz w:val="24"/>
          <w:szCs w:val="24"/>
          <w:shd w:val="clear" w:color="auto" w:fill="FFFFFF"/>
        </w:rPr>
        <w:t xml:space="preserve">, P., 2017. Organizational agility and HRM strategy: Do they really enhance firms’ </w:t>
      </w:r>
      <w:proofErr w:type="gramStart"/>
      <w:r w:rsidRPr="00B5757F">
        <w:rPr>
          <w:rFonts w:ascii="Times New Roman" w:hAnsi="Times New Roman" w:cs="Times New Roman"/>
          <w:color w:val="222222"/>
          <w:sz w:val="24"/>
          <w:szCs w:val="24"/>
          <w:shd w:val="clear" w:color="auto" w:fill="FFFFFF"/>
        </w:rPr>
        <w:t>competitiveness?.</w:t>
      </w:r>
      <w:proofErr w:type="gramEnd"/>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International Journal of Organizational Leadership</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6</w:t>
      </w:r>
      <w:r w:rsidRPr="00B5757F">
        <w:rPr>
          <w:rFonts w:ascii="Times New Roman" w:hAnsi="Times New Roman" w:cs="Times New Roman"/>
          <w:color w:val="222222"/>
          <w:sz w:val="24"/>
          <w:szCs w:val="24"/>
          <w:shd w:val="clear" w:color="auto" w:fill="FFFFFF"/>
        </w:rPr>
        <w:t>, pp.323-334.</w:t>
      </w:r>
    </w:p>
    <w:p w14:paraId="6EA42BF4"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proofErr w:type="spellStart"/>
      <w:r w:rsidRPr="00B5757F">
        <w:rPr>
          <w:rFonts w:ascii="Times New Roman" w:hAnsi="Times New Roman" w:cs="Times New Roman"/>
          <w:color w:val="222222"/>
          <w:sz w:val="24"/>
          <w:szCs w:val="24"/>
          <w:shd w:val="clear" w:color="auto" w:fill="FFFFFF"/>
        </w:rPr>
        <w:t>Sabuhari</w:t>
      </w:r>
      <w:proofErr w:type="spellEnd"/>
      <w:r w:rsidRPr="00B5757F">
        <w:rPr>
          <w:rFonts w:ascii="Times New Roman" w:hAnsi="Times New Roman" w:cs="Times New Roman"/>
          <w:color w:val="222222"/>
          <w:sz w:val="24"/>
          <w:szCs w:val="24"/>
          <w:shd w:val="clear" w:color="auto" w:fill="FFFFFF"/>
        </w:rPr>
        <w:t xml:space="preserve">, R., </w:t>
      </w:r>
      <w:proofErr w:type="spellStart"/>
      <w:r w:rsidRPr="00B5757F">
        <w:rPr>
          <w:rFonts w:ascii="Times New Roman" w:hAnsi="Times New Roman" w:cs="Times New Roman"/>
          <w:color w:val="222222"/>
          <w:sz w:val="24"/>
          <w:szCs w:val="24"/>
          <w:shd w:val="clear" w:color="auto" w:fill="FFFFFF"/>
        </w:rPr>
        <w:t>Sudiro</w:t>
      </w:r>
      <w:proofErr w:type="spellEnd"/>
      <w:r w:rsidRPr="00B5757F">
        <w:rPr>
          <w:rFonts w:ascii="Times New Roman" w:hAnsi="Times New Roman" w:cs="Times New Roman"/>
          <w:color w:val="222222"/>
          <w:sz w:val="24"/>
          <w:szCs w:val="24"/>
          <w:shd w:val="clear" w:color="auto" w:fill="FFFFFF"/>
        </w:rPr>
        <w:t xml:space="preserve">, A., </w:t>
      </w:r>
      <w:proofErr w:type="spellStart"/>
      <w:r w:rsidRPr="00B5757F">
        <w:rPr>
          <w:rFonts w:ascii="Times New Roman" w:hAnsi="Times New Roman" w:cs="Times New Roman"/>
          <w:color w:val="222222"/>
          <w:sz w:val="24"/>
          <w:szCs w:val="24"/>
          <w:shd w:val="clear" w:color="auto" w:fill="FFFFFF"/>
        </w:rPr>
        <w:t>Irawanto</w:t>
      </w:r>
      <w:proofErr w:type="spellEnd"/>
      <w:r w:rsidRPr="00B5757F">
        <w:rPr>
          <w:rFonts w:ascii="Times New Roman" w:hAnsi="Times New Roman" w:cs="Times New Roman"/>
          <w:color w:val="222222"/>
          <w:sz w:val="24"/>
          <w:szCs w:val="24"/>
          <w:shd w:val="clear" w:color="auto" w:fill="FFFFFF"/>
        </w:rPr>
        <w:t>, D. and Rahayu, M., 2020. The effects of human resource flexibility, employee competency, organizational culture adaptation and job satisfaction on employee performance. </w:t>
      </w:r>
      <w:r w:rsidRPr="00B5757F">
        <w:rPr>
          <w:rFonts w:ascii="Times New Roman" w:hAnsi="Times New Roman" w:cs="Times New Roman"/>
          <w:i/>
          <w:iCs/>
          <w:color w:val="222222"/>
          <w:sz w:val="24"/>
          <w:szCs w:val="24"/>
          <w:shd w:val="clear" w:color="auto" w:fill="FFFFFF"/>
        </w:rPr>
        <w:t>Management Science Letters</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10</w:t>
      </w:r>
      <w:r w:rsidRPr="00B5757F">
        <w:rPr>
          <w:rFonts w:ascii="Times New Roman" w:hAnsi="Times New Roman" w:cs="Times New Roman"/>
          <w:color w:val="222222"/>
          <w:sz w:val="24"/>
          <w:szCs w:val="24"/>
          <w:shd w:val="clear" w:color="auto" w:fill="FFFFFF"/>
        </w:rPr>
        <w:t>(8), pp.1775-1786.</w:t>
      </w:r>
    </w:p>
    <w:p w14:paraId="2B371D56"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lang w:val="en-US"/>
        </w:rPr>
      </w:pPr>
      <w:r w:rsidRPr="00B5757F">
        <w:rPr>
          <w:rFonts w:ascii="Times New Roman" w:hAnsi="Times New Roman" w:cs="Times New Roman"/>
          <w:color w:val="222222"/>
          <w:sz w:val="24"/>
          <w:szCs w:val="24"/>
          <w:shd w:val="clear" w:color="auto" w:fill="FFFFFF"/>
        </w:rPr>
        <w:t>Liang, F. and Cao, L., 2021. Linking employee resilience with organizational resilience: The roles of coping mechanism and managerial resilience. </w:t>
      </w:r>
      <w:r w:rsidRPr="00B5757F">
        <w:rPr>
          <w:rFonts w:ascii="Times New Roman" w:hAnsi="Times New Roman" w:cs="Times New Roman"/>
          <w:i/>
          <w:iCs/>
          <w:color w:val="222222"/>
          <w:sz w:val="24"/>
          <w:szCs w:val="24"/>
          <w:shd w:val="clear" w:color="auto" w:fill="FFFFFF"/>
        </w:rPr>
        <w:t xml:space="preserve">Psychology Research and </w:t>
      </w:r>
      <w:proofErr w:type="spellStart"/>
      <w:r w:rsidRPr="00B5757F">
        <w:rPr>
          <w:rFonts w:ascii="Times New Roman" w:hAnsi="Times New Roman" w:cs="Times New Roman"/>
          <w:i/>
          <w:iCs/>
          <w:color w:val="222222"/>
          <w:sz w:val="24"/>
          <w:szCs w:val="24"/>
          <w:shd w:val="clear" w:color="auto" w:fill="FFFFFF"/>
        </w:rPr>
        <w:t>Behavior</w:t>
      </w:r>
      <w:proofErr w:type="spellEnd"/>
      <w:r w:rsidRPr="00B5757F">
        <w:rPr>
          <w:rFonts w:ascii="Times New Roman" w:hAnsi="Times New Roman" w:cs="Times New Roman"/>
          <w:i/>
          <w:iCs/>
          <w:color w:val="222222"/>
          <w:sz w:val="24"/>
          <w:szCs w:val="24"/>
          <w:shd w:val="clear" w:color="auto" w:fill="FFFFFF"/>
        </w:rPr>
        <w:t xml:space="preserve"> Management</w:t>
      </w:r>
      <w:r w:rsidRPr="00B5757F">
        <w:rPr>
          <w:rFonts w:ascii="Times New Roman" w:hAnsi="Times New Roman" w:cs="Times New Roman"/>
          <w:color w:val="222222"/>
          <w:sz w:val="24"/>
          <w:szCs w:val="24"/>
          <w:shd w:val="clear" w:color="auto" w:fill="FFFFFF"/>
        </w:rPr>
        <w:t>, pp.1063-1075.</w:t>
      </w:r>
    </w:p>
    <w:p w14:paraId="7A3E0FEA" w14:textId="77777777" w:rsidR="00B55796" w:rsidRDefault="00B55796" w:rsidP="001152C1">
      <w:pPr>
        <w:spacing w:line="360" w:lineRule="auto"/>
        <w:jc w:val="both"/>
      </w:pPr>
    </w:p>
    <w:sectPr w:rsidR="00B557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5050A"/>
    <w:multiLevelType w:val="multilevel"/>
    <w:tmpl w:val="EFBCAE2E"/>
    <w:lvl w:ilvl="0">
      <w:start w:val="1"/>
      <w:numFmt w:val="decimal"/>
      <w:lvlText w:val="%1."/>
      <w:lvlJc w:val="left"/>
      <w:pPr>
        <w:ind w:left="360" w:hanging="360"/>
      </w:pPr>
      <w:rPr>
        <w:rFonts w:hint="default"/>
        <w:b/>
      </w:rPr>
    </w:lvl>
    <w:lvl w:ilvl="1">
      <w:start w:va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num w:numId="1" w16cid:durableId="2087454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2C1"/>
    <w:rsid w:val="001152C1"/>
    <w:rsid w:val="00B55796"/>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F886A"/>
  <w15:chartTrackingRefBased/>
  <w15:docId w15:val="{1AD44C89-2C51-4CDE-A3CC-A81E1D335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PK"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C1"/>
    <w:pPr>
      <w:spacing w:line="259" w:lineRule="auto"/>
      <w:jc w:val="left"/>
    </w:pPr>
  </w:style>
  <w:style w:type="paragraph" w:styleId="Heading2">
    <w:name w:val="heading 2"/>
    <w:basedOn w:val="Normal"/>
    <w:link w:val="Heading2Char"/>
    <w:uiPriority w:val="9"/>
    <w:qFormat/>
    <w:rsid w:val="001152C1"/>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152C1"/>
    <w:rPr>
      <w:rFonts w:ascii="Times New Roman" w:eastAsia="Times New Roman" w:hAnsi="Times New Roman" w:cs="Times New Roman"/>
      <w:b/>
      <w:bCs/>
      <w:kern w:val="0"/>
      <w:sz w:val="36"/>
      <w:szCs w:val="3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6697</Words>
  <Characters>38174</Characters>
  <Application>Microsoft Office Word</Application>
  <DocSecurity>0</DocSecurity>
  <Lines>318</Lines>
  <Paragraphs>89</Paragraphs>
  <ScaleCrop>false</ScaleCrop>
  <Company/>
  <LinksUpToDate>false</LinksUpToDate>
  <CharactersWithSpaces>44782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hareem sohaib</dc:creator>
  <cp:keywords/>
  <dc:description/>
  <cp:lastModifiedBy>hareem sohaib</cp:lastModifiedBy>
  <cp:revision>1</cp:revision>
  <dcterms:created xsi:type="dcterms:W3CDTF">2023-08-26T08:29:00Z</dcterms:created>
  <dcterms:modified xsi:type="dcterms:W3CDTF">2023-08-26T08:31:00Z</dcterms:modified>
</cp:coreProperties>
</file>