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BB8F54" w14:textId="2ABC9993" w:rsidR="000100EB" w:rsidRDefault="000100EB">
      <w:r>
        <w:t>Name: Shulammite Emeghara</w:t>
      </w:r>
    </w:p>
    <w:p w14:paraId="1425D1BC" w14:textId="5E41CB76" w:rsidR="000100EB" w:rsidRDefault="000100EB">
      <w:r>
        <w:t>Student Number: 2536049</w:t>
      </w:r>
    </w:p>
    <w:p w14:paraId="094CA188" w14:textId="6F99746F" w:rsidR="000100EB" w:rsidRDefault="000100EB">
      <w:r>
        <w:t>Module Code: LCHS4007</w:t>
      </w:r>
    </w:p>
    <w:p w14:paraId="0CCE3A62" w14:textId="072C8BFF" w:rsidR="000100EB" w:rsidRDefault="000100EB">
      <w:r>
        <w:t>Lecture: Justin Okoli</w:t>
      </w:r>
    </w:p>
    <w:p w14:paraId="0D7B0E0A" w14:textId="6A4F9965" w:rsidR="008E61B0" w:rsidRDefault="000100EB" w:rsidP="008E61B0">
      <w:pPr>
        <w:autoSpaceDE w:val="0"/>
        <w:autoSpaceDN w:val="0"/>
        <w:adjustRightInd w:val="0"/>
        <w:spacing w:after="0" w:line="240" w:lineRule="auto"/>
        <w:rPr>
          <w:rFonts w:ascii="AppleSystemUIFont" w:hAnsi="AppleSystemUIFont" w:cs="AppleSystemUIFont"/>
          <w:kern w:val="0"/>
          <w:sz w:val="26"/>
          <w:szCs w:val="26"/>
        </w:rPr>
      </w:pPr>
      <w:r>
        <w:t>Component 2 Asses</w:t>
      </w:r>
      <w:r w:rsidR="008E61B0">
        <w:t>sment:</w:t>
      </w:r>
      <w:r w:rsidR="008E61B0" w:rsidRPr="008E61B0">
        <w:rPr>
          <w:rFonts w:ascii="AppleSystemUIFont" w:hAnsi="AppleSystemUIFont" w:cs="AppleSystemUIFont"/>
          <w:kern w:val="0"/>
          <w:sz w:val="26"/>
          <w:szCs w:val="26"/>
        </w:rPr>
        <w:t xml:space="preserve"> </w:t>
      </w:r>
      <w:r w:rsidR="008E61B0">
        <w:rPr>
          <w:rFonts w:ascii="AppleSystemUIFont" w:hAnsi="AppleSystemUIFont" w:cs="AppleSystemUIFont"/>
          <w:kern w:val="0"/>
          <w:sz w:val="26"/>
          <w:szCs w:val="26"/>
        </w:rPr>
        <w:t>Research Literacy – Developing Skills for Reading a Research Article</w:t>
      </w:r>
    </w:p>
    <w:p w14:paraId="4773B1B8" w14:textId="44D63F85" w:rsidR="000100EB" w:rsidRDefault="000100EB"/>
    <w:p w14:paraId="02FFB839"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Section 1: Presenting the Research Article and Shaping the Topic</w:t>
      </w:r>
    </w:p>
    <w:p w14:paraId="274B25EB"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08FA7F98"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For this assignment, the selected article is Ross et al. (2022), titled A Qualitative Study of Organisational Resilience in Care Homes in Scotland. It appeared in PLOS ONE and examines the ways Scottish care homes handle difficulties while still delivering care that is safe and effective for older people.</w:t>
      </w:r>
    </w:p>
    <w:p w14:paraId="0CFD9ED2"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78C2A565"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This topic emerged because UK care homes are under rising strain from an ageing population, more complicated health needs, shortages in staffing, and higher demands for good standards of care. Many older residents in care settings need help with dementia, reduced mobility, mental health difficulties, and chronic conditions. As a result, the work in care homes can be both challenging and hard to predict.</w:t>
      </w:r>
    </w:p>
    <w:p w14:paraId="5E4FFBFD"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3D83131E"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 study concentrated on managers, care workers, residents, family members, inspectors, and health professionals connected with Scottish care homes. This research matters for health and social care in the UK because care homes look after some of society’s most at-risk individuals. After the COVID-19 pandemic, worries about standards of care became even more important, as the crisis exposed shortcomings across the sector.</w:t>
      </w:r>
    </w:p>
    <w:p w14:paraId="6881498D"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42EF9664"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 paper’s central objective was to examine organisational resilience. In this context, organisational resilience refers to how staff and services adjust when circumstances are difficult or shifting, while continuing to provide high-quality care. The authors aimed to see how staff deal with day-to-day pressures and what kinds of systems might offer stronger support.</w:t>
      </w:r>
    </w:p>
    <w:p w14:paraId="7C6950F1"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6F532CDA"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In addition, the article considered the effects of collaboration, clear information-sharing, leadership, and adaptability on how care is provided. Instead of concentrating solely on errors, the study looked at how workers regularly succeed in handling demanding situations. This perspective is useful because it acknowledges what health and social care work is like in everyday practice.</w:t>
      </w:r>
    </w:p>
    <w:p w14:paraId="64EC9869"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639FDFAA"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07546FB4"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Section 2: Interpreting the Aim and the Research Question</w:t>
      </w:r>
    </w:p>
    <w:p w14:paraId="4D4DF1EE"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42471160"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 study set out to explore how care home workers sustain safe, person-centred care when faced with pressure. The researchers sought insight into how care homes function in real-world contexts and how staff adjust as circumstances change.</w:t>
      </w:r>
    </w:p>
    <w:p w14:paraId="3B726884"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2F206539"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 study aimed to make sense of:</w:t>
      </w:r>
    </w:p>
    <w:p w14:paraId="08D80A4F"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631040EE"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In everyday duties, how staff react when challenges arise.</w:t>
      </w:r>
    </w:p>
    <w:p w14:paraId="0197C833"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During difficult periods, how organisations uphold standards of care.</w:t>
      </w:r>
    </w:p>
    <w:p w14:paraId="36E808EC"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Which changes might strengthen resilience in care home settings.</w:t>
      </w:r>
    </w:p>
    <w:p w14:paraId="7EAB08A5"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02778F1E"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To shape the research, the authors drew on Resilient Healthcare theory. This framework looks at how healthcare systems keep working well even when under strain and when unexpected issues occur. The research contrasted “work-as-imagined,” meaning the policy-based expectation of how care should occur, with “work-as-done,” meaning what actually happens when care is provided in practice.</w:t>
      </w:r>
    </w:p>
    <w:p w14:paraId="3FBA180A"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6138FC91"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623E3BB6"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This research mattered since many guidelines concentrate mostly on shortcomings and dangers. Instead, the project set out to learn how employees produce good results even when resources are tight, staffing is strained, and residents’ needs are complicated.</w:t>
      </w:r>
    </w:p>
    <w:p w14:paraId="0885AAAF"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0AF1AED4"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74CCB7C8"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Section 3: Exploring the Research Approach</w:t>
      </w:r>
    </w:p>
    <w:p w14:paraId="6CB35968"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3779DE3F"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 qualitative approach was selected by the research team. Rather than emphasising numbers, qualitative work seeks to grasp lived experience, viewpoints, and actions. It fit the purpose because the team needed rich detail on how workers live through everyday duties in care homes.</w:t>
      </w:r>
    </w:p>
    <w:p w14:paraId="594FED47"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6A4EA730"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Quantitative studies tend to centre on figures, metrics, and numeric results. By comparison, qualitative inquiry examines individual experience and builds fuller insight through interviews, group conversations, and watching practice. A mixed-method design brings the qualitative and quantitative approaches together.</w:t>
      </w:r>
    </w:p>
    <w:p w14:paraId="6670D9F1"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1265D5E9" w14:textId="3A8E3BC3"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Qualitative techniques were chosen to capture the day-to-day reality of care homework in a detailed way. The project took place across multiple Scottish care homes and lasted 24 months.</w:t>
      </w:r>
    </w:p>
    <w:p w14:paraId="67CBF993"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17326382"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Primary information came straight from those taking part. Across the project, the team used a range of ways to gather material.</w:t>
      </w:r>
    </w:p>
    <w:p w14:paraId="0320234F"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02F74034"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Observation was one of the approaches. Across 68 hours, the team watched routine care activities inside the homes. They noted how workers spoke with one another, assisted residents, managed medicines, and reacted when circumstances shifted. By observing, the team could see how care happens in real practice instead of depending only on documentation.</w:t>
      </w:r>
    </w:p>
    <w:p w14:paraId="6266CEB4"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1D14A8A1"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In addition, the team completed 33 one-to-one interviews with staff, such as managers, care workers, and health professionals. They asked open questions so people could describe what they had been through in their own words. Through interviews, the team learned about the strain staff experience and how choices are made when situations are hard.</w:t>
      </w:r>
    </w:p>
    <w:p w14:paraId="3C95E122"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5CEABB7A"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They also used focus groups. These shared discussions included staff, inspectors, and health professionals. In focus groups, people were prompted to exchange experiences and consider difficulties as a group. This supported examination of teamwork, communication, and joint problem-solving in care homes.</w:t>
      </w:r>
    </w:p>
    <w:p w14:paraId="34272744"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5D1A1D6A"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Residents and relatives also joined discussions. The team used emotional touchpoints so residents could share feelings and experiences with greater ease. Relatives offered helpful insight into residents’ needs and the standard of care.</w:t>
      </w:r>
    </w:p>
    <w:p w14:paraId="4DE750CF"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3E140538"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 material gathered was examined through thematic analysis. The team grouped the information into themes and looked for shared patterns across interviews, observations, and discussions.</w:t>
      </w:r>
    </w:p>
    <w:p w14:paraId="2118FE07"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56D60D5C"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 analysis produced three central themes.</w:t>
      </w:r>
    </w:p>
    <w:p w14:paraId="6CCB72D0"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54008115"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Theme one concerned care planning and how information is used. Staff said documentation could feel unmanageable and at times cut into time for hands-on care. Some contributors thought digital systems might strengthen communication and lessen repeated work.</w:t>
      </w:r>
    </w:p>
    <w:p w14:paraId="3264F5A5"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66308DCF"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Theme two related to organising daily care tasks. Staff were repeatedly required to set priorities, deal with urgent events, and adjust when disrupted. To keep care safe, strong teamwork and clear communication were vital.</w:t>
      </w:r>
    </w:p>
    <w:p w14:paraId="6FBD3A5A"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49748E13"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Theme three focused on delivering person-centred care. Staff aimed to recognise residents as individuals and to enhance life quality. Involving families was seen as key, since relatives often knew preferences and behaviours better than staff members newly allocated to them.</w:t>
      </w:r>
    </w:p>
    <w:p w14:paraId="177B40A7"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6E6C00A9" w14:textId="6E60671F"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 findings indicated that care homework is very complex and demands ongoing adjustment. When difficulties arise, staff frequently draw on practical know-how, teamwork, and professional judgement. Many participants said written procedures by themselves could not fully address the realities of care work.</w:t>
      </w:r>
    </w:p>
    <w:p w14:paraId="406243DD"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14D2417D"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612727D5"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 key advantage of this research was the inclusion of many types of people, such as residents, family members, managers, care staff, and inspectors. By doing this, the study captured varied viewpoints and made the results more detailed. A further benefit was the extended time the team spent watching daily life in care homes, which helped them grasp genuine workplace realities.</w:t>
      </w:r>
    </w:p>
    <w:p w14:paraId="363004E6"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6B38C252"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Using several ways to gather evidence added strength as well, since material from interviews, direct observation, and focus group discussions could be checked against one another. That cross-checking made the results more dependable.</w:t>
      </w:r>
    </w:p>
    <w:p w14:paraId="7B83AAAA"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053724BC"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Even so, there were weaknesses in the design. Since only a few Scottish care homes were involved, the results might not reflect the wider picture across the UK. Also, because the homes chose to participate, it is possible they were already motivated to improve standards of care.</w:t>
      </w:r>
    </w:p>
    <w:p w14:paraId="2F890635"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36BFE4CA"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 team noted too that qualitative work can at times be shaped by the researcher’s viewpoint. To limit that influence, they worked to verify what they found by contrasting accounts across participants and across methods.</w:t>
      </w:r>
    </w:p>
    <w:p w14:paraId="7AB8E26F"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21D3C05A"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 University of Glasgow granted ethical clearance for the project. Before joining, participants provided informed agreement, and privacy was protected during the study. The researchers also made sure residents received suitable support during the interview process.</w:t>
      </w:r>
    </w:p>
    <w:p w14:paraId="5386F21E"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7B03564A"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On balance, choosing a qualitative approach suited the aims because it offered a rich picture of everyday care-home functioning. The results drew attention to how adaptability, collaboration, clear communication, and support from the organisation matter for providing care that is both safe and effective.</w:t>
      </w:r>
    </w:p>
    <w:p w14:paraId="4A125C94"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3D7671CF"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03F8D617"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Section 4: Conclusion</w:t>
      </w:r>
    </w:p>
    <w:p w14:paraId="7C39D332"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516810C3"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To sum up, the article offered useful understanding of organisational resilience in Scottish care homes. It demonstrated that care-home staff operate in challenging settings, needing to adjust continually as circumstances shift while still delivering safe, person-focused support.</w:t>
      </w:r>
    </w:p>
    <w:p w14:paraId="2057DC63"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65AE89BF"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 study emphasised the value of collaboration, communication, leadership, and hands-on know-how. Workers frequently face strain because staffing is tight, residents have complex requirements, and workloads are substantial. Even with these difficulties, many staff members keep providing caring, high-standard support.</w:t>
      </w:r>
    </w:p>
    <w:p w14:paraId="73E73EAC"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095C47F8" w14:textId="0BC49354"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A key takeaway from the research is that improving health and social care ought to concentrate not just on errors, but equally on how staff manage to cope well when situations are demanding. When organisations strengthen resilience, quality of care can </w:t>
      </w:r>
      <w:r w:rsidR="008E61B0">
        <w:rPr>
          <w:rFonts w:ascii="AppleSystemUIFont" w:hAnsi="AppleSystemUIFont" w:cs="AppleSystemUIFont"/>
          <w:kern w:val="0"/>
          <w:sz w:val="26"/>
          <w:szCs w:val="26"/>
        </w:rPr>
        <w:t>rise,</w:t>
      </w:r>
      <w:r>
        <w:rPr>
          <w:rFonts w:ascii="AppleSystemUIFont" w:hAnsi="AppleSystemUIFont" w:cs="AppleSystemUIFont"/>
          <w:kern w:val="0"/>
          <w:sz w:val="26"/>
          <w:szCs w:val="26"/>
        </w:rPr>
        <w:t xml:space="preserve"> and staff may handle pressures with greater effectiveness.</w:t>
      </w:r>
    </w:p>
    <w:p w14:paraId="3441B5C2"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57E6A3F3"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Completing this work also strengthened my grasp of research approaches and my ability to engage with research. I found that qualitative approaches, including interviews, observation, and focus group discussions, can reveal rich insight into healthcare settings. I also came to understand that results from studies can be used to drive changes in practice and inform policy.</w:t>
      </w:r>
    </w:p>
    <w:p w14:paraId="462C7E43"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33F4BA24"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In health and social care, being able to understand research matters because it underpins evidence-led practice and improves choices. As I move into later learning and my career, these research abilities will support me to judge evidence and play a role in raising the standard of care for people who are vulnerable.</w:t>
      </w:r>
    </w:p>
    <w:p w14:paraId="4E95BCD6"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617A3BB3" w14:textId="0F3F5236"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295139B1"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2C1EF1DA"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References</w:t>
      </w:r>
    </w:p>
    <w:p w14:paraId="3A30F4AA"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0326E7A4"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Cohen, L., Manion, L. and Morrison, K. (2018) Research Methods in Education. 8th </w:t>
      </w:r>
      <w:proofErr w:type="spellStart"/>
      <w:r>
        <w:rPr>
          <w:rFonts w:ascii="AppleSystemUIFont" w:hAnsi="AppleSystemUIFont" w:cs="AppleSystemUIFont"/>
          <w:kern w:val="0"/>
          <w:sz w:val="26"/>
          <w:szCs w:val="26"/>
        </w:rPr>
        <w:t>edn</w:t>
      </w:r>
      <w:proofErr w:type="spellEnd"/>
      <w:r>
        <w:rPr>
          <w:rFonts w:ascii="AppleSystemUIFont" w:hAnsi="AppleSystemUIFont" w:cs="AppleSystemUIFont"/>
          <w:kern w:val="0"/>
          <w:sz w:val="26"/>
          <w:szCs w:val="26"/>
        </w:rPr>
        <w:t>. Abingdon: Routledge.</w:t>
      </w:r>
    </w:p>
    <w:p w14:paraId="069135CE"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0BC9CE4C"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Creswell, J.W. (2013) Educational Research: Planning, Conducting and Evaluating Quantitative and Qualitative Research. London: Pearson.</w:t>
      </w:r>
    </w:p>
    <w:p w14:paraId="57FBF565"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78021A52"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Mullaney, T.S. and Rea, C. (2022) Where Research Begins: Choosing a Research Project That Matters to You (and the World). Chicago: University of Chicago Press.</w:t>
      </w:r>
    </w:p>
    <w:p w14:paraId="03B8A25F"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p>
    <w:p w14:paraId="5D39BD40" w14:textId="77777777" w:rsidR="000100EB" w:rsidRDefault="000100EB" w:rsidP="000100E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Ross, A., Anderson, J.E., </w:t>
      </w:r>
      <w:proofErr w:type="spellStart"/>
      <w:r>
        <w:rPr>
          <w:rFonts w:ascii="AppleSystemUIFont" w:hAnsi="AppleSystemUIFont" w:cs="AppleSystemUIFont"/>
          <w:kern w:val="0"/>
          <w:sz w:val="26"/>
          <w:szCs w:val="26"/>
        </w:rPr>
        <w:t>Selveindran</w:t>
      </w:r>
      <w:proofErr w:type="spellEnd"/>
      <w:r>
        <w:rPr>
          <w:rFonts w:ascii="AppleSystemUIFont" w:hAnsi="AppleSystemUIFont" w:cs="AppleSystemUIFont"/>
          <w:kern w:val="0"/>
          <w:sz w:val="26"/>
          <w:szCs w:val="26"/>
        </w:rPr>
        <w:t xml:space="preserve">, S., MacBride, T., Bowie, P., Sherriff, A., Young, L., </w:t>
      </w:r>
      <w:proofErr w:type="spellStart"/>
      <w:r>
        <w:rPr>
          <w:rFonts w:ascii="AppleSystemUIFont" w:hAnsi="AppleSystemUIFont" w:cs="AppleSystemUIFont"/>
          <w:kern w:val="0"/>
          <w:sz w:val="26"/>
          <w:szCs w:val="26"/>
        </w:rPr>
        <w:t>Fioratou</w:t>
      </w:r>
      <w:proofErr w:type="spellEnd"/>
      <w:r>
        <w:rPr>
          <w:rFonts w:ascii="AppleSystemUIFont" w:hAnsi="AppleSystemUIFont" w:cs="AppleSystemUIFont"/>
          <w:kern w:val="0"/>
          <w:sz w:val="26"/>
          <w:szCs w:val="26"/>
        </w:rPr>
        <w:t>, E., Roddy, E., Edwards, H., Dewar, B. and Macpherson, L.M. (2022) ‘A qualitative study of organisational resilience in care homes in Scotland’, PLOS ONE, 17(12), pp. 1–19.</w:t>
      </w:r>
    </w:p>
    <w:p w14:paraId="1785B796" w14:textId="77777777" w:rsidR="000100EB" w:rsidRDefault="000100EB"/>
    <w:sectPr w:rsidR="000100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0EB"/>
    <w:rsid w:val="000100EB"/>
    <w:rsid w:val="004556C0"/>
    <w:rsid w:val="004D07EC"/>
    <w:rsid w:val="00605ABF"/>
    <w:rsid w:val="008E6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FA4A7F"/>
  <w15:chartTrackingRefBased/>
  <w15:docId w15:val="{D502625A-2413-D940-AE02-C84D72574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00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00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00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00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00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00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00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00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00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0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00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00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00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00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00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00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00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00EB"/>
    <w:rPr>
      <w:rFonts w:eastAsiaTheme="majorEastAsia" w:cstheme="majorBidi"/>
      <w:color w:val="272727" w:themeColor="text1" w:themeTint="D8"/>
    </w:rPr>
  </w:style>
  <w:style w:type="paragraph" w:styleId="Title">
    <w:name w:val="Title"/>
    <w:basedOn w:val="Normal"/>
    <w:next w:val="Normal"/>
    <w:link w:val="TitleChar"/>
    <w:uiPriority w:val="10"/>
    <w:qFormat/>
    <w:rsid w:val="000100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0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00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00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00EB"/>
    <w:pPr>
      <w:spacing w:before="160"/>
      <w:jc w:val="center"/>
    </w:pPr>
    <w:rPr>
      <w:i/>
      <w:iCs/>
      <w:color w:val="404040" w:themeColor="text1" w:themeTint="BF"/>
    </w:rPr>
  </w:style>
  <w:style w:type="character" w:customStyle="1" w:styleId="QuoteChar">
    <w:name w:val="Quote Char"/>
    <w:basedOn w:val="DefaultParagraphFont"/>
    <w:link w:val="Quote"/>
    <w:uiPriority w:val="29"/>
    <w:rsid w:val="000100EB"/>
    <w:rPr>
      <w:i/>
      <w:iCs/>
      <w:color w:val="404040" w:themeColor="text1" w:themeTint="BF"/>
    </w:rPr>
  </w:style>
  <w:style w:type="paragraph" w:styleId="ListParagraph">
    <w:name w:val="List Paragraph"/>
    <w:basedOn w:val="Normal"/>
    <w:uiPriority w:val="34"/>
    <w:qFormat/>
    <w:rsid w:val="000100EB"/>
    <w:pPr>
      <w:ind w:left="720"/>
      <w:contextualSpacing/>
    </w:pPr>
  </w:style>
  <w:style w:type="character" w:styleId="IntenseEmphasis">
    <w:name w:val="Intense Emphasis"/>
    <w:basedOn w:val="DefaultParagraphFont"/>
    <w:uiPriority w:val="21"/>
    <w:qFormat/>
    <w:rsid w:val="000100EB"/>
    <w:rPr>
      <w:i/>
      <w:iCs/>
      <w:color w:val="0F4761" w:themeColor="accent1" w:themeShade="BF"/>
    </w:rPr>
  </w:style>
  <w:style w:type="paragraph" w:styleId="IntenseQuote">
    <w:name w:val="Intense Quote"/>
    <w:basedOn w:val="Normal"/>
    <w:next w:val="Normal"/>
    <w:link w:val="IntenseQuoteChar"/>
    <w:uiPriority w:val="30"/>
    <w:qFormat/>
    <w:rsid w:val="000100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00EB"/>
    <w:rPr>
      <w:i/>
      <w:iCs/>
      <w:color w:val="0F4761" w:themeColor="accent1" w:themeShade="BF"/>
    </w:rPr>
  </w:style>
  <w:style w:type="character" w:styleId="IntenseReference">
    <w:name w:val="Intense Reference"/>
    <w:basedOn w:val="DefaultParagraphFont"/>
    <w:uiPriority w:val="32"/>
    <w:qFormat/>
    <w:rsid w:val="000100E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1623</Words>
  <Characters>9252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Shulammite Nkiru Emeghara (2536049)</dc:creator>
  <cp:keywords/>
  <dc:description/>
  <cp:lastModifiedBy>Shulammite Nkiru Emeghara (2536049)</cp:lastModifiedBy>
  <cp:revision>2</cp:revision>
  <dcterms:created xsi:type="dcterms:W3CDTF">2026-06-30T09:21:00Z</dcterms:created>
  <dcterms:modified xsi:type="dcterms:W3CDTF">2026-06-30T09:21:00Z</dcterms:modified>
</cp:coreProperties>
</file>