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2880" w:firstLine="0"/>
        <w:jc w:val="both"/>
        <w:rPr>
          <w:rFonts w:ascii="Times New Roman" w:hAnsi="Times New Roman" w:cs="Times New Roman" w:eastAsia="Times New Roman"/>
          <w:b/>
          <w:color w:val="000000"/>
          <w:spacing w:val="0"/>
          <w:position w:val="0"/>
          <w:sz w:val="32"/>
          <w:shd w:fill="FFFFFF" w:val="clear"/>
        </w:rPr>
      </w:pPr>
    </w:p>
    <w:p>
      <w:pPr>
        <w:spacing w:before="0" w:after="0" w:line="360"/>
        <w:ind w:right="0" w:left="2880" w:firstLine="0"/>
        <w:jc w:val="both"/>
        <w:rPr>
          <w:rFonts w:ascii="Times New Roman" w:hAnsi="Times New Roman" w:cs="Times New Roman" w:eastAsia="Times New Roman"/>
          <w:b/>
          <w:color w:val="000000"/>
          <w:spacing w:val="0"/>
          <w:position w:val="0"/>
          <w:sz w:val="32"/>
          <w:shd w:fill="FFFFFF" w:val="clear"/>
        </w:rPr>
      </w:pPr>
    </w:p>
    <w:p>
      <w:pPr>
        <w:spacing w:before="0" w:after="0" w:line="360"/>
        <w:ind w:right="0" w:left="2880" w:firstLine="0"/>
        <w:jc w:val="both"/>
        <w:rPr>
          <w:rFonts w:ascii="Times New Roman" w:hAnsi="Times New Roman" w:cs="Times New Roman" w:eastAsia="Times New Roman"/>
          <w:b/>
          <w:color w:val="000000"/>
          <w:spacing w:val="0"/>
          <w:position w:val="0"/>
          <w:sz w:val="32"/>
          <w:shd w:fill="FFFFFF" w:val="clear"/>
        </w:rPr>
      </w:pPr>
    </w:p>
    <w:p>
      <w:pPr>
        <w:spacing w:before="0" w:after="0" w:line="360"/>
        <w:ind w:right="0" w:left="2880" w:firstLine="0"/>
        <w:jc w:val="both"/>
        <w:rPr>
          <w:rFonts w:ascii="Times New Roman" w:hAnsi="Times New Roman" w:cs="Times New Roman" w:eastAsia="Times New Roman"/>
          <w:b/>
          <w:color w:val="000000"/>
          <w:spacing w:val="0"/>
          <w:position w:val="0"/>
          <w:sz w:val="32"/>
          <w:shd w:fill="FFFFFF" w:val="clear"/>
        </w:rPr>
      </w:pPr>
    </w:p>
    <w:p>
      <w:pPr>
        <w:spacing w:before="0" w:after="0" w:line="360"/>
        <w:ind w:right="0" w:left="2880" w:firstLine="0"/>
        <w:jc w:val="both"/>
        <w:rPr>
          <w:rFonts w:ascii="Times New Roman" w:hAnsi="Times New Roman" w:cs="Times New Roman" w:eastAsia="Times New Roman"/>
          <w:b/>
          <w:color w:val="000000"/>
          <w:spacing w:val="0"/>
          <w:position w:val="0"/>
          <w:sz w:val="32"/>
          <w:shd w:fill="FFFFFF" w:val="clear"/>
        </w:rPr>
      </w:pPr>
    </w:p>
    <w:p>
      <w:pPr>
        <w:spacing w:before="0" w:after="0" w:line="360"/>
        <w:ind w:right="0" w:left="2880" w:firstLine="0"/>
        <w:jc w:val="both"/>
        <w:rPr>
          <w:rFonts w:ascii="Times New Roman" w:hAnsi="Times New Roman" w:cs="Times New Roman" w:eastAsia="Times New Roman"/>
          <w:b/>
          <w:color w:val="000000"/>
          <w:spacing w:val="0"/>
          <w:position w:val="0"/>
          <w:sz w:val="32"/>
          <w:shd w:fill="FFFFFF" w:val="clear"/>
        </w:rPr>
      </w:pPr>
    </w:p>
    <w:p>
      <w:pPr>
        <w:spacing w:before="0" w:after="0" w:line="360"/>
        <w:ind w:right="0" w:left="2880" w:firstLine="0"/>
        <w:jc w:val="both"/>
        <w:rPr>
          <w:rFonts w:ascii="Times New Roman" w:hAnsi="Times New Roman" w:cs="Times New Roman" w:eastAsia="Times New Roman"/>
          <w:b/>
          <w:color w:val="000000"/>
          <w:spacing w:val="0"/>
          <w:position w:val="0"/>
          <w:sz w:val="32"/>
          <w:shd w:fill="FFFFFF" w:val="clear"/>
        </w:rPr>
      </w:pPr>
    </w:p>
    <w:p>
      <w:pPr>
        <w:spacing w:before="0" w:after="0" w:line="360"/>
        <w:ind w:right="0" w:left="2880" w:firstLine="0"/>
        <w:jc w:val="both"/>
        <w:rPr>
          <w:rFonts w:ascii="Times New Roman" w:hAnsi="Times New Roman" w:cs="Times New Roman" w:eastAsia="Times New Roman"/>
          <w:b/>
          <w:color w:val="000000"/>
          <w:spacing w:val="0"/>
          <w:position w:val="0"/>
          <w:sz w:val="32"/>
          <w:shd w:fill="FFFFFF" w:val="clear"/>
        </w:rPr>
      </w:pPr>
    </w:p>
    <w:p>
      <w:pPr>
        <w:spacing w:before="0" w:after="0" w:line="360"/>
        <w:ind w:right="0" w:left="2880" w:firstLine="0"/>
        <w:jc w:val="both"/>
        <w:rPr>
          <w:rFonts w:ascii="Times New Roman" w:hAnsi="Times New Roman" w:cs="Times New Roman" w:eastAsia="Times New Roman"/>
          <w:b/>
          <w:color w:val="000000"/>
          <w:spacing w:val="0"/>
          <w:position w:val="0"/>
          <w:sz w:val="32"/>
          <w:shd w:fill="FFFFFF" w:val="clear"/>
        </w:rPr>
      </w:pPr>
    </w:p>
    <w:p>
      <w:pPr>
        <w:spacing w:before="0" w:after="0" w:line="360"/>
        <w:ind w:right="0" w:left="2880" w:firstLine="0"/>
        <w:jc w:val="both"/>
        <w:rPr>
          <w:rFonts w:ascii="Times New Roman" w:hAnsi="Times New Roman" w:cs="Times New Roman" w:eastAsia="Times New Roman"/>
          <w:b/>
          <w:color w:val="000000"/>
          <w:spacing w:val="0"/>
          <w:position w:val="0"/>
          <w:sz w:val="32"/>
          <w:shd w:fill="FFFFFF" w:val="clear"/>
        </w:rPr>
      </w:pPr>
    </w:p>
    <w:p>
      <w:pPr>
        <w:spacing w:before="0" w:after="0" w:line="360"/>
        <w:ind w:right="0" w:left="288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FFFFFF" w:val="clear"/>
        </w:rPr>
        <w:t xml:space="preserve">Academic Employability Skill</w:t>
      </w:r>
      <w:r>
        <w:rPr>
          <w:rFonts w:ascii="Times New Roman" w:hAnsi="Times New Roman" w:cs="Times New Roman" w:eastAsia="Times New Roman"/>
          <w:b/>
          <w:color w:val="000000"/>
          <w:spacing w:val="0"/>
          <w:position w:val="0"/>
          <w:sz w:val="32"/>
          <w:shd w:fill="auto" w:val="clear"/>
        </w:rPr>
        <w:t xml:space="preserve"> </w:t>
      </w:r>
    </w:p>
    <w:p>
      <w:pPr>
        <w:spacing w:before="0" w:after="0" w:line="360"/>
        <w:ind w:right="0" w:left="2880" w:firstLine="0"/>
        <w:jc w:val="both"/>
        <w:rPr>
          <w:rFonts w:ascii="Times New Roman" w:hAnsi="Times New Roman" w:cs="Times New Roman" w:eastAsia="Times New Roman"/>
          <w:b/>
          <w:color w:val="000000"/>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Executive Summary</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report briefly discusses the factor of academic employability skills. In this report, a brief discussion on the consideration of the self educational factor has been presented along with the factor of the employability skills. Some of the essential employability elements have been showcased in this study. There are different reflective employability skills along with the time management and presentation skills on employability has been showcased. In the next segment of the survey the modules of learnings have been reflected, which made brief recognition on the models, and its element has been structured in this study.</w:t>
      </w:r>
    </w:p>
    <w:p>
      <w:pPr>
        <w:spacing w:before="0" w:after="0" w:line="276"/>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276"/>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Introduction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factor of the academic session for an individual is considered to be one of the fundamental factors which allow them to establishing a set of knowledge and skills. Those skills and experience can be later executed in the working space by the individual. The following report showcases some of the materialistic elements based on academic employment skills. This study will reflect some of the significant theoretical knowledge along with employability skills. The study will also concentrate on the published literature, which is related to the topic, which is the academic employability skills. Some of the models of reflection have been pointed out in this following report (</w:t>
      </w:r>
      <w:r>
        <w:rPr>
          <w:rFonts w:ascii="Times New Roman" w:hAnsi="Times New Roman" w:cs="Times New Roman" w:eastAsia="Times New Roman"/>
          <w:color w:val="000000"/>
          <w:spacing w:val="0"/>
          <w:position w:val="0"/>
          <w:sz w:val="24"/>
          <w:shd w:fill="FFFFFF" w:val="clear"/>
        </w:rPr>
        <w:t xml:space="preserve">Misra and Khurana, 2018</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Skills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phenomenon of skills can be defined as the ability to execute some work or process within any organization in the most efficient manner. However there are several different types of skills are there which indicated different level of other in order to make a communication or engagement.</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Employability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b/>
          <w:color w:val="000000"/>
          <w:spacing w:val="0"/>
          <w:position w:val="0"/>
          <w:sz w:val="24"/>
          <w:shd w:fill="auto" w:val="clear"/>
        </w:rPr>
        <w:t xml:space="preserve">skills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 transferable factor which is required to make an individual employable. For example the skills which are being sought by the graduate employees or workers that include the teamwork, planning, problem solving, organization and communication.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Academic</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b/>
          <w:color w:val="000000"/>
          <w:spacing w:val="0"/>
          <w:position w:val="0"/>
          <w:sz w:val="24"/>
          <w:shd w:fill="auto" w:val="clear"/>
        </w:rPr>
        <w:t xml:space="preserve">skills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these types of skills include some of the core skills such as presentation skills, academic writing skills and referencing. For example the factor of time management, prophecy reading, written and oral communication, analytical thinking and many more.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Hard skills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It is the skills which focus on measurable and teachable activities. Such as reading, writing, computer program using ability.</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Soft skills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This is a skill which is a combination of social skills, people skills, communication, attitudes and many more. Some of the examples of soft skills are effective communication, teamwork dependency and many more.</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Task 1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Report on own Academic skill</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Academic skill is essential nowadays. Basically, it is a small part of the skill development program. But whatever small it is essential. Suppose a student wants to be an employee or a businessman in the future. If the student enters the workforce directly in the real world, the student may find difficult to be successful because of too much pressure, too much competition, or lack of knowledge. On the contrary, if the student has the academic skills as his / her previous educational background, they may find success very easily without any hassle, which would be enjoyable for them (</w:t>
      </w:r>
      <w:r>
        <w:rPr>
          <w:rFonts w:ascii="Times New Roman" w:hAnsi="Times New Roman" w:cs="Times New Roman" w:eastAsia="Times New Roman"/>
          <w:color w:val="000000"/>
          <w:spacing w:val="0"/>
          <w:position w:val="0"/>
          <w:sz w:val="24"/>
          <w:shd w:fill="FFFFFF" w:val="clear"/>
        </w:rPr>
        <w:t xml:space="preserve">AV and Aithal, 2018</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Nowadays, most of the third world countries which are overpopulated, are suffering the unemployment problem. They need to make their ordinary man workforce. So they need to produce more skilled workers in almost every sector of the jobs. So most of the government has different types of skill development plans. The academic skill can boost government policies from the very beginning.</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According to the academic achievement we, an academic skill websites be commonly measured by the examinations and the assignments. Which means there is a chance for correction if things are getting wrong. On the contrary, in the real world, it is tough to find a way out of recovery if there is anything wrong that would lead to a significant loss for everyone.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For example, an academic skill provides comprehensive performance and a coherent representation for the entire text by using different types of method, rather than just carrying on the discrete points of the book, according to the Cambridge English corpus.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academic skill provides vast knowledge with various facilities to ensure a project fruitful or to enable a student to be an efficient employee. Such as-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numPr>
          <w:ilvl w:val="0"/>
          <w:numId w:val="11"/>
        </w:numPr>
        <w:spacing w:before="0" w:after="0" w:line="360"/>
        <w:ind w:right="0" w:left="144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Note making: The note-making is a way of reviewing and connecting the other ideas which are gained from the lectures or the readings.</w:t>
      </w:r>
    </w:p>
    <w:p>
      <w:pPr>
        <w:numPr>
          <w:ilvl w:val="0"/>
          <w:numId w:val="11"/>
        </w:numPr>
        <w:spacing w:before="0" w:after="0" w:line="360"/>
        <w:ind w:right="0" w:left="144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Referencing: Referencing can be used in many ways. By using references, a student can recover the notes or other ideas very quickly.</w:t>
      </w:r>
    </w:p>
    <w:p>
      <w:pPr>
        <w:numPr>
          <w:ilvl w:val="0"/>
          <w:numId w:val="11"/>
        </w:numPr>
        <w:spacing w:before="0" w:after="0" w:line="360"/>
        <w:ind w:right="0" w:left="144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Employability: The employability does not mean that just to relate to what a student does straight away after graduation. The employability introduces a student in various ways that the student would like to go further etc.</w:t>
      </w:r>
    </w:p>
    <w:p>
      <w:pPr>
        <w:numPr>
          <w:ilvl w:val="0"/>
          <w:numId w:val="11"/>
        </w:numPr>
        <w:spacing w:before="0" w:after="0" w:line="360"/>
        <w:ind w:right="0" w:left="144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Time management: Proper time management such as promoting or marketing a new product, is essential for an employee. It helps the employee to be punctual.</w:t>
      </w:r>
    </w:p>
    <w:p>
      <w:pPr>
        <w:numPr>
          <w:ilvl w:val="0"/>
          <w:numId w:val="11"/>
        </w:numPr>
        <w:spacing w:before="0" w:after="0" w:line="360"/>
        <w:ind w:right="0" w:left="144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Presentation: A wisely decorated presentation full of information is also required to enable students full of confidence and competence as a productive employee.</w:t>
      </w:r>
    </w:p>
    <w:p>
      <w:pPr>
        <w:numPr>
          <w:ilvl w:val="0"/>
          <w:numId w:val="11"/>
        </w:numPr>
        <w:spacing w:before="0" w:after="0" w:line="360"/>
        <w:ind w:right="0" w:left="144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Critically thinking: when a student is skilled academically, he/she can think about any subject in brief or critically, which helps them to find out the positivity as well as the negativity of that subject.</w:t>
      </w:r>
    </w:p>
    <w:p>
      <w:pPr>
        <w:numPr>
          <w:ilvl w:val="0"/>
          <w:numId w:val="11"/>
        </w:numPr>
        <w:spacing w:before="0" w:after="0" w:line="360"/>
        <w:ind w:right="0" w:left="144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Mathematics and statistics: The skilled student can be statistically or arithmetically correct very quickly. They can use statistical information in various ways.</w:t>
      </w:r>
    </w:p>
    <w:p>
      <w:pPr>
        <w:numPr>
          <w:ilvl w:val="0"/>
          <w:numId w:val="11"/>
        </w:numPr>
        <w:spacing w:before="0" w:after="0" w:line="360"/>
        <w:ind w:right="0" w:left="144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Excellent digital skills: The explicit concept of good digital expertise is essential in the work field.</w:t>
      </w:r>
    </w:p>
    <w:p>
      <w:pPr>
        <w:numPr>
          <w:ilvl w:val="0"/>
          <w:numId w:val="11"/>
        </w:numPr>
        <w:spacing w:before="0" w:after="0" w:line="360"/>
        <w:ind w:right="0" w:left="144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Marketing: Different types of marketing policy is available there, so a skilled person knows how to promote the product or service.</w:t>
      </w:r>
    </w:p>
    <w:p>
      <w:pPr>
        <w:numPr>
          <w:ilvl w:val="0"/>
          <w:numId w:val="11"/>
        </w:numPr>
        <w:spacing w:before="0" w:after="0" w:line="360"/>
        <w:ind w:right="0" w:left="144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Trend: A skilled person can pick up the trend from the market. The person knows the advantages and disadvantages of that trend, which is very important to understand for the responsible person(</w:t>
      </w:r>
      <w:r>
        <w:rPr>
          <w:rFonts w:ascii="Times New Roman" w:hAnsi="Times New Roman" w:cs="Times New Roman" w:eastAsia="Times New Roman"/>
          <w:color w:val="000000"/>
          <w:spacing w:val="0"/>
          <w:position w:val="0"/>
          <w:sz w:val="24"/>
          <w:shd w:fill="FFFFFF" w:val="clear"/>
        </w:rPr>
        <w:t xml:space="preserve">Abas and Imam,  2016</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object w:dxaOrig="8625" w:dyaOrig="8564">
          <v:rect xmlns:o="urn:schemas-microsoft-com:office:office" xmlns:v="urn:schemas-microsoft-com:vml" id="rectole0000000000" style="width:431.250000pt;height:428.2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Figure 1: Employability skills</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 (</w:t>
      </w:r>
      <w:r>
        <w:rPr>
          <w:rFonts w:ascii="Times New Roman" w:hAnsi="Times New Roman" w:cs="Times New Roman" w:eastAsia="Times New Roman"/>
          <w:color w:val="000000"/>
          <w:spacing w:val="0"/>
          <w:position w:val="0"/>
          <w:sz w:val="24"/>
          <w:shd w:fill="FFFFFF" w:val="clear"/>
        </w:rPr>
        <w:t xml:space="preserve">Abas and Imam,  2016</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Despite all these, there are some weaknesses that we need to be considered. The weaknesses are -</w:t>
      </w:r>
    </w:p>
    <w:p>
      <w:pPr>
        <w:numPr>
          <w:ilvl w:val="0"/>
          <w:numId w:val="1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Difference between the real work field and the academic field: There is a vast difference between the real-life work field and the theoretical premises. Because the real work field is quite more complicated.</w:t>
      </w:r>
    </w:p>
    <w:p>
      <w:pPr>
        <w:numPr>
          <w:ilvl w:val="0"/>
          <w:numId w:val="1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Quick decision: Sometimes, critical decisions may be granted very quickly to sustain the market, which is very difficult through academic knowledge only.</w:t>
      </w:r>
    </w:p>
    <w:p>
      <w:pPr>
        <w:numPr>
          <w:ilvl w:val="0"/>
          <w:numId w:val="1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Risk factor: The real workplace may get risky to perform the job. On the contrary, the academic premises are not like that.</w:t>
      </w:r>
    </w:p>
    <w:p>
      <w:pPr>
        <w:numPr>
          <w:ilvl w:val="0"/>
          <w:numId w:val="1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Dramatic change: In the real workplace, things can be changed dramatically, the price goes ups and downs at any time, or there may be an emergency that happens.</w:t>
      </w:r>
    </w:p>
    <w:p>
      <w:pPr>
        <w:numPr>
          <w:ilvl w:val="0"/>
          <w:numId w:val="1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Sharing: As the sharing and caring are available at the academic premises, so it is straightforward. On the contrary, in the real workplace, there may be no chance to find out.</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Though weaknesses, there are lots of advantages also. They are:</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1. Initial preparation: the skills gained academically helps to make a student almost fulfill to fight into the real work field.</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2. Correction:</w:t>
        <w:tab/>
        <w:t xml:space="preserve">there are lots of chances to be corrected as it is tested again and again.</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3. Motivation: from the academy, the students get motivation. The academy motivates them to go to the real workplace and perform the job well.</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4. Concentration: the students can make more concentration in the academy because they are getting a study environment, the study materials, and many more, which helps them to concentrate more.</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5. Joint study: they can share their ideas or review with others very quickly, which can not be found outside the academy.</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6. Interact with professors: in the academy, the student can interact with the professors or the seniors very quickly, which may be absent in the real workplace.</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7. Availability: there are lots of ideas, information and situations are available in the academy.</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8. Clear concept: students can get a clear concept from the academy because the real workplace is so severe that the students may get depressed.</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9. Proper time management: adequate time management can be set up in the academy.</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10. Learn how to take notes: a student can learn how to make the critical notes and references from the academy.</w:t>
      </w:r>
    </w:p>
    <w:p>
      <w:pPr>
        <w:tabs>
          <w:tab w:val="left" w:pos="3012" w:leader="none"/>
        </w:tabs>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following is a SWOT analysis which has been developed from the personal development plan given in the appendix</w:t>
      </w:r>
      <w:r>
        <w:rPr>
          <w:rFonts w:ascii="Times New Roman" w:hAnsi="Times New Roman" w:cs="Times New Roman" w:eastAsia="Times New Roman"/>
          <w:b/>
          <w:color w:val="000000"/>
          <w:spacing w:val="0"/>
          <w:position w:val="0"/>
          <w:sz w:val="24"/>
          <w:shd w:fill="auto" w:val="clear"/>
        </w:rPr>
        <w:tab/>
      </w:r>
    </w:p>
    <w:p>
      <w:pPr>
        <w:spacing w:before="0" w:after="0" w:line="360"/>
        <w:ind w:right="0" w:left="0" w:firstLine="0"/>
        <w:jc w:val="both"/>
        <w:rPr>
          <w:rFonts w:ascii="Times New Roman" w:hAnsi="Times New Roman" w:cs="Times New Roman" w:eastAsia="Times New Roman"/>
          <w:b/>
          <w:color w:val="FF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SWOT Analysis</w:t>
      </w:r>
    </w:p>
    <w:tbl>
      <w:tblPr/>
      <w:tblGrid>
        <w:gridCol w:w="4681"/>
        <w:gridCol w:w="4669"/>
      </w:tblGrid>
      <w:tr>
        <w:trPr>
          <w:trHeight w:val="1" w:hRule="atLeast"/>
          <w:jc w:val="left"/>
        </w:trPr>
        <w:tc>
          <w:tcPr>
            <w:tcW w:w="46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Strength </w:t>
            </w:r>
          </w:p>
          <w:p>
            <w:pPr>
              <w:numPr>
                <w:ilvl w:val="0"/>
                <w:numId w:val="22"/>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involvement of curiosity, creative thinking, imaginative thinking and many more elements can be achieved efficient.</w:t>
            </w:r>
          </w:p>
          <w:p>
            <w:pPr>
              <w:numPr>
                <w:ilvl w:val="0"/>
                <w:numId w:val="22"/>
              </w:numPr>
              <w:spacing w:before="0" w:after="0" w:line="360"/>
              <w:ind w:right="0" w:left="720" w:hanging="360"/>
              <w:jc w:val="both"/>
              <w:rPr>
                <w:spacing w:val="0"/>
                <w:position w:val="0"/>
              </w:rPr>
            </w:pPr>
            <w:r>
              <w:rPr>
                <w:rFonts w:ascii="Times New Roman" w:hAnsi="Times New Roman" w:cs="Times New Roman" w:eastAsia="Times New Roman"/>
                <w:color w:val="000000"/>
                <w:spacing w:val="0"/>
                <w:position w:val="0"/>
                <w:sz w:val="24"/>
                <w:shd w:fill="auto" w:val="clear"/>
              </w:rPr>
              <w:t xml:space="preserve">The factor of communicational understanding and identification can be done easily. Along with the problem solving method and efficient teamwork.</w:t>
            </w:r>
          </w:p>
        </w:tc>
        <w:tc>
          <w:tcPr>
            <w:tcW w:w="466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Weakness</w:t>
            </w:r>
          </w:p>
          <w:p>
            <w:pPr>
              <w:numPr>
                <w:ilvl w:val="0"/>
                <w:numId w:val="24"/>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factor of the procrastination can be identifying as a weakness.</w:t>
            </w:r>
          </w:p>
          <w:p>
            <w:pPr>
              <w:numPr>
                <w:ilvl w:val="0"/>
                <w:numId w:val="24"/>
              </w:numPr>
              <w:spacing w:before="0" w:after="0" w:line="360"/>
              <w:ind w:right="0" w:left="720" w:hanging="360"/>
              <w:jc w:val="both"/>
              <w:rPr>
                <w:spacing w:val="0"/>
                <w:position w:val="0"/>
              </w:rPr>
            </w:pPr>
            <w:r>
              <w:rPr>
                <w:rFonts w:ascii="Times New Roman" w:hAnsi="Times New Roman" w:cs="Times New Roman" w:eastAsia="Times New Roman"/>
                <w:color w:val="000000"/>
                <w:spacing w:val="0"/>
                <w:position w:val="0"/>
                <w:sz w:val="24"/>
                <w:shd w:fill="auto" w:val="clear"/>
              </w:rPr>
              <w:t xml:space="preserve">Lack of experience can be act as a weakening factor.</w:t>
            </w:r>
          </w:p>
        </w:tc>
      </w:tr>
      <w:tr>
        <w:trPr>
          <w:trHeight w:val="1" w:hRule="atLeast"/>
          <w:jc w:val="left"/>
        </w:trPr>
        <w:tc>
          <w:tcPr>
            <w:tcW w:w="46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Opportunity</w:t>
            </w:r>
          </w:p>
          <w:p>
            <w:pPr>
              <w:numPr>
                <w:ilvl w:val="0"/>
                <w:numId w:val="28"/>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Some of the elements of opportunity of academic skills are academic discourse, strategies of academic text, composition and comprehension.</w:t>
            </w:r>
          </w:p>
          <w:p>
            <w:pPr>
              <w:numPr>
                <w:ilvl w:val="0"/>
                <w:numId w:val="28"/>
              </w:numPr>
              <w:spacing w:before="0" w:after="0" w:line="360"/>
              <w:ind w:right="0" w:left="720" w:hanging="360"/>
              <w:jc w:val="both"/>
              <w:rPr>
                <w:spacing w:val="0"/>
                <w:position w:val="0"/>
              </w:rPr>
            </w:pPr>
            <w:r>
              <w:rPr>
                <w:rFonts w:ascii="Times New Roman" w:hAnsi="Times New Roman" w:cs="Times New Roman" w:eastAsia="Times New Roman"/>
                <w:color w:val="000000"/>
                <w:spacing w:val="0"/>
                <w:position w:val="0"/>
                <w:sz w:val="24"/>
                <w:shd w:fill="auto" w:val="clear"/>
              </w:rPr>
              <w:t xml:space="preserve">Working as an team will engage in upgrade the communicational factor.</w:t>
            </w:r>
          </w:p>
        </w:tc>
        <w:tc>
          <w:tcPr>
            <w:tcW w:w="466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Threat</w:t>
            </w:r>
          </w:p>
          <w:p>
            <w:pPr>
              <w:numPr>
                <w:ilvl w:val="0"/>
                <w:numId w:val="30"/>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Plagiarism is considered as one of the major threat in the academic world.</w:t>
            </w:r>
          </w:p>
          <w:p>
            <w:pPr>
              <w:numPr>
                <w:ilvl w:val="0"/>
                <w:numId w:val="30"/>
              </w:numPr>
              <w:spacing w:before="0" w:after="0" w:line="360"/>
              <w:ind w:right="0" w:left="720" w:hanging="360"/>
              <w:jc w:val="both"/>
              <w:rPr>
                <w:spacing w:val="0"/>
                <w:position w:val="0"/>
              </w:rPr>
            </w:pPr>
            <w:r>
              <w:rPr>
                <w:rFonts w:ascii="Times New Roman" w:hAnsi="Times New Roman" w:cs="Times New Roman" w:eastAsia="Times New Roman"/>
                <w:color w:val="000000"/>
                <w:spacing w:val="0"/>
                <w:position w:val="0"/>
                <w:sz w:val="24"/>
                <w:shd w:fill="auto" w:val="clear"/>
              </w:rPr>
              <w:t xml:space="preserve">The lack of experience and the extensive competition of growth is inversely proportional. Hence acting as a threat for the employability element.</w:t>
            </w:r>
          </w:p>
        </w:tc>
      </w:tr>
    </w:tbl>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Report on employability skill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world is getting evolved day by day, and with the evolution, the knowledge and the skill sets of the human being are also on the verge of getting fresh. The factor of academic expertise is considered as one of the fundamental aspects because it helps the individual in growing the defined outsources, which will help them in better performance. As in the previous section of the study, the factor of academic skills has been discussed; similarly, in this part of the report, the discussion will happen based on employability skills. To understand the factor of the employability skills, there are some of the fundamental elements which are required to be noticed and concerned. An illustration can be made based on the following factors which describe the importance of academic and employability skills. If an individual is getting some of the qualities qualifications, which is allowing them to understand and gain knowledge of the educational sessions (</w:t>
      </w:r>
      <w:r>
        <w:rPr>
          <w:rFonts w:ascii="Times New Roman" w:hAnsi="Times New Roman" w:cs="Times New Roman" w:eastAsia="Times New Roman"/>
          <w:color w:val="000000"/>
          <w:spacing w:val="0"/>
          <w:position w:val="0"/>
          <w:sz w:val="24"/>
          <w:shd w:fill="FFFFFF" w:val="clear"/>
        </w:rPr>
        <w:t xml:space="preserve">Hanapi </w:t>
      </w:r>
      <w:r>
        <w:rPr>
          <w:rFonts w:ascii="Times New Roman" w:hAnsi="Times New Roman" w:cs="Times New Roman" w:eastAsia="Times New Roman"/>
          <w:i/>
          <w:color w:val="000000"/>
          <w:spacing w:val="0"/>
          <w:position w:val="0"/>
          <w:sz w:val="24"/>
          <w:shd w:fill="FFFFFF" w:val="clear"/>
        </w:rPr>
        <w:t xml:space="preserve">et al</w:t>
      </w:r>
      <w:r>
        <w:rPr>
          <w:rFonts w:ascii="Times New Roman" w:hAnsi="Times New Roman" w:cs="Times New Roman" w:eastAsia="Times New Roman"/>
          <w:color w:val="000000"/>
          <w:spacing w:val="0"/>
          <w:position w:val="0"/>
          <w:sz w:val="24"/>
          <w:shd w:fill="FFFFFF" w:val="clear"/>
        </w:rPr>
        <w:t xml:space="preserve">., 2018</w:t>
      </w:r>
      <w:r>
        <w:rPr>
          <w:rFonts w:ascii="Times New Roman" w:hAnsi="Times New Roman" w:cs="Times New Roman" w:eastAsia="Times New Roman"/>
          <w:color w:val="000000"/>
          <w:spacing w:val="0"/>
          <w:position w:val="0"/>
          <w:sz w:val="24"/>
          <w:shd w:fill="auto" w:val="clear"/>
        </w:rPr>
        <w:t xml:space="preserve">). This particular factor will help the individual in carrying decent experience, which will help them in giving a better performance in the working space.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On the other hand, if the same factors and the elements can be distinguished from that of the nongrainier, then a lagging factor will take place. In a better word, that specific individual will have a lack of employability skills as there were no defined or quality academic skills. So these are some of the fundamental differences and the importance of academic skills about employability skills. So the factor of the academic expertise has been demonstrated not in this concerned point. The elaboration of the employability skills will be shown. The employability skills are nothing but a result of an output of the academic qualification. In short, it can also be denoted as an umbrella which makes the educational qualification of the candidate or the employee attractive. So this is the prime factor of the employability skills. Now in regards to the following statement of the employment skills evidence in respect of the employability skills has emerged is that the powers of the employability can be divided into several essential factors. Some of the crucial elements of the Employment skills are problem-solving skills, oral communication, adaptability, resource management, technological and informational use, and many more(</w:t>
      </w:r>
      <w:r>
        <w:rPr>
          <w:rFonts w:ascii="Times New Roman" w:hAnsi="Times New Roman" w:cs="Times New Roman" w:eastAsia="Times New Roman"/>
          <w:color w:val="000000"/>
          <w:spacing w:val="0"/>
          <w:position w:val="0"/>
          <w:sz w:val="24"/>
          <w:shd w:fill="FFFFFF" w:val="clear"/>
        </w:rPr>
        <w:t xml:space="preserve">Canton </w:t>
      </w:r>
      <w:r>
        <w:rPr>
          <w:rFonts w:ascii="Times New Roman" w:hAnsi="Times New Roman" w:cs="Times New Roman" w:eastAsia="Times New Roman"/>
          <w:i/>
          <w:color w:val="000000"/>
          <w:spacing w:val="0"/>
          <w:position w:val="0"/>
          <w:sz w:val="24"/>
          <w:shd w:fill="FFFFFF" w:val="clear"/>
        </w:rPr>
        <w:t xml:space="preserve">et al</w:t>
      </w:r>
      <w:r>
        <w:rPr>
          <w:rFonts w:ascii="Times New Roman" w:hAnsi="Times New Roman" w:cs="Times New Roman" w:eastAsia="Times New Roman"/>
          <w:color w:val="000000"/>
          <w:spacing w:val="0"/>
          <w:position w:val="0"/>
          <w:sz w:val="24"/>
          <w:shd w:fill="FFFFFF" w:val="clear"/>
        </w:rPr>
        <w:t xml:space="preserve">., 2018</w:t>
      </w:r>
      <w:r>
        <w:rPr>
          <w:rFonts w:ascii="Times New Roman" w:hAnsi="Times New Roman" w:cs="Times New Roman" w:eastAsia="Times New Roman"/>
          <w:color w:val="000000"/>
          <w:spacing w:val="0"/>
          <w:position w:val="0"/>
          <w:sz w:val="24"/>
          <w:shd w:fill="auto" w:val="clear"/>
        </w:rPr>
        <w:t xml:space="preserve">). To understand the essential employability skills, some of the points have been briefly demonstrated in this report so that the essentiality of the employability can be clearly flushed, and the factor of the academic qualities can be showcased decently. Some of the points regarding the following essentialities are as follows.</w:t>
      </w:r>
    </w:p>
    <w:p>
      <w:pPr>
        <w:numPr>
          <w:ilvl w:val="0"/>
          <w:numId w:val="33"/>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the working circle, almost 62% of the recruiters identify the element of problem-solving as a significant skill. Along with that, they concern more on this factor because they believe that is the element that will allow the candidate to get hired. The problem-solving factor has been categorized as one of the fundamental aspects, which is a part of every organization</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the problem-solving factor involved in the analysis of the figures and facts. The element also defined the challenges along with the division of contingency plans. It also participates in the assessing process and implementing or creating solutions.</w:t>
      </w:r>
    </w:p>
    <w:p>
      <w:pPr>
        <w:numPr>
          <w:ilvl w:val="0"/>
          <w:numId w:val="33"/>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second essential employability skills will be oral communication. In an organization, the factor of communication is an essential factor that helps in stabilizing and creating a mutual relationship with the other members of the group. So to become an excellent communicator, some of the elements need to be adapted, which are the listening factor, empathization, conclusion on the logical drawings, language adaptation for the audience as well as for the surroundings(</w:t>
      </w:r>
      <w:r>
        <w:rPr>
          <w:rFonts w:ascii="Times New Roman" w:hAnsi="Times New Roman" w:cs="Times New Roman" w:eastAsia="Times New Roman"/>
          <w:color w:val="000000"/>
          <w:spacing w:val="0"/>
          <w:position w:val="0"/>
          <w:sz w:val="24"/>
          <w:shd w:fill="FFFFFF" w:val="clear"/>
        </w:rPr>
        <w:t xml:space="preserve">Singh and Singh, 2019</w:t>
      </w:r>
      <w:r>
        <w:rPr>
          <w:rFonts w:ascii="Times New Roman" w:hAnsi="Times New Roman" w:cs="Times New Roman" w:eastAsia="Times New Roman"/>
          <w:color w:val="000000"/>
          <w:spacing w:val="0"/>
          <w:position w:val="0"/>
          <w:sz w:val="24"/>
          <w:shd w:fill="auto" w:val="clear"/>
        </w:rPr>
        <w:t xml:space="preserve">). </w:t>
      </w:r>
    </w:p>
    <w:p>
      <w:pPr>
        <w:numPr>
          <w:ilvl w:val="0"/>
          <w:numId w:val="33"/>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Last but one of the essential factors is the collaboration factor. Within an organization, the collaboration is essential because it symbolizes the unity factor. In short, it can be concluded that unity or the mutualism will allow the organization and its management system to create a stable culture in the working places. It is thus engaging in growth and development. Some of the points of collaboration mean that the individual will be able to work with others who are from different religions, ages, and backgrounds. The partnership also concentrates on identifying factors such as the strength and the weakness of the other members (</w:t>
      </w:r>
      <w:r>
        <w:rPr>
          <w:rFonts w:ascii="Times New Roman" w:hAnsi="Times New Roman" w:cs="Times New Roman" w:eastAsia="Times New Roman"/>
          <w:color w:val="000000"/>
          <w:spacing w:val="0"/>
          <w:position w:val="0"/>
          <w:sz w:val="24"/>
          <w:shd w:fill="FFFFFF" w:val="clear"/>
        </w:rPr>
        <w:t xml:space="preserve">Keevy and Mare, 2018</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object w:dxaOrig="9091" w:dyaOrig="5770">
          <v:rect xmlns:o="urn:schemas-microsoft-com:office:office" xmlns:v="urn:schemas-microsoft-com:vml" id="rectole0000000001" style="width:454.550000pt;height:288.5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Figure 2: Essential Elements of Employability skills</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 (</w:t>
      </w:r>
      <w:r>
        <w:rPr>
          <w:rFonts w:ascii="Times New Roman" w:hAnsi="Times New Roman" w:cs="Times New Roman" w:eastAsia="Times New Roman"/>
          <w:color w:val="000000"/>
          <w:spacing w:val="0"/>
          <w:position w:val="0"/>
          <w:sz w:val="24"/>
          <w:shd w:fill="FFFFFF" w:val="clear"/>
        </w:rPr>
        <w:t xml:space="preserve">Keevy and Mare, 2018</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this study, the factor of reflective employment skills has also been highlighted. The concentration has been made because that reflecting factor for employability will identify some of the specific factors which will help the candidate in having confidence and motivation factors. The reflecting can assist in identifying the type of ability and experience required to be employable. It also identifies the weakness and the strength of the defined or specific system. It also helps in tracking the skills of improvement, which the candidate required to develop and fulfill the needs(</w:t>
      </w:r>
      <w:r>
        <w:rPr>
          <w:rFonts w:ascii="Times New Roman" w:hAnsi="Times New Roman" w:cs="Times New Roman" w:eastAsia="Times New Roman"/>
          <w:color w:val="000000"/>
          <w:spacing w:val="0"/>
          <w:position w:val="0"/>
          <w:sz w:val="24"/>
          <w:shd w:fill="FFFFFF" w:val="clear"/>
        </w:rPr>
        <w:t xml:space="preserve">Bano and Vasantha, 2019</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object w:dxaOrig="7774" w:dyaOrig="11419">
          <v:rect xmlns:o="urn:schemas-microsoft-com:office:office" xmlns:v="urn:schemas-microsoft-com:vml" id="rectole0000000002" style="width:388.700000pt;height:570.9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Figure 3: Reflective Employability skills</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 (</w:t>
      </w:r>
      <w:r>
        <w:rPr>
          <w:rFonts w:ascii="Times New Roman" w:hAnsi="Times New Roman" w:cs="Times New Roman" w:eastAsia="Times New Roman"/>
          <w:color w:val="000000"/>
          <w:spacing w:val="0"/>
          <w:position w:val="0"/>
          <w:sz w:val="24"/>
          <w:shd w:fill="FFFFFF" w:val="clear"/>
        </w:rPr>
        <w:t xml:space="preserve">Bano and Vasantha, 2019</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time management employability skills can help an individual in several different ways. Some of the ideas are as follows.</w:t>
      </w:r>
    </w:p>
    <w:p>
      <w:pPr>
        <w:numPr>
          <w:ilvl w:val="0"/>
          <w:numId w:val="3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time management employability skills help in organizing the individual itself. In other words it can be distinguished that the best possible manner in which the priorities can be functionalized is to take a look at the upcoming deadlines and run with the initial point with maximum urgency.</w:t>
      </w:r>
    </w:p>
    <w:p>
      <w:pPr>
        <w:numPr>
          <w:ilvl w:val="0"/>
          <w:numId w:val="3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factor of time management also reflects on the term of consideration of every element.</w:t>
      </w:r>
    </w:p>
    <w:p>
      <w:pPr>
        <w:numPr>
          <w:ilvl w:val="0"/>
          <w:numId w:val="3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It is better to be stable on the existing project rather than taking pressure on the upcoming ones, so it is a better choice to say no accordingly.</w:t>
      </w:r>
    </w:p>
    <w:p>
      <w:pPr>
        <w:numPr>
          <w:ilvl w:val="0"/>
          <w:numId w:val="3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Patience and calmness are one of the fundamental factors for showcasing a decent quality of work. The pressure is natural but also affects the emotional factors as well. So the calmness is required extremely for the sake of excellent performance within the organization.</w:t>
      </w:r>
    </w:p>
    <w:p>
      <w:pPr>
        <w:spacing w:before="0" w:after="0" w:line="360"/>
        <w:ind w:right="0" w:left="72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object w:dxaOrig="9091" w:dyaOrig="6074">
          <v:rect xmlns:o="urn:schemas-microsoft-com:office:office" xmlns:v="urn:schemas-microsoft-com:vml" id="rectole0000000003" style="width:454.550000pt;height:303.7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Figure 4: Time Management Employability skills</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 (</w:t>
      </w:r>
      <w:r>
        <w:rPr>
          <w:rFonts w:ascii="Times New Roman" w:hAnsi="Times New Roman" w:cs="Times New Roman" w:eastAsia="Times New Roman"/>
          <w:color w:val="000000"/>
          <w:spacing w:val="0"/>
          <w:position w:val="0"/>
          <w:sz w:val="24"/>
          <w:shd w:fill="FFFFFF" w:val="clear"/>
        </w:rPr>
        <w:t xml:space="preserve">Bano and Vasantha, 2019</w:t>
      </w:r>
      <w:r>
        <w:rPr>
          <w:rFonts w:ascii="Times New Roman" w:hAnsi="Times New Roman" w:cs="Times New Roman" w:eastAsia="Times New Roman"/>
          <w:color w:val="000000"/>
          <w:spacing w:val="0"/>
          <w:position w:val="0"/>
          <w:sz w:val="24"/>
          <w:shd w:fill="auto" w:val="clear"/>
        </w:rPr>
        <w:t xml:space="preserve">)</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Conclusion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From the above report, it can be concluded that reflective learning processes can be one of the most effective learning processes if students can acquire the critical points of this learning module. This learning process not only increases the knowledge of a student. Instead it also enhances the capability of thinking of a student, which may help a student to come up with the best lesson. This report also highlighted the importance of rejection a student'in a student's life as it helps to strengthen their mindset and direct them towards their desired goals(</w:t>
      </w:r>
      <w:r>
        <w:rPr>
          <w:rFonts w:ascii="Times New Roman" w:hAnsi="Times New Roman" w:cs="Times New Roman" w:eastAsia="Times New Roman"/>
          <w:color w:val="000000"/>
          <w:spacing w:val="0"/>
          <w:position w:val="0"/>
          <w:sz w:val="24"/>
          <w:shd w:fill="FFFFFF" w:val="clear"/>
        </w:rPr>
        <w:t xml:space="preserve">Kulkarni </w:t>
      </w:r>
      <w:r>
        <w:rPr>
          <w:rFonts w:ascii="Times New Roman" w:hAnsi="Times New Roman" w:cs="Times New Roman" w:eastAsia="Times New Roman"/>
          <w:i/>
          <w:color w:val="000000"/>
          <w:spacing w:val="0"/>
          <w:position w:val="0"/>
          <w:sz w:val="24"/>
          <w:shd w:fill="FFFFFF" w:val="clear"/>
        </w:rPr>
        <w:t xml:space="preserve">et al</w:t>
      </w:r>
      <w:r>
        <w:rPr>
          <w:rFonts w:ascii="Times New Roman" w:hAnsi="Times New Roman" w:cs="Times New Roman" w:eastAsia="Times New Roman"/>
          <w:color w:val="000000"/>
          <w:spacing w:val="0"/>
          <w:position w:val="0"/>
          <w:sz w:val="24"/>
          <w:shd w:fill="FFFFFF" w:val="clear"/>
        </w:rPr>
        <w:t xml:space="preserve">., 2017</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b/>
          <w:color w:val="000000"/>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FF0000" w:val="clear"/>
        </w:rPr>
      </w:pPr>
      <w:r>
        <w:rPr>
          <w:rFonts w:ascii="Times New Roman" w:hAnsi="Times New Roman" w:cs="Times New Roman" w:eastAsia="Times New Roman"/>
          <w:b/>
          <w:color w:val="000000"/>
          <w:spacing w:val="0"/>
          <w:position w:val="0"/>
          <w:sz w:val="24"/>
          <w:shd w:fill="auto" w:val="clear"/>
        </w:rPr>
        <w:t xml:space="preserve">Reference list </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Abas, M.C. and Imam, O.A., 2016. Graduates' Competence on Employability Skills and Job Performance. </w:t>
      </w:r>
      <w:r>
        <w:rPr>
          <w:rFonts w:ascii="Times New Roman" w:hAnsi="Times New Roman" w:cs="Times New Roman" w:eastAsia="Times New Roman"/>
          <w:i/>
          <w:color w:val="000000"/>
          <w:spacing w:val="0"/>
          <w:position w:val="0"/>
          <w:sz w:val="24"/>
          <w:shd w:fill="auto" w:val="clear"/>
        </w:rPr>
        <w:t xml:space="preserve">International Journal of Evaluation and Research in Education</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5</w:t>
      </w:r>
      <w:r>
        <w:rPr>
          <w:rFonts w:ascii="Times New Roman" w:hAnsi="Times New Roman" w:cs="Times New Roman" w:eastAsia="Times New Roman"/>
          <w:color w:val="000000"/>
          <w:spacing w:val="0"/>
          <w:position w:val="0"/>
          <w:sz w:val="24"/>
          <w:shd w:fill="auto" w:val="clear"/>
        </w:rPr>
        <w:t xml:space="preserve">(2), pp.119-125.</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AV, N. and Aithal, P.S., 2018. Employability Skill traits Management Quotient [ESMQ]-A Conceptual Model Proposal. </w:t>
      </w:r>
      <w:r>
        <w:rPr>
          <w:rFonts w:ascii="Times New Roman" w:hAnsi="Times New Roman" w:cs="Times New Roman" w:eastAsia="Times New Roman"/>
          <w:i/>
          <w:color w:val="000000"/>
          <w:spacing w:val="0"/>
          <w:position w:val="0"/>
          <w:sz w:val="24"/>
          <w:shd w:fill="auto" w:val="clear"/>
        </w:rPr>
        <w:t xml:space="preserve">International Journal of Applied Engineering and Management Letters (IJAEML)</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w:t>
      </w:r>
      <w:r>
        <w:rPr>
          <w:rFonts w:ascii="Times New Roman" w:hAnsi="Times New Roman" w:cs="Times New Roman" w:eastAsia="Times New Roman"/>
          <w:color w:val="000000"/>
          <w:spacing w:val="0"/>
          <w:position w:val="0"/>
          <w:sz w:val="24"/>
          <w:shd w:fill="auto" w:val="clear"/>
        </w:rPr>
        <w:t xml:space="preserve">(1), pp.1-30.</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Bano, Y. and Vasantha, S., 2019. Review on employability skill Gap. </w:t>
      </w:r>
      <w:r>
        <w:rPr>
          <w:rFonts w:ascii="Times New Roman" w:hAnsi="Times New Roman" w:cs="Times New Roman" w:eastAsia="Times New Roman"/>
          <w:i/>
          <w:color w:val="000000"/>
          <w:spacing w:val="0"/>
          <w:position w:val="0"/>
          <w:sz w:val="24"/>
          <w:shd w:fill="auto" w:val="clear"/>
        </w:rPr>
        <w:t xml:space="preserve">International Journal of Research in Social Sciences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9</w:t>
      </w:r>
      <w:r>
        <w:rPr>
          <w:rFonts w:ascii="Times New Roman" w:hAnsi="Times New Roman" w:cs="Times New Roman" w:eastAsia="Times New Roman"/>
          <w:color w:val="000000"/>
          <w:spacing w:val="0"/>
          <w:position w:val="0"/>
          <w:sz w:val="24"/>
          <w:shd w:fill="auto" w:val="clear"/>
        </w:rPr>
        <w:t xml:space="preserve">(2), pp.438-452.</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Canton, U., Govan, M. and Zahn, D., 2018. Rethinking academic literacies. A conceptual development based on teaching practice. </w:t>
      </w:r>
      <w:r>
        <w:rPr>
          <w:rFonts w:ascii="Times New Roman" w:hAnsi="Times New Roman" w:cs="Times New Roman" w:eastAsia="Times New Roman"/>
          <w:i/>
          <w:color w:val="000000"/>
          <w:spacing w:val="0"/>
          <w:position w:val="0"/>
          <w:sz w:val="24"/>
          <w:shd w:fill="auto" w:val="clear"/>
        </w:rPr>
        <w:t xml:space="preserve">Teaching in Higher Education</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23</w:t>
      </w:r>
      <w:r>
        <w:rPr>
          <w:rFonts w:ascii="Times New Roman" w:hAnsi="Times New Roman" w:cs="Times New Roman" w:eastAsia="Times New Roman"/>
          <w:color w:val="000000"/>
          <w:spacing w:val="0"/>
          <w:position w:val="0"/>
          <w:sz w:val="24"/>
          <w:shd w:fill="auto" w:val="clear"/>
        </w:rPr>
        <w:t xml:space="preserve">(6), pp.668-684.</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Hanapi, Z., Mamat, A.B., Zulkifli, R.M., Sharif, M.S. and Hasnan, K.A., 2018. Development of Employability Skills Measurement Model Among Engineering Graduates of Community College Using Delphi Technique and Confirmatory Factor Analysis. </w:t>
      </w:r>
      <w:r>
        <w:rPr>
          <w:rFonts w:ascii="Times New Roman" w:hAnsi="Times New Roman" w:cs="Times New Roman" w:eastAsia="Times New Roman"/>
          <w:i/>
          <w:color w:val="000000"/>
          <w:spacing w:val="0"/>
          <w:position w:val="0"/>
          <w:sz w:val="24"/>
          <w:shd w:fill="auto" w:val="clear"/>
        </w:rPr>
        <w:t xml:space="preserve">Advanced Science Letters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24</w:t>
      </w:r>
      <w:r>
        <w:rPr>
          <w:rFonts w:ascii="Times New Roman" w:hAnsi="Times New Roman" w:cs="Times New Roman" w:eastAsia="Times New Roman"/>
          <w:color w:val="000000"/>
          <w:spacing w:val="0"/>
          <w:position w:val="0"/>
          <w:sz w:val="24"/>
          <w:shd w:fill="auto" w:val="clear"/>
        </w:rPr>
        <w:t xml:space="preserve">(4), pp.2660-2664.</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Hart, J.L., 2019. Interdisciplinary project-based learning as a means of developing employability skills in undergraduate science degree programs. </w:t>
      </w:r>
      <w:r>
        <w:rPr>
          <w:rFonts w:ascii="Times New Roman" w:hAnsi="Times New Roman" w:cs="Times New Roman" w:eastAsia="Times New Roman"/>
          <w:i/>
          <w:color w:val="000000"/>
          <w:spacing w:val="0"/>
          <w:position w:val="0"/>
          <w:sz w:val="24"/>
          <w:shd w:fill="auto" w:val="clear"/>
        </w:rPr>
        <w:t xml:space="preserve">Journal of Teaching and Learning for Graduate Employability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10</w:t>
      </w:r>
      <w:r>
        <w:rPr>
          <w:rFonts w:ascii="Times New Roman" w:hAnsi="Times New Roman" w:cs="Times New Roman" w:eastAsia="Times New Roman"/>
          <w:color w:val="000000"/>
          <w:spacing w:val="0"/>
          <w:position w:val="0"/>
          <w:sz w:val="24"/>
          <w:shd w:fill="auto" w:val="clear"/>
        </w:rPr>
        <w:t xml:space="preserve">(2), pp.50-66.</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Keevy, M. and Mare, D.J., 2018. Pervasive skills development for aspirant chartered accountants: Academic versus training programmes. </w:t>
      </w:r>
      <w:r>
        <w:rPr>
          <w:rFonts w:ascii="Times New Roman" w:hAnsi="Times New Roman" w:cs="Times New Roman" w:eastAsia="Times New Roman"/>
          <w:i/>
          <w:color w:val="000000"/>
          <w:spacing w:val="0"/>
          <w:position w:val="0"/>
          <w:sz w:val="24"/>
          <w:shd w:fill="auto" w:val="clear"/>
        </w:rPr>
        <w:t xml:space="preserve">Journal of Economic and Financial Sciences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11</w:t>
      </w:r>
      <w:r>
        <w:rPr>
          <w:rFonts w:ascii="Times New Roman" w:hAnsi="Times New Roman" w:cs="Times New Roman" w:eastAsia="Times New Roman"/>
          <w:color w:val="000000"/>
          <w:spacing w:val="0"/>
          <w:position w:val="0"/>
          <w:sz w:val="24"/>
          <w:shd w:fill="auto" w:val="clear"/>
        </w:rPr>
        <w:t xml:space="preserve">(1), pp.1-9.</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Kulkarni, V.A., Bewoor, A.K., Malathi, P. and Balapgol, B.S., 2017. Employability skill matrix for engineering graduates of tier-ii institutes. </w:t>
      </w:r>
      <w:r>
        <w:rPr>
          <w:rFonts w:ascii="Times New Roman" w:hAnsi="Times New Roman" w:cs="Times New Roman" w:eastAsia="Times New Roman"/>
          <w:i/>
          <w:color w:val="000000"/>
          <w:spacing w:val="0"/>
          <w:position w:val="0"/>
          <w:sz w:val="24"/>
          <w:shd w:fill="auto" w:val="clear"/>
        </w:rPr>
        <w:t xml:space="preserve">Journal of Engineering Education Transformations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30</w:t>
      </w:r>
      <w:r>
        <w:rPr>
          <w:rFonts w:ascii="Times New Roman" w:hAnsi="Times New Roman" w:cs="Times New Roman" w:eastAsia="Times New Roman"/>
          <w:color w:val="000000"/>
          <w:spacing w:val="0"/>
          <w:position w:val="0"/>
          <w:sz w:val="24"/>
          <w:shd w:fill="auto" w:val="clear"/>
        </w:rPr>
        <w:t xml:space="preserve">(3), pp.71-76.</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Misra, R.K. and Khurana, K., 2018. Analysis of Employability Skill Gap in Information Technology Professionals. </w:t>
      </w:r>
      <w:r>
        <w:rPr>
          <w:rFonts w:ascii="Times New Roman" w:hAnsi="Times New Roman" w:cs="Times New Roman" w:eastAsia="Times New Roman"/>
          <w:i/>
          <w:color w:val="000000"/>
          <w:spacing w:val="0"/>
          <w:position w:val="0"/>
          <w:sz w:val="24"/>
          <w:shd w:fill="auto" w:val="clear"/>
        </w:rPr>
        <w:t xml:space="preserve">International Journal of Human Capital and Information Technology Professionals (IJHCITP)</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9</w:t>
      </w:r>
      <w:r>
        <w:rPr>
          <w:rFonts w:ascii="Times New Roman" w:hAnsi="Times New Roman" w:cs="Times New Roman" w:eastAsia="Times New Roman"/>
          <w:color w:val="000000"/>
          <w:spacing w:val="0"/>
          <w:position w:val="0"/>
          <w:sz w:val="24"/>
          <w:shd w:fill="auto" w:val="clear"/>
        </w:rPr>
        <w:t xml:space="preserve">(3), pp.53-69.</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Singh, A. and Singh, S., 2019. Employability Skills for Sustainable Development: The Role of Higher Education Institutions. </w:t>
      </w:r>
      <w:r>
        <w:rPr>
          <w:rFonts w:ascii="Times New Roman" w:hAnsi="Times New Roman" w:cs="Times New Roman" w:eastAsia="Times New Roman"/>
          <w:i/>
          <w:color w:val="000000"/>
          <w:spacing w:val="0"/>
          <w:position w:val="0"/>
          <w:sz w:val="24"/>
          <w:shd w:fill="auto" w:val="clear"/>
        </w:rPr>
        <w:t xml:space="preserve">IUP Journal of Soft Skills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13</w:t>
      </w:r>
      <w:r>
        <w:rPr>
          <w:rFonts w:ascii="Times New Roman" w:hAnsi="Times New Roman" w:cs="Times New Roman" w:eastAsia="Times New Roman"/>
          <w:color w:val="000000"/>
          <w:spacing w:val="0"/>
          <w:position w:val="0"/>
          <w:sz w:val="24"/>
          <w:shd w:fill="auto" w:val="clear"/>
        </w:rPr>
        <w:t xml:space="preserve">(3), pp.32-41.</w:t>
      </w:r>
    </w:p>
    <w:p>
      <w:pPr>
        <w:spacing w:before="0" w:after="0" w:line="276"/>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Appendix</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Personal development plan</w:t>
      </w:r>
    </w:p>
    <w:tbl>
      <w:tblPr/>
      <w:tblGrid>
        <w:gridCol w:w="3120"/>
        <w:gridCol w:w="3127"/>
        <w:gridCol w:w="3103"/>
      </w:tblGrid>
      <w:tr>
        <w:trPr>
          <w:trHeight w:val="416" w:hRule="auto"/>
          <w:jc w:val="left"/>
        </w:trPr>
        <w:tc>
          <w:tcPr>
            <w:tcW w:w="31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FFFFFF" w:val="clear"/>
              </w:rPr>
              <w:t xml:space="preserve">Skills </w:t>
            </w:r>
          </w:p>
        </w:tc>
        <w:tc>
          <w:tcPr>
            <w:tcW w:w="31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How to improve </w:t>
            </w:r>
          </w:p>
        </w:tc>
        <w:tc>
          <w:tcPr>
            <w:tcW w:w="31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Time frame </w:t>
            </w:r>
          </w:p>
        </w:tc>
      </w:tr>
      <w:tr>
        <w:trPr>
          <w:trHeight w:val="416" w:hRule="auto"/>
          <w:jc w:val="left"/>
        </w:trPr>
        <w:tc>
          <w:tcPr>
            <w:tcW w:w="31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rPr>
            </w:pPr>
            <w:r>
              <w:rPr>
                <w:rFonts w:ascii="Times New Roman" w:hAnsi="Times New Roman" w:cs="Times New Roman" w:eastAsia="Times New Roman"/>
                <w:color w:val="auto"/>
                <w:spacing w:val="0"/>
                <w:position w:val="0"/>
                <w:sz w:val="24"/>
                <w:shd w:fill="FFFFFF" w:val="clear"/>
              </w:rPr>
              <w:t xml:space="preserve">Academic skills</w:t>
            </w:r>
          </w:p>
        </w:tc>
        <w:tc>
          <w:tcPr>
            <w:tcW w:w="31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Establishment of own nota taking factor. Implementation of active memorization</w:t>
            </w:r>
          </w:p>
        </w:tc>
        <w:tc>
          <w:tcPr>
            <w:tcW w:w="31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The maximum time interval is 2-3 week.</w:t>
            </w:r>
          </w:p>
        </w:tc>
      </w:tr>
      <w:tr>
        <w:trPr>
          <w:trHeight w:val="416" w:hRule="auto"/>
          <w:jc w:val="left"/>
        </w:trPr>
        <w:tc>
          <w:tcPr>
            <w:tcW w:w="31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rPr>
            </w:pPr>
            <w:r>
              <w:rPr>
                <w:rFonts w:ascii="Times New Roman" w:hAnsi="Times New Roman" w:cs="Times New Roman" w:eastAsia="Times New Roman"/>
                <w:color w:val="auto"/>
                <w:spacing w:val="0"/>
                <w:position w:val="0"/>
                <w:sz w:val="24"/>
                <w:shd w:fill="FFFFFF" w:val="clear"/>
              </w:rPr>
              <w:t xml:space="preserve">Employability skills</w:t>
            </w:r>
          </w:p>
        </w:tc>
        <w:tc>
          <w:tcPr>
            <w:tcW w:w="31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The employability skills can be improve by taking the initiative factor, commercial acumen, developing professionalism and innovation</w:t>
            </w:r>
          </w:p>
        </w:tc>
        <w:tc>
          <w:tcPr>
            <w:tcW w:w="31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The time interval in 3-4 week.</w:t>
            </w:r>
          </w:p>
        </w:tc>
      </w:tr>
      <w:tr>
        <w:trPr>
          <w:trHeight w:val="416" w:hRule="auto"/>
          <w:jc w:val="left"/>
        </w:trPr>
        <w:tc>
          <w:tcPr>
            <w:tcW w:w="31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rPr>
            </w:pPr>
            <w:r>
              <w:rPr>
                <w:rFonts w:ascii="Times New Roman" w:hAnsi="Times New Roman" w:cs="Times New Roman" w:eastAsia="Times New Roman"/>
                <w:color w:val="auto"/>
                <w:spacing w:val="0"/>
                <w:position w:val="0"/>
                <w:sz w:val="24"/>
                <w:shd w:fill="FFFFFF" w:val="clear"/>
              </w:rPr>
              <w:t xml:space="preserve">Soft skills</w:t>
            </w:r>
          </w:p>
        </w:tc>
        <w:tc>
          <w:tcPr>
            <w:tcW w:w="31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Involve in online classes, self-toughing taking reference of hard skills. Feedback taking factor form other also help in improvement</w:t>
            </w:r>
          </w:p>
        </w:tc>
        <w:tc>
          <w:tcPr>
            <w:tcW w:w="31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The time interval is 1-3 week.</w:t>
            </w:r>
          </w:p>
        </w:tc>
      </w:tr>
    </w:tbl>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num w:numId="11">
    <w:abstractNumId w:val="42"/>
  </w:num>
  <w:num w:numId="15">
    <w:abstractNumId w:val="36"/>
  </w:num>
  <w:num w:numId="22">
    <w:abstractNumId w:val="30"/>
  </w:num>
  <w:num w:numId="24">
    <w:abstractNumId w:val="24"/>
  </w:num>
  <w:num w:numId="28">
    <w:abstractNumId w:val="18"/>
  </w:num>
  <w:num w:numId="30">
    <w:abstractNumId w:val="12"/>
  </w:num>
  <w:num w:numId="33">
    <w:abstractNumId w:val="6"/>
  </w:num>
  <w:num w:numId="3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numbering.xml" Id="docRId8" Type="http://schemas.openxmlformats.org/officeDocument/2006/relationships/numbering" /><Relationship Target="media/image0.wmf" Id="docRId1" Type="http://schemas.openxmlformats.org/officeDocument/2006/relationships/image" /><Relationship Target="media/image2.wmf" Id="docRId5" Type="http://schemas.openxmlformats.org/officeDocument/2006/relationships/image" /><Relationship Target="styles.xml" Id="docRId9" Type="http://schemas.openxmlformats.org/officeDocument/2006/relationships/styles" /></Relationships>
</file>