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42BAAA5" w:rsidR="00CA12DC" w:rsidRPr="00C22A3A" w:rsidRDefault="00204988" w:rsidP="000F1367">
            <w:pPr>
              <w:rPr>
                <w:rFonts w:cs="Arial"/>
                <w:sz w:val="24"/>
                <w:szCs w:val="24"/>
              </w:rPr>
            </w:pPr>
            <w:r>
              <w:rPr>
                <w:rFonts w:cs="Arial"/>
                <w:sz w:val="24"/>
                <w:szCs w:val="24"/>
              </w:rPr>
              <w:t>Peter Mitchell</w:t>
            </w:r>
          </w:p>
          <w:p w14:paraId="595508EC" w14:textId="77777777" w:rsidR="00CA12DC" w:rsidRPr="00C22A3A" w:rsidRDefault="00CA12DC" w:rsidP="000F1367">
            <w:pPr>
              <w:rPr>
                <w:rFonts w:cs="Arial"/>
                <w:sz w:val="24"/>
                <w:szCs w:val="24"/>
              </w:rPr>
            </w:pP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14383A51" w:rsidR="00CA12DC" w:rsidRPr="00C22A3A" w:rsidRDefault="00204988" w:rsidP="000F1367">
            <w:pPr>
              <w:rPr>
                <w:rFonts w:cs="Arial"/>
                <w:sz w:val="24"/>
                <w:szCs w:val="24"/>
              </w:rPr>
            </w:pPr>
            <w:r>
              <w:rPr>
                <w:rFonts w:cs="Arial"/>
                <w:sz w:val="24"/>
                <w:szCs w:val="24"/>
              </w:rPr>
              <w:t>Education and Humanities</w:t>
            </w:r>
          </w:p>
          <w:p w14:paraId="3C46DA3B" w14:textId="77777777" w:rsidR="00CA12DC" w:rsidRPr="00C22A3A" w:rsidRDefault="00CA12DC" w:rsidP="000F1367">
            <w:pPr>
              <w:rPr>
                <w:rFonts w:cs="Arial"/>
                <w:sz w:val="24"/>
                <w:szCs w:val="24"/>
              </w:rPr>
            </w:pPr>
          </w:p>
        </w:tc>
      </w:tr>
      <w:tr w:rsidR="00CA12DC" w:rsidRPr="00C22A3A" w14:paraId="25A905A9" w14:textId="77777777" w:rsidTr="68D56145">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3BBB3CB6" w:rsidR="00CA12DC" w:rsidRPr="00C22A3A" w:rsidRDefault="00204988" w:rsidP="000F1367">
            <w:pPr>
              <w:rPr>
                <w:rFonts w:cs="Arial"/>
                <w:sz w:val="24"/>
                <w:szCs w:val="24"/>
              </w:rPr>
            </w:pPr>
            <w:r>
              <w:rPr>
                <w:rFonts w:cs="Arial"/>
                <w:sz w:val="24"/>
                <w:szCs w:val="24"/>
              </w:rPr>
              <w:t>Senior Lecturer</w:t>
            </w:r>
          </w:p>
        </w:tc>
      </w:tr>
      <w:tr w:rsidR="00CA12DC" w:rsidRPr="00C22A3A"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059DE3AD" w:rsidR="00CA12DC" w:rsidRPr="00C22A3A" w:rsidRDefault="00204988" w:rsidP="000F1367">
            <w:pPr>
              <w:rPr>
                <w:rFonts w:cs="Arial"/>
                <w:sz w:val="24"/>
                <w:szCs w:val="24"/>
              </w:rPr>
            </w:pPr>
            <w:r>
              <w:rPr>
                <w:rFonts w:cs="Arial"/>
                <w:sz w:val="24"/>
                <w:szCs w:val="24"/>
              </w:rPr>
              <w:t>Lecturer, formerly Programme Manager</w:t>
            </w: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0A783C71"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204988">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61B53686" w:rsidR="00A46FE4" w:rsidRDefault="00204988" w:rsidP="00E8293F">
            <w:pPr>
              <w:rPr>
                <w:rFonts w:cs="Arial"/>
                <w:b/>
                <w:sz w:val="24"/>
                <w:szCs w:val="24"/>
              </w:rPr>
            </w:pPr>
            <w:r>
              <w:rPr>
                <w:rFonts w:cs="Arial"/>
                <w:b/>
                <w:sz w:val="24"/>
                <w:szCs w:val="24"/>
              </w:rPr>
              <w:t>15 Nov 2023; 18, 23, 29 April 2024; 24 May 2024</w:t>
            </w: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0CD45584" w:rsidR="00450C1B" w:rsidRDefault="00204988" w:rsidP="00E8293F">
            <w:pPr>
              <w:rPr>
                <w:rFonts w:cs="Arial"/>
                <w:b/>
                <w:sz w:val="24"/>
                <w:szCs w:val="24"/>
              </w:rPr>
            </w:pPr>
            <w:r>
              <w:rPr>
                <w:rFonts w:cs="Arial"/>
                <w:b/>
                <w:sz w:val="24"/>
                <w:szCs w:val="24"/>
              </w:rPr>
              <w:t>Marie Pitson</w:t>
            </w:r>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7C65F4"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 Reflective Account of Practice</w:t>
      </w:r>
      <w:r w:rsidR="000B43DF" w:rsidRPr="000B43DF">
        <w:rPr>
          <w:rFonts w:ascii="Arial" w:hAnsi="Arial" w:cs="Arial"/>
          <w:sz w:val="24"/>
          <w:szCs w:val="24"/>
        </w:rPr>
        <w:t>;</w:t>
      </w:r>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work, but keep this brief and relevant to your role. Do not include details about the history and prestige of the institution(s), as your Account of Professional Practice is about you and your practice;</w:t>
            </w:r>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work;</w:t>
            </w:r>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Focus on your current or recent practice, which should be able to demonstrate your sustained impact at Descriptor 3 over the last 3-5 years;</w:t>
            </w:r>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0E2D1EA0" w14:textId="77777777" w:rsidR="00AE3652" w:rsidRDefault="00AE3652" w:rsidP="00CA12DC">
            <w:pPr>
              <w:jc w:val="both"/>
              <w:rPr>
                <w:rFonts w:cs="Arial"/>
                <w:sz w:val="24"/>
                <w:szCs w:val="24"/>
              </w:rPr>
            </w:pPr>
          </w:p>
          <w:p w14:paraId="4ED658D3"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 am a Senior Lecturer in Early Modern English Literature, in the Institute of Education and Humanities, on the Lampeter campus of the University of Wales: Trinity Saint David. Here teaching and research in humanities and social sciences occurs at all UG and PG levels of HE, both in-person and by distance learning. I have been teaching here for nearly 30 years, though during that time, I have held research fellowships elsewhere in the UK and in the US. I hold a PhD in early modern English Literature and history of medicine, and I am a Fellow of the Royal Historical Society. </w:t>
            </w:r>
          </w:p>
          <w:p w14:paraId="101A6B79" w14:textId="77777777" w:rsidR="00204988" w:rsidRPr="00204988" w:rsidRDefault="00204988" w:rsidP="00204988">
            <w:pPr>
              <w:spacing w:line="276" w:lineRule="auto"/>
              <w:rPr>
                <w:rFonts w:ascii="Times New Roman" w:hAnsi="Times New Roman"/>
                <w:sz w:val="24"/>
                <w:szCs w:val="24"/>
              </w:rPr>
            </w:pPr>
          </w:p>
          <w:p w14:paraId="6099CC1C"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I do not have any line management responsibilities, but at the beginning of the relevant period, as programme director/manager of the BA English and BA Creative Writing and their joint and combined honours programmes, I worked in and where appropriate led teams in curriculum design and development through processes of academic quality assurance and programme validation and review.</w:t>
            </w:r>
          </w:p>
          <w:p w14:paraId="07382F22" w14:textId="77777777" w:rsidR="00204988" w:rsidRPr="00204988" w:rsidRDefault="00204988" w:rsidP="00204988">
            <w:pPr>
              <w:spacing w:line="276" w:lineRule="auto"/>
              <w:rPr>
                <w:rFonts w:ascii="Times New Roman" w:hAnsi="Times New Roman"/>
                <w:sz w:val="24"/>
                <w:szCs w:val="24"/>
              </w:rPr>
            </w:pPr>
          </w:p>
          <w:p w14:paraId="1174E07B"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Over the past five years, I have been primarily responsible for the design, development, and teaching of modules in three areas: early modern literature and history; critical and cultural theory; bibliography, book history, and literary research methods. In the third of these areas, I have designed and developed learning experiences using primary artifactual, textual, documentary, and visual sources. In this area I have mentored academic, librarian, and archivist colleagues. This forms the focus of my first case study.</w:t>
            </w:r>
          </w:p>
          <w:p w14:paraId="4BD479D8" w14:textId="77777777" w:rsidR="00204988" w:rsidRPr="00204988" w:rsidRDefault="00204988" w:rsidP="0056462E">
            <w:pPr>
              <w:spacing w:line="276" w:lineRule="auto"/>
              <w:rPr>
                <w:rFonts w:ascii="Times New Roman" w:hAnsi="Times New Roman"/>
                <w:sz w:val="24"/>
                <w:szCs w:val="24"/>
              </w:rPr>
            </w:pPr>
          </w:p>
          <w:p w14:paraId="6B8B58D5" w14:textId="77777777" w:rsidR="004C1A66" w:rsidRDefault="00204988" w:rsidP="0056462E">
            <w:pPr>
              <w:spacing w:line="276" w:lineRule="auto"/>
              <w:jc w:val="both"/>
              <w:rPr>
                <w:rFonts w:ascii="Times New Roman" w:hAnsi="Times New Roman"/>
                <w:sz w:val="24"/>
                <w:szCs w:val="24"/>
              </w:rPr>
            </w:pPr>
            <w:r w:rsidRPr="00204988">
              <w:rPr>
                <w:rFonts w:ascii="Times New Roman" w:hAnsi="Times New Roman"/>
                <w:sz w:val="24"/>
                <w:szCs w:val="24"/>
              </w:rPr>
              <w:t>Student cohorts at all levels in English are small, but I have collaborated closely with historian colleagues in particular, swelling the numbers of students on my modules. The impact and influence that my contribution has made on the design and delivery of the history curriculum, and therefore indirectly on my academic historian colleagues, is the subject of my second case study.</w:t>
            </w:r>
          </w:p>
          <w:p w14:paraId="2810CD58" w14:textId="31531EEC" w:rsidR="00204988" w:rsidRPr="00BD009A" w:rsidRDefault="00204988" w:rsidP="00204988">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related to teaching and supporting learning;</w:t>
            </w:r>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relevant publications and/or presentations;</w:t>
            </w:r>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incorporation of research, scholarship and/or professional practice into teaching and supporting learning;</w:t>
            </w:r>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Involvement in teaching and learning initiatives</w:t>
            </w:r>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institutional/nationally funded projects;</w:t>
            </w:r>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small-medium scale investigations or awards;</w:t>
            </w:r>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work with professional bodies;</w:t>
            </w:r>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employability, assessment and feedback, retention, flexible learning, education for sustainability;</w:t>
            </w:r>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dissemination of teaching and learning related expertise;</w:t>
            </w:r>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teaching prizes, fellowships, institutional awards for innovation;</w:t>
            </w:r>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dvisory, support, co-ordination roles in teaching and supporting learning;</w:t>
            </w:r>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leadership and management roles;</w:t>
            </w:r>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working with colleagues to develop inclusive practice and ensure accessibility of learning for all students;</w:t>
            </w:r>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mentor roles in professional development programmes for new and inexperienced staff;</w:t>
            </w:r>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workshops/seminars;</w:t>
            </w:r>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publications/documents;</w:t>
            </w:r>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supervising the development of teaching assistants and research students in their learning support or teaching roles;</w:t>
            </w:r>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creating and sharing relevant CPD or learning resources and materials internally and externally;</w:t>
            </w:r>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Leadership, management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teaching/quality enhancement committees;</w:t>
            </w:r>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programme design, approval and review process;</w:t>
            </w:r>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quality assurance roles and responsibilities;</w:t>
            </w:r>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contributing to the development of strategy related to supporting learning and teaching;</w:t>
            </w:r>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254DDC9F" w14:textId="77777777" w:rsidR="004C1A66" w:rsidRDefault="004C1A66" w:rsidP="004C1A66">
            <w:pPr>
              <w:jc w:val="both"/>
              <w:rPr>
                <w:rFonts w:cs="Arial"/>
                <w:sz w:val="24"/>
                <w:szCs w:val="24"/>
              </w:rPr>
            </w:pPr>
          </w:p>
          <w:p w14:paraId="38557351" w14:textId="11627D2F"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From 2017 until 2019, I was the programme director of the BA English and BA Creative Writing. This included joint and combined honours and major/minor programmes with other disciplines. These were revalidated along with all undergraduate humanities programmes in 2018, as part of a wider initiative to teach and assess whole modules of learning in four-week blocks (A1). The revalidated English degrees were a creation of collaborative teamwork, but as director I sought to assure and enhance the quality of these programmes for the next five years in the face of the challenge</w:t>
            </w:r>
            <w:r w:rsidR="00137F10">
              <w:rPr>
                <w:rFonts w:ascii="Times New Roman" w:hAnsi="Times New Roman"/>
                <w:sz w:val="24"/>
                <w:szCs w:val="24"/>
              </w:rPr>
              <w:t>, among others,</w:t>
            </w:r>
            <w:r w:rsidRPr="00204988">
              <w:rPr>
                <w:rFonts w:ascii="Times New Roman" w:hAnsi="Times New Roman"/>
                <w:sz w:val="24"/>
                <w:szCs w:val="24"/>
              </w:rPr>
              <w:t xml:space="preserve"> that block teaching would significantly reduce the time students had to read longer texts (K6). I did this partly through </w:t>
            </w:r>
            <w:r w:rsidRPr="00204988">
              <w:rPr>
                <w:rFonts w:ascii="Times New Roman" w:hAnsi="Times New Roman"/>
                <w:sz w:val="24"/>
                <w:szCs w:val="24"/>
              </w:rPr>
              <w:lastRenderedPageBreak/>
              <w:t>influencing the curriculum design and development with my own teaching and learning practice and by supporting colleagues to bring their own effective practice to bear. At the same time, I was programme director of two MA and two MRes programmes in English and two MA programmes in creative writing. In the following, I seek to highlight those aspects of my practice that demonstrate a thorough understanding of integrated academic practice and my sustained influence and impact on the student learning experience particularly by influencing the practices of my peers within English either directly or indirectly through curricular planning. Although the emphasis of this reflection will be on aspects of my practice relating to UG revalidation and redesign, some reference will be made to my practice at PG level, including doctoral supervision. I also chair PhD vivas and probation panels (K6).</w:t>
            </w:r>
          </w:p>
          <w:p w14:paraId="4135BB0D" w14:textId="77777777" w:rsidR="00204988" w:rsidRPr="00204988" w:rsidRDefault="00204988" w:rsidP="00204988">
            <w:pPr>
              <w:spacing w:line="276" w:lineRule="auto"/>
              <w:rPr>
                <w:rFonts w:ascii="Times New Roman" w:hAnsi="Times New Roman"/>
                <w:sz w:val="24"/>
                <w:szCs w:val="24"/>
              </w:rPr>
            </w:pPr>
          </w:p>
          <w:p w14:paraId="4555A648"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The impact of my own ongoing professional learning on my practice has been the development of themes or trends which were most fully realised in the design of modules validated in 2018, and which have been taught during the five academic years since (A1). These characterise my practice from the design of programmes to the granular level of modular learning outcomes, content, and assessment. They include, but are not limited to, the following. (1) I foster the development of interdisciplinarity as a characteristic. (2) I enable student engagement with primary sources for learning and research by actualising and encouraging the more widespread inclusion of the materiality and history of the book as a physical artifact and means of textual transmission. (3) I seek to enhance the teaching and learning of critical theory, its integration within modules and programmes, and its synthesis with historicist approaches to literature. Case Study 1 firmly exemplifies distinctive aspects of the second of these themes, while Case Study II exemplifies aspects of the first and third.</w:t>
            </w:r>
          </w:p>
          <w:p w14:paraId="01D8F9B8" w14:textId="77777777" w:rsidR="00204988" w:rsidRPr="00204988" w:rsidRDefault="00204988" w:rsidP="00204988">
            <w:pPr>
              <w:spacing w:line="276" w:lineRule="auto"/>
              <w:rPr>
                <w:rFonts w:ascii="Times New Roman" w:hAnsi="Times New Roman"/>
                <w:sz w:val="24"/>
                <w:szCs w:val="24"/>
              </w:rPr>
            </w:pPr>
          </w:p>
          <w:p w14:paraId="7BF0A7FC" w14:textId="77777777" w:rsidR="00204988" w:rsidRPr="00204988" w:rsidRDefault="00204988" w:rsidP="00204988">
            <w:pPr>
              <w:spacing w:line="276" w:lineRule="auto"/>
              <w:rPr>
                <w:rFonts w:ascii="Times New Roman" w:hAnsi="Times New Roman"/>
                <w:sz w:val="24"/>
                <w:szCs w:val="24"/>
              </w:rPr>
            </w:pPr>
          </w:p>
          <w:p w14:paraId="5A696BD4"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(1)</w:t>
            </w:r>
          </w:p>
          <w:p w14:paraId="195A898C"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Interdisciplinarity is often seen as more characteristic of PG research than taught Masters or UG studies, which are frequently more discipline specific. I attend conferences, read and write books, articles, and reviews, and conduct research on early modern, mostly literary, texts (A5). I promote access to open learning resources by open access publishing and share content openly through modules on the VLE (V2). Research on Shakespeare, Donne, and Milton has directly informed my design (through module descriptors) of Error and Sweet Violence: Shakespeare and Renaissance Comedy and Tragedy (ESV), ‘A troubled unity’: Self, Society, and Civil War in Seventeenth-Century Literature (SSC), and The Well-Tempered Reader: Renaissance Poetics (WTR), at levels 5/6, all of which were validated in 2018, and of Epic, Religion, and Philosophy: Spenser and Milton (ERP) and Bodily Distempers and Passions of the Mind: Shakespeare and Donne (BDPM), at level 7 (A5, K1, V3). But the intended learning outcomes of all these modules include the ability to interrelate literature with other aspects of early modern culture and with social, political, intellectual, medical, or religious history. This was an important early consideration in our ‘logical’ curriculum development for revalidation (Stefani 2009: 40, 50; QAA 2015: 7; UWTSD 2018: 5; Mackh 2018). Formal internal evaluation of my courses indicates that students find my interdisciplinary approach ‘challenging and extremely enjoyable and interesting’ (K5). A former level 7 student of ERP and BDPM, in his dissertation applied an interdisciplinary methodology to ‘a close reading of the line structure’ in ‘Prothalamion’ which led to ‘a clearer understanding of Spenser’s concern with the passage of time’ only after a careful assessment of the historical context (K5). </w:t>
            </w:r>
          </w:p>
          <w:p w14:paraId="415B780E" w14:textId="77777777" w:rsidR="00204988" w:rsidRPr="00204988" w:rsidRDefault="00204988" w:rsidP="00204988">
            <w:pPr>
              <w:spacing w:line="276" w:lineRule="auto"/>
              <w:rPr>
                <w:rFonts w:ascii="Times New Roman" w:hAnsi="Times New Roman"/>
                <w:sz w:val="24"/>
                <w:szCs w:val="24"/>
              </w:rPr>
            </w:pPr>
          </w:p>
          <w:p w14:paraId="6D1993C4"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A PhD supervisee describes me as ‘enriching the literature through history’. This ‘deep and detailed subject knowledge’ is used ‘both to guide and to teach and this inspires confidence’ (A2, K1). I have been described by students as ‘very good at condensing large amounts of information into digestible chunks’ </w:t>
            </w:r>
            <w:r w:rsidRPr="00204988">
              <w:rPr>
                <w:rFonts w:ascii="Times New Roman" w:hAnsi="Times New Roman"/>
                <w:sz w:val="24"/>
                <w:szCs w:val="24"/>
              </w:rPr>
              <w:lastRenderedPageBreak/>
              <w:t xml:space="preserve">and making ‘complex concepts understandable and interesting’ (K5). Paradoxically, however, the development of interdisciplinary inquiry within my teaching has fostered a less overtly authoritative teaching style, one in which lectures are less formal and more interactive, eliciting responses from students to questions (K2). This fits with teaching literature, which is itself dialogic (Kolb 1984: 37). According to academic peer observers, I make the best use of student responses and cultivate a relaxed, yet intense, learning environment, in which students have time to reflect (A4, K5) (Gibbs 1992; Tishman et al. 1993: 151). It is important in this approach to be reflective-in-action, capable of changing tack, and knowing when and how to respond (Brockbank &amp; McGill 2003). </w:t>
            </w:r>
          </w:p>
          <w:p w14:paraId="0946A883" w14:textId="77777777" w:rsidR="00204988" w:rsidRPr="00204988" w:rsidRDefault="00204988" w:rsidP="00204988">
            <w:pPr>
              <w:spacing w:line="276" w:lineRule="auto"/>
              <w:rPr>
                <w:rFonts w:ascii="Times New Roman" w:hAnsi="Times New Roman"/>
                <w:sz w:val="24"/>
                <w:szCs w:val="24"/>
              </w:rPr>
            </w:pPr>
          </w:p>
          <w:p w14:paraId="76BB690D"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Qualitative evidence of the impact of this on students is in their feedback. One writes: ‘Dr Mitchell approaches teaching quietly and calmly and is known to get on the level of his students; rather than traditional lecturing, Dr Mitchell sits amongst his class and reads alongside them, offering guidance and assistance when needed.’ This student ‘personally attest[s] to benefiting from this teaching style, which allows the student to ask more questions and delve deeper into the lecture material’ (K2, K5) (Donovan, et al. 2009: 15; Mackh 2018; Pedrosa-de-Jesus et al. 2019). Less confident students and those whose English is not so proficient more readily engage, which contributes to retention (K3, V4). I am described as providing a ‘calming presence’ and students remark on ‘the polite care and interest [I show] in each student’, the ‘reassurance and guidance in every area’ (V1).</w:t>
            </w:r>
          </w:p>
          <w:p w14:paraId="0EBA1229" w14:textId="77777777" w:rsidR="00204988" w:rsidRPr="00204988" w:rsidRDefault="00204988" w:rsidP="00204988">
            <w:pPr>
              <w:spacing w:line="276" w:lineRule="auto"/>
              <w:rPr>
                <w:rFonts w:ascii="Times New Roman" w:hAnsi="Times New Roman"/>
                <w:sz w:val="24"/>
                <w:szCs w:val="24"/>
              </w:rPr>
            </w:pPr>
          </w:p>
          <w:p w14:paraId="13575AE1"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Where appropriate, I provide additional individual or small group tuition for international students who did not experience a UK school curriculum or who seek to adjust to the expectations of HE in the UK (V1). I have flexibly modified arrangements and modes of teaching to promote participation and equality of opportunity for students, for example, in other time zones or with caring responsibilities (V2). A PhD supervisee observes that ‘one feels completely supported’ intellectually, and that I am ‘very emotionally constructive’ (Gibbs 1988: 19; Stefani 2009: 48). She describes me as ‘an excellent listener’ who ‘knows exactly when and how to be more instructive’ (K3, V1).</w:t>
            </w:r>
          </w:p>
          <w:p w14:paraId="1946351E" w14:textId="77777777" w:rsidR="00204988" w:rsidRPr="00204988" w:rsidRDefault="00204988" w:rsidP="00204988">
            <w:pPr>
              <w:spacing w:line="276" w:lineRule="auto"/>
              <w:rPr>
                <w:rFonts w:ascii="Times New Roman" w:hAnsi="Times New Roman"/>
                <w:sz w:val="24"/>
                <w:szCs w:val="24"/>
              </w:rPr>
            </w:pPr>
          </w:p>
          <w:p w14:paraId="35708F66"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The revalidation of the English curriculum spurred a raft of action research teaching interventions and experiential learning cycles (A5, K6) (Kolb 1984; Gibbs 1988: 15; Brockbank &amp; McGill 2003). A method of seeking to achieve depth of learning that I shared with colleagues through presentations prior to revalidation is the organisation of knowledge into patterns around core and threshold concepts, which, deeply understood, facilitate the recognition and interpretation of meaningful patterns in related contexts both inside and outside the discipline (A5) (Donovan, et al. 2009: 12, 16). I Initially researched this through an intervention in a level 4 module on Renaissance Lyric which had the objective of embedding contextual knowledge for later study, but I felt that its earlier cohort of students</w:t>
            </w:r>
            <w:r w:rsidRPr="00204988">
              <w:rPr>
                <w:rFonts w:ascii="Times New Roman" w:hAnsi="Times New Roman"/>
                <w:spacing w:val="-3"/>
                <w:sz w:val="24"/>
                <w:szCs w:val="24"/>
              </w:rPr>
              <w:t xml:space="preserve"> avoided complexity, difficulty, and unfamiliarity and consequently underperformed in assessment. The value and effectiveness of the intervention was evident in the enhanced performance of students (K5, V3). I subsequently embedded this in other modules through revalidation, and it</w:t>
            </w:r>
            <w:r w:rsidRPr="00204988">
              <w:rPr>
                <w:rFonts w:ascii="Times New Roman" w:hAnsi="Times New Roman"/>
                <w:sz w:val="24"/>
                <w:szCs w:val="24"/>
              </w:rPr>
              <w:t xml:space="preserve"> informed the programme team’s design of the degree syllabus.</w:t>
            </w:r>
          </w:p>
          <w:p w14:paraId="3A3A0B2E" w14:textId="77777777" w:rsidR="00204988" w:rsidRPr="00204988" w:rsidRDefault="00204988" w:rsidP="00204988">
            <w:pPr>
              <w:spacing w:line="276" w:lineRule="auto"/>
              <w:rPr>
                <w:rFonts w:ascii="Times New Roman" w:hAnsi="Times New Roman"/>
                <w:sz w:val="24"/>
                <w:szCs w:val="24"/>
              </w:rPr>
            </w:pPr>
          </w:p>
          <w:p w14:paraId="5FCBB65B"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There is a tension in my practice, which I have not resolved. A former student remarked:</w:t>
            </w:r>
          </w:p>
          <w:p w14:paraId="251FA850"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‘Dr Mitchell is always meticulously organised. His course content consistently includes extensive bibliographies and material, particularly to original sources and archival materials.’ </w:t>
            </w:r>
            <w:r w:rsidRPr="00204988">
              <w:rPr>
                <w:rFonts w:ascii="Times New Roman" w:hAnsi="Times New Roman"/>
                <w:spacing w:val="-3"/>
                <w:sz w:val="24"/>
                <w:szCs w:val="24"/>
              </w:rPr>
              <w:t>Students find i</w:t>
            </w:r>
            <w:r w:rsidRPr="00204988">
              <w:rPr>
                <w:rFonts w:ascii="Times New Roman" w:hAnsi="Times New Roman"/>
                <w:sz w:val="24"/>
                <w:szCs w:val="24"/>
              </w:rPr>
              <w:t xml:space="preserve">ntrinsic difficulty more readily surmountable because of my </w:t>
            </w:r>
            <w:r w:rsidRPr="00204988">
              <w:rPr>
                <w:rFonts w:ascii="Times New Roman" w:hAnsi="Times New Roman"/>
                <w:spacing w:val="-3"/>
                <w:sz w:val="24"/>
                <w:szCs w:val="24"/>
              </w:rPr>
              <w:t xml:space="preserve">‘organisation of the content’, which is typically described as </w:t>
            </w:r>
            <w:r w:rsidRPr="00204988">
              <w:rPr>
                <w:rFonts w:ascii="Times New Roman" w:hAnsi="Times New Roman"/>
                <w:sz w:val="24"/>
                <w:szCs w:val="24"/>
              </w:rPr>
              <w:t xml:space="preserve">‘very well structured, methodical’, ‘thorough’, ‘logical’, ‘coherent’. External examiners have also been ‘impressed by the care and detail evident in the structure, organisation and design’ (K5) (Stefani 2009: 50). Yet this often feels like much more than a form of scaffolding to support the learner until they </w:t>
            </w:r>
            <w:r w:rsidRPr="00204988">
              <w:rPr>
                <w:rFonts w:ascii="Times New Roman" w:hAnsi="Times New Roman"/>
                <w:sz w:val="24"/>
                <w:szCs w:val="24"/>
              </w:rPr>
              <w:lastRenderedPageBreak/>
              <w:t>are ready to progress on their own and for their learning to stand independently (A5) (Vygotsky 1962). I am conscious that learners construct their own meanings; I want to encourage that (A5) (Kolb 1984: 29, 36; Biggs 2003: 1). The idea that language is a conduit for the transmission of meaning is a misleading metaphor for education (Tishman et al. 1993: 149). Yet the ‘alignment’ aspect of ‘constructive alignment’, whereby a learning environment is created that ‘supports the learning activities appropriate to achieving the desired outcomes’ requires a hands-on approach (A4, K2) (Kolb 1984: 34-36; Gibbs 1988: 19; Biggs 2003: 2).</w:t>
            </w:r>
          </w:p>
          <w:p w14:paraId="4A88C414" w14:textId="77777777" w:rsidR="00204988" w:rsidRPr="00204988" w:rsidRDefault="00204988" w:rsidP="00204988">
            <w:pPr>
              <w:spacing w:line="276" w:lineRule="auto"/>
              <w:rPr>
                <w:rFonts w:ascii="Times New Roman" w:hAnsi="Times New Roman"/>
                <w:sz w:val="24"/>
                <w:szCs w:val="24"/>
              </w:rPr>
            </w:pPr>
          </w:p>
          <w:p w14:paraId="7BD703E3"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So, I teach a lot by guided discovery, as the questioning approach discussed above, and the project approach described in my first case study show. My aim is to cultivate the dispositions – inclinations, sensitivities, abilities – that are beneficial to good thinking and reading, by enculturation (literary exemplars, interaction, and instruction) and by engaging, moving, convincing (A5, K2) (Perkins et al. 1993; Tishman et al. 1993: 149-150). Out of respect for individual learning differences, I provide learning materials digitally and in print, wherever practicable, and in different font sizes or colours where advised (V1). My lecture handouts are detailed. While these can deter students from making notes, they help students focus on what they feel they need to make notes about (K2). Similarly detailed are my module timetables providing guidance on the structure and core concepts of every lecture, seminar, and workshop (K2). The chart of core concepts gives students points of reference for the module, enabling them to think about parts and wholes at the same time, since the brain is a parallel processor not a sequential processor (A5) (Biggs 2003). Students who thrive in structured patterns of education particularly value these aids to learning (V1).</w:t>
            </w:r>
          </w:p>
          <w:p w14:paraId="02BD0664" w14:textId="77777777" w:rsidR="00204988" w:rsidRPr="00204988" w:rsidRDefault="00204988" w:rsidP="00204988">
            <w:pPr>
              <w:spacing w:line="276" w:lineRule="auto"/>
              <w:rPr>
                <w:rFonts w:ascii="Times New Roman" w:hAnsi="Times New Roman"/>
                <w:sz w:val="24"/>
                <w:szCs w:val="24"/>
              </w:rPr>
            </w:pPr>
          </w:p>
          <w:p w14:paraId="28AAE599"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 use appropriate learning technologies to engineer and encourage independent and active engagement in learning (K4). I design opportunities for students to express ideas publicly, respond, and collaborate through blog-style discussion fora on VLEs. These have been especially constructive in fostering learning communities in asynchronous online distance-learning modules at level 7, such as Literary Research Methods (LRM) (A1, A2, V1). On these modules, I support students individually and in small groups using online mentoring and tutoring (A4, K2). I have undertaken CPD to facilitate simultaneous in-person and online synchronous teaching and learning in Theoretical Approaches to Texts (TAT) and Language Variation and Change (LVR), at level 7 (A5, K4). Some learning activities support the development of students’ general digital capabilities (A1). In ESV, at levels 5/6, the Written Exercise on Early Textual History and Performance assesses the standard of students’ competence deriving and interpreting bibliographical information from digital facsimiles on Early English Books Online (EEBO). This module exemplifies the diversity of online resources I offer to support and engage students, from </w:t>
            </w:r>
            <w:hyperlink r:id="rId16" w:history="1">
              <w:r w:rsidRPr="00204988">
                <w:rPr>
                  <w:rStyle w:val="Hyperlink"/>
                  <w:rFonts w:ascii="Times New Roman" w:hAnsi="Times New Roman"/>
                  <w:sz w:val="24"/>
                  <w:szCs w:val="24"/>
                </w:rPr>
                <w:t>Shakespearean London Theatres (ShaLT)</w:t>
              </w:r>
            </w:hyperlink>
            <w:r w:rsidRPr="00204988">
              <w:rPr>
                <w:rFonts w:ascii="Times New Roman" w:hAnsi="Times New Roman"/>
                <w:sz w:val="24"/>
                <w:szCs w:val="24"/>
              </w:rPr>
              <w:t xml:space="preserve"> to </w:t>
            </w:r>
            <w:hyperlink r:id="rId17" w:history="1">
              <w:r w:rsidRPr="00204988">
                <w:rPr>
                  <w:rStyle w:val="Hyperlink"/>
                  <w:rFonts w:ascii="Times New Roman" w:hAnsi="Times New Roman"/>
                  <w:sz w:val="24"/>
                  <w:szCs w:val="24"/>
                </w:rPr>
                <w:t>Shakespeare Documented at the Folger Library</w:t>
              </w:r>
            </w:hyperlink>
            <w:r w:rsidRPr="00204988">
              <w:rPr>
                <w:rFonts w:ascii="Times New Roman" w:hAnsi="Times New Roman"/>
                <w:sz w:val="24"/>
                <w:szCs w:val="24"/>
              </w:rPr>
              <w:t xml:space="preserve">, </w:t>
            </w:r>
            <w:hyperlink r:id="rId18" w:history="1">
              <w:r w:rsidRPr="00204988">
                <w:rPr>
                  <w:rStyle w:val="Hyperlink"/>
                  <w:rFonts w:ascii="Times New Roman" w:hAnsi="Times New Roman"/>
                  <w:sz w:val="24"/>
                  <w:szCs w:val="24"/>
                </w:rPr>
                <w:t>the Journal of the Northern Renaissance</w:t>
              </w:r>
            </w:hyperlink>
            <w:r w:rsidRPr="00204988">
              <w:rPr>
                <w:rFonts w:ascii="Times New Roman" w:hAnsi="Times New Roman"/>
                <w:sz w:val="24"/>
                <w:szCs w:val="24"/>
              </w:rPr>
              <w:t>, recordings of Globe Theatre productions, and digitized copies of the Stationers’ Registers and the First Folio (A1, A2). These are critically evaluated and demonstrated in class to support students in their use (A4, K4). Colleagues similarly introduced more digital resources to teaching and learning through the revalidation, and this characterised the entire English curriculum (K6). As Library Officer for academic staff, I liaise with library staff on the enhancement of learning resources and the trial of new digital resources for teaching and learning in the humanities (K1, K4).</w:t>
            </w:r>
          </w:p>
          <w:p w14:paraId="3F36EC10" w14:textId="77777777" w:rsidR="00204988" w:rsidRPr="00204988" w:rsidRDefault="00204988" w:rsidP="00204988">
            <w:pPr>
              <w:spacing w:line="276" w:lineRule="auto"/>
              <w:rPr>
                <w:rFonts w:ascii="Times New Roman" w:hAnsi="Times New Roman"/>
                <w:sz w:val="24"/>
                <w:szCs w:val="24"/>
              </w:rPr>
            </w:pPr>
          </w:p>
          <w:p w14:paraId="390AE540"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In redesigning modules for validation, I deliberately selected assessment methods that would align with intended learning outcomes (V3) (Biggs 2003: 2). For example, the interest in enabling students to discover and interpret extends to them conducting independent research for 'research essays’ in WTR, at levels 5/6, and in BDPM and TAT, at level 7 (A3, A5) (UWTSD 2018: 5). Essay questions may oblige </w:t>
            </w:r>
            <w:r w:rsidRPr="00204988">
              <w:rPr>
                <w:rFonts w:ascii="Times New Roman" w:hAnsi="Times New Roman"/>
                <w:sz w:val="24"/>
                <w:szCs w:val="24"/>
              </w:rPr>
              <w:lastRenderedPageBreak/>
              <w:t>students to study non-literary, medical or philosophical, texts that are contemporaneous with the literary texts studied in class. There are also more technically focused bibliographical and book-historical exercises in ESV and The Book, the Body, and the World: Renaissance Humanism, Medicine, and Exploration (BBW), at levels 5/6, and LRM, at level 7 (A3). As a result of these interventions, one former Medieval Studies student testifies: ‘Assessments have taken the form of formal examinations, essays, group work, and portfolios of smaller papers.’ Their variety gives opportunity to different learner types or styles (V1, A5) (Honey &amp; Mumford n.d.; Race 2020: 60). External examiners also deem the range of assessment ‘appropriate, with modules carefully designed, structured and organized’ in constructive alignment (K5).</w:t>
            </w:r>
          </w:p>
          <w:p w14:paraId="72098E01" w14:textId="77777777" w:rsidR="00204988" w:rsidRPr="00204988" w:rsidRDefault="00204988" w:rsidP="00204988">
            <w:pPr>
              <w:spacing w:line="276" w:lineRule="auto"/>
              <w:rPr>
                <w:rFonts w:ascii="Times New Roman" w:hAnsi="Times New Roman"/>
                <w:sz w:val="24"/>
                <w:szCs w:val="24"/>
              </w:rPr>
            </w:pPr>
          </w:p>
          <w:p w14:paraId="7399C0AF"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While I set ‘the bar for intellectual achievement’ ‘commendably high’, my feedback to students is said by external examiners to emphasise its ‘formative and constructive’ function and to be not only ‘consistent’ but ‘unflaggingly helpful and relevant, setting out how to improve performance in a clear and practical manner’ (A3, K5) (Dochy et al. 2007: 89-91).</w:t>
            </w:r>
          </w:p>
          <w:p w14:paraId="6C81F162" w14:textId="77777777" w:rsidR="00204988" w:rsidRPr="00204988" w:rsidRDefault="00204988" w:rsidP="00204988">
            <w:pPr>
              <w:spacing w:line="276" w:lineRule="auto"/>
              <w:rPr>
                <w:rFonts w:ascii="Times New Roman" w:hAnsi="Times New Roman"/>
                <w:sz w:val="24"/>
                <w:szCs w:val="24"/>
              </w:rPr>
            </w:pPr>
          </w:p>
          <w:p w14:paraId="50162786" w14:textId="77777777" w:rsidR="00204988" w:rsidRPr="00204988" w:rsidRDefault="00204988" w:rsidP="00204988">
            <w:pPr>
              <w:spacing w:line="276" w:lineRule="auto"/>
              <w:rPr>
                <w:rFonts w:ascii="Times New Roman" w:hAnsi="Times New Roman"/>
                <w:sz w:val="24"/>
                <w:szCs w:val="24"/>
              </w:rPr>
            </w:pPr>
          </w:p>
          <w:p w14:paraId="7CF7214F"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(2)</w:t>
            </w:r>
          </w:p>
          <w:p w14:paraId="2FC5C78A"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Student engagement with primary sources, such as early editions of texts, is not entirely separate from theme 1. A former MA student thought that ‘the most important aspect of [my] teaching is the understanding that a literary work is a cultural artifact. This breaks down into […] two aspects; the physical aspects of the literary work, its materiality [which is theme 2], and what the writing tells us about the preoccupations and concerns of the time’, which was part of theme 1 (K5).</w:t>
            </w:r>
          </w:p>
          <w:p w14:paraId="5184CC14" w14:textId="77777777" w:rsidR="00204988" w:rsidRPr="00204988" w:rsidRDefault="00204988" w:rsidP="00204988">
            <w:pPr>
              <w:spacing w:line="276" w:lineRule="auto"/>
              <w:rPr>
                <w:rFonts w:ascii="Times New Roman" w:hAnsi="Times New Roman"/>
                <w:sz w:val="24"/>
                <w:szCs w:val="24"/>
              </w:rPr>
            </w:pPr>
          </w:p>
          <w:p w14:paraId="6E95F806"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After attending CPD events on teaching interventions through action research, I introduced the history of the regulation of printing to the study of Milton’s </w:t>
            </w:r>
            <w:bookmarkStart w:id="0" w:name="_Hlk172990430"/>
            <w:r w:rsidRPr="00204988">
              <w:rPr>
                <w:rFonts w:ascii="Times New Roman" w:hAnsi="Times New Roman"/>
                <w:i/>
                <w:iCs/>
                <w:sz w:val="24"/>
                <w:szCs w:val="24"/>
              </w:rPr>
              <w:t>Areopagitica</w:t>
            </w:r>
            <w:bookmarkEnd w:id="0"/>
            <w:r w:rsidRPr="00204988">
              <w:rPr>
                <w:rFonts w:ascii="Times New Roman" w:hAnsi="Times New Roman"/>
                <w:sz w:val="24"/>
                <w:szCs w:val="24"/>
              </w:rPr>
              <w:t xml:space="preserve">, a tract on pre-publication licensing, in WTR, which I assessed partly by a bibliographical essay on editions of Milton’s Divorce Tracts, </w:t>
            </w:r>
            <w:r w:rsidRPr="00204988">
              <w:rPr>
                <w:rFonts w:ascii="Times New Roman" w:hAnsi="Times New Roman"/>
                <w:i/>
                <w:iCs/>
                <w:sz w:val="24"/>
                <w:szCs w:val="24"/>
              </w:rPr>
              <w:t>Paradise Lost</w:t>
            </w:r>
            <w:r w:rsidRPr="00204988">
              <w:rPr>
                <w:rFonts w:ascii="Times New Roman" w:hAnsi="Times New Roman"/>
                <w:sz w:val="24"/>
                <w:szCs w:val="24"/>
              </w:rPr>
              <w:t xml:space="preserve">, or the minor poems, which students encountered in their concrete bookhood in the Roderic Bowen Library and Archives (RBLA), and to which students were required to transfer their learning of core concepts from the study of </w:t>
            </w:r>
            <w:r w:rsidRPr="00204988">
              <w:rPr>
                <w:rFonts w:ascii="Times New Roman" w:hAnsi="Times New Roman"/>
                <w:i/>
                <w:iCs/>
                <w:sz w:val="24"/>
                <w:szCs w:val="24"/>
              </w:rPr>
              <w:t>Areopagitica</w:t>
            </w:r>
            <w:r w:rsidRPr="00204988">
              <w:rPr>
                <w:rFonts w:ascii="Times New Roman" w:hAnsi="Times New Roman"/>
                <w:sz w:val="24"/>
                <w:szCs w:val="24"/>
              </w:rPr>
              <w:t xml:space="preserve"> (A3, A5, V3) (QAA 2015: 7). This active experiment in experiential learning led one student of English to make the highly unusual choice to write a bibliographical final-year dissertation (on Newton’s 1749 edition of </w:t>
            </w:r>
            <w:r w:rsidRPr="00204988">
              <w:rPr>
                <w:rFonts w:ascii="Times New Roman" w:hAnsi="Times New Roman"/>
                <w:i/>
                <w:iCs/>
                <w:sz w:val="24"/>
                <w:szCs w:val="24"/>
              </w:rPr>
              <w:t>Paradise Lost</w:t>
            </w:r>
            <w:r w:rsidRPr="00204988">
              <w:rPr>
                <w:rFonts w:ascii="Times New Roman" w:hAnsi="Times New Roman"/>
                <w:sz w:val="24"/>
                <w:szCs w:val="24"/>
              </w:rPr>
              <w:t xml:space="preserve">) and several to volunteer in the RBLA (A5, K5) (Kolb 1984). </w:t>
            </w:r>
          </w:p>
          <w:p w14:paraId="0A58F971" w14:textId="77777777" w:rsidR="00204988" w:rsidRPr="00204988" w:rsidRDefault="00204988" w:rsidP="00204988">
            <w:pPr>
              <w:spacing w:line="276" w:lineRule="auto"/>
              <w:rPr>
                <w:rFonts w:ascii="Times New Roman" w:hAnsi="Times New Roman"/>
                <w:sz w:val="24"/>
                <w:szCs w:val="24"/>
              </w:rPr>
            </w:pPr>
          </w:p>
          <w:p w14:paraId="12660FE3"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Having attended a CPD session on linking research and teaching, my concerns to understand, maintain, and develop this link have led not only to research-informed teaching but to encouraging an informed </w:t>
            </w:r>
            <w:r w:rsidRPr="00204988">
              <w:rPr>
                <w:rFonts w:ascii="Times New Roman" w:hAnsi="Times New Roman"/>
                <w:color w:val="000000"/>
                <w:sz w:val="24"/>
                <w:szCs w:val="24"/>
              </w:rPr>
              <w:t>appreciation of the physical medium of transmitted texts and the relevance of the historical conditions of production to the interpretation of literary works (A5, V3) (</w:t>
            </w:r>
            <w:r w:rsidRPr="00204988">
              <w:rPr>
                <w:rFonts w:ascii="Times New Roman" w:hAnsi="Times New Roman"/>
                <w:sz w:val="24"/>
                <w:szCs w:val="24"/>
              </w:rPr>
              <w:t>Marshall 2009: 151; QAA 2015: 7</w:t>
            </w:r>
            <w:r w:rsidRPr="00204988">
              <w:rPr>
                <w:rFonts w:ascii="Times New Roman" w:hAnsi="Times New Roman"/>
                <w:color w:val="000000"/>
                <w:sz w:val="24"/>
                <w:szCs w:val="24"/>
              </w:rPr>
              <w:t>).</w:t>
            </w:r>
            <w:r w:rsidRPr="00204988">
              <w:rPr>
                <w:rFonts w:ascii="Times New Roman" w:hAnsi="Times New Roman"/>
                <w:sz w:val="24"/>
                <w:szCs w:val="24"/>
              </w:rPr>
              <w:t xml:space="preserve"> Students of LRM, at level 7, learn about the history, practices, and terminology of textual editing, in order to appreciate how it affects the literary texts that they study (K1). The effectiveness of using primary sources is suggested by a former student’s remark that ‘how the poem appears on the page in the original […] can be a revelation’ (K2, K5). </w:t>
            </w:r>
          </w:p>
          <w:p w14:paraId="707C34E7" w14:textId="77777777" w:rsidR="00204988" w:rsidRPr="00204988" w:rsidRDefault="00204988" w:rsidP="00204988">
            <w:pPr>
              <w:spacing w:line="276" w:lineRule="auto"/>
              <w:rPr>
                <w:rFonts w:ascii="Times New Roman" w:hAnsi="Times New Roman"/>
                <w:sz w:val="24"/>
                <w:szCs w:val="24"/>
              </w:rPr>
            </w:pPr>
          </w:p>
          <w:p w14:paraId="68068005"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 introduced a bibliographical exercise in BBW to support and assess student learning in the topic of Renaissance humanism and the development of printing. To prepare students for this unusual exercise, I devised a practical session with a suitable early printed book, to guide students through the signatures to understand how the leaves were gathered in a particular format (K2). The Special Collections Archivist </w:t>
            </w:r>
            <w:r w:rsidRPr="00204988">
              <w:rPr>
                <w:rFonts w:ascii="Times New Roman" w:hAnsi="Times New Roman"/>
                <w:sz w:val="24"/>
                <w:szCs w:val="24"/>
              </w:rPr>
              <w:lastRenderedPageBreak/>
              <w:t xml:space="preserve">was ‘struck by how effective the practical session’ was and said she ‘will keep it in mind when [she is] working with students in the future’ (K5). </w:t>
            </w:r>
          </w:p>
          <w:p w14:paraId="5C6A34A1" w14:textId="77777777" w:rsidR="00204988" w:rsidRPr="00204988" w:rsidRDefault="00204988" w:rsidP="00204988">
            <w:pPr>
              <w:spacing w:line="276" w:lineRule="auto"/>
              <w:rPr>
                <w:rFonts w:ascii="Times New Roman" w:hAnsi="Times New Roman"/>
                <w:sz w:val="24"/>
                <w:szCs w:val="24"/>
              </w:rPr>
            </w:pPr>
          </w:p>
          <w:p w14:paraId="7171E525" w14:textId="77777777" w:rsidR="00204988" w:rsidRPr="00204988" w:rsidRDefault="00204988" w:rsidP="00204988">
            <w:pPr>
              <w:spacing w:line="276" w:lineRule="auto"/>
              <w:rPr>
                <w:rFonts w:ascii="Times New Roman" w:hAnsi="Times New Roman"/>
                <w:sz w:val="24"/>
                <w:szCs w:val="24"/>
              </w:rPr>
            </w:pPr>
          </w:p>
          <w:p w14:paraId="3970A26B" w14:textId="77777777" w:rsidR="00204988" w:rsidRPr="00204988" w:rsidRDefault="00204988" w:rsidP="00204988">
            <w:pPr>
              <w:spacing w:line="276" w:lineRule="auto"/>
              <w:jc w:val="center"/>
              <w:rPr>
                <w:rFonts w:ascii="Times New Roman" w:hAnsi="Times New Roman"/>
                <w:sz w:val="24"/>
                <w:szCs w:val="24"/>
              </w:rPr>
            </w:pPr>
            <w:r w:rsidRPr="00204988">
              <w:rPr>
                <w:rFonts w:ascii="Times New Roman" w:hAnsi="Times New Roman"/>
                <w:sz w:val="24"/>
                <w:szCs w:val="24"/>
              </w:rPr>
              <w:t>(3)</w:t>
            </w:r>
          </w:p>
          <w:p w14:paraId="3113C4F4"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Students of English Literature and particularly Creative Writing frequently find critical theory difficult. They are not abstract disciplines, but are characterised by the example, which is often narrative (K3). Yet my programme team was firmly agreed that theory should be compulsory, because the evidence of experience strongly suggests that understanding it deepens learning of literature (K6, V3) (UWTSD 2018: 5; QAA 2015: 7). So, I designed two modules (A1). In The Study of Literature: Text and Theory (SLT), at level 4, and Psyche, Text, and Society: Critical and Cultural Theory, at levels 5/6, I provide opportunities for learners to select to be assessed by an essay or a creative writing exercise, the latter requiring them to apply rather than explain their learning (K2, V2). SLT being at level 4, I also provide an in-block session on essay writing, a complex art requiring synthesis of learning (A3) (Race 2020: 20-22). I designed this module to orientate students who had no formal education beyond compulsory school age in English, by eliciting from them their pre-existing understanding of key critical concepts (V1, V4) (Kolb 1984: 28-29; Donovan, et al. 2009: 10). As students become more confident thinking about theory in this module, they are required to apply it to the set literary texts increasingly independently of guidance (K2, K3) (QAA 2015: 7). I wrote the syllabus of PTS as a narrative (K3). Whereas upon successful completion of the module, a student should be able to demonstrate a systematic and critical understanding of a range of modern critical theories, they learn these by way of psychoanalytic theory’s encounters with other critical theories over the course of time.</w:t>
            </w:r>
          </w:p>
          <w:p w14:paraId="5E779590" w14:textId="77777777" w:rsidR="00204988" w:rsidRPr="00204988" w:rsidRDefault="00204988" w:rsidP="00204988">
            <w:pPr>
              <w:spacing w:line="276" w:lineRule="auto"/>
              <w:rPr>
                <w:rFonts w:ascii="Times New Roman" w:hAnsi="Times New Roman"/>
                <w:sz w:val="24"/>
                <w:szCs w:val="24"/>
              </w:rPr>
            </w:pPr>
          </w:p>
          <w:p w14:paraId="2CB195BF"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In PTS, as well as SSC and BBW, summative assessment is partly by oral and digital presentations, which are high on authenticity and effect student learning through teaching their peers (A3, K4) (Race 2020: 39-40). In the level 7 modules LRM and TAT, presentations are used formatively with feedback to increase competence and understanding for summative assessment (A3, K2) (Donovan, et al. 2009: 15). I also encourage students to comment on each other’s formative exercises in LRM, though I have not mustered the courage to shift the focus from staff assessment of outcomes of learning to peer-assessment or student self-assessment, because I worry that the standard of competence being tested will change (A5) (Dochy et al. 2007). For all summative assessment methods that I design, draft submission links support students to understand the reports from Turnitin and use them developmentally (A3, K4). I make reasonable adjustments to assessment in accordance with the University’s individualised student support and with awareness of our obligations towards students with disabilities under the Equality Act 2010, as interpreted by courts in cases such as </w:t>
            </w:r>
            <w:r w:rsidRPr="00204988">
              <w:rPr>
                <w:rFonts w:ascii="Times New Roman" w:hAnsi="Times New Roman"/>
                <w:i/>
                <w:iCs/>
                <w:sz w:val="24"/>
                <w:szCs w:val="24"/>
              </w:rPr>
              <w:t>Abrahart v University of Bristol</w:t>
            </w:r>
            <w:r w:rsidRPr="00204988">
              <w:rPr>
                <w:rFonts w:ascii="Times New Roman" w:hAnsi="Times New Roman"/>
                <w:sz w:val="24"/>
                <w:szCs w:val="24"/>
              </w:rPr>
              <w:t xml:space="preserve"> [2024] EWHC 299. The judgment in this case clarified the law whereby an indirectly discriminatory assessment method can only be excluded from the duty to make reasonable adjustments if it cannot be separated from the competence standard(s) it is assessing, and it must be a proportionate means of achieving a legitimate aim (A5, V2, V4).</w:t>
            </w:r>
          </w:p>
          <w:p w14:paraId="33CA9176" w14:textId="77777777" w:rsidR="00204988" w:rsidRPr="00204988" w:rsidRDefault="00204988" w:rsidP="00204988">
            <w:pPr>
              <w:spacing w:line="276" w:lineRule="auto"/>
              <w:rPr>
                <w:rFonts w:ascii="Times New Roman" w:hAnsi="Times New Roman"/>
                <w:sz w:val="24"/>
                <w:szCs w:val="24"/>
              </w:rPr>
            </w:pPr>
          </w:p>
          <w:p w14:paraId="7D3B23DF" w14:textId="77777777" w:rsidR="00204988" w:rsidRPr="00204988" w:rsidRDefault="00204988" w:rsidP="00204988">
            <w:pPr>
              <w:spacing w:line="276" w:lineRule="auto"/>
              <w:rPr>
                <w:rFonts w:ascii="Times New Roman" w:hAnsi="Times New Roman"/>
                <w:sz w:val="24"/>
                <w:szCs w:val="24"/>
              </w:rPr>
            </w:pPr>
            <w:r w:rsidRPr="00204988">
              <w:rPr>
                <w:rFonts w:ascii="Times New Roman" w:hAnsi="Times New Roman"/>
                <w:sz w:val="24"/>
                <w:szCs w:val="24"/>
              </w:rPr>
              <w:t xml:space="preserve">A PhD supervisee has said that my ability to help her ‘appreciate the complexities of the theories and how to apply them most effectively has been hugely impactful’ (K5). The social anthropologist Prof Tristan Platt observed to one of my MA dissertation supervisees ruminating on the theoretical </w:t>
            </w:r>
            <w:r w:rsidRPr="00204988">
              <w:rPr>
                <w:rFonts w:ascii="Times New Roman" w:hAnsi="Times New Roman"/>
                <w:i/>
                <w:iCs/>
                <w:sz w:val="24"/>
                <w:szCs w:val="24"/>
              </w:rPr>
              <w:t>and</w:t>
            </w:r>
            <w:r w:rsidRPr="00204988">
              <w:rPr>
                <w:rFonts w:ascii="Times New Roman" w:hAnsi="Times New Roman"/>
                <w:sz w:val="24"/>
                <w:szCs w:val="24"/>
              </w:rPr>
              <w:t xml:space="preserve"> historical difficulties of understanding early modern literature in the terms of early modern authors and readers, that the problem ‘resounds directly with the anthropological problem of understanding Others “in their own terms”’. Qualitatively, the remark implies the effectiveness of my supervision and its resonance, if not influence, across disciplines in the practice of an academic colleague (K5).</w:t>
            </w:r>
          </w:p>
          <w:p w14:paraId="174D2CCC" w14:textId="3C079BC5" w:rsidR="00204988" w:rsidRPr="00BD009A" w:rsidRDefault="00204988" w:rsidP="004C1A66">
            <w:pPr>
              <w:jc w:val="both"/>
              <w:rPr>
                <w:rFonts w:cs="Arial"/>
                <w:sz w:val="24"/>
                <w:szCs w:val="24"/>
              </w:rPr>
            </w:pP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r>
              <w:t>particular</w:t>
            </w:r>
            <w:r>
              <w:rPr>
                <w:spacing w:val="-13"/>
              </w:rPr>
              <w:t xml:space="preserve"> </w:t>
            </w:r>
            <w:r>
              <w:t>aspects</w:t>
            </w:r>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interact with others to ensure appropriate alignment of teaching, learning and assessment practices;</w:t>
            </w:r>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supported other colleagues to enhance their practices;</w:t>
            </w:r>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specific examples of how you have enhanced academic practice through coordinating/managing others;</w:t>
            </w:r>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your roles in learning and teaching projects and initiatives at departmental, institutional or in the wider HE context;</w:t>
            </w:r>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staff development activities you have facilitated (informal and formal) that enhance your colleagues’ abilities to meet the requirements of the UKPSF;</w:t>
            </w:r>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your contributions have promoted the student learning experience through professional development of staff under your influence and guidance e.g. through informal or formal mentoring arrangements;</w:t>
            </w:r>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steps you have taken to develop your own practice and how you have used your own experience to enable others to reflect on and critique their own practice;</w:t>
            </w:r>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C877F9">
            <w:pPr>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382CC43D">
        <w:trPr>
          <w:trHeight w:val="2835"/>
        </w:trPr>
        <w:tc>
          <w:tcPr>
            <w:tcW w:w="10456" w:type="dxa"/>
          </w:tcPr>
          <w:sdt>
            <w:sdtPr>
              <w:rPr>
                <w:rFonts w:cs="Arial"/>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Default="00C877F9" w:rsidP="00C877F9">
                <w:pPr>
                  <w:jc w:val="both"/>
                  <w:rPr>
                    <w:rFonts w:cs="Arial"/>
                    <w:sz w:val="24"/>
                    <w:szCs w:val="24"/>
                  </w:rPr>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sdtContent>
          </w:sdt>
          <w:p w14:paraId="2CDDC649" w14:textId="77777777" w:rsidR="00C877F9" w:rsidRDefault="00C877F9" w:rsidP="00CA12DC">
            <w:pPr>
              <w:jc w:val="both"/>
              <w:rPr>
                <w:color w:val="000000"/>
                <w:sz w:val="24"/>
                <w:szCs w:val="24"/>
              </w:rPr>
            </w:pPr>
          </w:p>
          <w:p w14:paraId="33D94066" w14:textId="77777777" w:rsidR="00C417E7" w:rsidRPr="00C417E7" w:rsidRDefault="00C417E7" w:rsidP="00C417E7">
            <w:pPr>
              <w:spacing w:line="276" w:lineRule="auto"/>
              <w:rPr>
                <w:rFonts w:ascii="Times New Roman" w:hAnsi="Times New Roman"/>
                <w:spacing w:val="-3"/>
                <w:sz w:val="24"/>
                <w:szCs w:val="24"/>
              </w:rPr>
            </w:pPr>
            <w:r w:rsidRPr="00C417E7">
              <w:rPr>
                <w:rFonts w:ascii="Times New Roman" w:hAnsi="Times New Roman"/>
                <w:sz w:val="24"/>
                <w:szCs w:val="24"/>
              </w:rPr>
              <w:t>Special Collections Research: The Roderic Bowen Library and Archives is a team-taught level 5/6 module, which exemplifies how I have contributed to the development of dynamic approaches to teaching, learning, and assessment using primary artifactual, textual, documentary, and visual sources appealing to different sensory-based categories of learning (A5, K2). Having contributed one class on the early modern printed book to an earlier version of the module for three successive years, I became the module leader and assembled a new team, which initially included specialists in medieval manuscripts, and briefly a professional bookbinder.</w:t>
            </w:r>
            <w:r w:rsidRPr="00C417E7">
              <w:rPr>
                <w:rFonts w:ascii="Times New Roman" w:hAnsi="Times New Roman"/>
                <w:spacing w:val="-3"/>
                <w:sz w:val="24"/>
                <w:szCs w:val="24"/>
              </w:rPr>
              <w:t xml:space="preserve"> Determined that the module should succeed and be enhanced, because feedback confirmed that it provided unparalleled opportunities for students to conduct research using incunabula, early printed and rare books, and archival records, I researched and taught the history and practice of printing, bookbinding, provenance research, book illustration, and other new fields (A2, K1, K6) </w:t>
            </w:r>
            <w:r w:rsidRPr="00C417E7">
              <w:rPr>
                <w:rFonts w:ascii="Times New Roman" w:hAnsi="Times New Roman"/>
                <w:sz w:val="24"/>
                <w:szCs w:val="24"/>
              </w:rPr>
              <w:t>(Tishman et al. 1993: 148)</w:t>
            </w:r>
            <w:r w:rsidRPr="00C417E7">
              <w:rPr>
                <w:rFonts w:ascii="Times New Roman" w:hAnsi="Times New Roman"/>
                <w:spacing w:val="-3"/>
                <w:sz w:val="24"/>
                <w:szCs w:val="24"/>
              </w:rPr>
              <w:t xml:space="preserve">. In the context of revalidation, I made a conscious effort to adapt the teaching of literature to the block system broadening approaches to include material culture. </w:t>
            </w:r>
          </w:p>
          <w:p w14:paraId="308858EE" w14:textId="77777777" w:rsidR="00C417E7" w:rsidRPr="00C417E7" w:rsidRDefault="00C417E7" w:rsidP="00C417E7">
            <w:pPr>
              <w:spacing w:line="276" w:lineRule="auto"/>
              <w:rPr>
                <w:rFonts w:ascii="Times New Roman" w:hAnsi="Times New Roman"/>
                <w:spacing w:val="-3"/>
                <w:sz w:val="24"/>
                <w:szCs w:val="24"/>
              </w:rPr>
            </w:pPr>
          </w:p>
          <w:p w14:paraId="79C86E0F"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The intended learning outcomes extend to demonstrating a coherent and critical understanding of the cultural significance of archives and historical collections in libraries, and the module is taught in and effectively utilises an underused teaching resource to do this – the Roderic Bowen Library and Archives – and has involved study trips to the National Library of Wales (NLW), a legal deposit library (A4, K2, V4).</w:t>
            </w:r>
          </w:p>
          <w:p w14:paraId="19334038" w14:textId="77777777" w:rsidR="00C417E7" w:rsidRPr="00C417E7" w:rsidRDefault="00C417E7" w:rsidP="00C417E7">
            <w:pPr>
              <w:spacing w:line="276" w:lineRule="auto"/>
              <w:rPr>
                <w:rFonts w:ascii="Times New Roman" w:hAnsi="Times New Roman"/>
                <w:sz w:val="24"/>
                <w:szCs w:val="24"/>
              </w:rPr>
            </w:pPr>
          </w:p>
          <w:p w14:paraId="5E33671A"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Following an enculturation model of teaching, the reading room allows ready access to reference materials and the Special Collections Archivist and Librarian to support the students’ learning (A4) (Tishman et al. 1993: 149). They have appreciated this and other modules I teach in the reading room, ‘as they have given us the opportunity to build friendships with students’. In addition, the Librarian said that my modules ‘have meant that [her] own knowledge of the collections has increased’, because I use ‘a very wide range of materials’ (K2). One student said, ‘being physically amongst the special collections […] is integral to developing both basic and more advanced research and interpretive skills generally’ (A4, K3). </w:t>
            </w:r>
          </w:p>
          <w:p w14:paraId="75074A93" w14:textId="77777777" w:rsidR="00C417E7" w:rsidRPr="00C417E7" w:rsidRDefault="00C417E7" w:rsidP="00C417E7">
            <w:pPr>
              <w:spacing w:line="276" w:lineRule="auto"/>
              <w:rPr>
                <w:rFonts w:ascii="Times New Roman" w:hAnsi="Times New Roman"/>
                <w:sz w:val="24"/>
                <w:szCs w:val="24"/>
              </w:rPr>
            </w:pPr>
          </w:p>
          <w:p w14:paraId="33C4EC74"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I keep abreast of how digital technologies are changing my subject area, and in particular developments in the digitisation of primary sources, archival and printed, through membership of the Bibliographical Society and through workshops at the NLW (A5, K1, V4). But while digitisation provides wider access to resources, as one student reflected, ‘it can also be very limiting’, as ‘it is easy to become increasingly reliant upon [digital search] technology to navigate’ materials, potentially losing the advantages of thoroughly reading them, time-consuming though that is (K5).</w:t>
            </w:r>
          </w:p>
          <w:p w14:paraId="24AFEC25" w14:textId="77777777" w:rsidR="00C417E7" w:rsidRPr="00C417E7" w:rsidRDefault="00C417E7" w:rsidP="00C417E7">
            <w:pPr>
              <w:spacing w:line="276" w:lineRule="auto"/>
              <w:rPr>
                <w:rFonts w:ascii="Times New Roman" w:hAnsi="Times New Roman"/>
                <w:sz w:val="24"/>
                <w:szCs w:val="24"/>
              </w:rPr>
            </w:pPr>
          </w:p>
          <w:p w14:paraId="0C02FE4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I embed links to videos on book production in PowerPoint slides to support synchronous learning interactions (A2, K2). Embedded on the VLE these have also been ‘invaluable in cases where refreshers are needed’ (K4). The lectures simultaneously involve kinaesthetic categories of sensory gathering of information, for example, from the physical examination of book-bindings (A5, K2). But the motive force of the module derives from three student-led problem-solving and question-driven projects, which are assessed (V2) (Tishman et al. 1993: 148; Donovan, et al. 2009: 17). These innovative interventions have taken advantage of a central feature of the block-teaching initiative – the three-hour classes, four days a week, up to two hours of which may be given over to project work, which students put down and pick up again the next day for maximum continuity and yield (A1, K2). </w:t>
            </w:r>
          </w:p>
          <w:p w14:paraId="69E23539" w14:textId="77777777" w:rsidR="00C417E7" w:rsidRPr="00C417E7" w:rsidRDefault="00C417E7" w:rsidP="00C417E7">
            <w:pPr>
              <w:spacing w:line="276" w:lineRule="auto"/>
              <w:rPr>
                <w:rFonts w:ascii="Times New Roman" w:hAnsi="Times New Roman"/>
                <w:sz w:val="24"/>
                <w:szCs w:val="24"/>
              </w:rPr>
            </w:pPr>
          </w:p>
          <w:p w14:paraId="2620AB78"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lastRenderedPageBreak/>
              <w:t xml:space="preserve">The projects are varied to give opportunities to different discipline cohorts (K3, V1). They require students to apply knowledge comprehended in the lectures, but also to learn by doing research, to try things out, so they can appeal to pragmatist and adventurous activist learning styles; but they pose difficult problems to examine, collect information about, and analyse, so they also appeal to intellectually careful reflector and theorist dispositions (A5) (Honey &amp; Mumford n.d.; Boud 1985; Perkins et al. 1993: 3; Tishman et al. 1993: 148; Marshall 2009). Through teaching core concepts, I aim to help students develop organised conceptual structures, or schemas, that guide how problems are understood (A5) (National Research Council 2000: 33; Race 2020: 45). But students encounter unknowns, must analyse the problem, and synthesise a whole new understanding from doing the projects (Bloom 1964; Marshall 2009: 151; Otero &amp; Rosa 2019: 117). </w:t>
            </w:r>
          </w:p>
          <w:p w14:paraId="4E5ED350" w14:textId="77777777" w:rsidR="00C417E7" w:rsidRPr="00C417E7" w:rsidRDefault="00C417E7" w:rsidP="00C417E7">
            <w:pPr>
              <w:spacing w:line="276" w:lineRule="auto"/>
              <w:rPr>
                <w:rFonts w:ascii="Times New Roman" w:hAnsi="Times New Roman"/>
                <w:sz w:val="24"/>
                <w:szCs w:val="24"/>
              </w:rPr>
            </w:pPr>
          </w:p>
          <w:p w14:paraId="26DD9129"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The Book Biography Library Project involves supervised student-led rare book copy-specific research in bibliography, bookbinding, and provenance. According to one student, it demands ‘a lot of close work, deduction and even a certain level of patience’, and gave her ‘a much greater appreciation of the physical aspects of printed materials’ (K5, V3). While this project is structured and designed to test the acquisition to a certain standard of a set of research skills, the Book Illustration Project affords students significant latitude and appeals to the affective domain of learning (A5, V1) (Kolb 1984: 31; Marshall 2009: 155). </w:t>
            </w:r>
          </w:p>
          <w:p w14:paraId="1D16975B" w14:textId="77777777" w:rsidR="00C417E7" w:rsidRPr="00C417E7" w:rsidRDefault="00C417E7" w:rsidP="00C417E7">
            <w:pPr>
              <w:spacing w:line="276" w:lineRule="auto"/>
              <w:rPr>
                <w:rFonts w:ascii="Times New Roman" w:hAnsi="Times New Roman"/>
                <w:sz w:val="24"/>
                <w:szCs w:val="24"/>
              </w:rPr>
            </w:pPr>
          </w:p>
          <w:p w14:paraId="06B94026"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These projects attempt to break down the barriers between learning and assessment (Gibbs 1992); Dochy et al. 2007: 87, 90) (A5). While they are summative, students monitor their own understanding and seek and receive advice as they progress, so they have a formative aspect which also provides me with a sense of how much students have learned from my teaching (A3, K5) (Tishman et al. 1993: 148; Brockbank &amp; McGill 2003; Donovan, et al. 2009: 13). Students are encouraged to be planful and metacognitive, to manage and reflect constructively </w:t>
            </w:r>
            <w:r w:rsidRPr="00C417E7">
              <w:rPr>
                <w:rFonts w:ascii="Times New Roman" w:hAnsi="Times New Roman"/>
                <w:i/>
                <w:iCs/>
                <w:sz w:val="24"/>
                <w:szCs w:val="24"/>
              </w:rPr>
              <w:t>in</w:t>
            </w:r>
            <w:r w:rsidRPr="00C417E7">
              <w:rPr>
                <w:rFonts w:ascii="Times New Roman" w:hAnsi="Times New Roman"/>
                <w:sz w:val="24"/>
                <w:szCs w:val="24"/>
              </w:rPr>
              <w:t xml:space="preserve"> and </w:t>
            </w:r>
            <w:r w:rsidRPr="00C417E7">
              <w:rPr>
                <w:rFonts w:ascii="Times New Roman" w:hAnsi="Times New Roman"/>
                <w:i/>
                <w:iCs/>
                <w:sz w:val="24"/>
                <w:szCs w:val="24"/>
              </w:rPr>
              <w:t>on</w:t>
            </w:r>
            <w:r w:rsidRPr="00C417E7">
              <w:rPr>
                <w:rFonts w:ascii="Times New Roman" w:hAnsi="Times New Roman"/>
                <w:sz w:val="24"/>
                <w:szCs w:val="24"/>
              </w:rPr>
              <w:t xml:space="preserve"> their experience on the module, by maintaining a ‘commonplace-book’-type journal, which can be compiled like a log-book or a diary and is distilled into their most salient academic and personal reflections for submission in essay form (A3, A5) (Gibbs 1988: 38, 44; Tishman et al. 1993: 148, 150; Brockbank &amp; McGill 2003; Donovan, et al. 2009: 17; Marshall 2009: 150).</w:t>
            </w:r>
          </w:p>
          <w:p w14:paraId="0BDEAD3A" w14:textId="77777777" w:rsidR="00C417E7" w:rsidRPr="00C417E7" w:rsidRDefault="00C417E7" w:rsidP="00C417E7">
            <w:pPr>
              <w:spacing w:line="276" w:lineRule="auto"/>
              <w:rPr>
                <w:rFonts w:ascii="Times New Roman" w:hAnsi="Times New Roman"/>
                <w:sz w:val="24"/>
                <w:szCs w:val="24"/>
              </w:rPr>
            </w:pPr>
          </w:p>
          <w:p w14:paraId="78A83F1E"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From 2019-2022, I co-taught the revalidated module three times with a junior colleague, a historian. In this initiative, I drew upon my own experience to advise and support him and co-ordinated our roles in teaching (A2). Reflecting in dialogue, he commented that it was pleasing that I had ‘a very organised, structured syllabus which was easy for myself and students to follow’ (A1) (Brockbank &amp; McGill 2003). At the same time, I was ‘very receptive to new ideas and enabled [him] to put a fresh stamp on the module’. He contributed lectures and took from me responsibility for the Archive Project and the Book Illustration Project. We worked closely to ensure appropriate alignment (V3) (Biggs 2003: 2). He appreciated how I ‘respected and made space for [his] contrasting interests and teaching style’ (V1).</w:t>
            </w:r>
          </w:p>
          <w:p w14:paraId="698A52D0" w14:textId="77777777" w:rsidR="00C417E7" w:rsidRPr="00C417E7" w:rsidRDefault="00C417E7" w:rsidP="00C417E7">
            <w:pPr>
              <w:spacing w:line="276" w:lineRule="auto"/>
              <w:rPr>
                <w:rFonts w:ascii="Times New Roman" w:hAnsi="Times New Roman"/>
                <w:sz w:val="24"/>
                <w:szCs w:val="24"/>
              </w:rPr>
            </w:pPr>
          </w:p>
          <w:p w14:paraId="7A97EB92"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In order to disseminate the teaching interventions on this module, I wrote a paper with the Librarian on the learning through rare book research that students undertake, and we presented this at the annual conference of the CILIP Rare Books and Special Collections Group in 2019 (A5). Feedback from conference delegates suggested that our presentation may have positively influenced their own practice. My historian colleague observed how I have ‘an excellent working relationship’ with the Librarian and Archivist, which he was pleased to emulate. </w:t>
            </w:r>
            <w:r w:rsidRPr="00C417E7">
              <w:rPr>
                <w:rFonts w:ascii="Times New Roman" w:hAnsi="Times New Roman"/>
                <w:spacing w:val="-3"/>
                <w:sz w:val="24"/>
                <w:szCs w:val="24"/>
              </w:rPr>
              <w:t>I have acted crucially as a mediator between academic and library teams.</w:t>
            </w:r>
          </w:p>
          <w:p w14:paraId="3135437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lastRenderedPageBreak/>
              <w:t xml:space="preserve">When he left, in 2023-24, I mentored and supported the Archivist to redesign and supervise the Archive Project and the Librarian to give lectures on particularly interesting volumes in the special collections (A1). The Archivist had never done anything like this before. She valued the opportunity to research and render accessible documents, photographs, objects, and ephemera in the archives, and to teach groups of students and explain a project to them (A2). I explained how when I first taught, one of the students had fed back to me that I lectured </w:t>
            </w:r>
            <w:r w:rsidRPr="00C417E7">
              <w:rPr>
                <w:rFonts w:ascii="Times New Roman" w:hAnsi="Times New Roman"/>
                <w:i/>
                <w:iCs/>
                <w:sz w:val="24"/>
                <w:szCs w:val="24"/>
              </w:rPr>
              <w:t>at</w:t>
            </w:r>
            <w:r w:rsidRPr="00C417E7">
              <w:rPr>
                <w:rFonts w:ascii="Times New Roman" w:hAnsi="Times New Roman"/>
                <w:sz w:val="24"/>
                <w:szCs w:val="24"/>
              </w:rPr>
              <w:t xml:space="preserve"> them rather than </w:t>
            </w:r>
            <w:r w:rsidRPr="00C417E7">
              <w:rPr>
                <w:rFonts w:ascii="Times New Roman" w:hAnsi="Times New Roman"/>
                <w:i/>
                <w:iCs/>
                <w:sz w:val="24"/>
                <w:szCs w:val="24"/>
              </w:rPr>
              <w:t>to</w:t>
            </w:r>
            <w:r w:rsidRPr="00C417E7">
              <w:rPr>
                <w:rFonts w:ascii="Times New Roman" w:hAnsi="Times New Roman"/>
                <w:sz w:val="24"/>
                <w:szCs w:val="24"/>
              </w:rPr>
              <w:t xml:space="preserve"> them, and the Archivist adopted the approach of a reflective practitioner both </w:t>
            </w:r>
            <w:r w:rsidRPr="00C417E7">
              <w:rPr>
                <w:rFonts w:ascii="Times New Roman" w:hAnsi="Times New Roman"/>
                <w:i/>
                <w:iCs/>
                <w:sz w:val="24"/>
                <w:szCs w:val="24"/>
              </w:rPr>
              <w:t>in</w:t>
            </w:r>
            <w:r w:rsidRPr="00C417E7">
              <w:rPr>
                <w:rFonts w:ascii="Times New Roman" w:hAnsi="Times New Roman"/>
                <w:sz w:val="24"/>
                <w:szCs w:val="24"/>
              </w:rPr>
              <w:t xml:space="preserve">- and </w:t>
            </w:r>
            <w:r w:rsidRPr="00C417E7">
              <w:rPr>
                <w:rFonts w:ascii="Times New Roman" w:hAnsi="Times New Roman"/>
                <w:i/>
                <w:iCs/>
                <w:sz w:val="24"/>
                <w:szCs w:val="24"/>
              </w:rPr>
              <w:t>on</w:t>
            </w:r>
            <w:r w:rsidRPr="00C417E7">
              <w:rPr>
                <w:rFonts w:ascii="Times New Roman" w:hAnsi="Times New Roman"/>
                <w:sz w:val="24"/>
                <w:szCs w:val="24"/>
              </w:rPr>
              <w:t>-action, reevaluating, considering future changes, and applying her learning to her work with volunteers in the archive (A5) (Brockbank &amp; McGill 2003). Although, by her own testimony, the Librarian was ‘relatively used to public speaking, this was the first time [she] had been given the chance to teach undergraduate students’. She ‘appreciated the opportunity to improve [her] skills’, which included ‘getting to grips with some of the technology’ (K4). I guided them both to support learning effectively by recording their teaching using MS Teams and the VLE (A2). I co-ordinated our roles in teaching and facilitating student learning.</w:t>
            </w:r>
          </w:p>
          <w:p w14:paraId="6369F6C8" w14:textId="77777777" w:rsidR="00C417E7" w:rsidRPr="00C417E7" w:rsidRDefault="00C417E7" w:rsidP="00C417E7">
            <w:pPr>
              <w:spacing w:line="276" w:lineRule="auto"/>
              <w:rPr>
                <w:rFonts w:ascii="Times New Roman" w:hAnsi="Times New Roman"/>
                <w:sz w:val="24"/>
                <w:szCs w:val="24"/>
              </w:rPr>
            </w:pPr>
          </w:p>
          <w:p w14:paraId="732D4C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Working with me on the module provided an impetus for the direction of my historian colleague’s research and professional development. My ‘knowledge of the books and illustrated manuscripts in the university’s special collections was helpful in this regard’ (A5). Working with me has also been ‘formative in [his] subsequent work as a curator’ at the International Slavery Museum, Liverpool. He has employed techniques of provenance research and bibliography, which he learned from my teaching, on books in the museum collection. He has responsibility for ‘making museum collections accessible to researchers in much the same way that [the Librarian, Archivist, and I] do on the Special Collections module’ (A5, V3, V4). </w:t>
            </w:r>
          </w:p>
          <w:p w14:paraId="2BE03950" w14:textId="77777777" w:rsidR="00C417E7" w:rsidRPr="00C417E7" w:rsidRDefault="00C417E7" w:rsidP="00C417E7">
            <w:pPr>
              <w:spacing w:line="276" w:lineRule="auto"/>
              <w:rPr>
                <w:rFonts w:ascii="Times New Roman" w:hAnsi="Times New Roman"/>
                <w:sz w:val="24"/>
                <w:szCs w:val="24"/>
              </w:rPr>
            </w:pPr>
          </w:p>
          <w:p w14:paraId="540380A9"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By their acknowledgement, I have promoted the student learning experience on this module through professional development of academic, library, and archive staff under my influence and guidance (A5). Students typically respond with overwhelming positivity to the opportunities the module provides (K5). They communicate a sense of achievement when they begin to decipher handwriting in manuscripts or understand bibliographical terminology and research techniques (K5). The Archivist said she has been ‘guided by the way in which [I] help students […] – pointing them in the right direction without doing the work for them’ (A2). As a measure of the effectiveness of the integration of learning activities and environment, this module has ‘awakened a keen and enduring interest in Special Collections’. Realising the array of resources at their disposal, students have subsequently used them in final-year dissertations (K5). Several volunteered in the archives or in the National Library of Wales. Some have reflected that the module placed them at a significant advantage on PG degrees in English; others have undertaken professional qualifications in librarianship or archives management (K5). One recent student is now Digitisation and Collections Officer at the Oxford Centre for Methodism and Church History. My historian colleague said: ‘Where Special Collections Research aims to equip students with vocational skills, collaborating with Peter to teach the module has proven an asset in my own career.’ (V4)</w:t>
            </w:r>
          </w:p>
          <w:p w14:paraId="4AB1F461" w14:textId="32DA27A7" w:rsidR="004C1A66" w:rsidRPr="00BD009A" w:rsidRDefault="004C1A66" w:rsidP="004C1A66">
            <w:pPr>
              <w:jc w:val="both"/>
              <w:rPr>
                <w:color w:val="000000"/>
                <w:sz w:val="24"/>
                <w:szCs w:val="24"/>
              </w:rPr>
            </w:pPr>
          </w:p>
        </w:tc>
      </w:tr>
    </w:tbl>
    <w:p w14:paraId="2E762D35" w14:textId="00D2C408" w:rsidR="00CD26E0" w:rsidRDefault="00CD26E0" w:rsidP="00CA12DC">
      <w:pPr>
        <w:jc w:val="both"/>
        <w:rPr>
          <w:rFonts w:cs="Arial"/>
          <w:sz w:val="24"/>
          <w:szCs w:val="24"/>
        </w:rPr>
      </w:pPr>
    </w:p>
    <w:p w14:paraId="2013F07A" w14:textId="77777777" w:rsidR="00BD009A" w:rsidRPr="001347D4" w:rsidRDefault="00BD009A"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5C8C21FB" w14:textId="0747BD82" w:rsidR="00C877F9" w:rsidRDefault="00C877F9" w:rsidP="00C877F9">
            <w:pPr>
              <w:jc w:val="both"/>
              <w:rPr>
                <w:rFonts w:cs="Arial"/>
                <w:b/>
                <w:bCs/>
                <w:sz w:val="24"/>
                <w:szCs w:val="24"/>
              </w:rPr>
            </w:pPr>
            <w:r w:rsidRPr="008F7114">
              <w:rPr>
                <w:rFonts w:cs="Arial"/>
                <w:b/>
                <w:bCs/>
                <w:sz w:val="24"/>
                <w:szCs w:val="24"/>
              </w:rPr>
              <w:t>Case Study Two</w:t>
            </w:r>
          </w:p>
        </w:tc>
      </w:tr>
      <w:tr w:rsidR="00C877F9" w14:paraId="49220A38" w14:textId="77777777" w:rsidTr="00BD009A">
        <w:trPr>
          <w:cantSplit/>
          <w:trHeight w:val="2835"/>
        </w:trPr>
        <w:tc>
          <w:tcPr>
            <w:tcW w:w="10456" w:type="dxa"/>
          </w:tcPr>
          <w:sdt>
            <w:sdtPr>
              <w:rPr>
                <w:rFonts w:cs="Arial"/>
                <w:sz w:val="24"/>
                <w:szCs w:val="24"/>
              </w:rPr>
              <w:alias w:val="Case Study 2"/>
              <w:tag w:val="Case Study 2"/>
              <w:id w:val="1145931014"/>
              <w:placeholder>
                <w:docPart w:val="75195CC525B8455E93AA53293B9CBFE7"/>
              </w:placeholder>
              <w:temporary/>
              <w:showingPlcHdr/>
            </w:sdtPr>
            <w:sdtEndPr/>
            <w:sdtContent>
              <w:p w14:paraId="5665C3ED" w14:textId="77777777" w:rsidR="00C877F9" w:rsidRDefault="00C877F9" w:rsidP="00C877F9">
                <w:pPr>
                  <w:jc w:val="both"/>
                  <w:rPr>
                    <w:rFonts w:cs="Arial"/>
                    <w:sz w:val="24"/>
                    <w:szCs w:val="24"/>
                  </w:rPr>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sdtContent>
          </w:sdt>
          <w:p w14:paraId="0D384AC8" w14:textId="77777777" w:rsidR="00BD009A" w:rsidRDefault="00BD009A" w:rsidP="00CA12DC">
            <w:pPr>
              <w:jc w:val="both"/>
              <w:rPr>
                <w:rFonts w:cs="Arial"/>
                <w:sz w:val="24"/>
                <w:szCs w:val="24"/>
              </w:rPr>
            </w:pPr>
          </w:p>
          <w:p w14:paraId="2B983188"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In my research on early modern literature, medicine and anatomy, law, and cosmography, I aim to contribute to the theory, methodology, and practice of interdisciplinarity. Although I am a lecturer in English Literature, a significant part of my contribution to the development of new teaching and learning has been historical and interdisciplinary (K1, V3). </w:t>
            </w:r>
            <w:r w:rsidRPr="00C417E7">
              <w:rPr>
                <w:rFonts w:ascii="Times New Roman" w:hAnsi="Times New Roman"/>
                <w:color w:val="000000"/>
                <w:sz w:val="24"/>
                <w:szCs w:val="24"/>
              </w:rPr>
              <w:t>This case study focuses on my continued work since 2019 with academic historian colleagues making contributions to the curriculum design, teaching and learning, and assessment of history at various levels and in various ways (K2). These have cumulatively helped to reconceptualise the discipline as an interdisciplinary one not only for students but in the practice of my historian colleagues (K1).</w:t>
            </w:r>
            <w:r w:rsidRPr="00C417E7">
              <w:rPr>
                <w:rFonts w:ascii="Times New Roman" w:hAnsi="Times New Roman"/>
                <w:sz w:val="24"/>
                <w:szCs w:val="24"/>
              </w:rPr>
              <w:t xml:space="preserve"> </w:t>
            </w:r>
          </w:p>
          <w:p w14:paraId="08B0FE95" w14:textId="77777777" w:rsidR="00C417E7" w:rsidRPr="00C417E7" w:rsidRDefault="00C417E7" w:rsidP="00C417E7">
            <w:pPr>
              <w:spacing w:line="276" w:lineRule="auto"/>
              <w:rPr>
                <w:rFonts w:ascii="Times New Roman" w:hAnsi="Times New Roman"/>
                <w:sz w:val="24"/>
                <w:szCs w:val="24"/>
              </w:rPr>
            </w:pPr>
          </w:p>
          <w:p w14:paraId="09235B3F"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The trend began with Historicising Texts (HT), at level 4, which sought to introduce English students to the cultural, intellectual, and social contexts of medieval and early modern literature (K1). This module being at level 4, I worked with the Academic Liaison Librarian to help students study effectively with digital technologies, access resources, and behave responsibly and with respect online (A4, V2). The</w:t>
            </w:r>
            <w:r w:rsidRPr="00C417E7">
              <w:rPr>
                <w:rFonts w:ascii="Times New Roman" w:hAnsi="Times New Roman"/>
                <w:color w:val="000000"/>
                <w:sz w:val="24"/>
                <w:szCs w:val="24"/>
              </w:rPr>
              <w:t xml:space="preserve"> module was taken by undergraduate English, history, and medieval studies students.</w:t>
            </w:r>
          </w:p>
          <w:p w14:paraId="2C702D72" w14:textId="77777777" w:rsidR="00C417E7" w:rsidRPr="00C417E7" w:rsidRDefault="00C417E7" w:rsidP="00C417E7">
            <w:pPr>
              <w:spacing w:line="276" w:lineRule="auto"/>
              <w:rPr>
                <w:rFonts w:ascii="Times New Roman" w:hAnsi="Times New Roman"/>
                <w:sz w:val="24"/>
                <w:szCs w:val="24"/>
              </w:rPr>
            </w:pPr>
          </w:p>
          <w:p w14:paraId="668C32AC"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Unlike more abstract disciplines, the study of literature is characterised by the combination of precept and example, of idea and text, so discussion is shaped by the text as both evidence for argument and focus of inquiry (K3). At levels 5/6, I designed BBW for validation for English and history programmes, involving learning and teaching the cultural and intellectual history of Renaissance humanism through humanist texts. This has the pedagogical benefit of engaging history students’ imaginations and the affective as well as cognitive domains of learning (A5) (Tishman et al. 1993: 148). It encourages them to develop the dispositions to be metacognitive and evaluate reasons, to reflect on the nature of textual evidence, whether documentary or literary, which is fundamental to the discipline (K1) (Perkins et al. 1993: 1; Donovan, et al. 2009: 17). This is more thoroughly interdisciplinary than HT, and due to the bibliographical exercise discussed in my Reflective Account of Practice, its assessment includes problem-solving tasks. These orientate the module towards employability and the world of professional practice, in which problems are not organised according to academic disciplines (V4) (Boud 1985; Brockbank &amp; McGill 2003). As with SCR in Case Study 1, the assignments do not, however, conform strictly to problem-based approaches in which the problem is encountered first in the learning sequence before any preparation or study has occurred. I have found that in order for students to be oriented to tackle projects and bibliographical exercises, they require technical instruction and context for the motivation they need (Gibbs 1992; Donovan, et al. 2009: 17; Otero &amp; Rosa 2019: 126; Pedrosa-de-Jesus et al. 2019: 166). Thereafter my role changes from instructor to facilitator (A5) (Marshall 2009: 153).</w:t>
            </w:r>
          </w:p>
          <w:p w14:paraId="2B80DC88" w14:textId="77777777" w:rsidR="00C417E7" w:rsidRPr="00C417E7" w:rsidRDefault="00C417E7" w:rsidP="00C417E7">
            <w:pPr>
              <w:spacing w:line="276" w:lineRule="auto"/>
              <w:rPr>
                <w:rFonts w:ascii="Times New Roman" w:hAnsi="Times New Roman"/>
                <w:sz w:val="24"/>
                <w:szCs w:val="24"/>
              </w:rPr>
            </w:pPr>
          </w:p>
          <w:p w14:paraId="0999246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I design discussion fora in BBW for students to report on exercises and record learning for reflection and peer review as well as tutor feedback (A1, K4). The module is partly assessed by a closed book gobbet test. The quality of student scripts suggests that exam-based conditions are not equally experienced by all students, but this is one of three components of assessment, and its advantages include veracity (A3, V4) (Race 2020: 61). In ESV, at levels 5/6, through revalidation, I introduced a theatre review as an assessment component, using recordings of Original Practice Globe Theatre productions to complement a Written Exercise on Early Textual History and Performance, which students must use historical records to complete (K2). The historical elements of both content and assessment complement literary-critical elements (K3, V1).</w:t>
            </w:r>
          </w:p>
          <w:p w14:paraId="53163279" w14:textId="77777777" w:rsidR="00C417E7" w:rsidRPr="00C417E7" w:rsidRDefault="00C417E7" w:rsidP="00C417E7">
            <w:pPr>
              <w:spacing w:line="276" w:lineRule="auto"/>
              <w:rPr>
                <w:rFonts w:ascii="Times New Roman" w:hAnsi="Times New Roman"/>
                <w:sz w:val="24"/>
                <w:szCs w:val="24"/>
              </w:rPr>
            </w:pPr>
          </w:p>
          <w:p w14:paraId="159B287F" w14:textId="77777777"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lastRenderedPageBreak/>
              <w:t xml:space="preserve">A current historian colleague acknowledges how my contribution has enhanced the academic practice of the history team, describing it as ‘invaluable’: ‘It certainly enhances the multi- or inter-disciplinary element of the overall programme which we highlight to prospective students at both UG and PG level.’ (K5, V2) Before my contributions, the absence of early modern content from the programmes had been ‘an issue with prospective students over the years’ (V2). This enhancement dovetails nicely with the revalidated English programme which renewed a </w:t>
            </w:r>
            <w:r w:rsidRPr="00C417E7">
              <w:rPr>
                <w:rFonts w:ascii="Times New Roman" w:hAnsi="Times New Roman"/>
                <w:spacing w:val="-3"/>
                <w:sz w:val="24"/>
                <w:szCs w:val="24"/>
              </w:rPr>
              <w:t xml:space="preserve">commitment to the large historical span of English Literature from medieval to contemporary (K6) </w:t>
            </w:r>
            <w:r w:rsidRPr="00C417E7">
              <w:rPr>
                <w:rFonts w:ascii="Times New Roman" w:hAnsi="Times New Roman"/>
                <w:sz w:val="24"/>
                <w:szCs w:val="24"/>
              </w:rPr>
              <w:t>(UWTSD 2018: 5)</w:t>
            </w:r>
            <w:r w:rsidRPr="00C417E7">
              <w:rPr>
                <w:rFonts w:ascii="Times New Roman" w:hAnsi="Times New Roman"/>
                <w:spacing w:val="-3"/>
                <w:sz w:val="24"/>
                <w:szCs w:val="24"/>
              </w:rPr>
              <w:t>. M</w:t>
            </w:r>
            <w:r w:rsidRPr="00C417E7">
              <w:rPr>
                <w:rFonts w:ascii="Times New Roman" w:hAnsi="Times New Roman"/>
                <w:color w:val="000000"/>
                <w:sz w:val="24"/>
                <w:szCs w:val="24"/>
              </w:rPr>
              <w:t>any of the core concepts I teach are inherently interdisciplinary because the relationship between the disciplines has transformed historically between the early modern and modern periods (K1).</w:t>
            </w:r>
          </w:p>
          <w:p w14:paraId="7C6D501F" w14:textId="77777777" w:rsidR="00C417E7" w:rsidRPr="00C417E7" w:rsidRDefault="00C417E7" w:rsidP="00C417E7">
            <w:pPr>
              <w:spacing w:line="276" w:lineRule="auto"/>
              <w:rPr>
                <w:rFonts w:ascii="Times New Roman" w:hAnsi="Times New Roman"/>
                <w:color w:val="000000"/>
                <w:sz w:val="24"/>
                <w:szCs w:val="24"/>
              </w:rPr>
            </w:pPr>
          </w:p>
          <w:p w14:paraId="08A7BA1D" w14:textId="77777777"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I also contribute a three-hour class on Shakespeare’s </w:t>
            </w:r>
            <w:r w:rsidRPr="00C417E7">
              <w:rPr>
                <w:rFonts w:ascii="Times New Roman" w:hAnsi="Times New Roman"/>
                <w:i/>
                <w:iCs/>
                <w:color w:val="000000"/>
                <w:sz w:val="24"/>
                <w:szCs w:val="24"/>
              </w:rPr>
              <w:t>The Tempest</w:t>
            </w:r>
            <w:r w:rsidRPr="00C417E7">
              <w:rPr>
                <w:rFonts w:ascii="Times New Roman" w:hAnsi="Times New Roman"/>
                <w:color w:val="000000"/>
                <w:sz w:val="24"/>
                <w:szCs w:val="24"/>
              </w:rPr>
              <w:t xml:space="preserve"> to the level 7 history module </w:t>
            </w:r>
            <w:r w:rsidRPr="00C417E7">
              <w:rPr>
                <w:rFonts w:ascii="Times New Roman" w:hAnsi="Times New Roman"/>
                <w:sz w:val="24"/>
                <w:szCs w:val="24"/>
              </w:rPr>
              <w:t>Fact or Fiction? Literature or History (FOF)</w:t>
            </w:r>
            <w:r w:rsidRPr="00C417E7">
              <w:rPr>
                <w:rFonts w:ascii="Times New Roman" w:hAnsi="Times New Roman"/>
                <w:color w:val="000000"/>
                <w:sz w:val="24"/>
                <w:szCs w:val="24"/>
              </w:rPr>
              <w:t xml:space="preserve">. </w:t>
            </w:r>
            <w:r w:rsidRPr="00C417E7">
              <w:rPr>
                <w:rFonts w:ascii="Times New Roman" w:hAnsi="Times New Roman"/>
                <w:sz w:val="24"/>
                <w:szCs w:val="24"/>
              </w:rPr>
              <w:t xml:space="preserve">I diligently identify and take up CPD opportunities online, and my participation in the Royal Historical Society and the Society for Renaissance Studies includes debates about pedagogies. The online panel discussion Folio Matters at The Arden Shakespeare: Editing Race, Gender and Queerness directly influenced my teaching of </w:t>
            </w:r>
            <w:r w:rsidRPr="00C417E7">
              <w:rPr>
                <w:rFonts w:ascii="Times New Roman" w:hAnsi="Times New Roman"/>
                <w:i/>
                <w:iCs/>
                <w:sz w:val="24"/>
                <w:szCs w:val="24"/>
              </w:rPr>
              <w:t>The Tempest</w:t>
            </w:r>
            <w:r w:rsidRPr="00C417E7">
              <w:rPr>
                <w:rFonts w:ascii="Times New Roman" w:hAnsi="Times New Roman"/>
                <w:sz w:val="24"/>
                <w:szCs w:val="24"/>
              </w:rPr>
              <w:t xml:space="preserve"> (A5, K1). </w:t>
            </w:r>
            <w:r w:rsidRPr="00C417E7">
              <w:rPr>
                <w:rFonts w:ascii="Times New Roman" w:hAnsi="Times New Roman"/>
                <w:color w:val="000000"/>
                <w:sz w:val="24"/>
                <w:szCs w:val="24"/>
              </w:rPr>
              <w:t>My inclusion of Montaigne’s essay ‘On the Cannibals’ relates the play historically and discursively to the ‘discovery’ and settlement of America and connects with a history module at levels 5/6, which relates the Enlightenment to Renaissance luminaries (K1). According to a current historian colleague, student feedback shows enthusiasm for this contribution because it ‘allows a contextual understanding of the Bard’s work, while also enriching the programme’s engagement with Early Modern studies and our understanding of the significance of the Renaissance period’ (K5).</w:t>
            </w:r>
          </w:p>
          <w:p w14:paraId="259B9FF6" w14:textId="77777777"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 </w:t>
            </w:r>
          </w:p>
          <w:p w14:paraId="5E546766" w14:textId="77777777" w:rsidR="00C417E7" w:rsidRPr="00C417E7" w:rsidRDefault="00C417E7" w:rsidP="00C417E7">
            <w:pPr>
              <w:spacing w:line="276" w:lineRule="auto"/>
              <w:rPr>
                <w:rFonts w:ascii="Times New Roman" w:hAnsi="Times New Roman"/>
                <w:color w:val="000000"/>
                <w:sz w:val="24"/>
                <w:szCs w:val="24"/>
              </w:rPr>
            </w:pPr>
            <w:r w:rsidRPr="00C417E7">
              <w:rPr>
                <w:rFonts w:ascii="Times New Roman" w:hAnsi="Times New Roman"/>
                <w:color w:val="000000"/>
                <w:sz w:val="24"/>
                <w:szCs w:val="24"/>
              </w:rPr>
              <w:t xml:space="preserve">To the level 5/6 history module Medicine and Miracles: Health, Illness, and Cure (MM), I contribute lectures and seminars on early modern medicine and anatomy and their significance for Donne’s </w:t>
            </w:r>
            <w:r w:rsidRPr="00C417E7">
              <w:rPr>
                <w:rFonts w:ascii="Times New Roman" w:hAnsi="Times New Roman"/>
                <w:i/>
                <w:iCs/>
                <w:color w:val="000000"/>
                <w:sz w:val="24"/>
                <w:szCs w:val="24"/>
              </w:rPr>
              <w:t>Devotions upon Emergent Occasions</w:t>
            </w:r>
            <w:r w:rsidRPr="00C417E7">
              <w:rPr>
                <w:rFonts w:ascii="Times New Roman" w:hAnsi="Times New Roman"/>
                <w:color w:val="000000"/>
                <w:sz w:val="24"/>
                <w:szCs w:val="24"/>
              </w:rPr>
              <w:t xml:space="preserve">. A current historian colleague has said this contribution ‘encourages student awareness of the need to understand and analyse literary texts, and the importance of these to our understanding a specific period in history’ (K3). </w:t>
            </w:r>
            <w:r w:rsidRPr="00C417E7">
              <w:rPr>
                <w:rFonts w:ascii="Times New Roman" w:hAnsi="Times New Roman"/>
                <w:sz w:val="24"/>
                <w:szCs w:val="24"/>
              </w:rPr>
              <w:t>By the acknowledgement of academic colleagues, I have promoted history students’ learning experience through the contributions I have made to the history curriculum. A former BA Medieval Studies student has commented: ‘His gentle, approachable, hands-on teaching style has enabled us students to interact more effectively with literature within history’ (K2, K5). The practice of teaching and learning history now is intrinsically interdisciplinary.</w:t>
            </w:r>
          </w:p>
          <w:p w14:paraId="3A0ABDD9" w14:textId="2CC6E7AA" w:rsidR="004C1A66" w:rsidRPr="00BD009A" w:rsidRDefault="004C1A66" w:rsidP="004C1A66">
            <w:pPr>
              <w:jc w:val="both"/>
              <w:rPr>
                <w:rFonts w:cs="Arial"/>
                <w:sz w:val="24"/>
                <w:szCs w:val="24"/>
              </w:rPr>
            </w:pPr>
          </w:p>
        </w:tc>
      </w:tr>
    </w:tbl>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6B8A5873" w14:textId="77777777" w:rsidR="00C877F9" w:rsidRDefault="00C877F9" w:rsidP="00CA12DC">
            <w:pPr>
              <w:jc w:val="both"/>
              <w:rPr>
                <w:color w:val="000000"/>
                <w:sz w:val="27"/>
                <w:szCs w:val="27"/>
              </w:rPr>
            </w:pPr>
          </w:p>
          <w:p w14:paraId="26E4E24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Biggs, J. (2003). ‘Aligning Teaching for Constructing Learning’. The Higher Education Academy &lt;</w:t>
            </w:r>
            <w:hyperlink r:id="rId19" w:history="1">
              <w:r w:rsidRPr="00C417E7">
                <w:rPr>
                  <w:rStyle w:val="Hyperlink"/>
                  <w:rFonts w:ascii="Times New Roman" w:hAnsi="Times New Roman"/>
                  <w:sz w:val="24"/>
                  <w:szCs w:val="24"/>
                </w:rPr>
                <w:t>https://www.advance-he.ac.uk/knowledge-hub/aligning-teaching-constructing-learning</w:t>
              </w:r>
            </w:hyperlink>
            <w:r w:rsidRPr="00C417E7">
              <w:rPr>
                <w:rFonts w:ascii="Times New Roman" w:hAnsi="Times New Roman"/>
                <w:sz w:val="24"/>
                <w:szCs w:val="24"/>
              </w:rPr>
              <w:t>&gt;</w:t>
            </w:r>
          </w:p>
          <w:p w14:paraId="35C97744" w14:textId="77777777" w:rsidR="00C417E7" w:rsidRPr="00C417E7" w:rsidRDefault="00C417E7" w:rsidP="00C417E7">
            <w:pPr>
              <w:spacing w:line="276" w:lineRule="auto"/>
              <w:rPr>
                <w:rFonts w:ascii="Times New Roman" w:hAnsi="Times New Roman"/>
                <w:sz w:val="24"/>
                <w:szCs w:val="24"/>
              </w:rPr>
            </w:pPr>
          </w:p>
          <w:p w14:paraId="0CF12B65"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Bloom, B.S. (1964). </w:t>
            </w:r>
            <w:r w:rsidRPr="00C417E7">
              <w:rPr>
                <w:rFonts w:ascii="Times New Roman" w:hAnsi="Times New Roman"/>
                <w:i/>
                <w:iCs/>
                <w:sz w:val="24"/>
                <w:szCs w:val="24"/>
              </w:rPr>
              <w:t>Taxonomy of Educational Objectives: Cognitive Domain</w:t>
            </w:r>
            <w:r w:rsidRPr="00C417E7">
              <w:rPr>
                <w:rFonts w:ascii="Times New Roman" w:hAnsi="Times New Roman"/>
                <w:sz w:val="24"/>
                <w:szCs w:val="24"/>
              </w:rPr>
              <w:t>. New York: Longman.</w:t>
            </w:r>
          </w:p>
          <w:p w14:paraId="1B1A844E" w14:textId="77777777" w:rsidR="00C417E7" w:rsidRPr="00C417E7" w:rsidRDefault="00C417E7" w:rsidP="00C417E7">
            <w:pPr>
              <w:spacing w:line="276" w:lineRule="auto"/>
              <w:rPr>
                <w:rFonts w:ascii="Times New Roman" w:hAnsi="Times New Roman"/>
                <w:sz w:val="24"/>
                <w:szCs w:val="24"/>
              </w:rPr>
            </w:pPr>
          </w:p>
          <w:p w14:paraId="63526A2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Boud, D. (ed.) (1985) </w:t>
            </w:r>
            <w:r w:rsidRPr="00C417E7">
              <w:rPr>
                <w:rFonts w:ascii="Times New Roman" w:hAnsi="Times New Roman"/>
                <w:i/>
                <w:iCs/>
                <w:sz w:val="24"/>
                <w:szCs w:val="24"/>
              </w:rPr>
              <w:t>Problem-Based Learning in Education for the Professions</w:t>
            </w:r>
            <w:r w:rsidRPr="00C417E7">
              <w:rPr>
                <w:rFonts w:ascii="Times New Roman" w:hAnsi="Times New Roman"/>
                <w:sz w:val="24"/>
                <w:szCs w:val="24"/>
              </w:rPr>
              <w:t>. Sydney: Higher Education Research &amp; Development Society of Australia.</w:t>
            </w:r>
          </w:p>
          <w:p w14:paraId="6BBFD88C" w14:textId="77777777" w:rsidR="00C417E7" w:rsidRPr="00C417E7" w:rsidRDefault="00C417E7" w:rsidP="00C417E7">
            <w:pPr>
              <w:spacing w:line="276" w:lineRule="auto"/>
              <w:rPr>
                <w:rFonts w:ascii="Times New Roman" w:hAnsi="Times New Roman"/>
                <w:sz w:val="24"/>
                <w:szCs w:val="24"/>
              </w:rPr>
            </w:pPr>
          </w:p>
          <w:p w14:paraId="39E36666"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Brockbank, A. &amp; McGill. (2003) ‘Action Learning as a Reflective Process’. In </w:t>
            </w:r>
            <w:r w:rsidRPr="00C417E7">
              <w:rPr>
                <w:rFonts w:ascii="Times New Roman" w:hAnsi="Times New Roman"/>
                <w:i/>
                <w:iCs/>
                <w:sz w:val="24"/>
                <w:szCs w:val="24"/>
              </w:rPr>
              <w:t>The Action Learning Handbook</w:t>
            </w:r>
            <w:r w:rsidRPr="00C417E7">
              <w:rPr>
                <w:rFonts w:ascii="Times New Roman" w:hAnsi="Times New Roman"/>
                <w:sz w:val="24"/>
                <w:szCs w:val="24"/>
              </w:rPr>
              <w:t>. London: Taylor &amp; Francis.</w:t>
            </w:r>
          </w:p>
          <w:p w14:paraId="63DC347D" w14:textId="77777777" w:rsidR="00C417E7" w:rsidRPr="00C417E7" w:rsidRDefault="00C417E7" w:rsidP="00C417E7">
            <w:pPr>
              <w:spacing w:line="276" w:lineRule="auto"/>
              <w:rPr>
                <w:rFonts w:ascii="Times New Roman" w:hAnsi="Times New Roman"/>
                <w:sz w:val="24"/>
                <w:szCs w:val="24"/>
              </w:rPr>
            </w:pPr>
          </w:p>
          <w:p w14:paraId="11D68CA9"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Dochy, F., Segers, M., Gijbels, D., and Struyven, K. (2007) ‘Assessment Engineering: Breaking Down Barriers between Teaching and Learning, and Assessment’. In Boud, D. and Falchikov, N. </w:t>
            </w:r>
            <w:r w:rsidRPr="00C417E7">
              <w:rPr>
                <w:rFonts w:ascii="Times New Roman" w:hAnsi="Times New Roman"/>
                <w:i/>
                <w:iCs/>
                <w:sz w:val="24"/>
                <w:szCs w:val="24"/>
              </w:rPr>
              <w:t>Rethinking Assessment in Higher Education: Learning for the Longer Term</w:t>
            </w:r>
            <w:r w:rsidRPr="00C417E7">
              <w:rPr>
                <w:rFonts w:ascii="Times New Roman" w:hAnsi="Times New Roman"/>
                <w:sz w:val="24"/>
                <w:szCs w:val="24"/>
              </w:rPr>
              <w:t>. 87-100. London: Routledge.</w:t>
            </w:r>
          </w:p>
          <w:p w14:paraId="6EDEDC6D" w14:textId="77777777" w:rsidR="00C417E7" w:rsidRPr="00C417E7" w:rsidRDefault="00C417E7" w:rsidP="00C417E7">
            <w:pPr>
              <w:spacing w:line="276" w:lineRule="auto"/>
              <w:rPr>
                <w:rFonts w:ascii="Times New Roman" w:hAnsi="Times New Roman"/>
                <w:sz w:val="24"/>
                <w:szCs w:val="24"/>
              </w:rPr>
            </w:pPr>
          </w:p>
          <w:p w14:paraId="76BB21CD"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Donovan, M.S., Bransford, J.D., and Pellegrino, J.W. (eds) (2009). </w:t>
            </w:r>
            <w:r w:rsidRPr="00C417E7">
              <w:rPr>
                <w:rFonts w:ascii="Times New Roman" w:hAnsi="Times New Roman"/>
                <w:i/>
                <w:iCs/>
                <w:sz w:val="24"/>
                <w:szCs w:val="24"/>
              </w:rPr>
              <w:t>How People Learn: Bridging Research and Practice</w:t>
            </w:r>
            <w:r w:rsidRPr="00C417E7">
              <w:rPr>
                <w:rFonts w:ascii="Times New Roman" w:hAnsi="Times New Roman"/>
                <w:sz w:val="24"/>
                <w:szCs w:val="24"/>
              </w:rPr>
              <w:t>. Washington, DC: National Academy Press.</w:t>
            </w:r>
          </w:p>
          <w:p w14:paraId="040CBE5F" w14:textId="77777777" w:rsidR="00C417E7" w:rsidRPr="00C417E7" w:rsidRDefault="00C417E7" w:rsidP="00C417E7">
            <w:pPr>
              <w:spacing w:line="276" w:lineRule="auto"/>
              <w:rPr>
                <w:rFonts w:ascii="Times New Roman" w:hAnsi="Times New Roman"/>
                <w:sz w:val="24"/>
                <w:szCs w:val="24"/>
              </w:rPr>
            </w:pPr>
          </w:p>
          <w:p w14:paraId="77EFF0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Gibbs, G. (1988). </w:t>
            </w:r>
            <w:r w:rsidRPr="00C417E7">
              <w:rPr>
                <w:rFonts w:ascii="Times New Roman" w:hAnsi="Times New Roman"/>
                <w:i/>
                <w:iCs/>
                <w:sz w:val="24"/>
                <w:szCs w:val="24"/>
              </w:rPr>
              <w:t>Learning by Doing: A Guide to Teaching and Learning Methods</w:t>
            </w:r>
            <w:r w:rsidRPr="00C417E7">
              <w:rPr>
                <w:rFonts w:ascii="Times New Roman" w:hAnsi="Times New Roman"/>
                <w:sz w:val="24"/>
                <w:szCs w:val="24"/>
              </w:rPr>
              <w:t>. Repr. Oxford Centre for Staff and Learning Development, Oxford Brookes University.</w:t>
            </w:r>
          </w:p>
          <w:p w14:paraId="4AEDC5E5" w14:textId="77777777" w:rsidR="00C417E7" w:rsidRPr="00C417E7" w:rsidRDefault="00C417E7" w:rsidP="00C417E7">
            <w:pPr>
              <w:spacing w:line="276" w:lineRule="auto"/>
              <w:rPr>
                <w:rFonts w:ascii="Times New Roman" w:hAnsi="Times New Roman"/>
                <w:sz w:val="24"/>
                <w:szCs w:val="24"/>
              </w:rPr>
            </w:pPr>
          </w:p>
          <w:p w14:paraId="1ECDB18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Gibbs, G. (1992). </w:t>
            </w:r>
            <w:r w:rsidRPr="00C417E7">
              <w:rPr>
                <w:rFonts w:ascii="Times New Roman" w:hAnsi="Times New Roman"/>
                <w:i/>
                <w:iCs/>
                <w:sz w:val="24"/>
                <w:szCs w:val="24"/>
              </w:rPr>
              <w:t>Improving the Quality of Student Learning</w:t>
            </w:r>
            <w:r w:rsidRPr="00C417E7">
              <w:rPr>
                <w:rFonts w:ascii="Times New Roman" w:hAnsi="Times New Roman"/>
                <w:sz w:val="24"/>
                <w:szCs w:val="24"/>
              </w:rPr>
              <w:t>. Bristol: Technical &amp; Educational Services.</w:t>
            </w:r>
          </w:p>
          <w:p w14:paraId="5420E2AF" w14:textId="77777777" w:rsidR="00C417E7" w:rsidRPr="00C417E7" w:rsidRDefault="00C417E7" w:rsidP="00C417E7">
            <w:pPr>
              <w:spacing w:line="276" w:lineRule="auto"/>
              <w:rPr>
                <w:rFonts w:ascii="Times New Roman" w:hAnsi="Times New Roman"/>
                <w:sz w:val="24"/>
                <w:szCs w:val="24"/>
              </w:rPr>
            </w:pPr>
          </w:p>
          <w:p w14:paraId="0CA52E7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Honey, P. &amp; Mumford, A. (n.d.). </w:t>
            </w:r>
            <w:r w:rsidRPr="00C417E7">
              <w:rPr>
                <w:rFonts w:ascii="Times New Roman" w:hAnsi="Times New Roman"/>
                <w:i/>
                <w:iCs/>
                <w:sz w:val="24"/>
                <w:szCs w:val="24"/>
              </w:rPr>
              <w:t>Learning Styles Questionnaire</w:t>
            </w:r>
            <w:r w:rsidRPr="00C417E7">
              <w:rPr>
                <w:rFonts w:ascii="Times New Roman" w:hAnsi="Times New Roman"/>
                <w:sz w:val="24"/>
                <w:szCs w:val="24"/>
              </w:rPr>
              <w:t xml:space="preserve">. </w:t>
            </w:r>
            <w:hyperlink r:id="rId20" w:history="1">
              <w:r w:rsidRPr="00C417E7">
                <w:rPr>
                  <w:rStyle w:val="Hyperlink"/>
                  <w:rFonts w:ascii="Times New Roman" w:hAnsi="Times New Roman"/>
                  <w:sz w:val="24"/>
                  <w:szCs w:val="24"/>
                </w:rPr>
                <w:t>&lt;https://cec.hscni.net/wp-content/uploads/2020/01/HoneyandMumfordLearningStylesQuestionnaire.pdf&gt;</w:t>
              </w:r>
            </w:hyperlink>
            <w:r w:rsidRPr="00C417E7">
              <w:rPr>
                <w:rFonts w:ascii="Times New Roman" w:hAnsi="Times New Roman"/>
                <w:sz w:val="24"/>
                <w:szCs w:val="24"/>
              </w:rPr>
              <w:t xml:space="preserve"> </w:t>
            </w:r>
          </w:p>
          <w:p w14:paraId="37F44B5F" w14:textId="77777777" w:rsidR="00C417E7" w:rsidRPr="00C417E7" w:rsidRDefault="00C417E7" w:rsidP="00C417E7">
            <w:pPr>
              <w:spacing w:line="276" w:lineRule="auto"/>
              <w:rPr>
                <w:rFonts w:ascii="Times New Roman" w:hAnsi="Times New Roman"/>
                <w:sz w:val="24"/>
                <w:szCs w:val="24"/>
              </w:rPr>
            </w:pPr>
          </w:p>
          <w:p w14:paraId="31FC4192"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sz w:val="24"/>
                <w:szCs w:val="24"/>
              </w:rPr>
              <w:t xml:space="preserve">Kolb, D.A. (1984). </w:t>
            </w:r>
            <w:r w:rsidRPr="00C417E7">
              <w:rPr>
                <w:rFonts w:ascii="Times New Roman" w:hAnsi="Times New Roman"/>
                <w:i/>
                <w:sz w:val="24"/>
                <w:szCs w:val="24"/>
              </w:rPr>
              <w:t>Experiential Learning: Experience as a Source of Learning and Development</w:t>
            </w:r>
            <w:r w:rsidRPr="00C417E7">
              <w:rPr>
                <w:rFonts w:ascii="Times New Roman" w:hAnsi="Times New Roman"/>
                <w:iCs/>
                <w:sz w:val="24"/>
                <w:szCs w:val="24"/>
              </w:rPr>
              <w:t>. New Jersey: Prentice-Hall.</w:t>
            </w:r>
          </w:p>
          <w:p w14:paraId="356C5183" w14:textId="77777777" w:rsidR="00C417E7" w:rsidRPr="00C417E7" w:rsidRDefault="00C417E7" w:rsidP="00C417E7">
            <w:pPr>
              <w:spacing w:line="276" w:lineRule="auto"/>
              <w:rPr>
                <w:rFonts w:ascii="Times New Roman" w:hAnsi="Times New Roman"/>
                <w:iCs/>
                <w:sz w:val="24"/>
                <w:szCs w:val="24"/>
              </w:rPr>
            </w:pPr>
          </w:p>
          <w:p w14:paraId="177FCF68"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iCs/>
                <w:sz w:val="24"/>
                <w:szCs w:val="24"/>
              </w:rPr>
              <w:t xml:space="preserve">Mackh, B.M. (2018) </w:t>
            </w:r>
            <w:r w:rsidRPr="00C417E7">
              <w:rPr>
                <w:rFonts w:ascii="Times New Roman" w:hAnsi="Times New Roman"/>
                <w:i/>
                <w:sz w:val="24"/>
                <w:szCs w:val="24"/>
              </w:rPr>
              <w:t>Higher Education by Design: Best Practices for Curricular Planning and Instruction</w:t>
            </w:r>
            <w:r w:rsidRPr="00C417E7">
              <w:rPr>
                <w:rFonts w:ascii="Times New Roman" w:hAnsi="Times New Roman"/>
                <w:iCs/>
                <w:sz w:val="24"/>
                <w:szCs w:val="24"/>
              </w:rPr>
              <w:t>. London: Taylor &amp; Francis</w:t>
            </w:r>
          </w:p>
          <w:p w14:paraId="1D4480D4" w14:textId="77777777" w:rsidR="00C417E7" w:rsidRPr="00C417E7" w:rsidRDefault="00C417E7" w:rsidP="00C417E7">
            <w:pPr>
              <w:spacing w:line="276" w:lineRule="auto"/>
              <w:rPr>
                <w:rFonts w:ascii="Times New Roman" w:hAnsi="Times New Roman"/>
                <w:iCs/>
                <w:sz w:val="24"/>
                <w:szCs w:val="24"/>
              </w:rPr>
            </w:pPr>
          </w:p>
          <w:p w14:paraId="680F19C2" w14:textId="77777777" w:rsidR="00C417E7" w:rsidRPr="00C417E7" w:rsidRDefault="00C417E7" w:rsidP="00C417E7">
            <w:pPr>
              <w:spacing w:line="276" w:lineRule="auto"/>
              <w:rPr>
                <w:rFonts w:ascii="Times New Roman" w:hAnsi="Times New Roman"/>
                <w:iCs/>
                <w:sz w:val="24"/>
                <w:szCs w:val="24"/>
              </w:rPr>
            </w:pPr>
            <w:r w:rsidRPr="00C417E7">
              <w:rPr>
                <w:rFonts w:ascii="Times New Roman" w:hAnsi="Times New Roman"/>
                <w:iCs/>
                <w:sz w:val="24"/>
                <w:szCs w:val="24"/>
              </w:rPr>
              <w:t xml:space="preserve">Marshall, S. (2009) ‘Supervising Projects and Dissertations’. In </w:t>
            </w:r>
            <w:r w:rsidRPr="00C417E7">
              <w:rPr>
                <w:rFonts w:ascii="Times New Roman" w:hAnsi="Times New Roman"/>
                <w:sz w:val="24"/>
                <w:szCs w:val="24"/>
              </w:rPr>
              <w:t xml:space="preserve">‘Planning Teaching and Learning: Curriculum Design and Development’. In Fry, H., Ketteridge, S., and Marshall, S. (eds) </w:t>
            </w:r>
            <w:r w:rsidRPr="00C417E7">
              <w:rPr>
                <w:rFonts w:ascii="Times New Roman" w:hAnsi="Times New Roman"/>
                <w:i/>
                <w:iCs/>
                <w:sz w:val="24"/>
                <w:szCs w:val="24"/>
              </w:rPr>
              <w:t>A Handbook for Teaching and Learning in Higher Education: Enhancing Academic Practice</w:t>
            </w:r>
            <w:r w:rsidRPr="00C417E7">
              <w:rPr>
                <w:rFonts w:ascii="Times New Roman" w:hAnsi="Times New Roman"/>
                <w:sz w:val="24"/>
                <w:szCs w:val="24"/>
              </w:rPr>
              <w:t>, 3rd edn. 150-165. London: Routledge.</w:t>
            </w:r>
          </w:p>
          <w:p w14:paraId="265C1207" w14:textId="77777777" w:rsidR="00C417E7" w:rsidRPr="00C417E7" w:rsidRDefault="00C417E7" w:rsidP="00C417E7">
            <w:pPr>
              <w:spacing w:line="276" w:lineRule="auto"/>
              <w:rPr>
                <w:rFonts w:ascii="Times New Roman" w:hAnsi="Times New Roman"/>
                <w:iCs/>
                <w:sz w:val="24"/>
                <w:szCs w:val="24"/>
              </w:rPr>
            </w:pPr>
          </w:p>
          <w:p w14:paraId="352C5542"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National Research Council (2000). </w:t>
            </w:r>
            <w:r w:rsidRPr="00C417E7">
              <w:rPr>
                <w:rFonts w:ascii="Times New Roman" w:hAnsi="Times New Roman"/>
                <w:i/>
                <w:iCs/>
                <w:sz w:val="24"/>
                <w:szCs w:val="24"/>
              </w:rPr>
              <w:t>How People Learn: Brain, Mind, Experience, and School: Expanded Edition</w:t>
            </w:r>
            <w:r w:rsidRPr="00C417E7">
              <w:rPr>
                <w:rFonts w:ascii="Times New Roman" w:hAnsi="Times New Roman"/>
                <w:sz w:val="24"/>
                <w:szCs w:val="24"/>
              </w:rPr>
              <w:t>. Washington, DC: National Academies Press.</w:t>
            </w:r>
          </w:p>
          <w:p w14:paraId="00CFA018" w14:textId="77777777" w:rsidR="00C417E7" w:rsidRPr="00C417E7" w:rsidRDefault="00C417E7" w:rsidP="00C417E7">
            <w:pPr>
              <w:spacing w:line="276" w:lineRule="auto"/>
              <w:rPr>
                <w:rFonts w:ascii="Times New Roman" w:hAnsi="Times New Roman"/>
                <w:sz w:val="24"/>
                <w:szCs w:val="24"/>
              </w:rPr>
            </w:pPr>
          </w:p>
          <w:p w14:paraId="383D6766"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Otero, J. and Werner da Rosa, C.T. (2019) ‘Student-Centred Inquiry and the Awareness of One’s Own Lack of Knowledge: Building Unknowns about Objects’. In Pedrosa-de-Jesus, H. and Watts, M. (eds) </w:t>
            </w:r>
            <w:r w:rsidRPr="00C417E7">
              <w:rPr>
                <w:rFonts w:ascii="Times New Roman" w:hAnsi="Times New Roman"/>
                <w:i/>
                <w:iCs/>
                <w:sz w:val="24"/>
                <w:szCs w:val="24"/>
              </w:rPr>
              <w:t>Academic Growth in Higher Education</w:t>
            </w:r>
            <w:r w:rsidRPr="00C417E7">
              <w:rPr>
                <w:rFonts w:ascii="Times New Roman" w:hAnsi="Times New Roman"/>
                <w:sz w:val="24"/>
                <w:szCs w:val="24"/>
              </w:rPr>
              <w:t>. 117-129. Boston, MA: Brill.</w:t>
            </w:r>
          </w:p>
          <w:p w14:paraId="26B4941E" w14:textId="77777777" w:rsidR="00C417E7" w:rsidRPr="00C417E7" w:rsidRDefault="00C417E7" w:rsidP="00C417E7">
            <w:pPr>
              <w:spacing w:line="276" w:lineRule="auto"/>
              <w:rPr>
                <w:rFonts w:ascii="Times New Roman" w:hAnsi="Times New Roman"/>
                <w:sz w:val="24"/>
                <w:szCs w:val="24"/>
              </w:rPr>
            </w:pPr>
          </w:p>
          <w:p w14:paraId="78A2FC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Pedrosa-de-Jesus, H., Moreira, A.C., and Watts, M. (2019) ‘Approaches to Student Inquiry-Led Learning’. In Pedrosa-de-Jesus, H. and Watts, M. (eds) </w:t>
            </w:r>
            <w:r w:rsidRPr="00C417E7">
              <w:rPr>
                <w:rFonts w:ascii="Times New Roman" w:hAnsi="Times New Roman"/>
                <w:i/>
                <w:iCs/>
                <w:sz w:val="24"/>
                <w:szCs w:val="24"/>
              </w:rPr>
              <w:t>Academic Growth in Higher Education</w:t>
            </w:r>
            <w:r w:rsidRPr="00C417E7">
              <w:rPr>
                <w:rFonts w:ascii="Times New Roman" w:hAnsi="Times New Roman"/>
                <w:sz w:val="24"/>
                <w:szCs w:val="24"/>
              </w:rPr>
              <w:t>. 160-170. Boston, MA: Brill.</w:t>
            </w:r>
          </w:p>
          <w:p w14:paraId="1FC127D1" w14:textId="77777777" w:rsidR="00C417E7" w:rsidRPr="00C417E7" w:rsidRDefault="00C417E7" w:rsidP="00C417E7">
            <w:pPr>
              <w:spacing w:line="276" w:lineRule="auto"/>
              <w:rPr>
                <w:rFonts w:ascii="Times New Roman" w:hAnsi="Times New Roman"/>
                <w:sz w:val="24"/>
                <w:szCs w:val="24"/>
              </w:rPr>
            </w:pPr>
          </w:p>
          <w:p w14:paraId="50213340"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Perkins, D. N., Jay, E., &amp; Tishman, S. (1993). ‘Beyond Abilities: A Dispositional Theory of Thinking’. </w:t>
            </w:r>
            <w:r w:rsidRPr="00C417E7">
              <w:rPr>
                <w:rFonts w:ascii="Times New Roman" w:hAnsi="Times New Roman"/>
                <w:i/>
                <w:iCs/>
                <w:sz w:val="24"/>
                <w:szCs w:val="24"/>
              </w:rPr>
              <w:t>Merrill-Palmer Quarterly</w:t>
            </w:r>
            <w:r w:rsidRPr="00C417E7">
              <w:rPr>
                <w:rFonts w:ascii="Times New Roman" w:hAnsi="Times New Roman"/>
                <w:sz w:val="24"/>
                <w:szCs w:val="24"/>
              </w:rPr>
              <w:t>, 39(1), 1–21. &lt;http://www.jstor.org/stable/23087298&gt;</w:t>
            </w:r>
          </w:p>
          <w:p w14:paraId="24B7EC2D" w14:textId="77777777" w:rsidR="00C417E7" w:rsidRPr="00C417E7" w:rsidRDefault="00C417E7" w:rsidP="00C417E7">
            <w:pPr>
              <w:spacing w:line="276" w:lineRule="auto"/>
              <w:rPr>
                <w:rFonts w:ascii="Times New Roman" w:hAnsi="Times New Roman"/>
                <w:sz w:val="24"/>
                <w:szCs w:val="24"/>
              </w:rPr>
            </w:pPr>
          </w:p>
          <w:p w14:paraId="3EEC5097"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QAA (2015) </w:t>
            </w:r>
            <w:r w:rsidRPr="00C417E7">
              <w:rPr>
                <w:rFonts w:ascii="Times New Roman" w:hAnsi="Times New Roman"/>
                <w:i/>
                <w:iCs/>
                <w:sz w:val="24"/>
                <w:szCs w:val="24"/>
              </w:rPr>
              <w:t>UK Quality Code for Higher Education: Part A: Setting and Maintaining Academic Standards: Subject Benchmark Statement: English</w:t>
            </w:r>
            <w:r w:rsidRPr="00C417E7">
              <w:rPr>
                <w:rFonts w:ascii="Times New Roman" w:hAnsi="Times New Roman"/>
                <w:sz w:val="24"/>
                <w:szCs w:val="24"/>
              </w:rPr>
              <w:t>. Gloucester: The Quality Assurance Agency for Higher Education</w:t>
            </w:r>
          </w:p>
          <w:p w14:paraId="0ADC8D52" w14:textId="77777777" w:rsidR="00C417E7" w:rsidRPr="00C417E7" w:rsidRDefault="00C417E7" w:rsidP="00C417E7">
            <w:pPr>
              <w:spacing w:line="276" w:lineRule="auto"/>
              <w:rPr>
                <w:rFonts w:ascii="Times New Roman" w:hAnsi="Times New Roman"/>
                <w:sz w:val="24"/>
                <w:szCs w:val="24"/>
              </w:rPr>
            </w:pPr>
          </w:p>
          <w:p w14:paraId="4A263BCF"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Race, P. (2020) </w:t>
            </w:r>
            <w:r w:rsidRPr="00C417E7">
              <w:rPr>
                <w:rFonts w:ascii="Times New Roman" w:hAnsi="Times New Roman"/>
                <w:i/>
                <w:iCs/>
                <w:sz w:val="24"/>
                <w:szCs w:val="24"/>
              </w:rPr>
              <w:t>The Lecturer’s Toolkit: A Practical Guide to Assessment, Learning and Teaching</w:t>
            </w:r>
            <w:r w:rsidRPr="00C417E7">
              <w:rPr>
                <w:rFonts w:ascii="Times New Roman" w:hAnsi="Times New Roman"/>
                <w:sz w:val="24"/>
                <w:szCs w:val="24"/>
              </w:rPr>
              <w:t>, 5th edn. Abingdon: Routledge.</w:t>
            </w:r>
          </w:p>
          <w:p w14:paraId="37D156CE" w14:textId="77777777" w:rsidR="00C417E7" w:rsidRPr="00C417E7" w:rsidRDefault="00C417E7" w:rsidP="00C417E7">
            <w:pPr>
              <w:spacing w:line="276" w:lineRule="auto"/>
              <w:rPr>
                <w:rFonts w:ascii="Times New Roman" w:hAnsi="Times New Roman"/>
                <w:sz w:val="24"/>
                <w:szCs w:val="24"/>
              </w:rPr>
            </w:pPr>
          </w:p>
          <w:p w14:paraId="74FBF82C"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Stefani, L. (2009) ‘Planning Teaching and Learning: Curriculum Design and Development’. In Fry, H., Ketteridge, S., and Marshall, S. (eds) </w:t>
            </w:r>
            <w:r w:rsidRPr="00C417E7">
              <w:rPr>
                <w:rFonts w:ascii="Times New Roman" w:hAnsi="Times New Roman"/>
                <w:i/>
                <w:iCs/>
                <w:sz w:val="24"/>
                <w:szCs w:val="24"/>
              </w:rPr>
              <w:t>A Handbook for Teaching and Learning in Higher Education: Enhancing Academic Practice</w:t>
            </w:r>
            <w:r w:rsidRPr="00C417E7">
              <w:rPr>
                <w:rFonts w:ascii="Times New Roman" w:hAnsi="Times New Roman"/>
                <w:sz w:val="24"/>
                <w:szCs w:val="24"/>
              </w:rPr>
              <w:t xml:space="preserve">, 3rd edn., 40-57. London: Routledge.  </w:t>
            </w:r>
          </w:p>
          <w:p w14:paraId="016C99F0" w14:textId="77777777" w:rsidR="00C417E7" w:rsidRPr="00C417E7" w:rsidRDefault="00C417E7" w:rsidP="00C417E7">
            <w:pPr>
              <w:spacing w:line="276" w:lineRule="auto"/>
              <w:rPr>
                <w:rFonts w:ascii="Times New Roman" w:hAnsi="Times New Roman"/>
                <w:sz w:val="24"/>
                <w:szCs w:val="24"/>
              </w:rPr>
            </w:pPr>
          </w:p>
          <w:p w14:paraId="3E5A39AB"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 xml:space="preserve">Tishman, S., Jay, E., &amp; Perkins, D. N. (1993). ‘Teaching Thinking Dispositions: From Transmission to Enculturation’. </w:t>
            </w:r>
            <w:r w:rsidRPr="00C417E7">
              <w:rPr>
                <w:rFonts w:ascii="Times New Roman" w:hAnsi="Times New Roman"/>
                <w:i/>
                <w:iCs/>
                <w:sz w:val="24"/>
                <w:szCs w:val="24"/>
              </w:rPr>
              <w:t>Theory Into Practice</w:t>
            </w:r>
            <w:r w:rsidRPr="00C417E7">
              <w:rPr>
                <w:rFonts w:ascii="Times New Roman" w:hAnsi="Times New Roman"/>
                <w:sz w:val="24"/>
                <w:szCs w:val="24"/>
              </w:rPr>
              <w:t>, 32(3), 147–153. &lt;http://www.jstor.org/stable/1476695&gt;</w:t>
            </w:r>
          </w:p>
          <w:p w14:paraId="266338C7" w14:textId="77777777" w:rsidR="00C417E7" w:rsidRPr="00C417E7" w:rsidRDefault="00C417E7" w:rsidP="00C417E7">
            <w:pPr>
              <w:spacing w:line="276" w:lineRule="auto"/>
              <w:rPr>
                <w:rFonts w:ascii="Times New Roman" w:hAnsi="Times New Roman"/>
                <w:sz w:val="24"/>
                <w:szCs w:val="24"/>
              </w:rPr>
            </w:pPr>
          </w:p>
          <w:p w14:paraId="4785FF90" w14:textId="77777777" w:rsidR="00C417E7" w:rsidRPr="00C417E7" w:rsidRDefault="00C417E7" w:rsidP="00C417E7">
            <w:pPr>
              <w:spacing w:line="276" w:lineRule="auto"/>
              <w:rPr>
                <w:rFonts w:ascii="Times New Roman" w:hAnsi="Times New Roman"/>
                <w:sz w:val="24"/>
                <w:szCs w:val="24"/>
              </w:rPr>
            </w:pPr>
            <w:r w:rsidRPr="00C417E7">
              <w:rPr>
                <w:rFonts w:ascii="Times New Roman" w:hAnsi="Times New Roman"/>
                <w:sz w:val="24"/>
                <w:szCs w:val="24"/>
              </w:rPr>
              <w:t>UWTSD (2018). Programme Document: BA (Hons) English, BA (Hons) Joint Honours English, BA (Hons) Minor in English.</w:t>
            </w:r>
          </w:p>
          <w:p w14:paraId="7AAA05E9" w14:textId="77777777" w:rsidR="00C417E7" w:rsidRPr="00C417E7" w:rsidRDefault="00C417E7" w:rsidP="00C417E7">
            <w:pPr>
              <w:spacing w:line="276" w:lineRule="auto"/>
              <w:rPr>
                <w:rFonts w:ascii="Times New Roman" w:hAnsi="Times New Roman"/>
                <w:sz w:val="24"/>
                <w:szCs w:val="24"/>
              </w:rPr>
            </w:pPr>
          </w:p>
          <w:p w14:paraId="3A884748" w14:textId="77777777" w:rsidR="004C1A66" w:rsidRPr="00C417E7" w:rsidRDefault="00C417E7" w:rsidP="00C417E7">
            <w:pPr>
              <w:jc w:val="both"/>
              <w:rPr>
                <w:rFonts w:ascii="Times New Roman" w:hAnsi="Times New Roman"/>
                <w:sz w:val="24"/>
                <w:szCs w:val="24"/>
              </w:rPr>
            </w:pPr>
            <w:r w:rsidRPr="00C417E7">
              <w:rPr>
                <w:rFonts w:ascii="Times New Roman" w:hAnsi="Times New Roman"/>
                <w:sz w:val="24"/>
                <w:szCs w:val="24"/>
              </w:rPr>
              <w:t xml:space="preserve">Vygotsky, L.S. (1962). </w:t>
            </w:r>
            <w:r w:rsidRPr="00C417E7">
              <w:rPr>
                <w:rFonts w:ascii="Times New Roman" w:hAnsi="Times New Roman"/>
                <w:i/>
                <w:iCs/>
                <w:sz w:val="24"/>
                <w:szCs w:val="24"/>
              </w:rPr>
              <w:t>Thought and Language</w:t>
            </w:r>
            <w:r w:rsidRPr="00C417E7">
              <w:rPr>
                <w:rFonts w:ascii="Times New Roman" w:hAnsi="Times New Roman"/>
                <w:sz w:val="24"/>
                <w:szCs w:val="24"/>
              </w:rPr>
              <w:t>. Cambridge, Mass.: MIT Press.</w:t>
            </w:r>
          </w:p>
          <w:p w14:paraId="3735CA25" w14:textId="67B1AA3D" w:rsidR="00C417E7" w:rsidRPr="00BD009A" w:rsidRDefault="00C417E7" w:rsidP="00C417E7">
            <w:pPr>
              <w:jc w:val="both"/>
              <w:rPr>
                <w:color w:val="000000"/>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4"/>
        <w:gridCol w:w="5872"/>
      </w:tblGrid>
      <w:tr w:rsidR="00CA12DC" w:rsidRPr="00C22A3A" w14:paraId="06BF99F8" w14:textId="77777777" w:rsidTr="382CC43D">
        <w:tc>
          <w:tcPr>
            <w:tcW w:w="10598"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rsidP="000F1367">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47D73AB7" w14:textId="4E31F242" w:rsidR="00CA12DC" w:rsidRPr="00C22A3A" w:rsidRDefault="008F1A66" w:rsidP="000F1367">
            <w:pPr>
              <w:jc w:val="both"/>
              <w:rPr>
                <w:rFonts w:cs="Arial"/>
                <w:sz w:val="24"/>
                <w:szCs w:val="24"/>
              </w:rPr>
            </w:pPr>
            <w:r>
              <w:rPr>
                <w:rFonts w:cs="Arial"/>
                <w:sz w:val="24"/>
                <w:szCs w:val="24"/>
              </w:rPr>
              <w:t>Prof Thomas Jansen</w:t>
            </w:r>
          </w:p>
        </w:tc>
      </w:tr>
      <w:tr w:rsidR="00CA12DC" w:rsidRPr="00C22A3A" w14:paraId="106B3C49" w14:textId="77777777" w:rsidTr="382CC43D">
        <w:tc>
          <w:tcPr>
            <w:tcW w:w="4621" w:type="dxa"/>
          </w:tcPr>
          <w:p w14:paraId="066E992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5BF63C11" w14:textId="2F430A01" w:rsidR="00CA12DC" w:rsidRPr="00C22A3A" w:rsidRDefault="008F1A66" w:rsidP="000F1367">
            <w:pPr>
              <w:jc w:val="both"/>
              <w:rPr>
                <w:rFonts w:cs="Arial"/>
                <w:sz w:val="24"/>
                <w:szCs w:val="24"/>
              </w:rPr>
            </w:pPr>
            <w:r>
              <w:rPr>
                <w:rFonts w:cs="Arial"/>
                <w:sz w:val="24"/>
                <w:szCs w:val="24"/>
              </w:rPr>
              <w:t>Senior Lecturer / Associate Professor</w:t>
            </w:r>
          </w:p>
        </w:tc>
      </w:tr>
      <w:tr w:rsidR="001A33D4" w:rsidRPr="00C22A3A" w14:paraId="095DAFAB" w14:textId="77777777" w:rsidTr="382CC43D">
        <w:tc>
          <w:tcPr>
            <w:tcW w:w="4621" w:type="dxa"/>
          </w:tcPr>
          <w:p w14:paraId="78042F3A" w14:textId="540D5E94" w:rsidR="001A33D4" w:rsidRPr="00C22A3A" w:rsidRDefault="001A33D4" w:rsidP="000F1367">
            <w:pPr>
              <w:jc w:val="both"/>
              <w:rPr>
                <w:rFonts w:cs="Arial"/>
                <w:sz w:val="24"/>
                <w:szCs w:val="24"/>
              </w:rPr>
            </w:pPr>
            <w:r>
              <w:rPr>
                <w:rFonts w:cs="Arial"/>
                <w:sz w:val="24"/>
                <w:szCs w:val="24"/>
              </w:rPr>
              <w:t>Fellowship Status</w:t>
            </w:r>
          </w:p>
        </w:tc>
        <w:tc>
          <w:tcPr>
            <w:tcW w:w="5977" w:type="dxa"/>
          </w:tcPr>
          <w:p w14:paraId="5394AA7F" w14:textId="621209B2" w:rsidR="001A33D4" w:rsidRPr="00C22A3A" w:rsidRDefault="008F1A66" w:rsidP="000F1367">
            <w:pPr>
              <w:jc w:val="both"/>
              <w:rPr>
                <w:rFonts w:cs="Arial"/>
                <w:sz w:val="24"/>
                <w:szCs w:val="24"/>
              </w:rPr>
            </w:pPr>
            <w:r>
              <w:rPr>
                <w:rFonts w:cs="Arial"/>
                <w:sz w:val="24"/>
                <w:szCs w:val="24"/>
              </w:rPr>
              <w:t>Senior</w:t>
            </w:r>
          </w:p>
        </w:tc>
      </w:tr>
      <w:tr w:rsidR="00CA12DC" w:rsidRPr="00C22A3A" w14:paraId="147B419C" w14:textId="77777777" w:rsidTr="382CC43D">
        <w:tc>
          <w:tcPr>
            <w:tcW w:w="4621" w:type="dxa"/>
          </w:tcPr>
          <w:p w14:paraId="7CF46367" w14:textId="76C48931"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46967109" w14:textId="29194D65" w:rsidR="00CA12DC" w:rsidRPr="00C22A3A" w:rsidRDefault="008F1A66" w:rsidP="000F1367">
            <w:pPr>
              <w:jc w:val="both"/>
              <w:rPr>
                <w:rFonts w:cs="Arial"/>
                <w:sz w:val="24"/>
                <w:szCs w:val="24"/>
              </w:rPr>
            </w:pPr>
            <w:r>
              <w:rPr>
                <w:rFonts w:cs="Arial"/>
                <w:sz w:val="24"/>
                <w:szCs w:val="24"/>
              </w:rPr>
              <w:t>Education and Humanities</w:t>
            </w:r>
          </w:p>
        </w:tc>
      </w:tr>
      <w:tr w:rsidR="00CA12DC" w:rsidRPr="00C22A3A" w14:paraId="6FB5A033" w14:textId="77777777" w:rsidTr="382CC43D">
        <w:tc>
          <w:tcPr>
            <w:tcW w:w="4621" w:type="dxa"/>
          </w:tcPr>
          <w:p w14:paraId="5790C14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752D4AB" w14:textId="3201F1A2" w:rsidR="00CA12DC" w:rsidRPr="00C22A3A" w:rsidRDefault="008F1A66" w:rsidP="000F1367">
            <w:pPr>
              <w:jc w:val="both"/>
              <w:rPr>
                <w:rFonts w:cs="Arial"/>
                <w:sz w:val="24"/>
                <w:szCs w:val="24"/>
              </w:rPr>
            </w:pPr>
            <w:r>
              <w:rPr>
                <w:rFonts w:cs="Arial"/>
                <w:sz w:val="24"/>
                <w:szCs w:val="24"/>
              </w:rPr>
              <w:t>t.jansen@uwtsd.ac.uk</w:t>
            </w:r>
          </w:p>
        </w:tc>
      </w:tr>
      <w:tr w:rsidR="00CA12DC" w:rsidRPr="00C22A3A" w14:paraId="425E133A" w14:textId="77777777" w:rsidTr="382CC43D">
        <w:tc>
          <w:tcPr>
            <w:tcW w:w="10598" w:type="dxa"/>
            <w:gridSpan w:val="2"/>
          </w:tcPr>
          <w:p w14:paraId="25CFBCF0"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D901922" w14:textId="77777777" w:rsidR="00CA12DC" w:rsidRPr="00C22A3A" w:rsidRDefault="00CA12DC" w:rsidP="000F1367">
            <w:pPr>
              <w:jc w:val="both"/>
              <w:rPr>
                <w:rFonts w:cs="Arial"/>
                <w:sz w:val="24"/>
                <w:szCs w:val="24"/>
              </w:rPr>
            </w:pPr>
          </w:p>
          <w:p w14:paraId="0C20EDF1" w14:textId="6DCFC113" w:rsidR="0092057B" w:rsidRPr="00C22A3A" w:rsidRDefault="008F1A66" w:rsidP="000F1367">
            <w:pPr>
              <w:jc w:val="both"/>
              <w:rPr>
                <w:rFonts w:cs="Arial"/>
                <w:sz w:val="24"/>
                <w:szCs w:val="24"/>
              </w:rPr>
            </w:pPr>
            <w:r>
              <w:rPr>
                <w:rFonts w:cs="Arial"/>
                <w:sz w:val="24"/>
                <w:szCs w:val="24"/>
              </w:rPr>
              <w:t>Formerly academic head</w:t>
            </w:r>
            <w:r w:rsidR="007C65F4">
              <w:rPr>
                <w:rFonts w:cs="Arial"/>
                <w:sz w:val="24"/>
                <w:szCs w:val="24"/>
              </w:rPr>
              <w:t xml:space="preserve"> (with line management responsibility)</w:t>
            </w:r>
            <w:r>
              <w:rPr>
                <w:rFonts w:cs="Arial"/>
                <w:sz w:val="24"/>
                <w:szCs w:val="24"/>
              </w:rPr>
              <w:t xml:space="preserve"> and colleague</w:t>
            </w:r>
          </w:p>
          <w:p w14:paraId="6655000E" w14:textId="77777777" w:rsidR="0092057B" w:rsidRPr="00C22A3A" w:rsidRDefault="0092057B" w:rsidP="000F1367">
            <w:pPr>
              <w:jc w:val="both"/>
              <w:rPr>
                <w:rFonts w:cs="Arial"/>
                <w:sz w:val="24"/>
                <w:szCs w:val="24"/>
              </w:rPr>
            </w:pPr>
          </w:p>
          <w:p w14:paraId="65EFFA31" w14:textId="77777777" w:rsidR="0092057B" w:rsidRPr="00C22A3A" w:rsidRDefault="0092057B" w:rsidP="000F1367">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0F1367">
            <w:pPr>
              <w:jc w:val="both"/>
              <w:rPr>
                <w:rFonts w:cs="Arial"/>
                <w:b/>
                <w:sz w:val="24"/>
                <w:szCs w:val="24"/>
              </w:rPr>
            </w:pPr>
            <w:r w:rsidRPr="00C22A3A">
              <w:rPr>
                <w:rFonts w:cs="Arial"/>
                <w:b/>
                <w:sz w:val="24"/>
                <w:szCs w:val="24"/>
              </w:rPr>
              <w:t>Second Referee:</w:t>
            </w:r>
          </w:p>
          <w:p w14:paraId="730897FA" w14:textId="77777777" w:rsidR="00CA12DC" w:rsidRPr="00C22A3A" w:rsidRDefault="00CA12DC" w:rsidP="000F1367">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F09A343" w14:textId="20ED56FD" w:rsidR="00CA12DC" w:rsidRPr="00C22A3A" w:rsidRDefault="008F1A66" w:rsidP="000F1367">
            <w:pPr>
              <w:jc w:val="both"/>
              <w:rPr>
                <w:rFonts w:cs="Arial"/>
                <w:sz w:val="24"/>
                <w:szCs w:val="24"/>
              </w:rPr>
            </w:pPr>
            <w:r>
              <w:rPr>
                <w:rFonts w:cs="Arial"/>
                <w:sz w:val="24"/>
                <w:szCs w:val="24"/>
              </w:rPr>
              <w:t>Dr Paul Wright</w:t>
            </w:r>
          </w:p>
        </w:tc>
      </w:tr>
      <w:tr w:rsidR="00CA12DC" w:rsidRPr="00C22A3A" w14:paraId="5A26095C" w14:textId="77777777" w:rsidTr="0092057B">
        <w:tc>
          <w:tcPr>
            <w:tcW w:w="4621" w:type="dxa"/>
          </w:tcPr>
          <w:p w14:paraId="6D0874B7"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8727601" w14:textId="3A8D2177" w:rsidR="00CA12DC" w:rsidRPr="00C22A3A" w:rsidRDefault="008F1A66" w:rsidP="000F1367">
            <w:pPr>
              <w:jc w:val="both"/>
              <w:rPr>
                <w:rFonts w:cs="Arial"/>
                <w:sz w:val="24"/>
                <w:szCs w:val="24"/>
              </w:rPr>
            </w:pPr>
            <w:r>
              <w:rPr>
                <w:rFonts w:cs="Arial"/>
                <w:sz w:val="24"/>
                <w:szCs w:val="24"/>
              </w:rPr>
              <w:t>Senior Lecturer</w:t>
            </w:r>
          </w:p>
        </w:tc>
      </w:tr>
      <w:tr w:rsidR="001A33D4" w:rsidRPr="00C22A3A" w14:paraId="3B15CA94" w14:textId="77777777" w:rsidTr="0092057B">
        <w:tc>
          <w:tcPr>
            <w:tcW w:w="4621" w:type="dxa"/>
          </w:tcPr>
          <w:p w14:paraId="24E3A0B3" w14:textId="4D118F31" w:rsidR="001A33D4" w:rsidRPr="00C22A3A" w:rsidRDefault="001A33D4" w:rsidP="000F1367">
            <w:pPr>
              <w:jc w:val="both"/>
              <w:rPr>
                <w:rFonts w:cs="Arial"/>
                <w:sz w:val="24"/>
                <w:szCs w:val="24"/>
              </w:rPr>
            </w:pPr>
            <w:r>
              <w:rPr>
                <w:rFonts w:cs="Arial"/>
                <w:sz w:val="24"/>
                <w:szCs w:val="24"/>
              </w:rPr>
              <w:t>Fellowship Status</w:t>
            </w:r>
          </w:p>
        </w:tc>
        <w:tc>
          <w:tcPr>
            <w:tcW w:w="5977" w:type="dxa"/>
          </w:tcPr>
          <w:p w14:paraId="4B98AC46" w14:textId="4315791A" w:rsidR="001A33D4" w:rsidRPr="00C22A3A" w:rsidRDefault="008F1A66" w:rsidP="000F1367">
            <w:pPr>
              <w:jc w:val="both"/>
              <w:rPr>
                <w:rFonts w:cs="Arial"/>
                <w:sz w:val="24"/>
                <w:szCs w:val="24"/>
              </w:rPr>
            </w:pPr>
            <w:r>
              <w:rPr>
                <w:rFonts w:cs="Arial"/>
                <w:sz w:val="24"/>
                <w:szCs w:val="24"/>
              </w:rPr>
              <w:t>Senior</w:t>
            </w:r>
          </w:p>
        </w:tc>
      </w:tr>
      <w:tr w:rsidR="00CA12DC" w:rsidRPr="00C22A3A" w14:paraId="1D5A114E" w14:textId="77777777" w:rsidTr="0092057B">
        <w:tc>
          <w:tcPr>
            <w:tcW w:w="4621" w:type="dxa"/>
          </w:tcPr>
          <w:p w14:paraId="0041F826" w14:textId="520BB138"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7DD98897" w14:textId="5740558B" w:rsidR="00CA12DC" w:rsidRPr="00C22A3A" w:rsidRDefault="008F1A66" w:rsidP="000F1367">
            <w:pPr>
              <w:jc w:val="both"/>
              <w:rPr>
                <w:rFonts w:cs="Arial"/>
                <w:sz w:val="24"/>
                <w:szCs w:val="24"/>
              </w:rPr>
            </w:pPr>
            <w:r>
              <w:rPr>
                <w:rFonts w:cs="Arial"/>
                <w:sz w:val="24"/>
                <w:szCs w:val="24"/>
              </w:rPr>
              <w:t>Education and Humanities</w:t>
            </w:r>
          </w:p>
        </w:tc>
      </w:tr>
      <w:tr w:rsidR="00CA12DC" w:rsidRPr="00C22A3A" w14:paraId="79406C18" w14:textId="77777777" w:rsidTr="0092057B">
        <w:tc>
          <w:tcPr>
            <w:tcW w:w="4621" w:type="dxa"/>
          </w:tcPr>
          <w:p w14:paraId="2356965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BD303AA" w14:textId="794929C7" w:rsidR="00CA12DC" w:rsidRPr="00C22A3A" w:rsidRDefault="008F1A66" w:rsidP="000F1367">
            <w:pPr>
              <w:jc w:val="both"/>
              <w:rPr>
                <w:rFonts w:cs="Arial"/>
                <w:sz w:val="24"/>
                <w:szCs w:val="24"/>
              </w:rPr>
            </w:pPr>
            <w:r>
              <w:rPr>
                <w:rFonts w:cs="Arial"/>
                <w:sz w:val="24"/>
                <w:szCs w:val="24"/>
              </w:rPr>
              <w:t>p.wright@uwtsd.ac.uk</w:t>
            </w:r>
          </w:p>
        </w:tc>
      </w:tr>
      <w:tr w:rsidR="00CA12DC" w:rsidRPr="00C22A3A" w14:paraId="52177303" w14:textId="77777777" w:rsidTr="0092057B">
        <w:tc>
          <w:tcPr>
            <w:tcW w:w="10598" w:type="dxa"/>
            <w:gridSpan w:val="2"/>
          </w:tcPr>
          <w:p w14:paraId="377FBEA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Pr="00C22A3A" w:rsidRDefault="00CA12DC" w:rsidP="000F1367">
            <w:pPr>
              <w:jc w:val="both"/>
              <w:rPr>
                <w:rFonts w:cs="Arial"/>
                <w:sz w:val="24"/>
                <w:szCs w:val="24"/>
              </w:rPr>
            </w:pPr>
          </w:p>
          <w:p w14:paraId="51CDDC62" w14:textId="6299C755" w:rsidR="0092057B" w:rsidRPr="00C22A3A" w:rsidRDefault="008F1A66" w:rsidP="000F1367">
            <w:pPr>
              <w:jc w:val="both"/>
              <w:rPr>
                <w:rFonts w:cs="Arial"/>
                <w:sz w:val="24"/>
                <w:szCs w:val="24"/>
              </w:rPr>
            </w:pPr>
            <w:r>
              <w:rPr>
                <w:rFonts w:cs="Arial"/>
                <w:sz w:val="24"/>
                <w:szCs w:val="24"/>
              </w:rPr>
              <w:t xml:space="preserve">Formerly academic head and colleague </w:t>
            </w:r>
          </w:p>
          <w:p w14:paraId="618C8BC4" w14:textId="77777777" w:rsidR="0092057B" w:rsidRPr="00C22A3A" w:rsidRDefault="0092057B" w:rsidP="000F1367">
            <w:pPr>
              <w:jc w:val="both"/>
              <w:rPr>
                <w:rFonts w:cs="Arial"/>
                <w:sz w:val="24"/>
                <w:szCs w:val="24"/>
              </w:rPr>
            </w:pPr>
          </w:p>
          <w:p w14:paraId="67DADB2E" w14:textId="77777777" w:rsidR="0092057B" w:rsidRPr="00C22A3A" w:rsidRDefault="0092057B" w:rsidP="000F1367">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3BA6530E" w:rsidR="00192F14" w:rsidRPr="00D77198" w:rsidRDefault="008F1A66" w:rsidP="00E8293F">
            <w:pPr>
              <w:jc w:val="both"/>
              <w:rPr>
                <w:rFonts w:cs="Arial"/>
                <w:sz w:val="24"/>
                <w:szCs w:val="24"/>
              </w:rPr>
            </w:pPr>
            <w:r>
              <w:rPr>
                <w:noProof/>
              </w:rPr>
              <w:drawing>
                <wp:inline distT="0" distB="0" distL="0" distR="0" wp14:anchorId="6A70C2CE" wp14:editId="0361026A">
                  <wp:extent cx="2362200" cy="600075"/>
                  <wp:effectExtent l="0" t="0" r="0" b="9525"/>
                  <wp:docPr id="167176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795DE69D" w:rsidR="00192F14" w:rsidRPr="00D77198" w:rsidRDefault="008F1A66" w:rsidP="00E8293F">
            <w:pPr>
              <w:jc w:val="both"/>
              <w:rPr>
                <w:rFonts w:cs="Arial"/>
                <w:sz w:val="24"/>
                <w:szCs w:val="24"/>
              </w:rPr>
            </w:pPr>
            <w:r>
              <w:rPr>
                <w:rFonts w:cs="Arial"/>
                <w:sz w:val="24"/>
                <w:szCs w:val="24"/>
              </w:rPr>
              <w:t>31 July 2024</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794C1158" w14:textId="77777777" w:rsidR="00192F14" w:rsidRPr="00051148" w:rsidRDefault="007C65F4" w:rsidP="00192F14">
      <w:pPr>
        <w:rPr>
          <w:rFonts w:cs="Arial"/>
        </w:rPr>
      </w:pPr>
      <w:hyperlink r:id="rId22"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2F5F7" w14:textId="77777777" w:rsidR="00505DCB" w:rsidRDefault="00505DCB" w:rsidP="00CA12DC">
      <w:r>
        <w:separator/>
      </w:r>
    </w:p>
  </w:endnote>
  <w:endnote w:type="continuationSeparator" w:id="0">
    <w:p w14:paraId="663E06DD" w14:textId="77777777" w:rsidR="00505DCB" w:rsidRDefault="00505DC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2B067" w14:textId="77777777" w:rsidR="00505DCB" w:rsidRDefault="00505DCB" w:rsidP="00CA12DC">
      <w:r>
        <w:separator/>
      </w:r>
    </w:p>
  </w:footnote>
  <w:footnote w:type="continuationSeparator" w:id="0">
    <w:p w14:paraId="2A87C832" w14:textId="77777777" w:rsidR="00505DCB" w:rsidRDefault="00505DC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4"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9"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2"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4"/>
  </w:num>
  <w:num w:numId="5" w16cid:durableId="571741462">
    <w:abstractNumId w:val="10"/>
  </w:num>
  <w:num w:numId="6" w16cid:durableId="2131169257">
    <w:abstractNumId w:val="25"/>
  </w:num>
  <w:num w:numId="7" w16cid:durableId="1479033658">
    <w:abstractNumId w:val="15"/>
  </w:num>
  <w:num w:numId="8" w16cid:durableId="622998675">
    <w:abstractNumId w:val="9"/>
  </w:num>
  <w:num w:numId="9" w16cid:durableId="1755276425">
    <w:abstractNumId w:val="17"/>
  </w:num>
  <w:num w:numId="10" w16cid:durableId="266546720">
    <w:abstractNumId w:val="23"/>
  </w:num>
  <w:num w:numId="11" w16cid:durableId="52512738">
    <w:abstractNumId w:val="4"/>
  </w:num>
  <w:num w:numId="12" w16cid:durableId="201290874">
    <w:abstractNumId w:val="20"/>
  </w:num>
  <w:num w:numId="13" w16cid:durableId="737829062">
    <w:abstractNumId w:val="7"/>
  </w:num>
  <w:num w:numId="14" w16cid:durableId="478959898">
    <w:abstractNumId w:val="2"/>
  </w:num>
  <w:num w:numId="15" w16cid:durableId="196360146">
    <w:abstractNumId w:val="24"/>
  </w:num>
  <w:num w:numId="16" w16cid:durableId="1417552503">
    <w:abstractNumId w:val="1"/>
  </w:num>
  <w:num w:numId="17" w16cid:durableId="1884946790">
    <w:abstractNumId w:val="19"/>
  </w:num>
  <w:num w:numId="18" w16cid:durableId="1713991501">
    <w:abstractNumId w:val="18"/>
  </w:num>
  <w:num w:numId="19" w16cid:durableId="1691561593">
    <w:abstractNumId w:val="3"/>
  </w:num>
  <w:num w:numId="20" w16cid:durableId="1523398821">
    <w:abstractNumId w:val="22"/>
  </w:num>
  <w:num w:numId="21" w16cid:durableId="1761371855">
    <w:abstractNumId w:val="0"/>
  </w:num>
  <w:num w:numId="22" w16cid:durableId="219750439">
    <w:abstractNumId w:val="13"/>
  </w:num>
  <w:num w:numId="23" w16cid:durableId="1068461921">
    <w:abstractNumId w:val="11"/>
  </w:num>
  <w:num w:numId="24" w16cid:durableId="211969068">
    <w:abstractNumId w:val="16"/>
  </w:num>
  <w:num w:numId="25" w16cid:durableId="288438301">
    <w:abstractNumId w:val="21"/>
  </w:num>
  <w:num w:numId="26" w16cid:durableId="738174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37784"/>
    <w:rsid w:val="00040225"/>
    <w:rsid w:val="0007207A"/>
    <w:rsid w:val="000A7669"/>
    <w:rsid w:val="000B2505"/>
    <w:rsid w:val="000B43DF"/>
    <w:rsid w:val="000C378E"/>
    <w:rsid w:val="000E3A5B"/>
    <w:rsid w:val="000F325D"/>
    <w:rsid w:val="00102F6C"/>
    <w:rsid w:val="00106056"/>
    <w:rsid w:val="001165B0"/>
    <w:rsid w:val="00123AD6"/>
    <w:rsid w:val="00131FDB"/>
    <w:rsid w:val="001347D4"/>
    <w:rsid w:val="00137F10"/>
    <w:rsid w:val="00150A2A"/>
    <w:rsid w:val="00151B90"/>
    <w:rsid w:val="0015690D"/>
    <w:rsid w:val="00170DDA"/>
    <w:rsid w:val="00192F14"/>
    <w:rsid w:val="001A33D4"/>
    <w:rsid w:val="001C6B3E"/>
    <w:rsid w:val="001D51D7"/>
    <w:rsid w:val="001F30EE"/>
    <w:rsid w:val="00204988"/>
    <w:rsid w:val="00237AD2"/>
    <w:rsid w:val="00257EB8"/>
    <w:rsid w:val="002659CD"/>
    <w:rsid w:val="00294398"/>
    <w:rsid w:val="002C2CBD"/>
    <w:rsid w:val="002C6ACC"/>
    <w:rsid w:val="002E308C"/>
    <w:rsid w:val="002E33E8"/>
    <w:rsid w:val="0031780E"/>
    <w:rsid w:val="003273A4"/>
    <w:rsid w:val="00356BA8"/>
    <w:rsid w:val="003636F2"/>
    <w:rsid w:val="00392169"/>
    <w:rsid w:val="003D2E23"/>
    <w:rsid w:val="003D43B1"/>
    <w:rsid w:val="003E2C4D"/>
    <w:rsid w:val="003E6B5D"/>
    <w:rsid w:val="00450C1B"/>
    <w:rsid w:val="00463655"/>
    <w:rsid w:val="00465B8B"/>
    <w:rsid w:val="004851AF"/>
    <w:rsid w:val="004858AC"/>
    <w:rsid w:val="004C1001"/>
    <w:rsid w:val="004C1A66"/>
    <w:rsid w:val="004F687F"/>
    <w:rsid w:val="00502713"/>
    <w:rsid w:val="00505DCB"/>
    <w:rsid w:val="00515B14"/>
    <w:rsid w:val="00530CDC"/>
    <w:rsid w:val="00534CB0"/>
    <w:rsid w:val="00540671"/>
    <w:rsid w:val="005407DE"/>
    <w:rsid w:val="00552AFE"/>
    <w:rsid w:val="0056012A"/>
    <w:rsid w:val="00564213"/>
    <w:rsid w:val="0056462E"/>
    <w:rsid w:val="0058465D"/>
    <w:rsid w:val="00594F89"/>
    <w:rsid w:val="005A64FB"/>
    <w:rsid w:val="005E6C5E"/>
    <w:rsid w:val="005F1278"/>
    <w:rsid w:val="005F1A50"/>
    <w:rsid w:val="005F45F4"/>
    <w:rsid w:val="005F6B54"/>
    <w:rsid w:val="006277D0"/>
    <w:rsid w:val="006760F2"/>
    <w:rsid w:val="006841FC"/>
    <w:rsid w:val="006A35A3"/>
    <w:rsid w:val="006E462B"/>
    <w:rsid w:val="006E7EA2"/>
    <w:rsid w:val="006F00E0"/>
    <w:rsid w:val="006F371C"/>
    <w:rsid w:val="00711466"/>
    <w:rsid w:val="0073597D"/>
    <w:rsid w:val="00751348"/>
    <w:rsid w:val="007825DE"/>
    <w:rsid w:val="00782BF3"/>
    <w:rsid w:val="00785AE1"/>
    <w:rsid w:val="00787060"/>
    <w:rsid w:val="007905BA"/>
    <w:rsid w:val="0079283C"/>
    <w:rsid w:val="007937D6"/>
    <w:rsid w:val="007A1184"/>
    <w:rsid w:val="007C65F4"/>
    <w:rsid w:val="007D09B2"/>
    <w:rsid w:val="007D199B"/>
    <w:rsid w:val="007D2877"/>
    <w:rsid w:val="007E01B9"/>
    <w:rsid w:val="007F4C23"/>
    <w:rsid w:val="00801AAF"/>
    <w:rsid w:val="00817498"/>
    <w:rsid w:val="0083367E"/>
    <w:rsid w:val="008438CE"/>
    <w:rsid w:val="00852DDF"/>
    <w:rsid w:val="00857176"/>
    <w:rsid w:val="0088072A"/>
    <w:rsid w:val="008928CA"/>
    <w:rsid w:val="00894305"/>
    <w:rsid w:val="008A0585"/>
    <w:rsid w:val="008C3B0F"/>
    <w:rsid w:val="008C409A"/>
    <w:rsid w:val="008F1A66"/>
    <w:rsid w:val="008F2F61"/>
    <w:rsid w:val="008F7114"/>
    <w:rsid w:val="00904D42"/>
    <w:rsid w:val="00912165"/>
    <w:rsid w:val="0091596A"/>
    <w:rsid w:val="0092057B"/>
    <w:rsid w:val="00943186"/>
    <w:rsid w:val="0098123C"/>
    <w:rsid w:val="009B3895"/>
    <w:rsid w:val="009C72A7"/>
    <w:rsid w:val="009D5C60"/>
    <w:rsid w:val="00A1372E"/>
    <w:rsid w:val="00A33E6F"/>
    <w:rsid w:val="00A46FE4"/>
    <w:rsid w:val="00A50840"/>
    <w:rsid w:val="00A64EB7"/>
    <w:rsid w:val="00A73C45"/>
    <w:rsid w:val="00A77A94"/>
    <w:rsid w:val="00A84CE2"/>
    <w:rsid w:val="00A95C27"/>
    <w:rsid w:val="00AA46DD"/>
    <w:rsid w:val="00AC5818"/>
    <w:rsid w:val="00AD7C67"/>
    <w:rsid w:val="00AE3652"/>
    <w:rsid w:val="00AF1272"/>
    <w:rsid w:val="00B116C0"/>
    <w:rsid w:val="00B12898"/>
    <w:rsid w:val="00B378C5"/>
    <w:rsid w:val="00BB477D"/>
    <w:rsid w:val="00BC0B6A"/>
    <w:rsid w:val="00BC0F40"/>
    <w:rsid w:val="00BD009A"/>
    <w:rsid w:val="00BE50EF"/>
    <w:rsid w:val="00BE760D"/>
    <w:rsid w:val="00BF4C2E"/>
    <w:rsid w:val="00C15F30"/>
    <w:rsid w:val="00C2148A"/>
    <w:rsid w:val="00C22A3A"/>
    <w:rsid w:val="00C33B52"/>
    <w:rsid w:val="00C34FAE"/>
    <w:rsid w:val="00C417E7"/>
    <w:rsid w:val="00C86610"/>
    <w:rsid w:val="00C877F9"/>
    <w:rsid w:val="00CA12DC"/>
    <w:rsid w:val="00CB2CBF"/>
    <w:rsid w:val="00CD26E0"/>
    <w:rsid w:val="00D107F9"/>
    <w:rsid w:val="00D1674F"/>
    <w:rsid w:val="00D62712"/>
    <w:rsid w:val="00D72BA1"/>
    <w:rsid w:val="00DC3839"/>
    <w:rsid w:val="00DE0E04"/>
    <w:rsid w:val="00DF27A7"/>
    <w:rsid w:val="00DF71C7"/>
    <w:rsid w:val="00E0025F"/>
    <w:rsid w:val="00E00A55"/>
    <w:rsid w:val="00E20124"/>
    <w:rsid w:val="00E31C3F"/>
    <w:rsid w:val="00E538C8"/>
    <w:rsid w:val="00E71D13"/>
    <w:rsid w:val="00EC05AB"/>
    <w:rsid w:val="00ED2AAE"/>
    <w:rsid w:val="00EF091D"/>
    <w:rsid w:val="00F109C7"/>
    <w:rsid w:val="00F14C41"/>
    <w:rsid w:val="00F27006"/>
    <w:rsid w:val="00F5223B"/>
    <w:rsid w:val="00F568EF"/>
    <w:rsid w:val="00F85538"/>
    <w:rsid w:val="00FC3A6E"/>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hyperlink" Target="https://jnr2.hcommons.org/"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hyperlink" Target="https://shakespearedocumented.folger.edu/"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halt.dmu.ac.uk/index.html" TargetMode="External"/><Relationship Id="rId20" Type="http://schemas.openxmlformats.org/officeDocument/2006/relationships/hyperlink" Target="https://cec.hscni.net/wp-content/uploads/2020/01/HoneyandMumfordLearningStylesQuestionnair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advance-he.ac.uk/knowledge-hub/aligning-teaching-constructing-learn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hyperlink" Target="https://www.heacademy.ac.uk/my-academy-manage-your-higher-education-academy-experi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40225"/>
    <w:rsid w:val="0018007B"/>
    <w:rsid w:val="002A5A81"/>
    <w:rsid w:val="004C2443"/>
    <w:rsid w:val="00507513"/>
    <w:rsid w:val="00517ABB"/>
    <w:rsid w:val="006F1C6D"/>
    <w:rsid w:val="00850395"/>
    <w:rsid w:val="009959A6"/>
    <w:rsid w:val="009978F3"/>
    <w:rsid w:val="00AD7C67"/>
    <w:rsid w:val="00DC3839"/>
    <w:rsid w:val="00DE0E04"/>
    <w:rsid w:val="00E70E7C"/>
    <w:rsid w:val="00EC05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B0FD96A45F984568A8F832438AB9F3AE">
    <w:name w:val="B0FD96A45F984568A8F832438AB9F3AE"/>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20</Pages>
  <Words>9186</Words>
  <Characters>52363</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Peter Mitchell</cp:lastModifiedBy>
  <cp:revision>11</cp:revision>
  <cp:lastPrinted>2012-09-17T12:27:00Z</cp:lastPrinted>
  <dcterms:created xsi:type="dcterms:W3CDTF">2022-04-11T09:58:00Z</dcterms:created>
  <dcterms:modified xsi:type="dcterms:W3CDTF">2024-07-31T22:32:00Z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