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4F197" w14:textId="77777777" w:rsidR="00CD6611" w:rsidRDefault="00CD6611" w:rsidP="00CD6611">
      <w:pPr>
        <w:spacing w:line="480" w:lineRule="auto"/>
        <w:rPr>
          <w:rFonts w:ascii="Arial" w:hAnsi="Arial" w:cs="Arial"/>
          <w:sz w:val="24"/>
          <w:szCs w:val="24"/>
          <w:highlight w:val="yellow"/>
        </w:rPr>
      </w:pPr>
    </w:p>
    <w:p w14:paraId="7F94EB85" w14:textId="77777777" w:rsidR="00CD6611" w:rsidRDefault="00CD6611" w:rsidP="00CD6611">
      <w:pPr>
        <w:spacing w:line="480" w:lineRule="auto"/>
        <w:rPr>
          <w:rFonts w:ascii="Arial" w:hAnsi="Arial" w:cs="Arial"/>
          <w:sz w:val="24"/>
          <w:szCs w:val="24"/>
          <w:highlight w:val="yellow"/>
        </w:rPr>
      </w:pPr>
    </w:p>
    <w:p w14:paraId="0F1C39F7" w14:textId="77777777" w:rsidR="00CD6611" w:rsidRDefault="00CD6611" w:rsidP="00CD6611">
      <w:pPr>
        <w:spacing w:line="480" w:lineRule="auto"/>
        <w:rPr>
          <w:rFonts w:ascii="Arial" w:hAnsi="Arial" w:cs="Arial"/>
          <w:sz w:val="24"/>
          <w:szCs w:val="24"/>
          <w:highlight w:val="yellow"/>
        </w:rPr>
      </w:pPr>
    </w:p>
    <w:p w14:paraId="48E87AE4" w14:textId="77777777" w:rsidR="00CD6611" w:rsidRDefault="00CD6611" w:rsidP="00CD6611">
      <w:pPr>
        <w:spacing w:line="480" w:lineRule="auto"/>
        <w:jc w:val="center"/>
        <w:rPr>
          <w:rFonts w:ascii="Arial" w:hAnsi="Arial" w:cs="Arial"/>
          <w:sz w:val="24"/>
          <w:szCs w:val="24"/>
          <w:highlight w:val="yellow"/>
        </w:rPr>
      </w:pPr>
      <w:r>
        <w:rPr>
          <w:rFonts w:ascii="Arial" w:hAnsi="Arial" w:cs="Arial"/>
          <w:noProof/>
          <w:sz w:val="24"/>
          <w:szCs w:val="24"/>
          <w:highlight w:val="yellow"/>
        </w:rPr>
        <w:drawing>
          <wp:inline distT="0" distB="0" distL="0" distR="0" wp14:anchorId="53AE941C" wp14:editId="6B74C61E">
            <wp:extent cx="2619375" cy="1743075"/>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inline>
        </w:drawing>
      </w:r>
    </w:p>
    <w:p w14:paraId="19BF6595" w14:textId="77777777" w:rsidR="00CD6611" w:rsidRPr="00EF4A1C" w:rsidRDefault="00CD6611" w:rsidP="00CD6611">
      <w:pPr>
        <w:spacing w:line="480" w:lineRule="auto"/>
        <w:jc w:val="center"/>
        <w:rPr>
          <w:rFonts w:ascii="Arial" w:hAnsi="Arial" w:cs="Arial"/>
          <w:sz w:val="24"/>
          <w:szCs w:val="24"/>
        </w:rPr>
      </w:pPr>
    </w:p>
    <w:p w14:paraId="095D2862" w14:textId="023F0475" w:rsidR="00CD6611" w:rsidRDefault="00CD6611" w:rsidP="00CD6611">
      <w:pPr>
        <w:spacing w:line="480" w:lineRule="auto"/>
        <w:jc w:val="center"/>
        <w:rPr>
          <w:rFonts w:ascii="Arial" w:hAnsi="Arial" w:cs="Arial"/>
          <w:sz w:val="24"/>
          <w:szCs w:val="24"/>
        </w:rPr>
      </w:pPr>
      <w:r w:rsidRPr="00EF4A1C">
        <w:rPr>
          <w:rFonts w:ascii="Arial" w:hAnsi="Arial" w:cs="Arial"/>
          <w:sz w:val="24"/>
          <w:szCs w:val="24"/>
        </w:rPr>
        <w:t>(BMCJ7003) Terrorism and Cyber Crime</w:t>
      </w:r>
      <w:r>
        <w:rPr>
          <w:rFonts w:ascii="Arial" w:hAnsi="Arial" w:cs="Arial"/>
          <w:sz w:val="24"/>
          <w:szCs w:val="24"/>
        </w:rPr>
        <w:t xml:space="preserve">: Cyber Crime Presentation Supportive paper. </w:t>
      </w:r>
    </w:p>
    <w:p w14:paraId="55E2DD4A" w14:textId="77777777" w:rsidR="00CD6611" w:rsidRPr="00BA3696" w:rsidRDefault="00CD6611" w:rsidP="00CD6611">
      <w:pPr>
        <w:spacing w:line="480" w:lineRule="auto"/>
        <w:jc w:val="center"/>
        <w:rPr>
          <w:rFonts w:ascii="Arial" w:hAnsi="Arial" w:cs="Arial"/>
          <w:sz w:val="24"/>
          <w:szCs w:val="24"/>
          <w:highlight w:val="yellow"/>
        </w:rPr>
      </w:pPr>
    </w:p>
    <w:p w14:paraId="7B5047BB" w14:textId="77777777" w:rsidR="00CD6611" w:rsidRPr="00980841" w:rsidRDefault="00CD6611" w:rsidP="00CD6611">
      <w:pPr>
        <w:spacing w:line="480" w:lineRule="auto"/>
        <w:jc w:val="center"/>
        <w:rPr>
          <w:rFonts w:ascii="Arial" w:hAnsi="Arial" w:cs="Arial"/>
          <w:sz w:val="24"/>
          <w:szCs w:val="24"/>
        </w:rPr>
      </w:pPr>
    </w:p>
    <w:p w14:paraId="51DCC7B2" w14:textId="77777777" w:rsidR="00CD6611" w:rsidRPr="00980841" w:rsidRDefault="00CD6611" w:rsidP="00CD6611">
      <w:pPr>
        <w:spacing w:line="480" w:lineRule="auto"/>
        <w:jc w:val="center"/>
        <w:rPr>
          <w:rFonts w:ascii="Arial" w:hAnsi="Arial" w:cs="Arial"/>
          <w:sz w:val="24"/>
          <w:szCs w:val="24"/>
        </w:rPr>
      </w:pPr>
    </w:p>
    <w:p w14:paraId="1DE5CDC2" w14:textId="77777777" w:rsidR="00CD6611" w:rsidRPr="00980841" w:rsidRDefault="00CD6611" w:rsidP="00CD6611">
      <w:pPr>
        <w:spacing w:line="480" w:lineRule="auto"/>
        <w:jc w:val="center"/>
        <w:rPr>
          <w:rFonts w:ascii="Arial" w:hAnsi="Arial" w:cs="Arial"/>
          <w:sz w:val="24"/>
          <w:szCs w:val="24"/>
        </w:rPr>
      </w:pPr>
      <w:r w:rsidRPr="00980841">
        <w:rPr>
          <w:rFonts w:ascii="Arial" w:hAnsi="Arial" w:cs="Arial"/>
          <w:sz w:val="24"/>
          <w:szCs w:val="24"/>
        </w:rPr>
        <w:t>C</w:t>
      </w:r>
      <w:r>
        <w:rPr>
          <w:rFonts w:ascii="Arial" w:hAnsi="Arial" w:cs="Arial"/>
          <w:sz w:val="24"/>
          <w:szCs w:val="24"/>
        </w:rPr>
        <w:t>ha</w:t>
      </w:r>
      <w:r w:rsidRPr="00980841">
        <w:rPr>
          <w:rFonts w:ascii="Arial" w:hAnsi="Arial" w:cs="Arial"/>
          <w:sz w:val="24"/>
          <w:szCs w:val="24"/>
        </w:rPr>
        <w:t xml:space="preserve">rlotte Smith </w:t>
      </w:r>
    </w:p>
    <w:p w14:paraId="14135A01" w14:textId="1EA3EE05" w:rsidR="00CD6611" w:rsidRDefault="00CD6611" w:rsidP="00CD6611">
      <w:pPr>
        <w:spacing w:line="480" w:lineRule="auto"/>
        <w:jc w:val="center"/>
        <w:rPr>
          <w:rFonts w:ascii="Arial" w:hAnsi="Arial" w:cs="Arial"/>
          <w:sz w:val="24"/>
          <w:szCs w:val="24"/>
        </w:rPr>
      </w:pPr>
      <w:r w:rsidRPr="00980841">
        <w:rPr>
          <w:rFonts w:ascii="Arial" w:hAnsi="Arial" w:cs="Arial"/>
          <w:sz w:val="24"/>
          <w:szCs w:val="24"/>
        </w:rPr>
        <w:t xml:space="preserve">Word count- </w:t>
      </w:r>
      <w:r>
        <w:rPr>
          <w:rFonts w:ascii="Arial" w:hAnsi="Arial" w:cs="Arial"/>
          <w:sz w:val="24"/>
          <w:szCs w:val="24"/>
        </w:rPr>
        <w:t>139</w:t>
      </w:r>
      <w:r w:rsidR="006D56A1">
        <w:rPr>
          <w:rFonts w:ascii="Arial" w:hAnsi="Arial" w:cs="Arial"/>
          <w:sz w:val="24"/>
          <w:szCs w:val="24"/>
        </w:rPr>
        <w:t>7</w:t>
      </w:r>
    </w:p>
    <w:p w14:paraId="457099A0" w14:textId="77777777" w:rsidR="00CD6611" w:rsidRDefault="00CD6611" w:rsidP="00CD6611">
      <w:pPr>
        <w:spacing w:after="0" w:line="360" w:lineRule="auto"/>
        <w:rPr>
          <w:rFonts w:ascii="Arial" w:hAnsi="Arial" w:cs="Arial"/>
          <w:sz w:val="24"/>
          <w:szCs w:val="24"/>
        </w:rPr>
      </w:pPr>
    </w:p>
    <w:p w14:paraId="0BC270FC" w14:textId="77777777" w:rsidR="00CD6611" w:rsidRDefault="00CD6611" w:rsidP="00CD6611">
      <w:pPr>
        <w:spacing w:after="0" w:line="360" w:lineRule="auto"/>
        <w:rPr>
          <w:rFonts w:ascii="Arial" w:hAnsi="Arial" w:cs="Arial"/>
          <w:sz w:val="24"/>
          <w:szCs w:val="24"/>
        </w:rPr>
      </w:pPr>
    </w:p>
    <w:p w14:paraId="3D752F91" w14:textId="77777777" w:rsidR="00CD6611" w:rsidRDefault="00CD6611" w:rsidP="00CD6611">
      <w:pPr>
        <w:spacing w:after="0" w:line="360" w:lineRule="auto"/>
        <w:rPr>
          <w:rFonts w:ascii="Arial" w:hAnsi="Arial" w:cs="Arial"/>
          <w:sz w:val="24"/>
          <w:szCs w:val="24"/>
        </w:rPr>
      </w:pPr>
    </w:p>
    <w:p w14:paraId="20D3A327" w14:textId="77777777" w:rsidR="00CD6611" w:rsidRDefault="00CD6611" w:rsidP="00CD6611">
      <w:pPr>
        <w:spacing w:after="0" w:line="360" w:lineRule="auto"/>
        <w:rPr>
          <w:rFonts w:ascii="Arial" w:hAnsi="Arial" w:cs="Arial"/>
          <w:sz w:val="24"/>
          <w:szCs w:val="24"/>
        </w:rPr>
      </w:pPr>
    </w:p>
    <w:p w14:paraId="55F18F7F" w14:textId="77777777" w:rsidR="00CD6611" w:rsidRDefault="00CD6611" w:rsidP="00CD6611">
      <w:pPr>
        <w:spacing w:after="0" w:line="360" w:lineRule="auto"/>
        <w:rPr>
          <w:rFonts w:ascii="Arial" w:hAnsi="Arial" w:cs="Arial"/>
          <w:sz w:val="24"/>
          <w:szCs w:val="24"/>
        </w:rPr>
      </w:pPr>
    </w:p>
    <w:p w14:paraId="588DD4B2" w14:textId="77777777" w:rsidR="00CD6611" w:rsidRDefault="00CD6611" w:rsidP="00CD6611">
      <w:pPr>
        <w:spacing w:after="0" w:line="360" w:lineRule="auto"/>
        <w:rPr>
          <w:rFonts w:ascii="Arial" w:hAnsi="Arial" w:cs="Arial"/>
          <w:sz w:val="24"/>
          <w:szCs w:val="24"/>
        </w:rPr>
      </w:pPr>
    </w:p>
    <w:p w14:paraId="0D7C156F" w14:textId="026D4236" w:rsidR="009F3217" w:rsidRPr="00532079" w:rsidRDefault="00714512" w:rsidP="00532079">
      <w:pPr>
        <w:spacing w:line="480" w:lineRule="auto"/>
        <w:jc w:val="both"/>
        <w:rPr>
          <w:rFonts w:ascii="Arial" w:hAnsi="Arial" w:cs="Arial"/>
          <w:sz w:val="24"/>
          <w:szCs w:val="24"/>
        </w:rPr>
      </w:pPr>
      <w:r w:rsidRPr="00532079">
        <w:rPr>
          <w:rFonts w:ascii="Arial" w:hAnsi="Arial" w:cs="Arial"/>
          <w:sz w:val="24"/>
          <w:szCs w:val="24"/>
        </w:rPr>
        <w:lastRenderedPageBreak/>
        <w:t xml:space="preserve">People's lives are increasingly reliant on modern technologies. The police force must respond appropriately. Almost any crime can now be committed using modern technology, whether it is through the exchange of e-mail or social media messages among conspirators, the use of technology itself to commit the crime, or the taking of a photograph of the aftereffects of the wrongdoing, such as taking photos an </w:t>
      </w:r>
      <w:r w:rsidR="009F3217" w:rsidRPr="00532079">
        <w:rPr>
          <w:rFonts w:ascii="Arial" w:hAnsi="Arial" w:cs="Arial"/>
          <w:sz w:val="24"/>
          <w:szCs w:val="24"/>
        </w:rPr>
        <w:t>assault survivor</w:t>
      </w:r>
      <w:r w:rsidRPr="00532079">
        <w:rPr>
          <w:rFonts w:ascii="Arial" w:hAnsi="Arial" w:cs="Arial"/>
          <w:sz w:val="24"/>
          <w:szCs w:val="24"/>
        </w:rPr>
        <w:t> as he or she remains injured in the street with the intention of sharing it online.</w:t>
      </w:r>
      <w:r w:rsidR="009F3217" w:rsidRPr="00532079">
        <w:rPr>
          <w:rFonts w:ascii="Arial" w:hAnsi="Arial" w:cs="Arial"/>
          <w:sz w:val="24"/>
          <w:szCs w:val="24"/>
        </w:rPr>
        <w:t xml:space="preserve"> The traceability of the perpetrators' acts on the internet allows public services to follow their digital traces. A "Digital footprint" refers to the data trail left by users of digital services. In an investigative setting, this often refers to offenders' and victims' mobile and online interactions, travel, and financial activities </w:t>
      </w:r>
      <w:r w:rsidR="00CC0475" w:rsidRPr="00532079">
        <w:rPr>
          <w:rFonts w:ascii="Arial" w:hAnsi="Arial" w:cs="Arial"/>
          <w:sz w:val="24"/>
          <w:szCs w:val="24"/>
        </w:rPr>
        <w:t>(Wang et al., 2016)</w:t>
      </w:r>
      <w:r w:rsidR="009F3217" w:rsidRPr="00532079">
        <w:rPr>
          <w:rFonts w:ascii="Arial" w:hAnsi="Arial" w:cs="Arial"/>
          <w:sz w:val="24"/>
          <w:szCs w:val="24"/>
        </w:rPr>
        <w:t>.</w:t>
      </w:r>
    </w:p>
    <w:p w14:paraId="656547E9" w14:textId="21BB4BD2" w:rsidR="00671EF9" w:rsidRPr="00532079" w:rsidRDefault="00671EF9" w:rsidP="00532079">
      <w:pPr>
        <w:spacing w:line="480" w:lineRule="auto"/>
        <w:jc w:val="both"/>
        <w:rPr>
          <w:rFonts w:ascii="Arial" w:hAnsi="Arial" w:cs="Arial"/>
          <w:sz w:val="24"/>
          <w:szCs w:val="24"/>
        </w:rPr>
      </w:pPr>
      <w:r w:rsidRPr="00532079">
        <w:rPr>
          <w:rFonts w:ascii="Arial" w:hAnsi="Arial" w:cs="Arial"/>
          <w:sz w:val="24"/>
          <w:szCs w:val="24"/>
        </w:rPr>
        <w:t>Cybercrime is a worldwide phenomenon that has no borders, much like the internet itself. As society gets more digitised, more individuals, businesses, public services, and devices connect to the internet, the attack surface expands</w:t>
      </w:r>
      <w:r w:rsidR="00F95D30" w:rsidRPr="00532079">
        <w:rPr>
          <w:rFonts w:ascii="Arial" w:hAnsi="Arial" w:cs="Arial"/>
          <w:sz w:val="24"/>
          <w:szCs w:val="24"/>
        </w:rPr>
        <w:t xml:space="preserve"> (HMICFRS, 2018)</w:t>
      </w:r>
      <w:r w:rsidRPr="00532079">
        <w:rPr>
          <w:rFonts w:ascii="Arial" w:hAnsi="Arial" w:cs="Arial"/>
          <w:sz w:val="24"/>
          <w:szCs w:val="24"/>
        </w:rPr>
        <w:t>. Furthermore, the possibility of a single attacker affecting many victims is increasing rapidly. However, the phrase "cybercrime" refers to a wide spectrum of various criminal dangers</w:t>
      </w:r>
      <w:r w:rsidR="00CC0475" w:rsidRPr="00532079">
        <w:rPr>
          <w:rFonts w:ascii="Arial" w:hAnsi="Arial" w:cs="Arial"/>
          <w:sz w:val="24"/>
          <w:szCs w:val="24"/>
        </w:rPr>
        <w:t xml:space="preserve"> (Eurpol, 2017)</w:t>
      </w:r>
      <w:r w:rsidRPr="00532079">
        <w:rPr>
          <w:rFonts w:ascii="Arial" w:hAnsi="Arial" w:cs="Arial"/>
          <w:sz w:val="24"/>
          <w:szCs w:val="24"/>
        </w:rPr>
        <w:t>. The most dangerous forms of cybercrime are the dissemination of ransomware and other viruses, non-cash payment fraud, and the internet sale in child sexual exploitation material.</w:t>
      </w:r>
    </w:p>
    <w:p w14:paraId="41FE1E0E" w14:textId="77777777" w:rsidR="00CD0D07" w:rsidRPr="00532079" w:rsidRDefault="00671EF9" w:rsidP="00532079">
      <w:pPr>
        <w:spacing w:line="480" w:lineRule="auto"/>
        <w:jc w:val="both"/>
        <w:rPr>
          <w:rFonts w:ascii="Arial" w:hAnsi="Arial" w:cs="Arial"/>
          <w:sz w:val="24"/>
          <w:szCs w:val="24"/>
        </w:rPr>
      </w:pPr>
      <w:r w:rsidRPr="00532079">
        <w:rPr>
          <w:rFonts w:ascii="Arial" w:hAnsi="Arial" w:cs="Arial"/>
          <w:sz w:val="24"/>
          <w:szCs w:val="24"/>
        </w:rPr>
        <w:t xml:space="preserve"> Cyber-dependent crime is described as any crime which can only be perpetrated with the use of computers, computer networks, or other kinds of information and communication technology (ICT). In essence, these acts would not have been possible without the internet</w:t>
      </w:r>
      <w:r w:rsidR="00CC0475" w:rsidRPr="00532079">
        <w:rPr>
          <w:rFonts w:ascii="Arial" w:hAnsi="Arial" w:cs="Arial"/>
          <w:sz w:val="24"/>
          <w:szCs w:val="24"/>
        </w:rPr>
        <w:t xml:space="preserve"> (Eurpol, 2017)</w:t>
      </w:r>
      <w:r w:rsidRPr="00532079">
        <w:rPr>
          <w:rFonts w:ascii="Arial" w:hAnsi="Arial" w:cs="Arial"/>
          <w:sz w:val="24"/>
          <w:szCs w:val="24"/>
        </w:rPr>
        <w:t>. It encompasses activities such as the development and distribution of malware, hacking to steal sensitive personal or industry data, and denial of service assaults to harm a company's reputation.</w:t>
      </w:r>
    </w:p>
    <w:p w14:paraId="5E3FE0DB" w14:textId="5B8CC212" w:rsidR="00671EF9" w:rsidRPr="00532079" w:rsidRDefault="00A42257" w:rsidP="00532079">
      <w:pPr>
        <w:spacing w:line="480" w:lineRule="auto"/>
        <w:jc w:val="both"/>
        <w:rPr>
          <w:rFonts w:ascii="Arial" w:hAnsi="Arial" w:cs="Arial"/>
          <w:sz w:val="24"/>
          <w:szCs w:val="24"/>
        </w:rPr>
      </w:pPr>
      <w:r w:rsidRPr="00532079">
        <w:rPr>
          <w:rFonts w:ascii="Arial" w:hAnsi="Arial" w:cs="Arial"/>
          <w:sz w:val="24"/>
          <w:szCs w:val="24"/>
        </w:rPr>
        <w:lastRenderedPageBreak/>
        <w:t>Cyber-facilitated crimes are those that may be committed both online and offline. The internet's function is to raise the magnitude, geographic extent, and speed of these crimes. Child sexual exploitation on the internet illustrates the darkest features of cybercrime. Hands-on abuse of vulnerable adolescents occurs in the physical world, but it is captured, shared, spread, promoted, and even directed over the internet</w:t>
      </w:r>
      <w:r w:rsidR="00CC0475" w:rsidRPr="00532079">
        <w:rPr>
          <w:rFonts w:ascii="Arial" w:hAnsi="Arial" w:cs="Arial"/>
          <w:sz w:val="24"/>
          <w:szCs w:val="24"/>
        </w:rPr>
        <w:t xml:space="preserve"> (Eurpol, 2017)</w:t>
      </w:r>
      <w:r w:rsidRPr="00532079">
        <w:rPr>
          <w:rFonts w:ascii="Arial" w:hAnsi="Arial" w:cs="Arial"/>
          <w:sz w:val="24"/>
          <w:szCs w:val="24"/>
        </w:rPr>
        <w:t>. The internet offers criminals and potential offenders with an environment in which they may operate with increased safety and anonymity; in which they can study, target, and groom youngsters for abuse. Furthermore, the Darknet is home to an increasing number of forums dedicated particularly to the creation, sharing, and dissemination of child sexual exploitation content.</w:t>
      </w:r>
      <w:r w:rsidR="00155BCC" w:rsidRPr="00532079">
        <w:rPr>
          <w:rFonts w:ascii="Arial" w:hAnsi="Arial" w:cs="Arial"/>
          <w:sz w:val="24"/>
          <w:szCs w:val="24"/>
        </w:rPr>
        <w:t xml:space="preserve"> The internet also provides a wide range of internet-based services, including as peer-to-peer file sharing and encrypted data storage, which promote this crime</w:t>
      </w:r>
      <w:r w:rsidR="003430F0" w:rsidRPr="00532079">
        <w:rPr>
          <w:rFonts w:ascii="Arial" w:hAnsi="Arial" w:cs="Arial"/>
          <w:sz w:val="24"/>
          <w:szCs w:val="24"/>
        </w:rPr>
        <w:t xml:space="preserve"> (HMICFRS, 2018)</w:t>
      </w:r>
      <w:r w:rsidR="00155BCC" w:rsidRPr="00532079">
        <w:rPr>
          <w:rFonts w:ascii="Arial" w:hAnsi="Arial" w:cs="Arial"/>
          <w:sz w:val="24"/>
          <w:szCs w:val="24"/>
        </w:rPr>
        <w:t>.</w:t>
      </w:r>
    </w:p>
    <w:p w14:paraId="786686DC" w14:textId="77777777" w:rsidR="00CD0D07" w:rsidRPr="00532079" w:rsidRDefault="00710016" w:rsidP="00532079">
      <w:pPr>
        <w:spacing w:line="480" w:lineRule="auto"/>
        <w:jc w:val="both"/>
        <w:rPr>
          <w:rFonts w:ascii="Arial" w:hAnsi="Arial" w:cs="Arial"/>
          <w:sz w:val="24"/>
          <w:szCs w:val="24"/>
        </w:rPr>
      </w:pPr>
      <w:r w:rsidRPr="00532079">
        <w:rPr>
          <w:rFonts w:ascii="Arial" w:hAnsi="Arial" w:cs="Arial"/>
          <w:sz w:val="24"/>
          <w:szCs w:val="24"/>
        </w:rPr>
        <w:t xml:space="preserve">Individuals and organisations in the United Kingdom reported losses of £1.3 billion due to fraud and cybercrime approximately around early January and late July 2021, a cumulative increase over the previous year's figure of £414.7 million, as reported instances of cybercrime increased sevenfold, from 39,160 to 289,437 (Scroxton, 2021). </w:t>
      </w:r>
    </w:p>
    <w:p w14:paraId="4630A4B2" w14:textId="5331F94A" w:rsidR="0030508B" w:rsidRPr="00532079" w:rsidRDefault="00C62B47" w:rsidP="00532079">
      <w:pPr>
        <w:spacing w:line="480" w:lineRule="auto"/>
        <w:jc w:val="both"/>
        <w:rPr>
          <w:rFonts w:ascii="Arial" w:hAnsi="Arial" w:cs="Arial"/>
          <w:sz w:val="24"/>
          <w:szCs w:val="24"/>
        </w:rPr>
      </w:pPr>
      <w:r w:rsidRPr="00532079">
        <w:rPr>
          <w:rFonts w:ascii="Arial" w:hAnsi="Arial" w:cs="Arial"/>
          <w:sz w:val="24"/>
          <w:szCs w:val="24"/>
        </w:rPr>
        <w:t>Three individuals penetrated the popular social media corporation</w:t>
      </w:r>
      <w:r w:rsidR="00CD0D07" w:rsidRPr="00532079">
        <w:rPr>
          <w:rFonts w:ascii="Arial" w:hAnsi="Arial" w:cs="Arial"/>
          <w:sz w:val="24"/>
          <w:szCs w:val="24"/>
        </w:rPr>
        <w:t xml:space="preserve"> Twitter</w:t>
      </w:r>
      <w:r w:rsidRPr="00532079">
        <w:rPr>
          <w:rFonts w:ascii="Arial" w:hAnsi="Arial" w:cs="Arial"/>
          <w:sz w:val="24"/>
          <w:szCs w:val="24"/>
        </w:rPr>
        <w:t xml:space="preserve"> in July, resulting in the hijacking of numerous high-profile Twitter accounts (Sedova et al., 2021). The attackers stole employees' credentials and gained access to the company's internal management systems via a social engineering attack, later confirmed by Twitter to be phone phishing; dozens of high-profile accounts were hacked, along with those of former President Barack Obama, Tesla and SpaceX CEO Elon Musk, and Amazon CEO Jeff Bezos. The threat actors then exploited the profiles to tweet out bitcoin frauds, which netted them more than $100,000. The Department </w:t>
      </w:r>
      <w:r w:rsidRPr="00532079">
        <w:rPr>
          <w:rFonts w:ascii="Arial" w:hAnsi="Arial" w:cs="Arial"/>
          <w:sz w:val="24"/>
          <w:szCs w:val="24"/>
        </w:rPr>
        <w:lastRenderedPageBreak/>
        <w:t xml:space="preserve">of Justice (DoJ) arraigned the three suspects two weeks after the breach and prosecuted Graham Ivan Clark, 17, as an adult for the attack he allegedly "masterminded," according to officials (Alkhalil et al., 2021).  </w:t>
      </w:r>
    </w:p>
    <w:p w14:paraId="1903428A" w14:textId="41C7D4AF" w:rsidR="00BC1F26" w:rsidRPr="00532079" w:rsidRDefault="00DD62FF" w:rsidP="00532079">
      <w:pPr>
        <w:spacing w:line="480" w:lineRule="auto"/>
        <w:jc w:val="both"/>
        <w:rPr>
          <w:rFonts w:ascii="Arial" w:hAnsi="Arial" w:cs="Arial"/>
          <w:color w:val="212121"/>
          <w:sz w:val="24"/>
          <w:szCs w:val="24"/>
          <w:shd w:val="clear" w:color="auto" w:fill="FFFFFF"/>
        </w:rPr>
      </w:pPr>
      <w:r w:rsidRPr="00532079">
        <w:rPr>
          <w:rFonts w:ascii="Arial" w:hAnsi="Arial" w:cs="Arial"/>
          <w:color w:val="212121"/>
          <w:sz w:val="24"/>
          <w:szCs w:val="24"/>
          <w:shd w:val="clear" w:color="auto" w:fill="FFFFFF"/>
        </w:rPr>
        <w:t>In respect to fear of cybercrime, poor social standing and feelings of inadequacy have a substantial interaction impact with past victimisation.</w:t>
      </w:r>
      <w:r w:rsidR="005E1672" w:rsidRPr="00532079">
        <w:rPr>
          <w:rFonts w:ascii="Arial" w:hAnsi="Arial" w:cs="Arial"/>
          <w:color w:val="212121"/>
          <w:sz w:val="24"/>
          <w:szCs w:val="24"/>
          <w:shd w:val="clear" w:color="auto" w:fill="FFFFFF"/>
        </w:rPr>
        <w:t xml:space="preserve"> </w:t>
      </w:r>
      <w:r w:rsidRPr="00532079">
        <w:rPr>
          <w:rFonts w:ascii="Arial" w:hAnsi="Arial" w:cs="Arial"/>
          <w:color w:val="212121"/>
          <w:sz w:val="24"/>
          <w:szCs w:val="24"/>
          <w:shd w:val="clear" w:color="auto" w:fill="FFFFFF"/>
        </w:rPr>
        <w:t>Prior victimisation from online fraud appears to heighten fear of cybercrime in low socioeconomic level persons more than in other groups (Virtanen, 2017).</w:t>
      </w:r>
      <w:r w:rsidR="005E1672" w:rsidRPr="00532079">
        <w:rPr>
          <w:rFonts w:ascii="Arial" w:hAnsi="Arial" w:cs="Arial"/>
          <w:color w:val="212121"/>
          <w:sz w:val="24"/>
          <w:szCs w:val="24"/>
          <w:shd w:val="clear" w:color="auto" w:fill="FFFFFF"/>
        </w:rPr>
        <w:t xml:space="preserve"> Experiences with compromised accounts or cyberattacks also exacerbate the terror of people with low assurance more than those with strong confidence. Overall, findings suggest that, as with conventional place-based crimes, social and physical vulnerabilities, as well as victimisation, have direct and indirect consequences on fear of cybercrime (Ferraro, 1995).</w:t>
      </w:r>
    </w:p>
    <w:p w14:paraId="5695439F" w14:textId="48830473" w:rsidR="00DE5592" w:rsidRDefault="00750106" w:rsidP="00532079">
      <w:pPr>
        <w:spacing w:line="480" w:lineRule="auto"/>
        <w:jc w:val="both"/>
        <w:rPr>
          <w:rFonts w:ascii="Arial" w:hAnsi="Arial" w:cs="Arial"/>
          <w:color w:val="212121"/>
          <w:sz w:val="24"/>
          <w:szCs w:val="24"/>
          <w:shd w:val="clear" w:color="auto" w:fill="FFFFFF"/>
        </w:rPr>
      </w:pPr>
      <w:r w:rsidRPr="00532079">
        <w:rPr>
          <w:rFonts w:ascii="Arial" w:hAnsi="Arial" w:cs="Arial"/>
          <w:color w:val="212121"/>
          <w:sz w:val="24"/>
          <w:szCs w:val="24"/>
          <w:shd w:val="clear" w:color="auto" w:fill="FFFFFF"/>
        </w:rPr>
        <w:t>Fear of crime online is one sort of social vulnerability that may be applicable to a virtual environment. Another type of social vulnerability that may be relevant to a virtual world is trust in one's ability to utilise the Internet. According to the risk interpretation paradigm, a characteristic becomes a vulnerability when it impairs an individual's capacity to cope with victimisation (Virtanen, 2017).</w:t>
      </w:r>
      <w:r w:rsidR="00532079" w:rsidRPr="00532079">
        <w:rPr>
          <w:rFonts w:ascii="Arial" w:hAnsi="Arial" w:cs="Arial"/>
          <w:color w:val="212121"/>
          <w:sz w:val="24"/>
          <w:szCs w:val="24"/>
          <w:shd w:val="clear" w:color="auto" w:fill="FFFFFF"/>
        </w:rPr>
        <w:t xml:space="preserve"> When it comes to interacting with computer-related crimes such as computer viruses and hacking in an online world, user abilities are critical. Low confidence in one's ability to traverse the Internet may also enhance risk perceptions - that is, the more likely one perceives the chance of victimisation, the more fearful one becomes (Ferraro, 1995).</w:t>
      </w:r>
    </w:p>
    <w:p w14:paraId="3B88F167" w14:textId="77531EE3" w:rsidR="00532079" w:rsidRPr="00532079" w:rsidRDefault="00532079" w:rsidP="00532079">
      <w:pPr>
        <w:spacing w:line="480" w:lineRule="auto"/>
        <w:jc w:val="both"/>
        <w:rPr>
          <w:rFonts w:ascii="Arial" w:hAnsi="Arial" w:cs="Arial"/>
          <w:sz w:val="24"/>
          <w:szCs w:val="24"/>
        </w:rPr>
      </w:pPr>
      <w:r w:rsidRPr="00532079">
        <w:rPr>
          <w:rFonts w:ascii="Arial" w:hAnsi="Arial" w:cs="Arial"/>
          <w:sz w:val="24"/>
          <w:szCs w:val="24"/>
        </w:rPr>
        <w:t xml:space="preserve">A substantial corpus of scholarly </w:t>
      </w:r>
      <w:r w:rsidR="00581383">
        <w:rPr>
          <w:rFonts w:ascii="Arial" w:hAnsi="Arial" w:cs="Arial"/>
          <w:sz w:val="24"/>
          <w:szCs w:val="24"/>
        </w:rPr>
        <w:t xml:space="preserve">articles </w:t>
      </w:r>
      <w:r w:rsidRPr="00532079">
        <w:rPr>
          <w:rFonts w:ascii="Arial" w:hAnsi="Arial" w:cs="Arial"/>
          <w:sz w:val="24"/>
          <w:szCs w:val="24"/>
        </w:rPr>
        <w:t xml:space="preserve">exists on the birth and maturing of the 'preventive turn' and community safety in late-modern times (Crawford, 1997; Hughes, 2007). The Crime and Disorder Act (1998) formalised partnership arrangements and began a "long overdue recognition that the levers and causes of crime lie far from the </w:t>
      </w:r>
      <w:r w:rsidRPr="00532079">
        <w:rPr>
          <w:rFonts w:ascii="Arial" w:hAnsi="Arial" w:cs="Arial"/>
          <w:sz w:val="24"/>
          <w:szCs w:val="24"/>
        </w:rPr>
        <w:lastRenderedPageBreak/>
        <w:t xml:space="preserve">traditional reach of the criminal justice system... drawing together a variety of organisations and stakeholders, in the public, voluntary, and private sectors, as well as from relevant community groups" (Crawford, 2002: p 31). </w:t>
      </w:r>
    </w:p>
    <w:p w14:paraId="0FA1D091" w14:textId="77777777" w:rsidR="00532079" w:rsidRPr="00532079" w:rsidRDefault="00532079" w:rsidP="00532079">
      <w:pPr>
        <w:spacing w:line="480" w:lineRule="auto"/>
        <w:jc w:val="both"/>
        <w:rPr>
          <w:rFonts w:ascii="Arial" w:hAnsi="Arial" w:cs="Arial"/>
          <w:sz w:val="24"/>
          <w:szCs w:val="24"/>
        </w:rPr>
      </w:pPr>
      <w:r w:rsidRPr="00532079">
        <w:rPr>
          <w:rFonts w:ascii="Arial" w:hAnsi="Arial" w:cs="Arial"/>
          <w:sz w:val="24"/>
          <w:szCs w:val="24"/>
        </w:rPr>
        <w:t>Recognizing the limitations of policing and other state institutions encourages governance models that rely on 'responsibilizing' private actors and civil society to control their own places in crime and disorder reduction initiatives (Garland 2001). A specific neoliberal logic has been used, in which state interference is reduced and private players take personalised, accountable, and practical roles in community-networked governance (Edwards and Hughes 2009). Whereas the previous model of criminal justice relied on police-based experience, the new security networks mobilise different resources, emphasising specialist knowledge and competence (Johnston and Shearing 2003). This view is particularly pertinent to cybercrime and cyber-security — the technological challenge provided by cybercrime cannot be solved only by the police, and the knowledge necessary should be recruited in from outside the police force. This has always been the case while dealing with various sorts of fraud (Levi 2010).</w:t>
      </w:r>
    </w:p>
    <w:p w14:paraId="4DCAFD7A" w14:textId="77777777" w:rsidR="00532079" w:rsidRPr="00532079" w:rsidRDefault="00532079" w:rsidP="00532079">
      <w:pPr>
        <w:spacing w:line="480" w:lineRule="auto"/>
        <w:jc w:val="both"/>
        <w:rPr>
          <w:rFonts w:ascii="Arial" w:hAnsi="Arial" w:cs="Arial"/>
          <w:color w:val="333333"/>
          <w:sz w:val="24"/>
          <w:szCs w:val="24"/>
          <w:shd w:val="clear" w:color="auto" w:fill="FFFFFF"/>
        </w:rPr>
      </w:pPr>
      <w:r w:rsidRPr="00532079">
        <w:rPr>
          <w:rFonts w:ascii="Arial" w:hAnsi="Arial" w:cs="Arial"/>
          <w:color w:val="333333"/>
          <w:sz w:val="24"/>
          <w:szCs w:val="24"/>
          <w:shd w:val="clear" w:color="auto" w:fill="FFFFFF"/>
        </w:rPr>
        <w:t>Initially, the European legislative framework on cybercrime highlights the problems of cybercrime to existing criminal justice systems. With a mostly European viewpoint, it focuses on the criminal legal framework on cybercrime (Calderoni, 2010).</w:t>
      </w:r>
    </w:p>
    <w:p w14:paraId="7F6B1100" w14:textId="77777777" w:rsidR="00532079" w:rsidRPr="00532079" w:rsidRDefault="00532079" w:rsidP="00532079">
      <w:pPr>
        <w:spacing w:line="480" w:lineRule="auto"/>
        <w:jc w:val="both"/>
        <w:rPr>
          <w:rFonts w:ascii="Arial" w:hAnsi="Arial" w:cs="Arial"/>
          <w:color w:val="333333"/>
          <w:sz w:val="24"/>
          <w:szCs w:val="24"/>
          <w:shd w:val="clear" w:color="auto" w:fill="FFFFFF"/>
        </w:rPr>
      </w:pPr>
      <w:r w:rsidRPr="00532079">
        <w:rPr>
          <w:rFonts w:ascii="Arial" w:hAnsi="Arial" w:cs="Arial"/>
          <w:color w:val="333333"/>
          <w:sz w:val="24"/>
          <w:szCs w:val="24"/>
          <w:shd w:val="clear" w:color="auto" w:fill="FFFFFF"/>
        </w:rPr>
        <w:t xml:space="preserve">The European legal framework offers a three-pronged solution: reducing frictions between national legislations, introducing additional investigative authorities, and facilitating international collaboration. Each solution is presented and discussed in the article (Ramson, 2020). Furthermore, it contends that the “legal enforceability of these </w:t>
      </w:r>
      <w:r w:rsidRPr="00532079">
        <w:rPr>
          <w:rFonts w:ascii="Arial" w:hAnsi="Arial" w:cs="Arial"/>
          <w:color w:val="333333"/>
          <w:sz w:val="24"/>
          <w:szCs w:val="24"/>
          <w:shd w:val="clear" w:color="auto" w:fill="FFFFFF"/>
        </w:rPr>
        <w:lastRenderedPageBreak/>
        <w:t>international measures” does not appear to be a prerequisite for efficient execution of the primary legal instruments (Calderoni, 2010)</w:t>
      </w:r>
    </w:p>
    <w:p w14:paraId="2511EB9F" w14:textId="2B5F7C56" w:rsidR="00532079" w:rsidRPr="0040319E" w:rsidRDefault="00532079" w:rsidP="00532079">
      <w:pPr>
        <w:spacing w:line="480" w:lineRule="auto"/>
        <w:jc w:val="both"/>
        <w:rPr>
          <w:rFonts w:ascii="Arial" w:hAnsi="Arial" w:cs="Arial"/>
          <w:sz w:val="24"/>
          <w:szCs w:val="24"/>
        </w:rPr>
      </w:pPr>
      <w:r w:rsidRPr="00532079">
        <w:rPr>
          <w:rFonts w:ascii="Arial" w:hAnsi="Arial" w:cs="Arial"/>
          <w:color w:val="333333"/>
          <w:sz w:val="24"/>
          <w:szCs w:val="24"/>
          <w:shd w:val="clear" w:color="auto" w:fill="FFFFFF"/>
        </w:rPr>
        <w:t>Other, non-legal elements, such as national security, politics, the economics, and public opinion, on the other hand, tend to promote the spontaneous application of the European legal framework. The added value of EU activity in this area is quite modest, while the Treaty of Lisbon and the Stockholm Programme may improve the situation in the long run (Ramson, 2020).</w:t>
      </w:r>
    </w:p>
    <w:p w14:paraId="5A7781D7" w14:textId="271F6930" w:rsidR="00BB6EE0" w:rsidRDefault="0040319E" w:rsidP="0040319E">
      <w:pPr>
        <w:spacing w:line="480" w:lineRule="auto"/>
        <w:jc w:val="both"/>
        <w:rPr>
          <w:rFonts w:ascii="Arial" w:hAnsi="Arial" w:cs="Arial"/>
          <w:color w:val="212121"/>
          <w:sz w:val="24"/>
          <w:szCs w:val="24"/>
          <w:shd w:val="clear" w:color="auto" w:fill="FFFFFF"/>
        </w:rPr>
      </w:pPr>
      <w:r w:rsidRPr="0040319E">
        <w:rPr>
          <w:rFonts w:ascii="Arial" w:hAnsi="Arial" w:cs="Arial"/>
          <w:color w:val="212121"/>
          <w:sz w:val="24"/>
          <w:szCs w:val="24"/>
          <w:shd w:val="clear" w:color="auto" w:fill="FFFFFF"/>
        </w:rPr>
        <w:t>The fast development and broad use of computerized information technology has generated potential for new types of criminal conduct. In order effectively criminalise computer-related offences in the United Kingdom, the C</w:t>
      </w:r>
      <w:r w:rsidR="00090505">
        <w:rPr>
          <w:rFonts w:ascii="Arial" w:hAnsi="Arial" w:cs="Arial"/>
          <w:color w:val="212121"/>
          <w:sz w:val="24"/>
          <w:szCs w:val="24"/>
          <w:shd w:val="clear" w:color="auto" w:fill="FFFFFF"/>
        </w:rPr>
        <w:t xml:space="preserve">omputer </w:t>
      </w:r>
      <w:r w:rsidR="00090505" w:rsidRPr="0040319E">
        <w:rPr>
          <w:rFonts w:ascii="Arial" w:hAnsi="Arial" w:cs="Arial"/>
          <w:color w:val="212121"/>
          <w:sz w:val="24"/>
          <w:szCs w:val="24"/>
          <w:shd w:val="clear" w:color="auto" w:fill="FFFFFF"/>
        </w:rPr>
        <w:t>M</w:t>
      </w:r>
      <w:r w:rsidR="00090505">
        <w:rPr>
          <w:rFonts w:ascii="Arial" w:hAnsi="Arial" w:cs="Arial"/>
          <w:color w:val="212121"/>
          <w:sz w:val="24"/>
          <w:szCs w:val="24"/>
          <w:shd w:val="clear" w:color="auto" w:fill="FFFFFF"/>
        </w:rPr>
        <w:t xml:space="preserve">isuse </w:t>
      </w:r>
      <w:r w:rsidRPr="0040319E">
        <w:rPr>
          <w:rFonts w:ascii="Arial" w:hAnsi="Arial" w:cs="Arial"/>
          <w:color w:val="212121"/>
          <w:sz w:val="24"/>
          <w:szCs w:val="24"/>
          <w:shd w:val="clear" w:color="auto" w:fill="FFFFFF"/>
        </w:rPr>
        <w:t>A</w:t>
      </w:r>
      <w:r w:rsidR="00090505">
        <w:rPr>
          <w:rFonts w:ascii="Arial" w:hAnsi="Arial" w:cs="Arial"/>
          <w:color w:val="212121"/>
          <w:sz w:val="24"/>
          <w:szCs w:val="24"/>
          <w:shd w:val="clear" w:color="auto" w:fill="FFFFFF"/>
        </w:rPr>
        <w:t>ct</w:t>
      </w:r>
      <w:r w:rsidRPr="0040319E">
        <w:rPr>
          <w:rFonts w:ascii="Arial" w:hAnsi="Arial" w:cs="Arial"/>
          <w:color w:val="212121"/>
          <w:sz w:val="24"/>
          <w:szCs w:val="24"/>
          <w:shd w:val="clear" w:color="auto" w:fill="FFFFFF"/>
        </w:rPr>
        <w:t xml:space="preserve"> 1990 had to be established</w:t>
      </w:r>
      <w:r w:rsidR="00C64574">
        <w:rPr>
          <w:rFonts w:ascii="Arial" w:hAnsi="Arial" w:cs="Arial"/>
          <w:color w:val="212121"/>
          <w:sz w:val="24"/>
          <w:szCs w:val="24"/>
          <w:shd w:val="clear" w:color="auto" w:fill="FFFFFF"/>
        </w:rPr>
        <w:t xml:space="preserve"> </w:t>
      </w:r>
      <w:r w:rsidR="00914CB6">
        <w:rPr>
          <w:rFonts w:ascii="Arial" w:hAnsi="Arial" w:cs="Arial"/>
          <w:color w:val="212121"/>
          <w:sz w:val="24"/>
          <w:szCs w:val="24"/>
          <w:shd w:val="clear" w:color="auto" w:fill="FFFFFF"/>
        </w:rPr>
        <w:t>(MacEwan, 2008</w:t>
      </w:r>
      <w:r w:rsidR="00C64574">
        <w:rPr>
          <w:rFonts w:ascii="Arial" w:hAnsi="Arial" w:cs="Arial"/>
          <w:color w:val="212121"/>
          <w:sz w:val="24"/>
          <w:szCs w:val="24"/>
          <w:shd w:val="clear" w:color="auto" w:fill="FFFFFF"/>
        </w:rPr>
        <w:t>)</w:t>
      </w:r>
      <w:r w:rsidRPr="0040319E">
        <w:rPr>
          <w:rFonts w:ascii="Arial" w:hAnsi="Arial" w:cs="Arial"/>
          <w:color w:val="212121"/>
          <w:sz w:val="24"/>
          <w:szCs w:val="24"/>
          <w:shd w:val="clear" w:color="auto" w:fill="FFFFFF"/>
        </w:rPr>
        <w:t>. The other infractions present criminal laws in England and Wales were just not intended to include cybercrime reliant crime However, courts have encountered repeated obstacles in the last 26 years   the understanding of the law that has resulted in inconsistency in application This is due in part to</w:t>
      </w:r>
      <w:r>
        <w:rPr>
          <w:rFonts w:ascii="Arial" w:hAnsi="Arial" w:cs="Arial"/>
          <w:color w:val="212121"/>
          <w:sz w:val="24"/>
          <w:szCs w:val="24"/>
          <w:shd w:val="clear" w:color="auto" w:fill="FFFFFF"/>
        </w:rPr>
        <w:t xml:space="preserve"> </w:t>
      </w:r>
      <w:r w:rsidRPr="0040319E">
        <w:rPr>
          <w:rFonts w:ascii="Arial" w:hAnsi="Arial" w:cs="Arial"/>
          <w:color w:val="212121"/>
          <w:sz w:val="24"/>
          <w:szCs w:val="24"/>
          <w:shd w:val="clear" w:color="auto" w:fill="FFFFFF"/>
        </w:rPr>
        <w:t>the legislation's development, as well as a lack of knowledge of the significant technical issues</w:t>
      </w:r>
      <w:r w:rsidR="00914CB6">
        <w:rPr>
          <w:rFonts w:ascii="Arial" w:hAnsi="Arial" w:cs="Arial"/>
          <w:color w:val="212121"/>
          <w:sz w:val="24"/>
          <w:szCs w:val="24"/>
          <w:shd w:val="clear" w:color="auto" w:fill="FFFFFF"/>
        </w:rPr>
        <w:t xml:space="preserve"> (Walden, 2016)</w:t>
      </w:r>
      <w:r>
        <w:rPr>
          <w:rFonts w:ascii="Arial" w:hAnsi="Arial" w:cs="Arial"/>
          <w:color w:val="212121"/>
          <w:sz w:val="24"/>
          <w:szCs w:val="24"/>
          <w:shd w:val="clear" w:color="auto" w:fill="FFFFFF"/>
        </w:rPr>
        <w:t>.</w:t>
      </w:r>
    </w:p>
    <w:p w14:paraId="003520C5" w14:textId="1374B973" w:rsidR="00CA214C" w:rsidRDefault="00BB6EE0" w:rsidP="00532079">
      <w:pPr>
        <w:spacing w:line="480" w:lineRule="auto"/>
        <w:jc w:val="both"/>
        <w:rPr>
          <w:rFonts w:ascii="Arial" w:hAnsi="Arial" w:cs="Arial"/>
          <w:color w:val="212121"/>
          <w:sz w:val="24"/>
          <w:szCs w:val="24"/>
          <w:shd w:val="clear" w:color="auto" w:fill="FFFFFF"/>
        </w:rPr>
      </w:pPr>
      <w:r w:rsidRPr="00BB6EE0">
        <w:rPr>
          <w:rFonts w:ascii="Arial" w:hAnsi="Arial" w:cs="Arial"/>
          <w:color w:val="212121"/>
          <w:sz w:val="24"/>
          <w:szCs w:val="24"/>
          <w:shd w:val="clear" w:color="auto" w:fill="FFFFFF"/>
        </w:rPr>
        <w:t>Simultaneously, legislative enforcement is hampered by procedural and evidential obstacles. Attempting to arrest a remote hacker may be particularly difficult because to the anonymity provided by the internet and the ability to conceal the offender's exact location</w:t>
      </w:r>
      <w:r w:rsidR="00F801D2">
        <w:rPr>
          <w:rFonts w:ascii="Arial" w:hAnsi="Arial" w:cs="Arial"/>
          <w:color w:val="212121"/>
          <w:sz w:val="24"/>
          <w:szCs w:val="24"/>
          <w:shd w:val="clear" w:color="auto" w:fill="FFFFFF"/>
        </w:rPr>
        <w:t xml:space="preserve"> (Wasik, 2011)</w:t>
      </w:r>
      <w:r w:rsidRPr="00BB6EE0">
        <w:rPr>
          <w:rFonts w:ascii="Arial" w:hAnsi="Arial" w:cs="Arial"/>
          <w:color w:val="212121"/>
          <w:sz w:val="24"/>
          <w:szCs w:val="24"/>
          <w:shd w:val="clear" w:color="auto" w:fill="FFFFFF"/>
        </w:rPr>
        <w:t xml:space="preserve">. More expertise must be offered to the police if prosecution statistics are to be increased. While the legal framework for cyber-related crime may undoubtedly help to prevent the exploitation of information technology, </w:t>
      </w:r>
      <w:r w:rsidR="00090505" w:rsidRPr="00BB6EE0">
        <w:rPr>
          <w:rFonts w:ascii="Arial" w:hAnsi="Arial" w:cs="Arial"/>
          <w:color w:val="212121"/>
          <w:sz w:val="24"/>
          <w:szCs w:val="24"/>
          <w:shd w:val="clear" w:color="auto" w:fill="FFFFFF"/>
        </w:rPr>
        <w:t>however,</w:t>
      </w:r>
      <w:r w:rsidRPr="00BB6EE0">
        <w:rPr>
          <w:rFonts w:ascii="Arial" w:hAnsi="Arial" w:cs="Arial"/>
          <w:color w:val="212121"/>
          <w:sz w:val="24"/>
          <w:szCs w:val="24"/>
          <w:shd w:val="clear" w:color="auto" w:fill="FFFFFF"/>
        </w:rPr>
        <w:t xml:space="preserve"> is unable to do this properly and effectively in isolation</w:t>
      </w:r>
      <w:r w:rsidR="00090505">
        <w:rPr>
          <w:rFonts w:ascii="Arial" w:hAnsi="Arial" w:cs="Arial"/>
          <w:color w:val="212121"/>
          <w:sz w:val="24"/>
          <w:szCs w:val="24"/>
          <w:shd w:val="clear" w:color="auto" w:fill="FFFFFF"/>
        </w:rPr>
        <w:t xml:space="preserve"> (Fafinski, 2009)</w:t>
      </w:r>
      <w:r w:rsidRPr="00BB6EE0">
        <w:rPr>
          <w:rFonts w:ascii="Arial" w:hAnsi="Arial" w:cs="Arial"/>
          <w:color w:val="212121"/>
          <w:sz w:val="24"/>
          <w:szCs w:val="24"/>
          <w:shd w:val="clear" w:color="auto" w:fill="FFFFFF"/>
        </w:rPr>
        <w:t>.</w:t>
      </w:r>
      <w:r w:rsidR="0040319E">
        <w:rPr>
          <w:rFonts w:ascii="Arial" w:hAnsi="Arial" w:cs="Arial"/>
          <w:color w:val="212121"/>
          <w:sz w:val="24"/>
          <w:szCs w:val="24"/>
          <w:shd w:val="clear" w:color="auto" w:fill="FFFFFF"/>
        </w:rPr>
        <w:t xml:space="preserve"> </w:t>
      </w:r>
    </w:p>
    <w:p w14:paraId="63178759" w14:textId="77777777" w:rsidR="00914CB6" w:rsidRDefault="00914CB6" w:rsidP="00532079">
      <w:pPr>
        <w:spacing w:line="480" w:lineRule="auto"/>
        <w:jc w:val="both"/>
        <w:rPr>
          <w:rFonts w:ascii="Arial" w:hAnsi="Arial" w:cs="Arial"/>
          <w:color w:val="212121"/>
          <w:sz w:val="24"/>
          <w:szCs w:val="24"/>
          <w:shd w:val="clear" w:color="auto" w:fill="FFFFFF"/>
        </w:rPr>
      </w:pPr>
    </w:p>
    <w:p w14:paraId="40642469" w14:textId="12F2192C" w:rsidR="00914CB6" w:rsidRPr="00C46428" w:rsidRDefault="00914CB6" w:rsidP="00C46428">
      <w:pPr>
        <w:spacing w:line="480" w:lineRule="auto"/>
        <w:jc w:val="both"/>
        <w:rPr>
          <w:rFonts w:ascii="Arial" w:hAnsi="Arial" w:cs="Arial"/>
          <w:color w:val="212121"/>
          <w:sz w:val="24"/>
          <w:szCs w:val="24"/>
          <w:shd w:val="clear" w:color="auto" w:fill="FFFFFF"/>
        </w:rPr>
      </w:pPr>
      <w:r w:rsidRPr="00C46428">
        <w:rPr>
          <w:rFonts w:ascii="Arial" w:hAnsi="Arial" w:cs="Arial"/>
          <w:color w:val="212121"/>
          <w:sz w:val="24"/>
          <w:szCs w:val="24"/>
          <w:shd w:val="clear" w:color="auto" w:fill="FFFFFF"/>
        </w:rPr>
        <w:lastRenderedPageBreak/>
        <w:t xml:space="preserve">Reference List </w:t>
      </w:r>
    </w:p>
    <w:p w14:paraId="581B3F84" w14:textId="77777777" w:rsidR="00F95D30" w:rsidRPr="00C46428" w:rsidRDefault="00F95D30" w:rsidP="00C46428">
      <w:pPr>
        <w:spacing w:line="480" w:lineRule="auto"/>
        <w:rPr>
          <w:rFonts w:ascii="Arial" w:hAnsi="Arial" w:cs="Arial"/>
          <w:sz w:val="24"/>
          <w:szCs w:val="24"/>
        </w:rPr>
      </w:pPr>
    </w:p>
    <w:p w14:paraId="0BAE0D6C" w14:textId="47F2C3EF" w:rsidR="00902CA3" w:rsidRPr="00C46428" w:rsidRDefault="00284272"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 xml:space="preserve">Europol. </w:t>
      </w:r>
      <w:r w:rsidR="00200FD6" w:rsidRPr="00C46428">
        <w:rPr>
          <w:rFonts w:ascii="Arial" w:hAnsi="Arial" w:cs="Arial"/>
          <w:sz w:val="24"/>
          <w:szCs w:val="24"/>
        </w:rPr>
        <w:t>(2017) Crime in the age of Technology</w:t>
      </w:r>
      <w:r w:rsidR="005F2052" w:rsidRPr="00C46428">
        <w:rPr>
          <w:rFonts w:ascii="Arial" w:hAnsi="Arial" w:cs="Arial"/>
          <w:sz w:val="24"/>
          <w:szCs w:val="24"/>
        </w:rPr>
        <w:t xml:space="preserve">. Netherlands: The Hague. </w:t>
      </w:r>
    </w:p>
    <w:p w14:paraId="1EBAEC8A" w14:textId="219B029D" w:rsidR="00902CA3" w:rsidRPr="00C46428" w:rsidRDefault="00945568"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 xml:space="preserve">Calderoni, F. (2010) Organized Crime Legislation in the European Union. </w:t>
      </w:r>
      <w:r w:rsidR="00F13FBE" w:rsidRPr="00C46428">
        <w:rPr>
          <w:rFonts w:ascii="Arial" w:hAnsi="Arial" w:cs="Arial"/>
          <w:sz w:val="24"/>
          <w:szCs w:val="24"/>
        </w:rPr>
        <w:t>Milan: Università Cattolica del Sacro Cuore</w:t>
      </w:r>
      <w:r w:rsidR="002F6B60" w:rsidRPr="00C46428">
        <w:rPr>
          <w:rFonts w:ascii="Arial" w:hAnsi="Arial" w:cs="Arial"/>
          <w:sz w:val="24"/>
          <w:szCs w:val="24"/>
        </w:rPr>
        <w:t>.</w:t>
      </w:r>
    </w:p>
    <w:p w14:paraId="4B349EEB" w14:textId="4B27C0A5" w:rsidR="00FB634C" w:rsidRPr="00C46428" w:rsidRDefault="00F13FBE"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Wang, X., Xu, S. and Fang, Z. (</w:t>
      </w:r>
      <w:r w:rsidR="00780703" w:rsidRPr="00C46428">
        <w:rPr>
          <w:rFonts w:ascii="Arial" w:hAnsi="Arial" w:cs="Arial"/>
          <w:sz w:val="24"/>
          <w:szCs w:val="24"/>
        </w:rPr>
        <w:t xml:space="preserve">2017) </w:t>
      </w:r>
      <w:r w:rsidR="006609D9" w:rsidRPr="00C46428">
        <w:rPr>
          <w:rFonts w:ascii="Arial" w:hAnsi="Arial" w:cs="Arial"/>
          <w:sz w:val="24"/>
          <w:szCs w:val="24"/>
        </w:rPr>
        <w:t xml:space="preserve">Tracing Digital </w:t>
      </w:r>
      <w:r w:rsidR="00DF47BB" w:rsidRPr="00C46428">
        <w:rPr>
          <w:rFonts w:ascii="Arial" w:hAnsi="Arial" w:cs="Arial"/>
          <w:sz w:val="24"/>
          <w:szCs w:val="24"/>
        </w:rPr>
        <w:t xml:space="preserve">Footprints to Academic Articles: </w:t>
      </w:r>
      <w:r w:rsidR="00811C0C" w:rsidRPr="00C46428">
        <w:rPr>
          <w:rFonts w:ascii="Arial" w:hAnsi="Arial" w:cs="Arial"/>
          <w:sz w:val="24"/>
          <w:szCs w:val="24"/>
        </w:rPr>
        <w:t xml:space="preserve">An </w:t>
      </w:r>
      <w:r w:rsidR="007A2F3F" w:rsidRPr="00C46428">
        <w:rPr>
          <w:rFonts w:ascii="Arial" w:hAnsi="Arial" w:cs="Arial"/>
          <w:sz w:val="24"/>
          <w:szCs w:val="24"/>
        </w:rPr>
        <w:t>I</w:t>
      </w:r>
      <w:r w:rsidR="004D5F11" w:rsidRPr="00C46428">
        <w:rPr>
          <w:rFonts w:ascii="Arial" w:hAnsi="Arial" w:cs="Arial"/>
          <w:sz w:val="24"/>
          <w:szCs w:val="24"/>
        </w:rPr>
        <w:t xml:space="preserve">nvestigation of Peer J Publication Referral Data. </w:t>
      </w:r>
      <w:r w:rsidR="00D16A23" w:rsidRPr="00C46428">
        <w:rPr>
          <w:rFonts w:ascii="Arial" w:hAnsi="Arial" w:cs="Arial"/>
          <w:sz w:val="24"/>
          <w:szCs w:val="24"/>
        </w:rPr>
        <w:t xml:space="preserve">Cornell: Cornell University. </w:t>
      </w:r>
    </w:p>
    <w:p w14:paraId="33F1D281" w14:textId="27B9E536" w:rsidR="00902CA3" w:rsidRPr="00C46428" w:rsidRDefault="002F6B60"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Calderoni, F. (2010) The European legal Framework on cybercrime: Striving for an effective implementation. Milan: Università Cattolica del Sacro Cuore.</w:t>
      </w:r>
    </w:p>
    <w:p w14:paraId="3C213CBA" w14:textId="4595245B" w:rsidR="00902CA3" w:rsidRPr="00C46428" w:rsidRDefault="008B0D6F" w:rsidP="00C46428">
      <w:pPr>
        <w:pStyle w:val="ListParagraph"/>
        <w:numPr>
          <w:ilvl w:val="0"/>
          <w:numId w:val="1"/>
        </w:numPr>
        <w:spacing w:before="240" w:line="480" w:lineRule="auto"/>
        <w:rPr>
          <w:rFonts w:ascii="Arial" w:hAnsi="Arial" w:cs="Arial"/>
          <w:sz w:val="24"/>
          <w:szCs w:val="24"/>
        </w:rPr>
      </w:pPr>
      <w:r w:rsidRPr="00C46428">
        <w:rPr>
          <w:rFonts w:ascii="Arial" w:hAnsi="Arial" w:cs="Arial"/>
          <w:sz w:val="24"/>
          <w:szCs w:val="24"/>
        </w:rPr>
        <w:t>Ramson</w:t>
      </w:r>
      <w:r w:rsidR="00661B5D" w:rsidRPr="00C46428">
        <w:rPr>
          <w:rFonts w:ascii="Arial" w:hAnsi="Arial" w:cs="Arial"/>
          <w:sz w:val="24"/>
          <w:szCs w:val="24"/>
        </w:rPr>
        <w:t xml:space="preserve">, A. (2020) </w:t>
      </w:r>
      <w:r w:rsidR="00B27CE4" w:rsidRPr="00C46428">
        <w:rPr>
          <w:rFonts w:ascii="Arial" w:hAnsi="Arial" w:cs="Arial"/>
          <w:sz w:val="24"/>
          <w:szCs w:val="24"/>
        </w:rPr>
        <w:t xml:space="preserve">Cybersecurity- Cybercrime- The legal Environment. </w:t>
      </w:r>
      <w:r w:rsidR="0041064B" w:rsidRPr="00C46428">
        <w:rPr>
          <w:rFonts w:ascii="Arial" w:hAnsi="Arial" w:cs="Arial"/>
          <w:sz w:val="24"/>
          <w:szCs w:val="24"/>
        </w:rPr>
        <w:t xml:space="preserve">New York: </w:t>
      </w:r>
      <w:r w:rsidR="0041064B" w:rsidRPr="00C46428">
        <w:rPr>
          <w:rFonts w:ascii="Arial" w:hAnsi="Arial" w:cs="Arial"/>
          <w:color w:val="000000"/>
          <w:sz w:val="24"/>
          <w:szCs w:val="24"/>
        </w:rPr>
        <w:t>CUNY Academic Works</w:t>
      </w:r>
    </w:p>
    <w:p w14:paraId="062C910E" w14:textId="448EDAEA" w:rsidR="00902CA3" w:rsidRPr="00C46428" w:rsidRDefault="000349F5" w:rsidP="00C46428">
      <w:pPr>
        <w:pStyle w:val="ListParagraph"/>
        <w:numPr>
          <w:ilvl w:val="0"/>
          <w:numId w:val="1"/>
        </w:numPr>
        <w:spacing w:before="240" w:line="480" w:lineRule="auto"/>
        <w:rPr>
          <w:rFonts w:ascii="Arial" w:hAnsi="Arial" w:cs="Arial"/>
          <w:sz w:val="24"/>
          <w:szCs w:val="24"/>
        </w:rPr>
      </w:pPr>
      <w:r w:rsidRPr="00C46428">
        <w:rPr>
          <w:rFonts w:ascii="Arial" w:hAnsi="Arial" w:cs="Arial"/>
          <w:sz w:val="24"/>
          <w:szCs w:val="24"/>
        </w:rPr>
        <w:t xml:space="preserve">Scroxton, A. (2021) UK loses £1.3bm to fraud and cyber crime so far this year. </w:t>
      </w:r>
      <w:r w:rsidR="008C495B" w:rsidRPr="00C46428">
        <w:rPr>
          <w:rFonts w:ascii="Arial" w:hAnsi="Arial" w:cs="Arial"/>
          <w:sz w:val="24"/>
          <w:szCs w:val="24"/>
        </w:rPr>
        <w:t xml:space="preserve">London: Computer Weekly. </w:t>
      </w:r>
    </w:p>
    <w:p w14:paraId="6FE6B66E" w14:textId="47496027" w:rsidR="00902CA3" w:rsidRPr="00C46428" w:rsidRDefault="005F62BF"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Alkhalil, Z., Hewage, C., Nawaf, L. and Khan, I. (2021) Phishing Attacks: A Recent Compr</w:t>
      </w:r>
      <w:r w:rsidR="00291668" w:rsidRPr="00C46428">
        <w:rPr>
          <w:rFonts w:ascii="Arial" w:hAnsi="Arial" w:cs="Arial"/>
          <w:sz w:val="24"/>
          <w:szCs w:val="24"/>
        </w:rPr>
        <w:t xml:space="preserve">ehensive Study and New Anatomy. Switzerland: Frontiers </w:t>
      </w:r>
    </w:p>
    <w:p w14:paraId="4D80A85A" w14:textId="437A3E20" w:rsidR="00902CA3" w:rsidRPr="00C46428" w:rsidRDefault="00E11532"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 xml:space="preserve">Sedova, K., McNeil, C., </w:t>
      </w:r>
      <w:r w:rsidR="00D723B3" w:rsidRPr="00C46428">
        <w:rPr>
          <w:rFonts w:ascii="Arial" w:hAnsi="Arial" w:cs="Arial"/>
          <w:sz w:val="24"/>
          <w:szCs w:val="24"/>
        </w:rPr>
        <w:t xml:space="preserve">Johnson, A., Joshi, A. and Wulkan, I. (2021) AI and the Future of </w:t>
      </w:r>
      <w:r w:rsidR="00692112" w:rsidRPr="00C46428">
        <w:rPr>
          <w:rFonts w:ascii="Arial" w:hAnsi="Arial" w:cs="Arial"/>
          <w:sz w:val="24"/>
          <w:szCs w:val="24"/>
        </w:rPr>
        <w:t>Disinformation</w:t>
      </w:r>
      <w:r w:rsidR="00D723B3" w:rsidRPr="00C46428">
        <w:rPr>
          <w:rFonts w:ascii="Arial" w:hAnsi="Arial" w:cs="Arial"/>
          <w:sz w:val="24"/>
          <w:szCs w:val="24"/>
        </w:rPr>
        <w:t xml:space="preserve"> Campaigns. </w:t>
      </w:r>
      <w:r w:rsidR="00692112" w:rsidRPr="00C46428">
        <w:rPr>
          <w:rFonts w:ascii="Arial" w:hAnsi="Arial" w:cs="Arial"/>
          <w:sz w:val="24"/>
          <w:szCs w:val="24"/>
        </w:rPr>
        <w:t xml:space="preserve"> </w:t>
      </w:r>
      <w:r w:rsidR="00196C3B" w:rsidRPr="00C46428">
        <w:rPr>
          <w:rFonts w:ascii="Arial" w:hAnsi="Arial" w:cs="Arial"/>
          <w:sz w:val="24"/>
          <w:szCs w:val="24"/>
        </w:rPr>
        <w:t>Georgetown: Centre for Security and Emerging Technology</w:t>
      </w:r>
    </w:p>
    <w:p w14:paraId="79A51F87" w14:textId="50C4043C" w:rsidR="00093116" w:rsidRPr="00C46428" w:rsidRDefault="00A31EED"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 xml:space="preserve">Virtanen, S. (2017) Fear of Cybercrime in Europe: Examining the Effects of Victimization and </w:t>
      </w:r>
      <w:r w:rsidR="00896662" w:rsidRPr="00C46428">
        <w:rPr>
          <w:rFonts w:ascii="Arial" w:hAnsi="Arial" w:cs="Arial"/>
          <w:sz w:val="24"/>
          <w:szCs w:val="24"/>
        </w:rPr>
        <w:t xml:space="preserve">Vulnerabilities. </w:t>
      </w:r>
      <w:r w:rsidR="00C46428" w:rsidRPr="00C46428">
        <w:rPr>
          <w:rFonts w:ascii="Arial" w:hAnsi="Arial" w:cs="Arial"/>
          <w:sz w:val="24"/>
          <w:szCs w:val="24"/>
        </w:rPr>
        <w:t>New Zealand: Psychiatr Psychol Law.</w:t>
      </w:r>
    </w:p>
    <w:p w14:paraId="6C6855EF" w14:textId="10B2E023" w:rsidR="00E9456B" w:rsidRPr="00C46428" w:rsidRDefault="00E9456B" w:rsidP="00C46428">
      <w:pPr>
        <w:numPr>
          <w:ilvl w:val="0"/>
          <w:numId w:val="1"/>
        </w:numPr>
        <w:shd w:val="clear" w:color="auto" w:fill="FFFFFF"/>
        <w:spacing w:before="200" w:after="200" w:line="480" w:lineRule="auto"/>
        <w:rPr>
          <w:rFonts w:ascii="Arial" w:hAnsi="Arial" w:cs="Arial"/>
          <w:color w:val="212121"/>
          <w:sz w:val="24"/>
          <w:szCs w:val="24"/>
        </w:rPr>
      </w:pPr>
      <w:r w:rsidRPr="00C46428">
        <w:rPr>
          <w:rStyle w:val="mixed-citation"/>
          <w:rFonts w:ascii="Arial" w:hAnsi="Arial" w:cs="Arial"/>
          <w:color w:val="212121"/>
          <w:sz w:val="24"/>
          <w:szCs w:val="24"/>
        </w:rPr>
        <w:t>Ferraro K. F. (1995). </w:t>
      </w:r>
      <w:r w:rsidRPr="00C46428">
        <w:rPr>
          <w:rStyle w:val="Emphasis"/>
          <w:rFonts w:ascii="Arial" w:hAnsi="Arial" w:cs="Arial"/>
          <w:color w:val="212121"/>
          <w:sz w:val="24"/>
          <w:szCs w:val="24"/>
        </w:rPr>
        <w:t>Fear of crime: Interpreting victimization risk</w:t>
      </w:r>
      <w:r w:rsidRPr="00C46428">
        <w:rPr>
          <w:rStyle w:val="mixed-citation"/>
          <w:rFonts w:ascii="Arial" w:hAnsi="Arial" w:cs="Arial"/>
          <w:color w:val="212121"/>
          <w:sz w:val="24"/>
          <w:szCs w:val="24"/>
        </w:rPr>
        <w:t>. Albany: State University of New York Press, Albany. </w:t>
      </w:r>
    </w:p>
    <w:p w14:paraId="5E2EF101" w14:textId="77777777" w:rsidR="00F801D2" w:rsidRPr="00C46428" w:rsidRDefault="00C64574"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lastRenderedPageBreak/>
        <w:t>Walden, I.: Computer Crimes and Digital Investigations (2nd edn) Oxford University Press (2016)</w:t>
      </w:r>
    </w:p>
    <w:p w14:paraId="588CD08D" w14:textId="0D74CC6B" w:rsidR="00914CB6" w:rsidRPr="00C46428" w:rsidRDefault="00914CB6"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MacEwan, N.: ‘The Computer Misuse Act 1990: lessons from its past and predictions for its future’ 12 Criminal Law Review 955 (2008)</w:t>
      </w:r>
    </w:p>
    <w:p w14:paraId="46A434EA" w14:textId="384BEF1E" w:rsidR="00F801D2" w:rsidRPr="00C46428" w:rsidRDefault="00F801D2"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Wasik, M.: ‘ The emergence of computer law’ in Jewkes, Y. and Yar M. (eds), Handbook of Internet Crime, Routledge, 395 (2011)</w:t>
      </w:r>
    </w:p>
    <w:p w14:paraId="5E31D1F4" w14:textId="49E08D94" w:rsidR="006A03DD" w:rsidRPr="00C46428" w:rsidRDefault="006A03DD"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Fafinski, S.: The UK Legislative Position on Cybercrime: A 20-Year Retrospective, Journal of Internet Law 3 (2009)</w:t>
      </w:r>
    </w:p>
    <w:p w14:paraId="001FEC7E" w14:textId="44F74C2A" w:rsidR="006A03DD" w:rsidRPr="00C46428" w:rsidRDefault="006A03DD"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Law Commission: ‘Computer Misuse’ Law Com No 186 Cm 819, HMSO (1989)</w:t>
      </w:r>
    </w:p>
    <w:p w14:paraId="62EC0EBF" w14:textId="598EBEBD" w:rsidR="007F1662" w:rsidRPr="00C46428" w:rsidRDefault="007F1662"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 xml:space="preserve">Crawford, A. (1997), The Local Governance of Crime: Appeals to Community and Partnerships. Oxford: Clarendon Press. </w:t>
      </w:r>
    </w:p>
    <w:p w14:paraId="14FE94EC" w14:textId="77777777" w:rsidR="007F1662" w:rsidRPr="00C46428" w:rsidRDefault="007F1662"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Hughes, G. (2007), The Politics of Crime and Community. London: Palgrave.</w:t>
      </w:r>
    </w:p>
    <w:p w14:paraId="05A3EBEB" w14:textId="77777777" w:rsidR="007F1662" w:rsidRPr="00C46428" w:rsidRDefault="007F1662"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Crawford, A. (2002) ‘The Governance of Crime and Insecurity in an Anxious Age: The Trans-European and the Local’, in A. Crawford (ed.) Crime and Insecurity, 27--51. Cullompton: Willian Publishing</w:t>
      </w:r>
    </w:p>
    <w:p w14:paraId="7C9E431A" w14:textId="77777777" w:rsidR="007F1662" w:rsidRPr="00C46428" w:rsidRDefault="007F1662"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Garland, D. (2001), The Culture of Control. Oxford: Oxford University Press.</w:t>
      </w:r>
    </w:p>
    <w:p w14:paraId="5E812724" w14:textId="77777777" w:rsidR="007F1662" w:rsidRPr="00C46428" w:rsidRDefault="007F1662"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Edwards, A., and Hughes, G. (2009) ‘The Preventive Turn and the Promotion of Safer Communities in England and Wales’, in A. Crawford (ed.) Crime Prevention Policies in Comparative Perspective, 62--85. Cullompton: Willan.</w:t>
      </w:r>
    </w:p>
    <w:p w14:paraId="1BC78318" w14:textId="77777777" w:rsidR="007F1662" w:rsidRPr="00C46428" w:rsidRDefault="007F1662"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Johnston, L. and Shearing, C. (2003), The Governance of Security. London: Routledge</w:t>
      </w:r>
    </w:p>
    <w:p w14:paraId="3EBFD99F" w14:textId="77777777" w:rsidR="00CC0475" w:rsidRPr="00C46428" w:rsidRDefault="007F1662" w:rsidP="00C46428">
      <w:pPr>
        <w:pStyle w:val="ListParagraph"/>
        <w:numPr>
          <w:ilvl w:val="0"/>
          <w:numId w:val="1"/>
        </w:numPr>
        <w:spacing w:line="480" w:lineRule="auto"/>
        <w:rPr>
          <w:rFonts w:ascii="Arial" w:hAnsi="Arial" w:cs="Arial"/>
          <w:sz w:val="24"/>
          <w:szCs w:val="24"/>
        </w:rPr>
      </w:pPr>
      <w:r w:rsidRPr="00C46428">
        <w:rPr>
          <w:rFonts w:ascii="Arial" w:hAnsi="Arial" w:cs="Arial"/>
          <w:sz w:val="24"/>
          <w:szCs w:val="24"/>
        </w:rPr>
        <w:t>Levi, M (2010), ‘Public and Private Policing of Financial Crimes: the Struggle for Coordination’, Journal of Criminal Justice and Security, 12/4: 343--357.</w:t>
      </w:r>
    </w:p>
    <w:p w14:paraId="3790C467" w14:textId="2714881A" w:rsidR="00CC0475" w:rsidRPr="00C46428" w:rsidRDefault="003430F0" w:rsidP="00C46428">
      <w:pPr>
        <w:pStyle w:val="ListParagraph"/>
        <w:numPr>
          <w:ilvl w:val="0"/>
          <w:numId w:val="1"/>
        </w:numPr>
        <w:spacing w:line="480" w:lineRule="auto"/>
        <w:rPr>
          <w:rFonts w:ascii="Arial" w:hAnsi="Arial" w:cs="Arial"/>
          <w:sz w:val="24"/>
          <w:szCs w:val="24"/>
        </w:rPr>
      </w:pPr>
      <w:r w:rsidRPr="00C46428">
        <w:rPr>
          <w:rFonts w:ascii="Arial" w:hAnsi="Arial" w:cs="Arial"/>
          <w:color w:val="202124"/>
          <w:sz w:val="24"/>
          <w:szCs w:val="24"/>
          <w:shd w:val="clear" w:color="auto" w:fill="FFFFFF"/>
        </w:rPr>
        <w:lastRenderedPageBreak/>
        <w:t xml:space="preserve">Her Majesty's Inspectorate of Constabulary and Fire &amp; Rescue Services. (2018) Chapter 1: Introduction, background, and digital crime. Westminster: UK Government. </w:t>
      </w:r>
    </w:p>
    <w:p w14:paraId="385930A6" w14:textId="77777777" w:rsidR="007F1662" w:rsidRPr="00C46428" w:rsidRDefault="007F1662" w:rsidP="00C46428">
      <w:pPr>
        <w:spacing w:line="480" w:lineRule="auto"/>
        <w:rPr>
          <w:rFonts w:ascii="Arial" w:hAnsi="Arial" w:cs="Arial"/>
          <w:sz w:val="24"/>
          <w:szCs w:val="24"/>
        </w:rPr>
      </w:pPr>
    </w:p>
    <w:p w14:paraId="19DDD17B" w14:textId="77777777" w:rsidR="00C46428" w:rsidRDefault="00C46428" w:rsidP="00C46428">
      <w:pPr>
        <w:spacing w:line="480" w:lineRule="auto"/>
        <w:ind w:left="360"/>
        <w:rPr>
          <w:rFonts w:ascii="Arial" w:hAnsi="Arial" w:cs="Arial"/>
          <w:sz w:val="24"/>
          <w:szCs w:val="24"/>
        </w:rPr>
      </w:pPr>
    </w:p>
    <w:p w14:paraId="1679E2D8" w14:textId="77777777" w:rsidR="00C46428" w:rsidRDefault="00C46428" w:rsidP="00C46428">
      <w:pPr>
        <w:spacing w:line="480" w:lineRule="auto"/>
        <w:ind w:left="360"/>
        <w:rPr>
          <w:rFonts w:ascii="Arial" w:hAnsi="Arial" w:cs="Arial"/>
          <w:sz w:val="24"/>
          <w:szCs w:val="24"/>
        </w:rPr>
      </w:pPr>
    </w:p>
    <w:p w14:paraId="50AC2952" w14:textId="6DBA130E" w:rsidR="007F1662" w:rsidRPr="00C46428" w:rsidRDefault="007F1662" w:rsidP="00C46428">
      <w:pPr>
        <w:spacing w:line="480" w:lineRule="auto"/>
        <w:ind w:left="360"/>
        <w:rPr>
          <w:rFonts w:ascii="Arial" w:hAnsi="Arial" w:cs="Arial"/>
          <w:sz w:val="24"/>
          <w:szCs w:val="24"/>
        </w:rPr>
      </w:pPr>
      <w:r w:rsidRPr="00C46428">
        <w:rPr>
          <w:rFonts w:ascii="Arial" w:hAnsi="Arial" w:cs="Arial"/>
          <w:sz w:val="24"/>
          <w:szCs w:val="24"/>
        </w:rPr>
        <w:t>Crime and Disorder Act 1998</w:t>
      </w:r>
    </w:p>
    <w:p w14:paraId="159431BA" w14:textId="77777777" w:rsidR="007F1662" w:rsidRDefault="007F1662" w:rsidP="00671EF9"/>
    <w:sectPr w:rsidR="007F16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5E9B3" w14:textId="77777777" w:rsidR="0066091E" w:rsidRDefault="0066091E" w:rsidP="00714512">
      <w:pPr>
        <w:spacing w:after="0" w:line="240" w:lineRule="auto"/>
      </w:pPr>
      <w:r>
        <w:separator/>
      </w:r>
    </w:p>
  </w:endnote>
  <w:endnote w:type="continuationSeparator" w:id="0">
    <w:p w14:paraId="5B4B0C2B" w14:textId="77777777" w:rsidR="0066091E" w:rsidRDefault="0066091E" w:rsidP="00714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815C9" w14:textId="77777777" w:rsidR="0066091E" w:rsidRDefault="0066091E" w:rsidP="00714512">
      <w:pPr>
        <w:spacing w:after="0" w:line="240" w:lineRule="auto"/>
      </w:pPr>
      <w:r>
        <w:separator/>
      </w:r>
    </w:p>
  </w:footnote>
  <w:footnote w:type="continuationSeparator" w:id="0">
    <w:p w14:paraId="53B7F3FD" w14:textId="77777777" w:rsidR="0066091E" w:rsidRDefault="0066091E" w:rsidP="007145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A3961"/>
    <w:multiLevelType w:val="multilevel"/>
    <w:tmpl w:val="E416C07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7BC454CA"/>
    <w:multiLevelType w:val="hybridMultilevel"/>
    <w:tmpl w:val="1C4E6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yNbA0MjAyNTUwMTBW0lEKTi0uzszPAykwrgUAgDP9tiwAAAA="/>
  </w:docVars>
  <w:rsids>
    <w:rsidRoot w:val="00671EF9"/>
    <w:rsid w:val="000201B1"/>
    <w:rsid w:val="000349F5"/>
    <w:rsid w:val="0004668E"/>
    <w:rsid w:val="00090505"/>
    <w:rsid w:val="00093116"/>
    <w:rsid w:val="000D51BD"/>
    <w:rsid w:val="0012670C"/>
    <w:rsid w:val="00155BCC"/>
    <w:rsid w:val="001828A2"/>
    <w:rsid w:val="00196C3B"/>
    <w:rsid w:val="00200FD6"/>
    <w:rsid w:val="00284272"/>
    <w:rsid w:val="00291668"/>
    <w:rsid w:val="002F6B60"/>
    <w:rsid w:val="0030508B"/>
    <w:rsid w:val="00314343"/>
    <w:rsid w:val="003430F0"/>
    <w:rsid w:val="00371C31"/>
    <w:rsid w:val="0040319E"/>
    <w:rsid w:val="0041064B"/>
    <w:rsid w:val="004D5F11"/>
    <w:rsid w:val="00532079"/>
    <w:rsid w:val="00581383"/>
    <w:rsid w:val="005E1672"/>
    <w:rsid w:val="005F2052"/>
    <w:rsid w:val="005F62BF"/>
    <w:rsid w:val="005F6F6B"/>
    <w:rsid w:val="0066091E"/>
    <w:rsid w:val="006609D9"/>
    <w:rsid w:val="00661B5D"/>
    <w:rsid w:val="00671EF9"/>
    <w:rsid w:val="00692112"/>
    <w:rsid w:val="006A03DD"/>
    <w:rsid w:val="006D56A1"/>
    <w:rsid w:val="00710016"/>
    <w:rsid w:val="00714512"/>
    <w:rsid w:val="00750106"/>
    <w:rsid w:val="00780703"/>
    <w:rsid w:val="007A2F3F"/>
    <w:rsid w:val="007F1662"/>
    <w:rsid w:val="00811C0C"/>
    <w:rsid w:val="00896662"/>
    <w:rsid w:val="008B0D6F"/>
    <w:rsid w:val="008C495B"/>
    <w:rsid w:val="008F079C"/>
    <w:rsid w:val="00902CA3"/>
    <w:rsid w:val="00914CB6"/>
    <w:rsid w:val="00945568"/>
    <w:rsid w:val="009F3217"/>
    <w:rsid w:val="00A31EED"/>
    <w:rsid w:val="00A42257"/>
    <w:rsid w:val="00B27CE4"/>
    <w:rsid w:val="00BB6EE0"/>
    <w:rsid w:val="00BC1F26"/>
    <w:rsid w:val="00C46428"/>
    <w:rsid w:val="00C62B47"/>
    <w:rsid w:val="00C64574"/>
    <w:rsid w:val="00CA214C"/>
    <w:rsid w:val="00CC0475"/>
    <w:rsid w:val="00CD0D07"/>
    <w:rsid w:val="00CD6611"/>
    <w:rsid w:val="00D16A23"/>
    <w:rsid w:val="00D723B3"/>
    <w:rsid w:val="00DD62FF"/>
    <w:rsid w:val="00DE5592"/>
    <w:rsid w:val="00DF47BB"/>
    <w:rsid w:val="00E11532"/>
    <w:rsid w:val="00E8155F"/>
    <w:rsid w:val="00E9456B"/>
    <w:rsid w:val="00F13FBE"/>
    <w:rsid w:val="00F47856"/>
    <w:rsid w:val="00F801D2"/>
    <w:rsid w:val="00F95D30"/>
    <w:rsid w:val="00FB6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D9A4E"/>
  <w15:chartTrackingRefBased/>
  <w15:docId w15:val="{7302C21F-C0E1-4156-B0AA-EF217F219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95D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512"/>
  </w:style>
  <w:style w:type="paragraph" w:styleId="Footer">
    <w:name w:val="footer"/>
    <w:basedOn w:val="Normal"/>
    <w:link w:val="FooterChar"/>
    <w:uiPriority w:val="99"/>
    <w:unhideWhenUsed/>
    <w:rsid w:val="00714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512"/>
  </w:style>
  <w:style w:type="character" w:styleId="Hyperlink">
    <w:name w:val="Hyperlink"/>
    <w:basedOn w:val="DefaultParagraphFont"/>
    <w:uiPriority w:val="99"/>
    <w:unhideWhenUsed/>
    <w:rsid w:val="00714512"/>
    <w:rPr>
      <w:color w:val="0563C1" w:themeColor="hyperlink"/>
      <w:u w:val="single"/>
    </w:rPr>
  </w:style>
  <w:style w:type="character" w:styleId="UnresolvedMention">
    <w:name w:val="Unresolved Mention"/>
    <w:basedOn w:val="DefaultParagraphFont"/>
    <w:uiPriority w:val="99"/>
    <w:semiHidden/>
    <w:unhideWhenUsed/>
    <w:rsid w:val="00714512"/>
    <w:rPr>
      <w:color w:val="605E5C"/>
      <w:shd w:val="clear" w:color="auto" w:fill="E1DFDD"/>
    </w:rPr>
  </w:style>
  <w:style w:type="character" w:styleId="FollowedHyperlink">
    <w:name w:val="FollowedHyperlink"/>
    <w:basedOn w:val="DefaultParagraphFont"/>
    <w:uiPriority w:val="99"/>
    <w:semiHidden/>
    <w:unhideWhenUsed/>
    <w:rsid w:val="009F3217"/>
    <w:rPr>
      <w:color w:val="954F72" w:themeColor="followedHyperlink"/>
      <w:u w:val="single"/>
    </w:rPr>
  </w:style>
  <w:style w:type="character" w:customStyle="1" w:styleId="Heading1Char">
    <w:name w:val="Heading 1 Char"/>
    <w:basedOn w:val="DefaultParagraphFont"/>
    <w:link w:val="Heading1"/>
    <w:uiPriority w:val="9"/>
    <w:rsid w:val="00F95D30"/>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8155F"/>
    <w:pPr>
      <w:ind w:left="720"/>
      <w:contextualSpacing/>
    </w:pPr>
  </w:style>
  <w:style w:type="character" w:customStyle="1" w:styleId="mixed-citation">
    <w:name w:val="mixed-citation"/>
    <w:basedOn w:val="DefaultParagraphFont"/>
    <w:rsid w:val="00E9456B"/>
  </w:style>
  <w:style w:type="character" w:styleId="Emphasis">
    <w:name w:val="Emphasis"/>
    <w:basedOn w:val="DefaultParagraphFont"/>
    <w:uiPriority w:val="20"/>
    <w:qFormat/>
    <w:rsid w:val="00E9456B"/>
    <w:rPr>
      <w:i/>
      <w:iCs/>
    </w:rPr>
  </w:style>
  <w:style w:type="character" w:customStyle="1" w:styleId="nowrap">
    <w:name w:val="nowrap"/>
    <w:basedOn w:val="DefaultParagraphFont"/>
    <w:rsid w:val="00E94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686809">
      <w:bodyDiv w:val="1"/>
      <w:marLeft w:val="0"/>
      <w:marRight w:val="0"/>
      <w:marTop w:val="0"/>
      <w:marBottom w:val="0"/>
      <w:divBdr>
        <w:top w:val="none" w:sz="0" w:space="0" w:color="auto"/>
        <w:left w:val="none" w:sz="0" w:space="0" w:color="auto"/>
        <w:bottom w:val="none" w:sz="0" w:space="0" w:color="auto"/>
        <w:right w:val="none" w:sz="0" w:space="0" w:color="auto"/>
      </w:divBdr>
    </w:div>
    <w:div w:id="660280324">
      <w:bodyDiv w:val="1"/>
      <w:marLeft w:val="0"/>
      <w:marRight w:val="0"/>
      <w:marTop w:val="0"/>
      <w:marBottom w:val="0"/>
      <w:divBdr>
        <w:top w:val="none" w:sz="0" w:space="0" w:color="auto"/>
        <w:left w:val="none" w:sz="0" w:space="0" w:color="auto"/>
        <w:bottom w:val="none" w:sz="0" w:space="0" w:color="auto"/>
        <w:right w:val="none" w:sz="0" w:space="0" w:color="auto"/>
      </w:divBdr>
    </w:div>
    <w:div w:id="196419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TotalTime>
  <Pages>9</Pages>
  <Words>1886</Words>
  <Characters>10755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53</cp:revision>
  <dcterms:created xsi:type="dcterms:W3CDTF">2022-04-01T01:41:00Z</dcterms:created>
  <dcterms:modified xsi:type="dcterms:W3CDTF">2022-04-01T11:32:00Z</dcterms:modified>
</cp:coreProperties>
</file>