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CFFFA6" w14:textId="32865638" w:rsidR="00092CF3" w:rsidRPr="00092CF3" w:rsidRDefault="0028248D">
      <w:pPr>
        <w:spacing w:before="0" w:after="160" w:line="259" w:lineRule="auto"/>
        <w:jc w:val="left"/>
        <w:rPr>
          <w:sz w:val="28"/>
          <w:szCs w:val="28"/>
        </w:rPr>
      </w:pPr>
      <w:r w:rsidRPr="0028248D">
        <w:rPr>
          <w:noProof/>
          <w:sz w:val="28"/>
          <w:szCs w:val="28"/>
        </w:rPr>
        <w:drawing>
          <wp:inline distT="0" distB="0" distL="0" distR="0" wp14:anchorId="66A66D7F" wp14:editId="54A848DA">
            <wp:extent cx="2055731" cy="941070"/>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059304" cy="942706"/>
                    </a:xfrm>
                    <a:prstGeom prst="rect">
                      <a:avLst/>
                    </a:prstGeom>
                  </pic:spPr>
                </pic:pic>
              </a:graphicData>
            </a:graphic>
          </wp:inline>
        </w:drawing>
      </w:r>
    </w:p>
    <w:p w14:paraId="574BA525" w14:textId="77777777" w:rsidR="00227238" w:rsidRDefault="00227238" w:rsidP="00092CF3">
      <w:pPr>
        <w:jc w:val="center"/>
        <w:rPr>
          <w:b/>
          <w:bCs/>
          <w:sz w:val="32"/>
          <w:szCs w:val="32"/>
        </w:rPr>
      </w:pPr>
    </w:p>
    <w:p w14:paraId="2AC5F0A6" w14:textId="77777777" w:rsidR="00227238" w:rsidRDefault="00227238" w:rsidP="00092CF3">
      <w:pPr>
        <w:jc w:val="center"/>
        <w:rPr>
          <w:b/>
          <w:bCs/>
          <w:sz w:val="32"/>
          <w:szCs w:val="32"/>
        </w:rPr>
      </w:pPr>
    </w:p>
    <w:p w14:paraId="500BD4A3" w14:textId="7F8B2B8A" w:rsidR="00092CF3" w:rsidRPr="0028248D" w:rsidRDefault="00DE2F99" w:rsidP="00DE2F99">
      <w:pPr>
        <w:jc w:val="left"/>
        <w:rPr>
          <w:b/>
          <w:bCs/>
          <w:sz w:val="32"/>
          <w:szCs w:val="32"/>
        </w:rPr>
      </w:pPr>
      <w:r>
        <w:rPr>
          <w:b/>
          <w:bCs/>
          <w:sz w:val="32"/>
          <w:szCs w:val="32"/>
        </w:rPr>
        <w:t xml:space="preserve">Module Name: </w:t>
      </w:r>
      <w:r w:rsidR="00092CF3" w:rsidRPr="0028248D">
        <w:rPr>
          <w:b/>
          <w:bCs/>
          <w:sz w:val="32"/>
          <w:szCs w:val="32"/>
        </w:rPr>
        <w:t xml:space="preserve"> Creativity </w:t>
      </w:r>
      <w:r w:rsidR="00C83487">
        <w:rPr>
          <w:b/>
          <w:bCs/>
          <w:sz w:val="32"/>
          <w:szCs w:val="32"/>
        </w:rPr>
        <w:t xml:space="preserve">in </w:t>
      </w:r>
      <w:r w:rsidR="00FC6C58">
        <w:rPr>
          <w:b/>
          <w:bCs/>
          <w:sz w:val="32"/>
          <w:szCs w:val="32"/>
        </w:rPr>
        <w:t>Healthcare</w:t>
      </w:r>
    </w:p>
    <w:p w14:paraId="70E9565E" w14:textId="27F60383" w:rsidR="00092CF3" w:rsidRPr="0028248D" w:rsidRDefault="00DE2F99" w:rsidP="00DE2F99">
      <w:pPr>
        <w:jc w:val="left"/>
        <w:rPr>
          <w:b/>
          <w:bCs/>
          <w:sz w:val="32"/>
          <w:szCs w:val="32"/>
        </w:rPr>
      </w:pPr>
      <w:r>
        <w:rPr>
          <w:b/>
          <w:bCs/>
          <w:sz w:val="32"/>
          <w:szCs w:val="32"/>
        </w:rPr>
        <w:t xml:space="preserve">Module Code:    </w:t>
      </w:r>
      <w:r w:rsidR="00092CF3" w:rsidRPr="0028248D">
        <w:rPr>
          <w:b/>
          <w:bCs/>
          <w:sz w:val="32"/>
          <w:szCs w:val="32"/>
        </w:rPr>
        <w:t>BMHP5014</w:t>
      </w:r>
    </w:p>
    <w:p w14:paraId="4FF8516E" w14:textId="4D6D4FD4" w:rsidR="00092CF3" w:rsidRDefault="00092CF3" w:rsidP="00DE2F99">
      <w:pPr>
        <w:jc w:val="left"/>
        <w:rPr>
          <w:b/>
          <w:bCs/>
          <w:szCs w:val="24"/>
        </w:rPr>
      </w:pPr>
      <w:r w:rsidRPr="00092CF3">
        <w:rPr>
          <w:b/>
          <w:bCs/>
          <w:szCs w:val="24"/>
        </w:rPr>
        <w:t>A</w:t>
      </w:r>
      <w:r w:rsidR="00DE2F99">
        <w:rPr>
          <w:b/>
          <w:bCs/>
          <w:szCs w:val="24"/>
        </w:rPr>
        <w:t>ssignment Title:       Component 1</w:t>
      </w:r>
    </w:p>
    <w:p w14:paraId="4A07D016" w14:textId="343C5CFB" w:rsidR="00DE2F99" w:rsidRDefault="00DE2F99" w:rsidP="00DE2F99">
      <w:pPr>
        <w:jc w:val="left"/>
        <w:rPr>
          <w:b/>
          <w:bCs/>
          <w:szCs w:val="24"/>
        </w:rPr>
      </w:pPr>
      <w:r>
        <w:rPr>
          <w:b/>
          <w:bCs/>
          <w:szCs w:val="24"/>
        </w:rPr>
        <w:t>Student Name:            Patricia Anucha</w:t>
      </w:r>
    </w:p>
    <w:p w14:paraId="6737B925" w14:textId="25825D36" w:rsidR="00DE2F99" w:rsidRDefault="00DE2F99" w:rsidP="00DE2F99">
      <w:pPr>
        <w:jc w:val="left"/>
        <w:rPr>
          <w:b/>
          <w:bCs/>
          <w:szCs w:val="24"/>
        </w:rPr>
      </w:pPr>
      <w:r>
        <w:rPr>
          <w:b/>
          <w:bCs/>
          <w:szCs w:val="24"/>
        </w:rPr>
        <w:t>Student ID:                  2412552</w:t>
      </w:r>
    </w:p>
    <w:p w14:paraId="662D4B33" w14:textId="744E5DE9" w:rsidR="00DE2F99" w:rsidRPr="00092CF3" w:rsidRDefault="00DE2F99" w:rsidP="00DE2F99">
      <w:pPr>
        <w:jc w:val="left"/>
        <w:rPr>
          <w:b/>
          <w:bCs/>
          <w:szCs w:val="24"/>
        </w:rPr>
      </w:pPr>
      <w:r>
        <w:rPr>
          <w:b/>
          <w:bCs/>
          <w:szCs w:val="24"/>
        </w:rPr>
        <w:t>Lecturer Name:          Dr Laila Surani</w:t>
      </w:r>
    </w:p>
    <w:p w14:paraId="1787B2DF" w14:textId="31D7D6DB" w:rsidR="001361C6" w:rsidRDefault="001361C6" w:rsidP="00092CF3">
      <w:pPr>
        <w:jc w:val="center"/>
        <w:rPr>
          <w:b/>
          <w:bCs/>
          <w:szCs w:val="24"/>
        </w:rPr>
      </w:pPr>
    </w:p>
    <w:p w14:paraId="4954B490" w14:textId="77777777" w:rsidR="001361C6" w:rsidRDefault="001361C6">
      <w:pPr>
        <w:spacing w:before="0" w:after="160" w:line="259" w:lineRule="auto"/>
        <w:jc w:val="left"/>
        <w:rPr>
          <w:b/>
          <w:bCs/>
          <w:szCs w:val="24"/>
        </w:rPr>
      </w:pPr>
      <w:r>
        <w:rPr>
          <w:b/>
          <w:bCs/>
          <w:szCs w:val="24"/>
        </w:rPr>
        <w:br w:type="page"/>
      </w:r>
    </w:p>
    <w:p w14:paraId="3F9EDE79" w14:textId="77777777" w:rsidR="003B2EB7" w:rsidRDefault="003B2EB7" w:rsidP="003B2EB7">
      <w:pPr>
        <w:pStyle w:val="Heading1"/>
      </w:pPr>
      <w:bookmarkStart w:id="0" w:name="_Toc223127824"/>
      <w:bookmarkStart w:id="1" w:name="_Toc223086710"/>
      <w:bookmarkStart w:id="2" w:name="_Toc223086990"/>
      <w:bookmarkStart w:id="3" w:name="_Toc223099836"/>
      <w:r>
        <w:lastRenderedPageBreak/>
        <w:t>Table of Contents</w:t>
      </w:r>
      <w:bookmarkEnd w:id="0"/>
    </w:p>
    <w:p w14:paraId="1D49D801" w14:textId="53950CA3" w:rsidR="003B2EB7" w:rsidRDefault="003B2EB7" w:rsidP="00E35EEC">
      <w:r w:rsidRPr="003B2EB7">
        <w:rPr>
          <w:noProof/>
          <w:sz w:val="22"/>
          <w:szCs w:val="20"/>
        </w:rPr>
        <w:drawing>
          <wp:inline distT="0" distB="0" distL="0" distR="0" wp14:anchorId="18129A5E" wp14:editId="5FAC7725">
            <wp:extent cx="5943600" cy="5186680"/>
            <wp:effectExtent l="0" t="0" r="0" b="0"/>
            <wp:docPr id="1148138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13844" name=""/>
                    <pic:cNvPicPr/>
                  </pic:nvPicPr>
                  <pic:blipFill>
                    <a:blip r:embed="rId7"/>
                    <a:stretch>
                      <a:fillRect/>
                    </a:stretch>
                  </pic:blipFill>
                  <pic:spPr>
                    <a:xfrm>
                      <a:off x="0" y="0"/>
                      <a:ext cx="5943600" cy="5186680"/>
                    </a:xfrm>
                    <a:prstGeom prst="rect">
                      <a:avLst/>
                    </a:prstGeom>
                  </pic:spPr>
                </pic:pic>
              </a:graphicData>
            </a:graphic>
          </wp:inline>
        </w:drawing>
      </w:r>
      <w:r>
        <w:br w:type="page"/>
      </w:r>
    </w:p>
    <w:p w14:paraId="7917FAB9" w14:textId="67A4186C" w:rsidR="00875C32" w:rsidRDefault="00875C32" w:rsidP="00EF29D8">
      <w:pPr>
        <w:pStyle w:val="Heading1"/>
      </w:pPr>
      <w:bookmarkStart w:id="4" w:name="_Toc223127825"/>
      <w:r>
        <w:lastRenderedPageBreak/>
        <w:t>Introductio</w:t>
      </w:r>
      <w:r w:rsidR="00EF29D8">
        <w:t>n</w:t>
      </w:r>
      <w:bookmarkEnd w:id="1"/>
      <w:bookmarkEnd w:id="2"/>
      <w:bookmarkEnd w:id="3"/>
      <w:bookmarkEnd w:id="4"/>
    </w:p>
    <w:p w14:paraId="596C6F6C" w14:textId="253F67F1" w:rsidR="00EF29D8" w:rsidRPr="007333D6" w:rsidRDefault="00875C32" w:rsidP="007333D6">
      <w:pPr>
        <w:rPr>
          <w:rFonts w:ascii="Arial" w:hAnsi="Arial" w:cs="Arial"/>
        </w:rPr>
      </w:pPr>
      <w:r w:rsidRPr="007333D6">
        <w:rPr>
          <w:rFonts w:ascii="Arial" w:hAnsi="Arial" w:cs="Arial"/>
        </w:rPr>
        <w:t>The portfolio demonstrates my awareness of innovation, creativity, leadership, value creation, and digital transformation within the context of health and social care. It connects theory to organisational challenges and shows how creative and entrepreneurial thinking can be used to improve service delivery</w:t>
      </w:r>
      <w:r w:rsidR="0001744F" w:rsidRPr="007333D6">
        <w:rPr>
          <w:rFonts w:ascii="Arial" w:hAnsi="Arial" w:cs="Arial"/>
        </w:rPr>
        <w:t xml:space="preserve"> (</w:t>
      </w:r>
      <w:r w:rsidR="00DA7215" w:rsidRPr="007333D6">
        <w:rPr>
          <w:rFonts w:ascii="Arial" w:hAnsi="Arial" w:cs="Arial"/>
        </w:rPr>
        <w:t>Koziol</w:t>
      </w:r>
      <w:r w:rsidR="0001744F" w:rsidRPr="007333D6">
        <w:rPr>
          <w:rFonts w:ascii="Arial" w:hAnsi="Arial" w:cs="Arial"/>
        </w:rPr>
        <w:t xml:space="preserve"> et al., 2024)</w:t>
      </w:r>
      <w:r w:rsidRPr="007333D6">
        <w:rPr>
          <w:rFonts w:ascii="Arial" w:hAnsi="Arial" w:cs="Arial"/>
        </w:rPr>
        <w:t xml:space="preserve">. The activities respond to the modern pressures, such as workforce burnout, ineffectiveness, and digital inequality in the healthcare environment. The theory is applied to the </w:t>
      </w:r>
      <w:r w:rsidR="00C52612" w:rsidRPr="007333D6">
        <w:rPr>
          <w:rFonts w:ascii="Arial" w:hAnsi="Arial" w:cs="Arial"/>
        </w:rPr>
        <w:t>real-life</w:t>
      </w:r>
      <w:r w:rsidRPr="007333D6">
        <w:rPr>
          <w:rFonts w:ascii="Arial" w:hAnsi="Arial" w:cs="Arial"/>
        </w:rPr>
        <w:t xml:space="preserve"> examples of the UK health services. Reflective dimensions are included in the evaluation of self-development, teamwork, and leadership awareness. Overall, the portfolio shows both theoretical and practical knowledge in applying creative solutions in practice.</w:t>
      </w:r>
    </w:p>
    <w:p w14:paraId="4DFE5C5E" w14:textId="77777777" w:rsidR="00E35EEC" w:rsidRPr="007333D6" w:rsidRDefault="00E35EEC" w:rsidP="007333D6">
      <w:pPr>
        <w:rPr>
          <w:rFonts w:ascii="Arial" w:hAnsi="Arial" w:cs="Arial"/>
        </w:rPr>
      </w:pPr>
    </w:p>
    <w:p w14:paraId="1E86E617" w14:textId="77777777" w:rsidR="00E35EEC" w:rsidRPr="007333D6" w:rsidRDefault="00E35EEC" w:rsidP="007333D6">
      <w:pPr>
        <w:rPr>
          <w:rFonts w:ascii="Arial" w:hAnsi="Arial" w:cs="Arial"/>
        </w:rPr>
      </w:pPr>
    </w:p>
    <w:p w14:paraId="1B4CCFC0" w14:textId="77777777" w:rsidR="00E35EEC" w:rsidRPr="007333D6" w:rsidRDefault="00E35EEC" w:rsidP="007333D6">
      <w:pPr>
        <w:rPr>
          <w:rFonts w:ascii="Arial" w:hAnsi="Arial" w:cs="Arial"/>
        </w:rPr>
      </w:pPr>
    </w:p>
    <w:p w14:paraId="522AB9EC" w14:textId="77777777" w:rsidR="00E35EEC" w:rsidRPr="007333D6" w:rsidRDefault="00E35EEC" w:rsidP="007333D6">
      <w:pPr>
        <w:rPr>
          <w:rFonts w:ascii="Arial" w:hAnsi="Arial" w:cs="Arial"/>
        </w:rPr>
      </w:pPr>
    </w:p>
    <w:p w14:paraId="06B31796" w14:textId="77777777" w:rsidR="00E35EEC" w:rsidRDefault="00E35EEC" w:rsidP="00C52612"/>
    <w:p w14:paraId="508D6D77" w14:textId="77777777" w:rsidR="00E35EEC" w:rsidRDefault="00E35EEC" w:rsidP="00C52612"/>
    <w:p w14:paraId="625F61A2" w14:textId="77777777" w:rsidR="00E35EEC" w:rsidRDefault="00E35EEC" w:rsidP="00C52612"/>
    <w:p w14:paraId="2B99874D" w14:textId="77777777" w:rsidR="00E35EEC" w:rsidRDefault="00E35EEC" w:rsidP="00C52612"/>
    <w:p w14:paraId="52D9CE4D" w14:textId="77777777" w:rsidR="00E35EEC" w:rsidRDefault="00E35EEC" w:rsidP="00C52612"/>
    <w:p w14:paraId="74B2A1B4" w14:textId="77777777" w:rsidR="00E35EEC" w:rsidRDefault="00E35EEC" w:rsidP="00C52612"/>
    <w:p w14:paraId="3B96371A" w14:textId="77777777" w:rsidR="00E35EEC" w:rsidRDefault="00E35EEC" w:rsidP="00C52612"/>
    <w:p w14:paraId="28C8FBCD" w14:textId="77777777" w:rsidR="00E35EEC" w:rsidRDefault="00E35EEC" w:rsidP="00C52612"/>
    <w:p w14:paraId="537D712E" w14:textId="77777777" w:rsidR="00E35EEC" w:rsidRDefault="00E35EEC" w:rsidP="00C52612"/>
    <w:p w14:paraId="226F1955" w14:textId="5078DACB" w:rsidR="00EF29D8" w:rsidRDefault="00EF29D8" w:rsidP="00EF29D8">
      <w:pPr>
        <w:pStyle w:val="Heading1"/>
      </w:pPr>
      <w:bookmarkStart w:id="5" w:name="_Toc223086711"/>
      <w:bookmarkStart w:id="6" w:name="_Toc223086991"/>
      <w:bookmarkStart w:id="7" w:name="_Toc223099837"/>
      <w:bookmarkStart w:id="8" w:name="_Toc223127826"/>
      <w:r>
        <w:lastRenderedPageBreak/>
        <w:t>Task 1 – Defining Key Concepts in Practice</w:t>
      </w:r>
      <w:bookmarkEnd w:id="5"/>
      <w:bookmarkEnd w:id="6"/>
      <w:bookmarkEnd w:id="7"/>
      <w:bookmarkEnd w:id="8"/>
    </w:p>
    <w:p w14:paraId="41DEEC0A" w14:textId="1B2B8A74" w:rsidR="00EF29D8" w:rsidRPr="00EF29D8" w:rsidRDefault="00EF29D8" w:rsidP="00227238">
      <w:pPr>
        <w:pStyle w:val="Heading2"/>
      </w:pPr>
      <w:bookmarkStart w:id="9" w:name="_Toc223127827"/>
      <w:r w:rsidRPr="00EF29D8">
        <w:t>Innovation</w:t>
      </w:r>
      <w:bookmarkEnd w:id="9"/>
    </w:p>
    <w:p w14:paraId="75FCF623" w14:textId="46D96E16" w:rsidR="00875C32" w:rsidRPr="007333D6" w:rsidRDefault="004F481B" w:rsidP="00875C32">
      <w:pPr>
        <w:rPr>
          <w:rFonts w:ascii="Arial" w:hAnsi="Arial" w:cs="Arial"/>
        </w:rPr>
      </w:pPr>
      <w:r>
        <w:rPr>
          <w:rFonts w:ascii="Arial" w:hAnsi="Arial" w:cs="Arial"/>
        </w:rPr>
        <w:t xml:space="preserve">Innovation can be defined as the practice of introducing new or improved services, systems, or processes that create tangible value. Innovation enhances safety, efficiency, and accessibility in health and social care. It involves not only developing ideas but also ensuring they are partialized (Barr &amp; Nathenson, 2022). The implementation is often driven by clear benefits and alignment with existing practices as perceived by staff. For example, virtual wards are being introduced into the NHS, allowing patients to receive clinical monitoring at home through virtual tools. </w:t>
      </w:r>
    </w:p>
    <w:p w14:paraId="047BA59D" w14:textId="77777777" w:rsidR="00875C32" w:rsidRPr="007333D6" w:rsidRDefault="00875C32" w:rsidP="00227238">
      <w:pPr>
        <w:pStyle w:val="Heading2"/>
        <w:rPr>
          <w:rFonts w:ascii="Arial" w:hAnsi="Arial" w:cs="Arial"/>
        </w:rPr>
      </w:pPr>
      <w:bookmarkStart w:id="10" w:name="_Toc223127828"/>
      <w:r w:rsidRPr="007333D6">
        <w:rPr>
          <w:rFonts w:ascii="Arial" w:hAnsi="Arial" w:cs="Arial"/>
        </w:rPr>
        <w:t>Creativity</w:t>
      </w:r>
      <w:bookmarkEnd w:id="10"/>
    </w:p>
    <w:p w14:paraId="3FFC1B93" w14:textId="4E6B8B01" w:rsidR="00875C32" w:rsidRPr="007333D6" w:rsidRDefault="004F481B" w:rsidP="00875C32">
      <w:pPr>
        <w:rPr>
          <w:rFonts w:ascii="Arial" w:hAnsi="Arial" w:cs="Arial"/>
        </w:rPr>
      </w:pPr>
      <w:r>
        <w:rPr>
          <w:rFonts w:ascii="Arial" w:hAnsi="Arial" w:cs="Arial"/>
        </w:rPr>
        <w:t xml:space="preserve">Creativity is the ability to generate new and useful ideas in specific situations. It allows healthcare professionals to respond effectively to complex issues with limited resources. It involves flexible thinking, collaboration, and a willingness to work towards better outcomes. The individualised discharge planning developed by multidisciplinary teams is innovative and demonstrates how different expertise is integrated to reduce readmission rates. </w:t>
      </w:r>
    </w:p>
    <w:p w14:paraId="45BAA59A" w14:textId="77777777" w:rsidR="00875C32" w:rsidRPr="007333D6" w:rsidRDefault="00875C32" w:rsidP="00227238">
      <w:pPr>
        <w:pStyle w:val="Heading2"/>
        <w:rPr>
          <w:rFonts w:ascii="Arial" w:hAnsi="Arial" w:cs="Arial"/>
        </w:rPr>
      </w:pPr>
      <w:bookmarkStart w:id="11" w:name="_Toc223127829"/>
      <w:r w:rsidRPr="007333D6">
        <w:rPr>
          <w:rFonts w:ascii="Arial" w:hAnsi="Arial" w:cs="Arial"/>
        </w:rPr>
        <w:t>Value Creation</w:t>
      </w:r>
      <w:bookmarkEnd w:id="11"/>
    </w:p>
    <w:p w14:paraId="246FDE90" w14:textId="36B16F21" w:rsidR="00875C32" w:rsidRPr="007333D6" w:rsidRDefault="004F481B" w:rsidP="00875C32">
      <w:pPr>
        <w:rPr>
          <w:rFonts w:ascii="Arial" w:hAnsi="Arial" w:cs="Arial"/>
        </w:rPr>
      </w:pPr>
      <w:r>
        <w:rPr>
          <w:rFonts w:ascii="Arial" w:hAnsi="Arial" w:cs="Arial"/>
        </w:rPr>
        <w:t>Value creation in healthcare aims to enhance patient outcomes relative to the costs of providing services. Value-based thinking does not focus on the level of activity or success; instead, it emphasises the benefits gained by patients (Salhab, 2025). Examples of value generated through early mental health intervention services include, but are not limited to, preventing crisis situations, improving long-term well-being, and lowering future medical expenses. Organisations can ensure sustainable system performance and promote greater social good by prioritising prevention and outcome improvement.</w:t>
      </w:r>
    </w:p>
    <w:p w14:paraId="72B9F714" w14:textId="3791A0DA" w:rsidR="00875C32" w:rsidRPr="007333D6" w:rsidRDefault="00875C32" w:rsidP="00227238">
      <w:pPr>
        <w:pStyle w:val="Heading2"/>
        <w:rPr>
          <w:rFonts w:ascii="Arial" w:hAnsi="Arial" w:cs="Arial"/>
        </w:rPr>
      </w:pPr>
      <w:bookmarkStart w:id="12" w:name="_Toc223127830"/>
      <w:r w:rsidRPr="007333D6">
        <w:rPr>
          <w:rFonts w:ascii="Arial" w:hAnsi="Arial" w:cs="Arial"/>
        </w:rPr>
        <w:t>Change</w:t>
      </w:r>
      <w:bookmarkEnd w:id="12"/>
    </w:p>
    <w:p w14:paraId="68D49479" w14:textId="47D12C8B" w:rsidR="00756DFB" w:rsidRPr="007333D6" w:rsidRDefault="00756DFB" w:rsidP="00756DFB">
      <w:pPr>
        <w:rPr>
          <w:rFonts w:ascii="Arial" w:hAnsi="Arial" w:cs="Arial"/>
        </w:rPr>
      </w:pPr>
      <w:r w:rsidRPr="007333D6">
        <w:rPr>
          <w:rFonts w:ascii="Arial" w:hAnsi="Arial" w:cs="Arial"/>
        </w:rPr>
        <w:t>Change defines the systematic process of inculcating the already-established practices to better systems or behaviours. The change to be made should be prepared, implemented, and reinforced to be long-lasting (</w:t>
      </w:r>
      <w:r w:rsidR="00DA7215" w:rsidRPr="007333D6">
        <w:rPr>
          <w:rFonts w:ascii="Arial" w:hAnsi="Arial" w:cs="Arial"/>
        </w:rPr>
        <w:t>Alemtuzumab</w:t>
      </w:r>
      <w:r w:rsidRPr="007333D6">
        <w:rPr>
          <w:rFonts w:ascii="Arial" w:hAnsi="Arial" w:cs="Arial"/>
        </w:rPr>
        <w:t xml:space="preserve">, 2022). As an example, the </w:t>
      </w:r>
      <w:r w:rsidRPr="007333D6">
        <w:rPr>
          <w:rFonts w:ascii="Arial" w:hAnsi="Arial" w:cs="Arial"/>
        </w:rPr>
        <w:lastRenderedPageBreak/>
        <w:t>implementation of electronic health records assumes the substitution of paper-based reports with electronic ones, educating the staff in digital literacy, and the implementation of new practices in routine processes. Managing change increases organisational resilience and enhancement in the long run</w:t>
      </w:r>
      <w:r w:rsidR="005B30CC" w:rsidRPr="007333D6">
        <w:rPr>
          <w:rFonts w:ascii="Arial" w:hAnsi="Arial" w:cs="Arial"/>
        </w:rPr>
        <w:t>.</w:t>
      </w:r>
    </w:p>
    <w:p w14:paraId="03A9B68E" w14:textId="252D0567" w:rsidR="00E971E4" w:rsidRPr="00E971E4" w:rsidRDefault="00E971E4" w:rsidP="00E971E4">
      <w:pPr>
        <w:rPr>
          <w:rFonts w:ascii="Arial" w:hAnsi="Arial" w:cs="Arial"/>
        </w:rPr>
      </w:pPr>
      <w:r w:rsidRPr="007333D6">
        <w:rPr>
          <w:rFonts w:ascii="Arial" w:hAnsi="Arial" w:cs="Arial"/>
          <w:noProof/>
        </w:rPr>
        <w:drawing>
          <wp:inline distT="0" distB="0" distL="0" distR="0" wp14:anchorId="323057EC" wp14:editId="2F1C7624">
            <wp:extent cx="5943600" cy="4031615"/>
            <wp:effectExtent l="0" t="0" r="0" b="6985"/>
            <wp:docPr id="20829102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4031615"/>
                    </a:xfrm>
                    <a:prstGeom prst="rect">
                      <a:avLst/>
                    </a:prstGeom>
                    <a:noFill/>
                    <a:ln>
                      <a:noFill/>
                    </a:ln>
                  </pic:spPr>
                </pic:pic>
              </a:graphicData>
            </a:graphic>
          </wp:inline>
        </w:drawing>
      </w:r>
    </w:p>
    <w:p w14:paraId="18B3D002" w14:textId="165F07E6" w:rsidR="005B30CC" w:rsidRPr="007333D6" w:rsidRDefault="005B30CC" w:rsidP="00756DFB">
      <w:pPr>
        <w:rPr>
          <w:rFonts w:ascii="Arial" w:hAnsi="Arial" w:cs="Arial"/>
        </w:rPr>
      </w:pPr>
    </w:p>
    <w:p w14:paraId="78000569" w14:textId="77777777" w:rsidR="00495AA0" w:rsidRPr="007333D6" w:rsidRDefault="00495AA0" w:rsidP="00756DFB">
      <w:pPr>
        <w:rPr>
          <w:rFonts w:ascii="Arial" w:hAnsi="Arial" w:cs="Arial"/>
        </w:rPr>
      </w:pPr>
    </w:p>
    <w:p w14:paraId="640F496E" w14:textId="7CEABA52" w:rsidR="00875C32" w:rsidRPr="007333D6" w:rsidRDefault="00875C32" w:rsidP="00227238">
      <w:pPr>
        <w:pStyle w:val="Heading1"/>
        <w:rPr>
          <w:rFonts w:ascii="Arial" w:hAnsi="Arial" w:cs="Arial"/>
        </w:rPr>
      </w:pPr>
      <w:bookmarkStart w:id="13" w:name="_Toc223086712"/>
      <w:bookmarkStart w:id="14" w:name="_Toc223086992"/>
      <w:bookmarkStart w:id="15" w:name="_Toc223099838"/>
      <w:bookmarkStart w:id="16" w:name="_Toc223127831"/>
      <w:r w:rsidRPr="007333D6">
        <w:rPr>
          <w:rFonts w:ascii="Arial" w:hAnsi="Arial" w:cs="Arial"/>
        </w:rPr>
        <w:lastRenderedPageBreak/>
        <w:t>Task 2 – Mind Map</w:t>
      </w:r>
      <w:bookmarkEnd w:id="13"/>
      <w:bookmarkEnd w:id="14"/>
      <w:bookmarkEnd w:id="15"/>
      <w:bookmarkEnd w:id="16"/>
    </w:p>
    <w:p w14:paraId="1F90398F" w14:textId="7A169711" w:rsidR="00875C32" w:rsidRPr="007333D6" w:rsidRDefault="00EF29D8" w:rsidP="00227238">
      <w:pPr>
        <w:pStyle w:val="Heading2"/>
        <w:rPr>
          <w:rFonts w:ascii="Arial" w:hAnsi="Arial" w:cs="Arial"/>
        </w:rPr>
      </w:pPr>
      <w:bookmarkStart w:id="17" w:name="_Toc223127832"/>
      <w:r w:rsidRPr="007333D6">
        <w:rPr>
          <w:rFonts w:ascii="Arial" w:hAnsi="Arial" w:cs="Arial"/>
        </w:rPr>
        <w:t>Issues</w:t>
      </w:r>
      <w:r w:rsidR="00875C32" w:rsidRPr="007333D6">
        <w:rPr>
          <w:rFonts w:ascii="Arial" w:hAnsi="Arial" w:cs="Arial"/>
        </w:rPr>
        <w:t xml:space="preserve">: NHS Hospital </w:t>
      </w:r>
      <w:r w:rsidRPr="007333D6">
        <w:rPr>
          <w:rFonts w:ascii="Arial" w:hAnsi="Arial" w:cs="Arial"/>
        </w:rPr>
        <w:t>employees'</w:t>
      </w:r>
      <w:r w:rsidR="00875C32" w:rsidRPr="007333D6">
        <w:rPr>
          <w:rFonts w:ascii="Arial" w:hAnsi="Arial" w:cs="Arial"/>
        </w:rPr>
        <w:t xml:space="preserve"> burnout</w:t>
      </w:r>
      <w:bookmarkEnd w:id="17"/>
    </w:p>
    <w:p w14:paraId="08F678D2" w14:textId="0BDC6D13" w:rsidR="0098183F" w:rsidRPr="007333D6" w:rsidRDefault="00591F93" w:rsidP="0098183F">
      <w:pPr>
        <w:keepNext/>
        <w:jc w:val="center"/>
        <w:rPr>
          <w:rFonts w:ascii="Arial" w:hAnsi="Arial" w:cs="Arial"/>
        </w:rPr>
      </w:pPr>
      <w:r w:rsidRPr="007333D6">
        <w:rPr>
          <w:rFonts w:ascii="Arial" w:hAnsi="Arial" w:cs="Arial"/>
          <w:noProof/>
        </w:rPr>
        <w:drawing>
          <wp:inline distT="0" distB="0" distL="0" distR="0" wp14:anchorId="2251260E" wp14:editId="4CBA4BB6">
            <wp:extent cx="4532111" cy="2630708"/>
            <wp:effectExtent l="19050" t="19050" r="20955" b="177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73585" cy="2654782"/>
                    </a:xfrm>
                    <a:prstGeom prst="rect">
                      <a:avLst/>
                    </a:prstGeom>
                    <a:ln>
                      <a:solidFill>
                        <a:schemeClr val="tx1">
                          <a:lumMod val="65000"/>
                          <a:lumOff val="35000"/>
                        </a:schemeClr>
                      </a:solidFill>
                    </a:ln>
                  </pic:spPr>
                </pic:pic>
              </a:graphicData>
            </a:graphic>
          </wp:inline>
        </w:drawing>
      </w:r>
    </w:p>
    <w:p w14:paraId="4FAE58D7" w14:textId="6EFABB47" w:rsidR="0098183F" w:rsidRPr="007333D6" w:rsidRDefault="0098183F" w:rsidP="00591F93">
      <w:pPr>
        <w:pStyle w:val="Caption"/>
        <w:jc w:val="center"/>
        <w:rPr>
          <w:rFonts w:ascii="Arial" w:hAnsi="Arial" w:cs="Arial"/>
          <w:b/>
          <w:bCs/>
          <w:sz w:val="24"/>
          <w:szCs w:val="24"/>
        </w:rPr>
      </w:pPr>
      <w:r w:rsidRPr="007333D6">
        <w:rPr>
          <w:rFonts w:ascii="Arial" w:hAnsi="Arial" w:cs="Arial"/>
          <w:b/>
          <w:bCs/>
          <w:sz w:val="24"/>
          <w:szCs w:val="24"/>
        </w:rPr>
        <w:t xml:space="preserve">Figure </w:t>
      </w:r>
      <w:r w:rsidRPr="007333D6">
        <w:rPr>
          <w:rFonts w:ascii="Arial" w:hAnsi="Arial" w:cs="Arial"/>
          <w:b/>
          <w:bCs/>
          <w:sz w:val="24"/>
          <w:szCs w:val="24"/>
        </w:rPr>
        <w:fldChar w:fldCharType="begin"/>
      </w:r>
      <w:r w:rsidRPr="007333D6">
        <w:rPr>
          <w:rFonts w:ascii="Arial" w:hAnsi="Arial" w:cs="Arial"/>
          <w:b/>
          <w:bCs/>
          <w:sz w:val="24"/>
          <w:szCs w:val="24"/>
        </w:rPr>
        <w:instrText xml:space="preserve"> SEQ Figure \* ARABIC </w:instrText>
      </w:r>
      <w:r w:rsidRPr="007333D6">
        <w:rPr>
          <w:rFonts w:ascii="Arial" w:hAnsi="Arial" w:cs="Arial"/>
          <w:b/>
          <w:bCs/>
          <w:sz w:val="24"/>
          <w:szCs w:val="24"/>
        </w:rPr>
        <w:fldChar w:fldCharType="separate"/>
      </w:r>
      <w:r w:rsidRPr="007333D6">
        <w:rPr>
          <w:rFonts w:ascii="Arial" w:hAnsi="Arial" w:cs="Arial"/>
          <w:b/>
          <w:bCs/>
          <w:noProof/>
          <w:sz w:val="24"/>
          <w:szCs w:val="24"/>
        </w:rPr>
        <w:t>1</w:t>
      </w:r>
      <w:r w:rsidRPr="007333D6">
        <w:rPr>
          <w:rFonts w:ascii="Arial" w:hAnsi="Arial" w:cs="Arial"/>
          <w:b/>
          <w:bCs/>
          <w:sz w:val="24"/>
          <w:szCs w:val="24"/>
        </w:rPr>
        <w:fldChar w:fldCharType="end"/>
      </w:r>
      <w:r w:rsidR="00591F93" w:rsidRPr="007333D6">
        <w:rPr>
          <w:rFonts w:ascii="Arial" w:hAnsi="Arial" w:cs="Arial"/>
          <w:b/>
          <w:bCs/>
          <w:sz w:val="24"/>
          <w:szCs w:val="24"/>
        </w:rPr>
        <w:t>: Mind Map: Staff burnout in NHS hospitals</w:t>
      </w:r>
    </w:p>
    <w:p w14:paraId="584DF003" w14:textId="146B2F1A" w:rsidR="00591F93" w:rsidRPr="007333D6" w:rsidRDefault="00591F93" w:rsidP="00591F93">
      <w:pPr>
        <w:jc w:val="center"/>
        <w:rPr>
          <w:rFonts w:ascii="Arial" w:hAnsi="Arial" w:cs="Arial"/>
          <w:b/>
          <w:bCs/>
        </w:rPr>
      </w:pPr>
      <w:r w:rsidRPr="007333D6">
        <w:rPr>
          <w:rFonts w:ascii="Arial" w:hAnsi="Arial" w:cs="Arial"/>
          <w:b/>
          <w:bCs/>
        </w:rPr>
        <w:t>Sources: (Author)</w:t>
      </w:r>
    </w:p>
    <w:p w14:paraId="08419804" w14:textId="4B18BEBF" w:rsidR="00756DFB" w:rsidRDefault="00756DFB" w:rsidP="00AD1DA6">
      <w:pPr>
        <w:rPr>
          <w:rFonts w:ascii="Arial" w:hAnsi="Arial" w:cs="Arial"/>
          <w:szCs w:val="24"/>
        </w:rPr>
      </w:pPr>
      <w:r w:rsidRPr="00AD1DA6">
        <w:rPr>
          <w:rFonts w:ascii="Arial" w:hAnsi="Arial" w:cs="Arial"/>
          <w:szCs w:val="24"/>
        </w:rPr>
        <w:t>The effect of staff burnout on patient safety, morale of the workforce and the stability of the organisation is immense. The systems approach to burnout considers burnout to be the consequence of an interactive stress, but not an individual vulnerability (</w:t>
      </w:r>
      <w:r w:rsidR="00DA7215" w:rsidRPr="00AD1DA6">
        <w:rPr>
          <w:rFonts w:ascii="Arial" w:hAnsi="Arial" w:cs="Arial"/>
          <w:szCs w:val="24"/>
        </w:rPr>
        <w:t>Nahoko</w:t>
      </w:r>
      <w:r w:rsidRPr="00AD1DA6">
        <w:rPr>
          <w:rFonts w:ascii="Arial" w:hAnsi="Arial" w:cs="Arial"/>
          <w:szCs w:val="24"/>
        </w:rPr>
        <w:t xml:space="preserve"> et al., 2024). The inherent problem of the mind map leads to contributory factors that include high workloads, understaffing, emotional stress, and being overburdened with administrative duties. The results of these strains include </w:t>
      </w:r>
      <w:r w:rsidR="00C74FF5" w:rsidRPr="00AD1DA6">
        <w:rPr>
          <w:rFonts w:ascii="Arial" w:hAnsi="Arial" w:cs="Arial"/>
          <w:szCs w:val="24"/>
        </w:rPr>
        <w:t>poor-quality care, clinical errors</w:t>
      </w:r>
      <w:r w:rsidRPr="00AD1DA6">
        <w:rPr>
          <w:rFonts w:ascii="Arial" w:hAnsi="Arial" w:cs="Arial"/>
          <w:szCs w:val="24"/>
        </w:rPr>
        <w:t xml:space="preserve">, employee absenteeism, and turnover. Other branches, such as wellbeing support programmes, flexible work schedules, </w:t>
      </w:r>
      <w:r w:rsidR="00C74FF5" w:rsidRPr="00AD1DA6">
        <w:rPr>
          <w:rFonts w:ascii="Arial" w:hAnsi="Arial" w:cs="Arial"/>
          <w:szCs w:val="24"/>
        </w:rPr>
        <w:t>reduced paperwork through technology,</w:t>
      </w:r>
      <w:r w:rsidRPr="00AD1DA6">
        <w:rPr>
          <w:rFonts w:ascii="Arial" w:hAnsi="Arial" w:cs="Arial"/>
          <w:szCs w:val="24"/>
        </w:rPr>
        <w:t xml:space="preserve"> and supportive leadership, identify potential solutions. The shortage of workforce is going to grow and negatively impact patient outcomes unless the issue of burnout is addressed. This directly influences nurses and the junior doctors and has an indirect impact on patients who are forced to wait longer and receive less attention. Sustainability is thus a solution to reforms and cultural change in organisations.</w:t>
      </w:r>
    </w:p>
    <w:p w14:paraId="49F9EE9F" w14:textId="314D8ACA" w:rsidR="00537812" w:rsidRPr="00537812" w:rsidRDefault="00537812" w:rsidP="00537812">
      <w:pPr>
        <w:rPr>
          <w:rFonts w:ascii="Arial" w:hAnsi="Arial" w:cs="Arial"/>
          <w:szCs w:val="24"/>
        </w:rPr>
      </w:pPr>
      <w:r w:rsidRPr="00537812">
        <w:rPr>
          <w:rFonts w:ascii="Arial" w:hAnsi="Arial" w:cs="Arial"/>
          <w:noProof/>
          <w:szCs w:val="24"/>
        </w:rPr>
        <w:lastRenderedPageBreak/>
        <w:drawing>
          <wp:inline distT="0" distB="0" distL="0" distR="0" wp14:anchorId="63AEF500" wp14:editId="31EB68B3">
            <wp:extent cx="5943600" cy="4011295"/>
            <wp:effectExtent l="0" t="0" r="0" b="8255"/>
            <wp:docPr id="206050158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4011295"/>
                    </a:xfrm>
                    <a:prstGeom prst="rect">
                      <a:avLst/>
                    </a:prstGeom>
                    <a:noFill/>
                    <a:ln>
                      <a:noFill/>
                    </a:ln>
                  </pic:spPr>
                </pic:pic>
              </a:graphicData>
            </a:graphic>
          </wp:inline>
        </w:drawing>
      </w:r>
    </w:p>
    <w:p w14:paraId="273A4E70" w14:textId="36EA00B6" w:rsidR="00F4088D" w:rsidRDefault="00F4088D" w:rsidP="00AD1DA6">
      <w:pPr>
        <w:rPr>
          <w:rFonts w:ascii="Arial" w:hAnsi="Arial" w:cs="Arial"/>
          <w:szCs w:val="24"/>
        </w:rPr>
      </w:pPr>
    </w:p>
    <w:p w14:paraId="3E9E67A3" w14:textId="77777777" w:rsidR="00D93436" w:rsidRDefault="00D93436" w:rsidP="00AD1DA6">
      <w:pPr>
        <w:rPr>
          <w:rFonts w:ascii="Arial" w:hAnsi="Arial" w:cs="Arial"/>
          <w:szCs w:val="24"/>
        </w:rPr>
      </w:pPr>
    </w:p>
    <w:p w14:paraId="757F3567" w14:textId="77777777" w:rsidR="00D93436" w:rsidRDefault="00D93436" w:rsidP="00AD1DA6">
      <w:pPr>
        <w:rPr>
          <w:rFonts w:ascii="Arial" w:hAnsi="Arial" w:cs="Arial"/>
          <w:szCs w:val="24"/>
        </w:rPr>
      </w:pPr>
    </w:p>
    <w:p w14:paraId="070E9723" w14:textId="77777777" w:rsidR="00D93436" w:rsidRDefault="00D93436" w:rsidP="00AD1DA6">
      <w:pPr>
        <w:rPr>
          <w:rFonts w:ascii="Arial" w:hAnsi="Arial" w:cs="Arial"/>
          <w:szCs w:val="24"/>
        </w:rPr>
      </w:pPr>
    </w:p>
    <w:p w14:paraId="223B9FBD" w14:textId="77777777" w:rsidR="00D93436" w:rsidRDefault="00D93436" w:rsidP="00AD1DA6">
      <w:pPr>
        <w:rPr>
          <w:rFonts w:ascii="Arial" w:hAnsi="Arial" w:cs="Arial"/>
          <w:szCs w:val="24"/>
        </w:rPr>
      </w:pPr>
    </w:p>
    <w:p w14:paraId="4C9879AA" w14:textId="77777777" w:rsidR="00D93436" w:rsidRDefault="00D93436" w:rsidP="00AD1DA6">
      <w:pPr>
        <w:rPr>
          <w:rFonts w:ascii="Arial" w:hAnsi="Arial" w:cs="Arial"/>
          <w:szCs w:val="24"/>
        </w:rPr>
      </w:pPr>
    </w:p>
    <w:p w14:paraId="1C5BAD7A" w14:textId="77777777" w:rsidR="00D93436" w:rsidRDefault="00D93436" w:rsidP="00AD1DA6">
      <w:pPr>
        <w:rPr>
          <w:rFonts w:ascii="Arial" w:hAnsi="Arial" w:cs="Arial"/>
          <w:szCs w:val="24"/>
        </w:rPr>
      </w:pPr>
    </w:p>
    <w:p w14:paraId="6D65F3C0" w14:textId="77777777" w:rsidR="00D93436" w:rsidRPr="00AD1DA6" w:rsidRDefault="00D93436" w:rsidP="00AD1DA6">
      <w:pPr>
        <w:rPr>
          <w:rFonts w:ascii="Arial" w:hAnsi="Arial" w:cs="Arial"/>
          <w:szCs w:val="24"/>
        </w:rPr>
      </w:pPr>
    </w:p>
    <w:p w14:paraId="67403E70" w14:textId="1474ED07" w:rsidR="00875C32" w:rsidRPr="00AD1DA6" w:rsidRDefault="00875C32" w:rsidP="00AD1DA6">
      <w:pPr>
        <w:pStyle w:val="Heading1"/>
        <w:spacing w:line="360" w:lineRule="auto"/>
        <w:rPr>
          <w:rFonts w:ascii="Arial" w:hAnsi="Arial" w:cs="Arial"/>
          <w:sz w:val="24"/>
          <w:szCs w:val="24"/>
        </w:rPr>
      </w:pPr>
      <w:bookmarkStart w:id="18" w:name="_Toc223086713"/>
      <w:bookmarkStart w:id="19" w:name="_Toc223086993"/>
      <w:bookmarkStart w:id="20" w:name="_Toc223099839"/>
      <w:bookmarkStart w:id="21" w:name="_Toc223127833"/>
      <w:r w:rsidRPr="00AD1DA6">
        <w:rPr>
          <w:rFonts w:ascii="Arial" w:hAnsi="Arial" w:cs="Arial"/>
          <w:sz w:val="24"/>
          <w:szCs w:val="24"/>
        </w:rPr>
        <w:lastRenderedPageBreak/>
        <w:t xml:space="preserve">Task </w:t>
      </w:r>
      <w:r w:rsidR="00466FBD" w:rsidRPr="00AD1DA6">
        <w:rPr>
          <w:rFonts w:ascii="Arial" w:hAnsi="Arial" w:cs="Arial"/>
          <w:sz w:val="24"/>
          <w:szCs w:val="24"/>
        </w:rPr>
        <w:t xml:space="preserve">3 – </w:t>
      </w:r>
      <w:r w:rsidRPr="00AD1DA6">
        <w:rPr>
          <w:rFonts w:ascii="Arial" w:hAnsi="Arial" w:cs="Arial"/>
          <w:sz w:val="24"/>
          <w:szCs w:val="24"/>
        </w:rPr>
        <w:t>Self-reflection of Group activity</w:t>
      </w:r>
      <w:bookmarkEnd w:id="18"/>
      <w:bookmarkEnd w:id="19"/>
      <w:bookmarkEnd w:id="20"/>
      <w:bookmarkEnd w:id="21"/>
    </w:p>
    <w:p w14:paraId="2FE287EF" w14:textId="15DDA0B3" w:rsidR="00EF29D8" w:rsidRPr="00AD1DA6" w:rsidRDefault="00875C32" w:rsidP="00AD1DA6">
      <w:pPr>
        <w:pStyle w:val="Heading2"/>
        <w:spacing w:line="360" w:lineRule="auto"/>
        <w:rPr>
          <w:rFonts w:ascii="Arial" w:hAnsi="Arial" w:cs="Arial"/>
          <w:szCs w:val="24"/>
        </w:rPr>
      </w:pPr>
      <w:bookmarkStart w:id="22" w:name="_Toc223127834"/>
      <w:r w:rsidRPr="00AD1DA6">
        <w:rPr>
          <w:rFonts w:ascii="Arial" w:hAnsi="Arial" w:cs="Arial"/>
          <w:szCs w:val="24"/>
        </w:rPr>
        <w:t>Gibbs Reflective Cycle</w:t>
      </w:r>
      <w:bookmarkEnd w:id="22"/>
    </w:p>
    <w:p w14:paraId="56827269" w14:textId="323E266D" w:rsidR="00756DFB" w:rsidRPr="00AD1DA6" w:rsidRDefault="00756DFB" w:rsidP="00AD1DA6">
      <w:pPr>
        <w:pStyle w:val="ListParagraph"/>
        <w:numPr>
          <w:ilvl w:val="0"/>
          <w:numId w:val="1"/>
        </w:numPr>
        <w:rPr>
          <w:rFonts w:ascii="Arial" w:hAnsi="Arial" w:cs="Arial"/>
          <w:szCs w:val="24"/>
        </w:rPr>
      </w:pPr>
      <w:r w:rsidRPr="00AD1DA6">
        <w:rPr>
          <w:rFonts w:ascii="Arial" w:hAnsi="Arial" w:cs="Arial"/>
          <w:b/>
          <w:bCs/>
          <w:szCs w:val="24"/>
        </w:rPr>
        <w:t>Description:</w:t>
      </w:r>
      <w:r w:rsidRPr="00AD1DA6">
        <w:rPr>
          <w:rFonts w:ascii="Arial" w:hAnsi="Arial" w:cs="Arial"/>
          <w:szCs w:val="24"/>
        </w:rPr>
        <w:t xml:space="preserve"> In a group workshop, we were presented with the challenge of developing ideas on how outpatient waiting time in the NHS services can be reduced. This exercise involved the divergent thinking of brainstorming and the convergent thinking of making the most feasible decision.</w:t>
      </w:r>
    </w:p>
    <w:p w14:paraId="7FAF0585" w14:textId="3F486858" w:rsidR="00756DFB" w:rsidRPr="00AD1DA6" w:rsidRDefault="00756DFB" w:rsidP="00AD1DA6">
      <w:pPr>
        <w:pStyle w:val="ListParagraph"/>
        <w:numPr>
          <w:ilvl w:val="0"/>
          <w:numId w:val="1"/>
        </w:numPr>
        <w:rPr>
          <w:rFonts w:ascii="Arial" w:hAnsi="Arial" w:cs="Arial"/>
          <w:szCs w:val="24"/>
        </w:rPr>
      </w:pPr>
      <w:r w:rsidRPr="00AD1DA6">
        <w:rPr>
          <w:rFonts w:ascii="Arial" w:hAnsi="Arial" w:cs="Arial"/>
          <w:b/>
          <w:bCs/>
          <w:szCs w:val="24"/>
        </w:rPr>
        <w:t>Feelings:</w:t>
      </w:r>
      <w:r w:rsidRPr="00AD1DA6">
        <w:rPr>
          <w:rFonts w:ascii="Arial" w:hAnsi="Arial" w:cs="Arial"/>
          <w:szCs w:val="24"/>
        </w:rPr>
        <w:t xml:space="preserve"> At the start of the lesson, I was not very comfortable with open brainstorming as I am used to discussing things in a more logical and organised way (Giuliano et al., 2022). I never wanted to take any time making too many ideas, and no means of going.</w:t>
      </w:r>
    </w:p>
    <w:p w14:paraId="52019CB0" w14:textId="7C785CED" w:rsidR="00756DFB" w:rsidRPr="00AD1DA6" w:rsidRDefault="00756DFB" w:rsidP="00AD1DA6">
      <w:pPr>
        <w:pStyle w:val="ListParagraph"/>
        <w:numPr>
          <w:ilvl w:val="0"/>
          <w:numId w:val="1"/>
        </w:numPr>
        <w:rPr>
          <w:rFonts w:ascii="Arial" w:hAnsi="Arial" w:cs="Arial"/>
          <w:szCs w:val="24"/>
        </w:rPr>
      </w:pPr>
      <w:r w:rsidRPr="00AD1DA6">
        <w:rPr>
          <w:rFonts w:ascii="Arial" w:hAnsi="Arial" w:cs="Arial"/>
          <w:b/>
          <w:bCs/>
          <w:szCs w:val="24"/>
        </w:rPr>
        <w:t>Evaluation:</w:t>
      </w:r>
      <w:r w:rsidRPr="00AD1DA6">
        <w:rPr>
          <w:rFonts w:ascii="Arial" w:hAnsi="Arial" w:cs="Arial"/>
          <w:szCs w:val="24"/>
        </w:rPr>
        <w:t xml:space="preserve"> The innovative ideas that were generated through the brainstorming session are digital triage tools, weekend clinics, and better appointment reminders. I also helped in the suggestion of narrowing down the options with the help of the advantages and disadvantages.</w:t>
      </w:r>
    </w:p>
    <w:p w14:paraId="451E05E6" w14:textId="3BB2D914" w:rsidR="00875C32" w:rsidRPr="00AD1DA6" w:rsidRDefault="00875C32" w:rsidP="00AD1DA6">
      <w:pPr>
        <w:pStyle w:val="ListParagraph"/>
        <w:numPr>
          <w:ilvl w:val="0"/>
          <w:numId w:val="1"/>
        </w:numPr>
        <w:rPr>
          <w:rFonts w:ascii="Arial" w:hAnsi="Arial" w:cs="Arial"/>
          <w:szCs w:val="24"/>
        </w:rPr>
      </w:pPr>
      <w:r w:rsidRPr="00AD1DA6">
        <w:rPr>
          <w:rFonts w:ascii="Arial" w:hAnsi="Arial" w:cs="Arial"/>
          <w:b/>
          <w:bCs/>
          <w:szCs w:val="24"/>
        </w:rPr>
        <w:t>Analysis:</w:t>
      </w:r>
      <w:r w:rsidRPr="00AD1DA6">
        <w:rPr>
          <w:rFonts w:ascii="Arial" w:hAnsi="Arial" w:cs="Arial"/>
          <w:szCs w:val="24"/>
        </w:rPr>
        <w:t xml:space="preserve"> This experience demonstrated that I am inclined to </w:t>
      </w:r>
      <w:r w:rsidR="00C52612" w:rsidRPr="00AD1DA6">
        <w:rPr>
          <w:rFonts w:ascii="Arial" w:hAnsi="Arial" w:cs="Arial"/>
          <w:szCs w:val="24"/>
        </w:rPr>
        <w:t>think</w:t>
      </w:r>
      <w:r w:rsidRPr="00AD1DA6">
        <w:rPr>
          <w:rFonts w:ascii="Arial" w:hAnsi="Arial" w:cs="Arial"/>
          <w:szCs w:val="24"/>
        </w:rPr>
        <w:t xml:space="preserve"> in an analytical and evaluative way, rather than generating ideas spontaneously, which is also a natural tendency of mine</w:t>
      </w:r>
      <w:r w:rsidR="0001744F" w:rsidRPr="00AD1DA6">
        <w:rPr>
          <w:rFonts w:ascii="Arial" w:hAnsi="Arial" w:cs="Arial"/>
          <w:szCs w:val="24"/>
        </w:rPr>
        <w:t xml:space="preserve"> (Slåtten et al., 2023)</w:t>
      </w:r>
      <w:r w:rsidRPr="00AD1DA6">
        <w:rPr>
          <w:rFonts w:ascii="Arial" w:hAnsi="Arial" w:cs="Arial"/>
          <w:szCs w:val="24"/>
        </w:rPr>
        <w:t>. I also learned that creativity may be smothered too early to see the potential of inventions.</w:t>
      </w:r>
    </w:p>
    <w:p w14:paraId="2B61652F" w14:textId="73E92764" w:rsidR="00875C32" w:rsidRPr="00AD1DA6" w:rsidRDefault="00875C32" w:rsidP="00AD1DA6">
      <w:pPr>
        <w:pStyle w:val="ListParagraph"/>
        <w:numPr>
          <w:ilvl w:val="0"/>
          <w:numId w:val="1"/>
        </w:numPr>
        <w:rPr>
          <w:rFonts w:ascii="Arial" w:hAnsi="Arial" w:cs="Arial"/>
          <w:szCs w:val="24"/>
        </w:rPr>
      </w:pPr>
      <w:r w:rsidRPr="00AD1DA6">
        <w:rPr>
          <w:rFonts w:ascii="Arial" w:hAnsi="Arial" w:cs="Arial"/>
          <w:b/>
          <w:bCs/>
          <w:szCs w:val="24"/>
        </w:rPr>
        <w:t>Conclusion:</w:t>
      </w:r>
      <w:r w:rsidRPr="00AD1DA6">
        <w:rPr>
          <w:rFonts w:ascii="Arial" w:hAnsi="Arial" w:cs="Arial"/>
          <w:szCs w:val="24"/>
        </w:rPr>
        <w:t xml:space="preserve"> Both divergent and convergent thinking are required in solving problems. Creativity gives the chance, and it is </w:t>
      </w:r>
      <w:r w:rsidR="0028248D" w:rsidRPr="00AD1DA6">
        <w:rPr>
          <w:rFonts w:ascii="Arial" w:hAnsi="Arial" w:cs="Arial"/>
          <w:szCs w:val="24"/>
        </w:rPr>
        <w:t>rationalised</w:t>
      </w:r>
      <w:r w:rsidRPr="00AD1DA6">
        <w:rPr>
          <w:rFonts w:ascii="Arial" w:hAnsi="Arial" w:cs="Arial"/>
          <w:szCs w:val="24"/>
        </w:rPr>
        <w:t xml:space="preserve"> through critical analysis.</w:t>
      </w:r>
    </w:p>
    <w:p w14:paraId="03C035CF" w14:textId="60292B56" w:rsidR="00FD5089" w:rsidRDefault="00875C32" w:rsidP="00AD1DA6">
      <w:pPr>
        <w:pStyle w:val="ListParagraph"/>
        <w:numPr>
          <w:ilvl w:val="0"/>
          <w:numId w:val="1"/>
        </w:numPr>
        <w:rPr>
          <w:rFonts w:ascii="Arial" w:hAnsi="Arial" w:cs="Arial"/>
          <w:szCs w:val="24"/>
        </w:rPr>
      </w:pPr>
      <w:r w:rsidRPr="00AD1DA6">
        <w:rPr>
          <w:rFonts w:ascii="Arial" w:hAnsi="Arial" w:cs="Arial"/>
          <w:b/>
          <w:bCs/>
          <w:szCs w:val="24"/>
        </w:rPr>
        <w:t>Action Plan:</w:t>
      </w:r>
      <w:r w:rsidRPr="00AD1DA6">
        <w:rPr>
          <w:rFonts w:ascii="Arial" w:hAnsi="Arial" w:cs="Arial"/>
          <w:szCs w:val="24"/>
        </w:rPr>
        <w:t xml:space="preserve"> I will be more involved in contributing ideas during brainstorming and then switch to evaluation in future group work. It will help me to acquire the skills of balanced thinking and become more confident about my ability to be creative in the professional healthcare setting.</w:t>
      </w:r>
    </w:p>
    <w:p w14:paraId="2FC347F5" w14:textId="5E33DC8F" w:rsidR="00E0336F" w:rsidRDefault="00E0336F" w:rsidP="00E0336F">
      <w:pPr>
        <w:pStyle w:val="NormalWeb"/>
        <w:numPr>
          <w:ilvl w:val="0"/>
          <w:numId w:val="1"/>
        </w:numPr>
      </w:pPr>
      <w:r>
        <w:rPr>
          <w:noProof/>
        </w:rPr>
        <w:lastRenderedPageBreak/>
        <w:drawing>
          <wp:inline distT="0" distB="0" distL="0" distR="0" wp14:anchorId="562DA296" wp14:editId="5FF8819D">
            <wp:extent cx="5943600" cy="7987665"/>
            <wp:effectExtent l="0" t="0" r="0" b="0"/>
            <wp:docPr id="55903209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7987665"/>
                    </a:xfrm>
                    <a:prstGeom prst="rect">
                      <a:avLst/>
                    </a:prstGeom>
                    <a:noFill/>
                    <a:ln>
                      <a:noFill/>
                    </a:ln>
                  </pic:spPr>
                </pic:pic>
              </a:graphicData>
            </a:graphic>
          </wp:inline>
        </w:drawing>
      </w:r>
    </w:p>
    <w:p w14:paraId="043CC487" w14:textId="77777777" w:rsidR="00CE78DB" w:rsidRPr="00AD1DA6" w:rsidRDefault="00CE78DB" w:rsidP="00E0336F">
      <w:pPr>
        <w:pStyle w:val="ListParagraph"/>
        <w:rPr>
          <w:rFonts w:ascii="Arial" w:hAnsi="Arial" w:cs="Arial"/>
          <w:szCs w:val="24"/>
        </w:rPr>
      </w:pPr>
    </w:p>
    <w:p w14:paraId="168072CA" w14:textId="77777777" w:rsidR="00C74FF5" w:rsidRPr="00AD1DA6" w:rsidRDefault="00C74FF5" w:rsidP="00AD1DA6">
      <w:pPr>
        <w:pStyle w:val="ListParagraph"/>
        <w:rPr>
          <w:rFonts w:ascii="Arial" w:hAnsi="Arial" w:cs="Arial"/>
          <w:b/>
          <w:bCs/>
          <w:szCs w:val="24"/>
        </w:rPr>
      </w:pPr>
    </w:p>
    <w:p w14:paraId="174EB674" w14:textId="77777777" w:rsidR="008946A8" w:rsidRPr="00AD1DA6" w:rsidRDefault="008946A8" w:rsidP="00AD1DA6">
      <w:pPr>
        <w:pStyle w:val="ListParagraph"/>
        <w:rPr>
          <w:rFonts w:ascii="Arial" w:hAnsi="Arial" w:cs="Arial"/>
          <w:b/>
          <w:bCs/>
          <w:szCs w:val="24"/>
        </w:rPr>
      </w:pPr>
    </w:p>
    <w:p w14:paraId="11FACB2F" w14:textId="77777777" w:rsidR="008946A8" w:rsidRPr="00AD1DA6" w:rsidRDefault="008946A8" w:rsidP="00AD1DA6">
      <w:pPr>
        <w:pStyle w:val="ListParagraph"/>
        <w:rPr>
          <w:rFonts w:ascii="Arial" w:hAnsi="Arial" w:cs="Arial"/>
          <w:b/>
          <w:bCs/>
          <w:szCs w:val="24"/>
        </w:rPr>
      </w:pPr>
    </w:p>
    <w:p w14:paraId="73BCD000" w14:textId="77777777" w:rsidR="008946A8" w:rsidRPr="00AD1DA6" w:rsidRDefault="008946A8" w:rsidP="00AD1DA6">
      <w:pPr>
        <w:pStyle w:val="ListParagraph"/>
        <w:rPr>
          <w:rFonts w:ascii="Arial" w:hAnsi="Arial" w:cs="Arial"/>
          <w:b/>
          <w:bCs/>
          <w:szCs w:val="24"/>
        </w:rPr>
      </w:pPr>
    </w:p>
    <w:p w14:paraId="14C261F9" w14:textId="77777777" w:rsidR="008946A8" w:rsidRPr="00AD1DA6" w:rsidRDefault="008946A8" w:rsidP="00AD1DA6">
      <w:pPr>
        <w:pStyle w:val="ListParagraph"/>
        <w:rPr>
          <w:rFonts w:ascii="Arial" w:hAnsi="Arial" w:cs="Arial"/>
          <w:szCs w:val="24"/>
        </w:rPr>
      </w:pPr>
    </w:p>
    <w:p w14:paraId="7A414D3C" w14:textId="0B6DC2E2" w:rsidR="00875C32" w:rsidRPr="00AD1DA6" w:rsidRDefault="00875C32" w:rsidP="00AD1DA6">
      <w:pPr>
        <w:pStyle w:val="Heading1"/>
        <w:spacing w:line="360" w:lineRule="auto"/>
        <w:rPr>
          <w:rFonts w:ascii="Arial" w:hAnsi="Arial" w:cs="Arial"/>
          <w:sz w:val="24"/>
          <w:szCs w:val="24"/>
        </w:rPr>
      </w:pPr>
      <w:bookmarkStart w:id="23" w:name="_Toc223086714"/>
      <w:bookmarkStart w:id="24" w:name="_Toc223086994"/>
      <w:bookmarkStart w:id="25" w:name="_Toc223099840"/>
      <w:bookmarkStart w:id="26" w:name="_Toc223127835"/>
      <w:r w:rsidRPr="00AD1DA6">
        <w:rPr>
          <w:rFonts w:ascii="Arial" w:hAnsi="Arial" w:cs="Arial"/>
          <w:sz w:val="24"/>
          <w:szCs w:val="24"/>
        </w:rPr>
        <w:t xml:space="preserve">Task 4 </w:t>
      </w:r>
      <w:r w:rsidR="00466FBD" w:rsidRPr="00AD1DA6">
        <w:rPr>
          <w:rFonts w:ascii="Arial" w:hAnsi="Arial" w:cs="Arial"/>
          <w:sz w:val="24"/>
          <w:szCs w:val="24"/>
        </w:rPr>
        <w:t xml:space="preserve">– </w:t>
      </w:r>
      <w:r w:rsidRPr="00AD1DA6">
        <w:rPr>
          <w:rFonts w:ascii="Arial" w:hAnsi="Arial" w:cs="Arial"/>
          <w:sz w:val="24"/>
          <w:szCs w:val="24"/>
        </w:rPr>
        <w:t>Case Study Analysis of an Innovation in the UK</w:t>
      </w:r>
      <w:bookmarkEnd w:id="23"/>
      <w:bookmarkEnd w:id="24"/>
      <w:bookmarkEnd w:id="25"/>
      <w:bookmarkEnd w:id="26"/>
    </w:p>
    <w:p w14:paraId="65CCEADB" w14:textId="38333556" w:rsidR="00875C32" w:rsidRDefault="00875C32" w:rsidP="00AD1DA6">
      <w:pPr>
        <w:rPr>
          <w:rFonts w:ascii="Arial" w:hAnsi="Arial" w:cs="Arial"/>
          <w:szCs w:val="24"/>
        </w:rPr>
      </w:pPr>
      <w:r w:rsidRPr="00AD1DA6">
        <w:rPr>
          <w:rFonts w:ascii="Arial" w:hAnsi="Arial" w:cs="Arial"/>
          <w:szCs w:val="24"/>
        </w:rPr>
        <w:t>The implementation of virtual wards in England is one notable innovation in the NHS. The services were created to address overcrowding and slow discharges at the hospitals</w:t>
      </w:r>
      <w:r w:rsidR="0028248D" w:rsidRPr="00AD1DA6">
        <w:rPr>
          <w:rFonts w:ascii="Arial" w:hAnsi="Arial" w:cs="Arial"/>
          <w:szCs w:val="24"/>
        </w:rPr>
        <w:t>,</w:t>
      </w:r>
      <w:r w:rsidRPr="00AD1DA6">
        <w:rPr>
          <w:rFonts w:ascii="Arial" w:hAnsi="Arial" w:cs="Arial"/>
          <w:szCs w:val="24"/>
        </w:rPr>
        <w:t xml:space="preserve"> particularly following high demand in the past few years. Virtual wards enable patients to have the same in-home monitoring capabilities as in the hospital</w:t>
      </w:r>
      <w:r w:rsidR="0028248D" w:rsidRPr="00AD1DA6">
        <w:rPr>
          <w:rFonts w:ascii="Arial" w:hAnsi="Arial" w:cs="Arial"/>
          <w:szCs w:val="24"/>
        </w:rPr>
        <w:t>,</w:t>
      </w:r>
      <w:r w:rsidRPr="00AD1DA6">
        <w:rPr>
          <w:rFonts w:ascii="Arial" w:hAnsi="Arial" w:cs="Arial"/>
          <w:szCs w:val="24"/>
        </w:rPr>
        <w:t xml:space="preserve"> using remote digital devices and regular clinical monitoring. The model is new because it incorporates home monitoring equipment, telehealth, and multidisciplinary care. Health care workers contrived a substitute to inpatient admission, integrating the existing clinical expertise and digital technology</w:t>
      </w:r>
      <w:r w:rsidR="0001744F" w:rsidRPr="00AD1DA6">
        <w:rPr>
          <w:rFonts w:ascii="Arial" w:hAnsi="Arial" w:cs="Arial"/>
          <w:szCs w:val="24"/>
        </w:rPr>
        <w:t xml:space="preserve"> (Hussain et al., 2024)</w:t>
      </w:r>
      <w:r w:rsidRPr="00AD1DA6">
        <w:rPr>
          <w:rFonts w:ascii="Arial" w:hAnsi="Arial" w:cs="Arial"/>
          <w:szCs w:val="24"/>
        </w:rPr>
        <w:t>. The patients have the privilege of being cured in an environment that they are used to</w:t>
      </w:r>
      <w:r w:rsidR="0028248D" w:rsidRPr="00AD1DA6">
        <w:rPr>
          <w:rFonts w:ascii="Arial" w:hAnsi="Arial" w:cs="Arial"/>
          <w:szCs w:val="24"/>
        </w:rPr>
        <w:t>,</w:t>
      </w:r>
      <w:r w:rsidRPr="00AD1DA6">
        <w:rPr>
          <w:rFonts w:ascii="Arial" w:hAnsi="Arial" w:cs="Arial"/>
          <w:szCs w:val="24"/>
        </w:rPr>
        <w:t xml:space="preserve"> but the supervision is done by a professional. The reported outcomes are shortened hospital stays, improved patient satisfaction, and improved </w:t>
      </w:r>
      <w:r w:rsidR="0028248D" w:rsidRPr="00AD1DA6">
        <w:rPr>
          <w:rFonts w:ascii="Arial" w:hAnsi="Arial" w:cs="Arial"/>
          <w:szCs w:val="24"/>
        </w:rPr>
        <w:t>utilisation</w:t>
      </w:r>
      <w:r w:rsidRPr="00AD1DA6">
        <w:rPr>
          <w:rFonts w:ascii="Arial" w:hAnsi="Arial" w:cs="Arial"/>
          <w:szCs w:val="24"/>
        </w:rPr>
        <w:t xml:space="preserve"> of hospital beds. In this model, value is created by enhancing the patient experience and reducing the operational pressures and associated costs. It also enhances more customised and attentive care delivery. </w:t>
      </w:r>
      <w:r w:rsidR="0028248D" w:rsidRPr="00AD1DA6">
        <w:rPr>
          <w:rFonts w:ascii="Arial" w:hAnsi="Arial" w:cs="Arial"/>
          <w:szCs w:val="24"/>
        </w:rPr>
        <w:t>The virtual</w:t>
      </w:r>
      <w:r w:rsidRPr="00AD1DA6">
        <w:rPr>
          <w:rFonts w:ascii="Arial" w:hAnsi="Arial" w:cs="Arial"/>
          <w:szCs w:val="24"/>
        </w:rPr>
        <w:t xml:space="preserve"> ward model could be developed further, with adequate digital infrastructure, staff training and leadership. It has been a success that demonstrates how innovative thinking can assist in concentrating on the systemic pressure as well as </w:t>
      </w:r>
      <w:r w:rsidR="0028248D" w:rsidRPr="00AD1DA6">
        <w:rPr>
          <w:rFonts w:ascii="Arial" w:hAnsi="Arial" w:cs="Arial"/>
          <w:szCs w:val="24"/>
        </w:rPr>
        <w:t>sticking</w:t>
      </w:r>
      <w:r w:rsidRPr="00AD1DA6">
        <w:rPr>
          <w:rFonts w:ascii="Arial" w:hAnsi="Arial" w:cs="Arial"/>
          <w:szCs w:val="24"/>
        </w:rPr>
        <w:t xml:space="preserve"> to the quality and safety of the current healthcare systems.</w:t>
      </w:r>
    </w:p>
    <w:p w14:paraId="480AF62C" w14:textId="7B42C5E9" w:rsidR="004C0F44" w:rsidRPr="004C0F44" w:rsidRDefault="004C0F44" w:rsidP="004C0F44">
      <w:pPr>
        <w:rPr>
          <w:rFonts w:ascii="Arial" w:hAnsi="Arial" w:cs="Arial"/>
          <w:szCs w:val="24"/>
        </w:rPr>
      </w:pPr>
      <w:r w:rsidRPr="004C0F44">
        <w:rPr>
          <w:rFonts w:ascii="Arial" w:hAnsi="Arial" w:cs="Arial"/>
          <w:noProof/>
          <w:szCs w:val="24"/>
        </w:rPr>
        <w:lastRenderedPageBreak/>
        <w:drawing>
          <wp:inline distT="0" distB="0" distL="0" distR="0" wp14:anchorId="1D079C7C" wp14:editId="75711CAC">
            <wp:extent cx="5943600" cy="5865495"/>
            <wp:effectExtent l="0" t="0" r="0" b="1905"/>
            <wp:docPr id="126100679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5865495"/>
                    </a:xfrm>
                    <a:prstGeom prst="rect">
                      <a:avLst/>
                    </a:prstGeom>
                    <a:noFill/>
                    <a:ln>
                      <a:noFill/>
                    </a:ln>
                  </pic:spPr>
                </pic:pic>
              </a:graphicData>
            </a:graphic>
          </wp:inline>
        </w:drawing>
      </w:r>
    </w:p>
    <w:p w14:paraId="38DA3C54" w14:textId="77777777" w:rsidR="004C0F44" w:rsidRDefault="004C0F44" w:rsidP="00AD1DA6">
      <w:pPr>
        <w:rPr>
          <w:rFonts w:ascii="Arial" w:hAnsi="Arial" w:cs="Arial"/>
          <w:szCs w:val="24"/>
        </w:rPr>
      </w:pPr>
    </w:p>
    <w:p w14:paraId="79765338" w14:textId="77777777" w:rsidR="00AD1DA6" w:rsidRDefault="00AD1DA6" w:rsidP="00AD1DA6">
      <w:pPr>
        <w:rPr>
          <w:rFonts w:ascii="Arial" w:hAnsi="Arial" w:cs="Arial"/>
          <w:szCs w:val="24"/>
        </w:rPr>
      </w:pPr>
    </w:p>
    <w:p w14:paraId="4274E80F" w14:textId="77777777" w:rsidR="00AD1DA6" w:rsidRDefault="00AD1DA6" w:rsidP="00AD1DA6">
      <w:pPr>
        <w:rPr>
          <w:rFonts w:ascii="Arial" w:hAnsi="Arial" w:cs="Arial"/>
          <w:szCs w:val="24"/>
        </w:rPr>
      </w:pPr>
    </w:p>
    <w:p w14:paraId="10A178F9" w14:textId="77777777" w:rsidR="00AD1DA6" w:rsidRDefault="00AD1DA6" w:rsidP="00AD1DA6">
      <w:pPr>
        <w:rPr>
          <w:rFonts w:ascii="Arial" w:hAnsi="Arial" w:cs="Arial"/>
          <w:szCs w:val="24"/>
        </w:rPr>
      </w:pPr>
    </w:p>
    <w:p w14:paraId="6598672B" w14:textId="77777777" w:rsidR="00AD1DA6" w:rsidRDefault="00AD1DA6" w:rsidP="00AD1DA6">
      <w:pPr>
        <w:rPr>
          <w:rFonts w:ascii="Arial" w:hAnsi="Arial" w:cs="Arial"/>
          <w:szCs w:val="24"/>
        </w:rPr>
      </w:pPr>
    </w:p>
    <w:p w14:paraId="3233A095" w14:textId="77777777" w:rsidR="00AD1DA6" w:rsidRDefault="00AD1DA6" w:rsidP="00AD1DA6">
      <w:pPr>
        <w:rPr>
          <w:rFonts w:ascii="Arial" w:hAnsi="Arial" w:cs="Arial"/>
          <w:szCs w:val="24"/>
        </w:rPr>
      </w:pPr>
    </w:p>
    <w:p w14:paraId="4667DB6B" w14:textId="77777777" w:rsidR="00AD1DA6" w:rsidRDefault="00AD1DA6" w:rsidP="00AD1DA6">
      <w:pPr>
        <w:rPr>
          <w:rFonts w:ascii="Arial" w:hAnsi="Arial" w:cs="Arial"/>
          <w:szCs w:val="24"/>
        </w:rPr>
      </w:pPr>
    </w:p>
    <w:p w14:paraId="337FC143" w14:textId="77777777" w:rsidR="00AD1DA6" w:rsidRDefault="00AD1DA6" w:rsidP="00AD1DA6">
      <w:pPr>
        <w:rPr>
          <w:rFonts w:ascii="Arial" w:hAnsi="Arial" w:cs="Arial"/>
          <w:szCs w:val="24"/>
        </w:rPr>
      </w:pPr>
    </w:p>
    <w:p w14:paraId="3D370517" w14:textId="77777777" w:rsidR="00AD1DA6" w:rsidRPr="00AD1DA6" w:rsidRDefault="00AD1DA6" w:rsidP="00AD1DA6">
      <w:pPr>
        <w:rPr>
          <w:rFonts w:ascii="Arial" w:hAnsi="Arial" w:cs="Arial"/>
          <w:szCs w:val="24"/>
        </w:rPr>
      </w:pPr>
    </w:p>
    <w:p w14:paraId="13893C61" w14:textId="7A38C3A8" w:rsidR="00875C32" w:rsidRPr="00AD1DA6" w:rsidRDefault="00875C32" w:rsidP="00AD1DA6">
      <w:pPr>
        <w:pStyle w:val="Heading1"/>
        <w:spacing w:line="360" w:lineRule="auto"/>
        <w:rPr>
          <w:rFonts w:ascii="Arial" w:hAnsi="Arial" w:cs="Arial"/>
          <w:sz w:val="24"/>
          <w:szCs w:val="24"/>
        </w:rPr>
      </w:pPr>
      <w:bookmarkStart w:id="27" w:name="_Toc223086715"/>
      <w:bookmarkStart w:id="28" w:name="_Toc223086995"/>
      <w:bookmarkStart w:id="29" w:name="_Toc223099841"/>
      <w:bookmarkStart w:id="30" w:name="_Toc223127836"/>
      <w:r w:rsidRPr="00AD1DA6">
        <w:rPr>
          <w:rFonts w:ascii="Arial" w:hAnsi="Arial" w:cs="Arial"/>
          <w:sz w:val="24"/>
          <w:szCs w:val="24"/>
        </w:rPr>
        <w:t>Task 5 – Research Task</w:t>
      </w:r>
      <w:bookmarkEnd w:id="27"/>
      <w:bookmarkEnd w:id="28"/>
      <w:bookmarkEnd w:id="29"/>
      <w:bookmarkEnd w:id="30"/>
    </w:p>
    <w:p w14:paraId="6B1270E0" w14:textId="0DA027FC" w:rsidR="00875C32" w:rsidRPr="00AD1DA6" w:rsidRDefault="00875C32" w:rsidP="00AD1DA6">
      <w:pPr>
        <w:pStyle w:val="Heading2"/>
        <w:spacing w:line="360" w:lineRule="auto"/>
        <w:rPr>
          <w:rFonts w:ascii="Arial" w:hAnsi="Arial" w:cs="Arial"/>
          <w:szCs w:val="24"/>
        </w:rPr>
      </w:pPr>
      <w:bookmarkStart w:id="31" w:name="_Toc223127837"/>
      <w:r w:rsidRPr="00AD1DA6">
        <w:rPr>
          <w:rFonts w:ascii="Arial" w:hAnsi="Arial" w:cs="Arial"/>
          <w:szCs w:val="24"/>
        </w:rPr>
        <w:t>Issue: Staff Burnout</w:t>
      </w:r>
      <w:bookmarkEnd w:id="31"/>
    </w:p>
    <w:p w14:paraId="32E801FE" w14:textId="38DFC780" w:rsidR="0028248D" w:rsidRDefault="00875C32" w:rsidP="00AD1DA6">
      <w:r w:rsidRPr="00AD1DA6">
        <w:rPr>
          <w:rFonts w:ascii="Arial" w:hAnsi="Arial" w:cs="Arial"/>
          <w:szCs w:val="24"/>
        </w:rPr>
        <w:t xml:space="preserve">The literature reveals that the main reason that leads to burnout of staff members at workplaces in the healthcare sector is pressure. There is increased stress when there is a high workload, </w:t>
      </w:r>
      <w:r w:rsidR="0028248D" w:rsidRPr="00AD1DA6">
        <w:rPr>
          <w:rFonts w:ascii="Arial" w:hAnsi="Arial" w:cs="Arial"/>
          <w:szCs w:val="24"/>
        </w:rPr>
        <w:t xml:space="preserve">a </w:t>
      </w:r>
      <w:r w:rsidRPr="00AD1DA6">
        <w:rPr>
          <w:rFonts w:ascii="Arial" w:hAnsi="Arial" w:cs="Arial"/>
          <w:szCs w:val="24"/>
        </w:rPr>
        <w:t xml:space="preserve">shortage of staff and </w:t>
      </w:r>
      <w:r w:rsidR="0028248D" w:rsidRPr="00AD1DA6">
        <w:rPr>
          <w:rFonts w:ascii="Arial" w:hAnsi="Arial" w:cs="Arial"/>
          <w:szCs w:val="24"/>
        </w:rPr>
        <w:t xml:space="preserve">a </w:t>
      </w:r>
      <w:r w:rsidRPr="00AD1DA6">
        <w:rPr>
          <w:rFonts w:ascii="Arial" w:hAnsi="Arial" w:cs="Arial"/>
          <w:szCs w:val="24"/>
        </w:rPr>
        <w:t>lack of management support. Emotional exhaustion is more likely to occur when professionals are of the opinion that they are not in control of the decisions</w:t>
      </w:r>
      <w:r w:rsidR="0001744F" w:rsidRPr="00AD1DA6">
        <w:rPr>
          <w:rFonts w:ascii="Arial" w:hAnsi="Arial" w:cs="Arial"/>
          <w:szCs w:val="24"/>
        </w:rPr>
        <w:t xml:space="preserve"> (</w:t>
      </w:r>
      <w:r w:rsidR="00DA7215" w:rsidRPr="00AD1DA6">
        <w:rPr>
          <w:rFonts w:ascii="Arial" w:hAnsi="Arial" w:cs="Arial"/>
          <w:szCs w:val="24"/>
        </w:rPr>
        <w:t>Adegbile</w:t>
      </w:r>
      <w:r w:rsidR="0001744F" w:rsidRPr="00AD1DA6">
        <w:rPr>
          <w:rFonts w:ascii="Arial" w:hAnsi="Arial" w:cs="Arial"/>
          <w:szCs w:val="24"/>
        </w:rPr>
        <w:t xml:space="preserve"> et al., 2024)</w:t>
      </w:r>
      <w:r w:rsidRPr="00AD1DA6">
        <w:rPr>
          <w:rFonts w:ascii="Arial" w:hAnsi="Arial" w:cs="Arial"/>
          <w:szCs w:val="24"/>
        </w:rPr>
        <w:t xml:space="preserve">. Burnout is not merely an issue that </w:t>
      </w:r>
      <w:r w:rsidR="0028248D" w:rsidRPr="00AD1DA6">
        <w:rPr>
          <w:rFonts w:ascii="Arial" w:hAnsi="Arial" w:cs="Arial"/>
          <w:szCs w:val="24"/>
        </w:rPr>
        <w:t>affects</w:t>
      </w:r>
      <w:r w:rsidRPr="00AD1DA6">
        <w:rPr>
          <w:rFonts w:ascii="Arial" w:hAnsi="Arial" w:cs="Arial"/>
          <w:szCs w:val="24"/>
        </w:rPr>
        <w:t xml:space="preserve"> the </w:t>
      </w:r>
      <w:r w:rsidR="0028248D" w:rsidRPr="00AD1DA6">
        <w:rPr>
          <w:rFonts w:ascii="Arial" w:hAnsi="Arial" w:cs="Arial"/>
          <w:szCs w:val="24"/>
        </w:rPr>
        <w:t>well-being</w:t>
      </w:r>
      <w:r w:rsidRPr="00AD1DA6">
        <w:rPr>
          <w:rFonts w:ascii="Arial" w:hAnsi="Arial" w:cs="Arial"/>
          <w:szCs w:val="24"/>
        </w:rPr>
        <w:t xml:space="preserve"> of personnel. It also amplifies mistakes and reduces patient safety. Many employees drop out of their jobs due to feeling overworked and </w:t>
      </w:r>
      <w:r w:rsidR="0028248D" w:rsidRPr="00AD1DA6">
        <w:rPr>
          <w:rFonts w:ascii="Arial" w:hAnsi="Arial" w:cs="Arial"/>
          <w:szCs w:val="24"/>
        </w:rPr>
        <w:t>undervalued</w:t>
      </w:r>
      <w:r w:rsidRPr="00AD1DA6">
        <w:rPr>
          <w:rFonts w:ascii="Arial" w:hAnsi="Arial" w:cs="Arial"/>
          <w:szCs w:val="24"/>
        </w:rPr>
        <w:t xml:space="preserve">. Another perspective has defined burnout as a cumulative work- associated strain. In situations where diligence is not paid or appreciated, motivation is lacking. The frustration is further enhanced when the personal values are not aligned with organisational priorities. Eventually, this will lead to </w:t>
      </w:r>
      <w:r w:rsidR="0028248D" w:rsidRPr="00AD1DA6">
        <w:rPr>
          <w:rFonts w:ascii="Arial" w:hAnsi="Arial" w:cs="Arial"/>
          <w:szCs w:val="24"/>
        </w:rPr>
        <w:t xml:space="preserve">a </w:t>
      </w:r>
      <w:r w:rsidRPr="00AD1DA6">
        <w:rPr>
          <w:rFonts w:ascii="Arial" w:hAnsi="Arial" w:cs="Arial"/>
          <w:szCs w:val="24"/>
        </w:rPr>
        <w:t>lack of empathy and disconnection with patients. In practice, burnout is manifested in fatigue, depressed mood, a lack of concentration, and withdrawal of cooperation. To counter this, organisations must relieve workload stress, support leadership, and transform</w:t>
      </w:r>
      <w:r>
        <w:t xml:space="preserve"> working environments into healthy ones </w:t>
      </w:r>
      <w:r w:rsidR="0028248D">
        <w:t>for</w:t>
      </w:r>
      <w:r>
        <w:t xml:space="preserve"> the employees.</w:t>
      </w:r>
    </w:p>
    <w:p w14:paraId="22B0FE66" w14:textId="563187CF" w:rsidR="0042407B" w:rsidRPr="0042407B" w:rsidRDefault="0042407B" w:rsidP="0042407B">
      <w:r w:rsidRPr="0042407B">
        <w:rPr>
          <w:noProof/>
        </w:rPr>
        <w:lastRenderedPageBreak/>
        <w:drawing>
          <wp:inline distT="0" distB="0" distL="0" distR="0" wp14:anchorId="0C75EA7A" wp14:editId="7AEA0EFC">
            <wp:extent cx="5943600" cy="3035935"/>
            <wp:effectExtent l="0" t="0" r="0" b="0"/>
            <wp:docPr id="21221099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3035935"/>
                    </a:xfrm>
                    <a:prstGeom prst="rect">
                      <a:avLst/>
                    </a:prstGeom>
                    <a:noFill/>
                    <a:ln>
                      <a:noFill/>
                    </a:ln>
                  </pic:spPr>
                </pic:pic>
              </a:graphicData>
            </a:graphic>
          </wp:inline>
        </w:drawing>
      </w:r>
    </w:p>
    <w:p w14:paraId="4AB841C4" w14:textId="77777777" w:rsidR="0042407B" w:rsidRDefault="0042407B" w:rsidP="00AD1DA6"/>
    <w:p w14:paraId="65CEF4F4" w14:textId="60DF8B26" w:rsidR="00AF5447" w:rsidRPr="00AF5447" w:rsidRDefault="00AF5447" w:rsidP="00AF5447"/>
    <w:p w14:paraId="0486A7E2" w14:textId="77777777" w:rsidR="00AF5447" w:rsidRDefault="00AF5447" w:rsidP="00AD1DA6"/>
    <w:p w14:paraId="0C67FE4B" w14:textId="77777777" w:rsidR="007C1E9D" w:rsidRDefault="007C1E9D" w:rsidP="00AD1DA6"/>
    <w:p w14:paraId="651348F7" w14:textId="77777777" w:rsidR="007C1E9D" w:rsidRDefault="007C1E9D" w:rsidP="00AD1DA6"/>
    <w:p w14:paraId="4509C68C" w14:textId="77777777" w:rsidR="007C1E9D" w:rsidRDefault="007C1E9D" w:rsidP="00AD1DA6"/>
    <w:p w14:paraId="4950D2DD" w14:textId="77777777" w:rsidR="007C1E9D" w:rsidRDefault="007C1E9D" w:rsidP="00AD1DA6"/>
    <w:p w14:paraId="6E1192A3" w14:textId="77777777" w:rsidR="007C1E9D" w:rsidRDefault="007C1E9D" w:rsidP="00AD1DA6"/>
    <w:p w14:paraId="119CEF92" w14:textId="77777777" w:rsidR="007C1E9D" w:rsidRDefault="007C1E9D" w:rsidP="00AD1DA6"/>
    <w:p w14:paraId="5582E078" w14:textId="77777777" w:rsidR="007C1E9D" w:rsidRDefault="007C1E9D" w:rsidP="00AD1DA6"/>
    <w:p w14:paraId="5986803E" w14:textId="3C19553E" w:rsidR="00875C32" w:rsidRDefault="00875C32" w:rsidP="0028248D">
      <w:pPr>
        <w:pStyle w:val="Heading1"/>
      </w:pPr>
      <w:bookmarkStart w:id="32" w:name="_Toc223086716"/>
      <w:bookmarkStart w:id="33" w:name="_Toc223086996"/>
      <w:bookmarkStart w:id="34" w:name="_Toc223099842"/>
      <w:bookmarkStart w:id="35" w:name="_Toc223127838"/>
      <w:r>
        <w:lastRenderedPageBreak/>
        <w:t>Task 6 -</w:t>
      </w:r>
      <w:r w:rsidR="00C52612">
        <w:t xml:space="preserve"> </w:t>
      </w:r>
      <w:r w:rsidR="00C52612" w:rsidRPr="009C714F">
        <w:t>Exploring Digital Innovation</w:t>
      </w:r>
      <w:bookmarkEnd w:id="32"/>
      <w:bookmarkEnd w:id="33"/>
      <w:bookmarkEnd w:id="34"/>
      <w:bookmarkEnd w:id="35"/>
      <w:r w:rsidR="00C52612" w:rsidRPr="009C714F">
        <w:t xml:space="preserve"> </w:t>
      </w:r>
    </w:p>
    <w:p w14:paraId="5669A97C" w14:textId="78839B6A" w:rsidR="00875C32" w:rsidRPr="00227238" w:rsidRDefault="00C52612" w:rsidP="00227238">
      <w:pPr>
        <w:pStyle w:val="Heading2"/>
      </w:pPr>
      <w:bookmarkStart w:id="36" w:name="_Toc223086717"/>
      <w:bookmarkStart w:id="37" w:name="_Toc223086997"/>
      <w:bookmarkStart w:id="38" w:name="_Toc223099843"/>
      <w:bookmarkStart w:id="39" w:name="_Toc223127839"/>
      <w:r w:rsidRPr="00227238">
        <w:t xml:space="preserve">6.1 </w:t>
      </w:r>
      <w:r w:rsidR="00875C32" w:rsidRPr="00227238">
        <w:t>Wearable Health Technologies</w:t>
      </w:r>
      <w:bookmarkEnd w:id="36"/>
      <w:bookmarkEnd w:id="37"/>
      <w:bookmarkEnd w:id="38"/>
      <w:bookmarkEnd w:id="39"/>
      <w:r w:rsidR="00875C32" w:rsidRPr="00227238">
        <w:t xml:space="preserve"> </w:t>
      </w:r>
    </w:p>
    <w:p w14:paraId="14549E5C" w14:textId="51373F5D" w:rsidR="00875C32" w:rsidRDefault="00124172" w:rsidP="00875C32">
      <w:r>
        <w:t>Health wearables help patients monitor their health on a day-to-day basis. These devices include smartwatches and mini body sensors. They can measure heart rate, blood sugar, sleep patterns and physical activity (Bhati et al., 2023). This information can be used for the early detection of problems among those with long-term conditions. Early diagnosis will lead to faster treatment and reduce the need for hospitalisation. Prevention is also made easier by wearable devices. Patients can also track their improvements and make healthier lifestyle choices. Devices are more convenient; therefore, they will be used daily. Confidence and interest are improved with clear feedback and a simple design. Health providers will be able to access common data to make changes to treatment plans promptly. This improves patient-clinician interaction. Wearable technology fosters health accountability and management.</w:t>
      </w:r>
    </w:p>
    <w:p w14:paraId="35B9474B" w14:textId="63666DB0" w:rsidR="00875C32" w:rsidRDefault="00C52612" w:rsidP="00C52612">
      <w:pPr>
        <w:pStyle w:val="Heading2"/>
      </w:pPr>
      <w:bookmarkStart w:id="40" w:name="_Toc223086718"/>
      <w:bookmarkStart w:id="41" w:name="_Toc223086998"/>
      <w:bookmarkStart w:id="42" w:name="_Toc223099844"/>
      <w:bookmarkStart w:id="43" w:name="_Toc223127840"/>
      <w:r>
        <w:t xml:space="preserve">6.2 </w:t>
      </w:r>
      <w:r w:rsidR="00875C32">
        <w:t>Electronic Health Records</w:t>
      </w:r>
      <w:bookmarkEnd w:id="40"/>
      <w:bookmarkEnd w:id="41"/>
      <w:bookmarkEnd w:id="42"/>
      <w:bookmarkEnd w:id="43"/>
    </w:p>
    <w:p w14:paraId="1FF0D9D8" w14:textId="33A8135C" w:rsidR="00875C32" w:rsidRDefault="00124172" w:rsidP="00875C32">
      <w:r>
        <w:t xml:space="preserve">EHR makes digital records accessible to patients. They replace paper records and allow professionals to access information quickly. Medical history, test results and treatment procedures can be accessed by doctors, nurses and other employees within a single system. This reduces errors and time wastage. Online records would increase communication between medical institutions, general practices, and community services. When information is shared, patient care is better coordinated. It also reduces repetitive tests and delays in treatment decisions. Employees are more at ease with computer systems when they receive training and support. They will be able to adapt to new technology, which is enabled through leadership. Digital records are more efficient in the long term, but change may appear daunting in the short run. Electronic systems also enhance accountability, as information is reported precisely. </w:t>
      </w:r>
    </w:p>
    <w:p w14:paraId="1BDA5FCE" w14:textId="5BF80A50" w:rsidR="00875C32" w:rsidRDefault="00C52612" w:rsidP="00C52612">
      <w:pPr>
        <w:pStyle w:val="Heading2"/>
      </w:pPr>
      <w:bookmarkStart w:id="44" w:name="_Toc223086719"/>
      <w:bookmarkStart w:id="45" w:name="_Toc223086999"/>
      <w:bookmarkStart w:id="46" w:name="_Toc223099845"/>
      <w:bookmarkStart w:id="47" w:name="_Toc223127841"/>
      <w:r>
        <w:t xml:space="preserve">6.3 </w:t>
      </w:r>
      <w:r w:rsidRPr="00C52612">
        <w:t xml:space="preserve">Digital Technology in </w:t>
      </w:r>
      <w:r w:rsidR="0047131D">
        <w:t>Preventive</w:t>
      </w:r>
      <w:r w:rsidRPr="00C52612">
        <w:t xml:space="preserve"> Care</w:t>
      </w:r>
      <w:bookmarkEnd w:id="44"/>
      <w:bookmarkEnd w:id="45"/>
      <w:bookmarkEnd w:id="46"/>
      <w:bookmarkEnd w:id="47"/>
      <w:r w:rsidRPr="00C52612">
        <w:t xml:space="preserve"> </w:t>
      </w:r>
    </w:p>
    <w:p w14:paraId="3441C37B" w14:textId="2EB3DE55" w:rsidR="00875C32" w:rsidRDefault="00875C32" w:rsidP="00875C32">
      <w:r>
        <w:t xml:space="preserve">Digital tools may contribute to prevention by helping people take care of their health before </w:t>
      </w:r>
      <w:r w:rsidR="001361C6">
        <w:t>emergencies</w:t>
      </w:r>
      <w:r>
        <w:t xml:space="preserve"> arise. The mobile phone health apps track the activity, diet and medication habits. The instruments encourage </w:t>
      </w:r>
      <w:r w:rsidR="0028248D">
        <w:t xml:space="preserve">a </w:t>
      </w:r>
      <w:r>
        <w:t xml:space="preserve">healthy lifestyle and increase risk awareness. Patients who are informed about their health status make better choices. Predictive systems </w:t>
      </w:r>
      <w:proofErr w:type="gramStart"/>
      <w:r>
        <w:t>are able to</w:t>
      </w:r>
      <w:proofErr w:type="gramEnd"/>
      <w:r>
        <w:t xml:space="preserve"> identify risky patients even prior to admission to a hospital</w:t>
      </w:r>
      <w:r w:rsidR="0001744F">
        <w:t xml:space="preserve"> </w:t>
      </w:r>
      <w:r w:rsidR="0001744F" w:rsidRPr="0001744F">
        <w:t>(Linnik et al., 2023)</w:t>
      </w:r>
      <w:r>
        <w:t xml:space="preserve">. The initial support is then </w:t>
      </w:r>
      <w:r>
        <w:lastRenderedPageBreak/>
        <w:t xml:space="preserve">possible. Remote consultation also improves access </w:t>
      </w:r>
      <w:r w:rsidR="0028248D">
        <w:t>for</w:t>
      </w:r>
      <w:r>
        <w:t xml:space="preserve"> those individuals who are far away </w:t>
      </w:r>
      <w:r w:rsidR="0028248D">
        <w:t>from</w:t>
      </w:r>
      <w:r>
        <w:t xml:space="preserve"> services. It makes the time of traveling to be less</w:t>
      </w:r>
      <w:r w:rsidR="001361C6">
        <w:t>,</w:t>
      </w:r>
      <w:r>
        <w:t xml:space="preserve"> and the convenience </w:t>
      </w:r>
      <w:r w:rsidR="001361C6">
        <w:t>shifts</w:t>
      </w:r>
      <w:r>
        <w:t xml:space="preserve"> to a higher level. Preventive digital care </w:t>
      </w:r>
      <w:r w:rsidR="007C1E9D">
        <w:t>costs save</w:t>
      </w:r>
      <w:r>
        <w:t xml:space="preserve"> in the long-term treatment. It also improves the overall population health. Digital prevention plans also help to enhance equality by increasing access to health information and screening. </w:t>
      </w:r>
    </w:p>
    <w:p w14:paraId="7003AA0A" w14:textId="7BBA1CDC" w:rsidR="000D38AE" w:rsidRPr="000D38AE" w:rsidRDefault="000D38AE" w:rsidP="000D38AE">
      <w:r w:rsidRPr="000D38AE">
        <w:rPr>
          <w:noProof/>
        </w:rPr>
        <w:drawing>
          <wp:inline distT="0" distB="0" distL="0" distR="0" wp14:anchorId="523FAE04" wp14:editId="150617DC">
            <wp:extent cx="5943600" cy="5826760"/>
            <wp:effectExtent l="0" t="0" r="0" b="2540"/>
            <wp:docPr id="129129089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5826760"/>
                    </a:xfrm>
                    <a:prstGeom prst="rect">
                      <a:avLst/>
                    </a:prstGeom>
                    <a:noFill/>
                    <a:ln>
                      <a:noFill/>
                    </a:ln>
                  </pic:spPr>
                </pic:pic>
              </a:graphicData>
            </a:graphic>
          </wp:inline>
        </w:drawing>
      </w:r>
    </w:p>
    <w:p w14:paraId="6CD931ED" w14:textId="77777777" w:rsidR="007C1E9D" w:rsidRDefault="007C1E9D" w:rsidP="00875C32"/>
    <w:p w14:paraId="3AC0E143" w14:textId="77777777" w:rsidR="007C1E9D" w:rsidRDefault="007C1E9D" w:rsidP="00875C32"/>
    <w:p w14:paraId="28207037" w14:textId="5883E857" w:rsidR="00EF29D8" w:rsidRDefault="00EF29D8" w:rsidP="00C52612">
      <w:pPr>
        <w:pStyle w:val="Heading1"/>
      </w:pPr>
      <w:bookmarkStart w:id="48" w:name="_Toc223086720"/>
      <w:bookmarkStart w:id="49" w:name="_Toc223087000"/>
      <w:bookmarkStart w:id="50" w:name="_Toc223099846"/>
      <w:bookmarkStart w:id="51" w:name="_Toc223127842"/>
      <w:r>
        <w:lastRenderedPageBreak/>
        <w:t>Task 7 -NHS Leadership Framework</w:t>
      </w:r>
      <w:bookmarkEnd w:id="48"/>
      <w:bookmarkEnd w:id="49"/>
      <w:bookmarkEnd w:id="50"/>
      <w:bookmarkEnd w:id="51"/>
      <w:r>
        <w:t xml:space="preserve"> </w:t>
      </w:r>
    </w:p>
    <w:p w14:paraId="3B729A56" w14:textId="54C0E6AF" w:rsidR="00EF29D8" w:rsidRDefault="00EF29D8" w:rsidP="00EF29D8">
      <w:pPr>
        <w:rPr>
          <w:rFonts w:ascii="Arial" w:hAnsi="Arial" w:cs="Arial"/>
        </w:rPr>
      </w:pPr>
      <w:r w:rsidRPr="00D15F29">
        <w:rPr>
          <w:rFonts w:ascii="Arial" w:hAnsi="Arial" w:cs="Arial"/>
        </w:rPr>
        <w:t xml:space="preserve">The NHS Leadership Framework explains the behaviour needed to deliver high-quality and safe care. It shows that the senior managers are not the sole ones who can be leaders. Every member of staff can exercise leadership on a </w:t>
      </w:r>
      <w:r w:rsidR="00C52612" w:rsidRPr="00D15F29">
        <w:rPr>
          <w:rFonts w:ascii="Arial" w:hAnsi="Arial" w:cs="Arial"/>
        </w:rPr>
        <w:t>day-to-day</w:t>
      </w:r>
      <w:r w:rsidRPr="00D15F29">
        <w:rPr>
          <w:rFonts w:ascii="Arial" w:hAnsi="Arial" w:cs="Arial"/>
        </w:rPr>
        <w:t xml:space="preserve"> basis. Its framework is caring ahead, developing shared mission, evaluating knowledge, working in teams and improving services</w:t>
      </w:r>
      <w:r w:rsidR="0001744F" w:rsidRPr="00D15F29">
        <w:rPr>
          <w:rFonts w:ascii="Arial" w:hAnsi="Arial" w:cs="Arial"/>
        </w:rPr>
        <w:t xml:space="preserve"> (Gibb et al., 2024)</w:t>
      </w:r>
      <w:r w:rsidRPr="00D15F29">
        <w:rPr>
          <w:rFonts w:ascii="Arial" w:hAnsi="Arial" w:cs="Arial"/>
        </w:rPr>
        <w:t xml:space="preserve">. Leadership has a direct impact on the </w:t>
      </w:r>
      <w:r w:rsidR="0028248D" w:rsidRPr="00D15F29">
        <w:rPr>
          <w:rFonts w:ascii="Arial" w:hAnsi="Arial" w:cs="Arial"/>
        </w:rPr>
        <w:t>well-being</w:t>
      </w:r>
      <w:r w:rsidRPr="00D15F29">
        <w:rPr>
          <w:rFonts w:ascii="Arial" w:hAnsi="Arial" w:cs="Arial"/>
        </w:rPr>
        <w:t xml:space="preserve"> of staff and patient safety. Positive workplace culture also </w:t>
      </w:r>
      <w:r w:rsidR="0028248D" w:rsidRPr="00D15F29">
        <w:rPr>
          <w:rFonts w:ascii="Arial" w:hAnsi="Arial" w:cs="Arial"/>
        </w:rPr>
        <w:t>minimises</w:t>
      </w:r>
      <w:r w:rsidRPr="00D15F29">
        <w:rPr>
          <w:rFonts w:ascii="Arial" w:hAnsi="Arial" w:cs="Arial"/>
        </w:rPr>
        <w:t xml:space="preserve"> burnout. Honest and open communication is more effective in teams.  The managers need to encourage harmony and collective responsibility. Openness and honesty create trust in organisations. Being responsive and listening helps leaders to form better working relationships. One of the influential behaviours is inspiring shared purpose. The leaders will be expected to explain why change is necessary and how it will be useful to patients. They will also be more motivated by knowing the rewards of improvement. Good leadership is leadership full of compassion and </w:t>
      </w:r>
      <w:r w:rsidR="001361C6" w:rsidRPr="00D15F29">
        <w:rPr>
          <w:rFonts w:ascii="Arial" w:hAnsi="Arial" w:cs="Arial"/>
        </w:rPr>
        <w:t>firmness</w:t>
      </w:r>
      <w:r w:rsidRPr="00D15F29">
        <w:rPr>
          <w:rFonts w:ascii="Arial" w:hAnsi="Arial" w:cs="Arial"/>
        </w:rPr>
        <w:t>. By encouraging employees and a culture of cooperation, leaders create an environment in which improvement and innovation will most likely succeed.</w:t>
      </w:r>
      <w:r w:rsidR="00664793">
        <w:rPr>
          <w:rFonts w:ascii="Arial" w:hAnsi="Arial" w:cs="Arial"/>
        </w:rPr>
        <w:t xml:space="preserve"> </w:t>
      </w:r>
    </w:p>
    <w:p w14:paraId="424EBC60" w14:textId="1811ED59" w:rsidR="00875A19" w:rsidRPr="00875A19" w:rsidRDefault="00875A19" w:rsidP="00875A19">
      <w:pPr>
        <w:rPr>
          <w:rFonts w:ascii="Arial" w:hAnsi="Arial" w:cs="Arial"/>
        </w:rPr>
      </w:pPr>
      <w:r w:rsidRPr="00875A19">
        <w:rPr>
          <w:rFonts w:ascii="Arial" w:hAnsi="Arial" w:cs="Arial"/>
          <w:noProof/>
        </w:rPr>
        <w:lastRenderedPageBreak/>
        <w:drawing>
          <wp:inline distT="0" distB="0" distL="0" distR="0" wp14:anchorId="264F1113" wp14:editId="1B80C742">
            <wp:extent cx="5943600" cy="6545580"/>
            <wp:effectExtent l="0" t="0" r="0" b="7620"/>
            <wp:docPr id="194021305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6545580"/>
                    </a:xfrm>
                    <a:prstGeom prst="rect">
                      <a:avLst/>
                    </a:prstGeom>
                    <a:noFill/>
                    <a:ln>
                      <a:noFill/>
                    </a:ln>
                  </pic:spPr>
                </pic:pic>
              </a:graphicData>
            </a:graphic>
          </wp:inline>
        </w:drawing>
      </w:r>
    </w:p>
    <w:p w14:paraId="64988ADA" w14:textId="77777777" w:rsidR="00875A19" w:rsidRPr="00D15F29" w:rsidRDefault="00875A19" w:rsidP="00EF29D8">
      <w:pPr>
        <w:rPr>
          <w:rFonts w:ascii="Arial" w:hAnsi="Arial" w:cs="Arial"/>
        </w:rPr>
      </w:pPr>
    </w:p>
    <w:p w14:paraId="6BE3CBBB" w14:textId="77777777" w:rsidR="0006690C" w:rsidRPr="00D15F29" w:rsidRDefault="0006690C" w:rsidP="00EF29D8">
      <w:pPr>
        <w:rPr>
          <w:rFonts w:ascii="Arial" w:hAnsi="Arial" w:cs="Arial"/>
        </w:rPr>
      </w:pPr>
    </w:p>
    <w:p w14:paraId="20869AB9" w14:textId="77777777" w:rsidR="0006690C" w:rsidRDefault="0006690C" w:rsidP="00EF29D8"/>
    <w:p w14:paraId="4843C601" w14:textId="77777777" w:rsidR="0006690C" w:rsidRDefault="0006690C" w:rsidP="00EF29D8"/>
    <w:p w14:paraId="716FC977" w14:textId="7ECA6822" w:rsidR="00EF29D8" w:rsidRDefault="00EF29D8" w:rsidP="00C52612">
      <w:pPr>
        <w:pStyle w:val="Heading1"/>
      </w:pPr>
      <w:bookmarkStart w:id="52" w:name="_Toc223086721"/>
      <w:bookmarkStart w:id="53" w:name="_Toc223087001"/>
      <w:bookmarkStart w:id="54" w:name="_Toc223099847"/>
      <w:bookmarkStart w:id="55" w:name="_Toc223127843"/>
      <w:r>
        <w:lastRenderedPageBreak/>
        <w:t xml:space="preserve">Task 8 </w:t>
      </w:r>
      <w:r w:rsidR="00466FBD" w:rsidRPr="00466FBD">
        <w:t>–</w:t>
      </w:r>
      <w:r>
        <w:t>Self-reflection Journal Entry</w:t>
      </w:r>
      <w:bookmarkEnd w:id="52"/>
      <w:bookmarkEnd w:id="53"/>
      <w:bookmarkEnd w:id="54"/>
      <w:bookmarkEnd w:id="55"/>
    </w:p>
    <w:p w14:paraId="17638E25" w14:textId="1147A86E" w:rsidR="00EF29D8" w:rsidRDefault="00EF29D8" w:rsidP="00EF29D8">
      <w:r w:rsidRPr="00D15F29">
        <w:rPr>
          <w:rFonts w:ascii="Arial" w:hAnsi="Arial" w:cs="Arial"/>
        </w:rPr>
        <w:t>This module helped me alter my view of healthcare creativity. Previously</w:t>
      </w:r>
      <w:r w:rsidR="0028248D" w:rsidRPr="00D15F29">
        <w:rPr>
          <w:rFonts w:ascii="Arial" w:hAnsi="Arial" w:cs="Arial"/>
        </w:rPr>
        <w:t>,</w:t>
      </w:r>
      <w:r w:rsidRPr="00D15F29">
        <w:rPr>
          <w:rFonts w:ascii="Arial" w:hAnsi="Arial" w:cs="Arial"/>
        </w:rPr>
        <w:t xml:space="preserve"> my definition of creativity used to be limited </w:t>
      </w:r>
      <w:r w:rsidR="0028248D" w:rsidRPr="00D15F29">
        <w:rPr>
          <w:rFonts w:ascii="Arial" w:hAnsi="Arial" w:cs="Arial"/>
        </w:rPr>
        <w:t>to</w:t>
      </w:r>
      <w:r w:rsidRPr="00D15F29">
        <w:rPr>
          <w:rFonts w:ascii="Arial" w:hAnsi="Arial" w:cs="Arial"/>
        </w:rPr>
        <w:t xml:space="preserve"> art or design. It now seems to me to be a practical problem-solving of complex systems</w:t>
      </w:r>
      <w:r w:rsidR="001361C6" w:rsidRPr="00D15F29">
        <w:rPr>
          <w:rFonts w:ascii="Arial" w:hAnsi="Arial" w:cs="Arial"/>
        </w:rPr>
        <w:t xml:space="preserve"> (Hawley, 2022)</w:t>
      </w:r>
      <w:r w:rsidRPr="00D15F29">
        <w:rPr>
          <w:rFonts w:ascii="Arial" w:hAnsi="Arial" w:cs="Arial"/>
        </w:rPr>
        <w:t xml:space="preserve">. Group discussions and mind mapping were the activities that helped me become more open-minded regarding solutions. I also learned that innovation must contribute to </w:t>
      </w:r>
      <w:r w:rsidR="001361C6" w:rsidRPr="00D15F29">
        <w:rPr>
          <w:rFonts w:ascii="Arial" w:hAnsi="Arial" w:cs="Arial"/>
        </w:rPr>
        <w:t xml:space="preserve">the </w:t>
      </w:r>
      <w:r w:rsidRPr="00D15F29">
        <w:rPr>
          <w:rFonts w:ascii="Arial" w:hAnsi="Arial" w:cs="Arial"/>
        </w:rPr>
        <w:t xml:space="preserve">improvement of results and that </w:t>
      </w:r>
      <w:r w:rsidR="001361C6" w:rsidRPr="00D15F29">
        <w:rPr>
          <w:rFonts w:ascii="Arial" w:hAnsi="Arial" w:cs="Arial"/>
        </w:rPr>
        <w:t>resource</w:t>
      </w:r>
      <w:r w:rsidRPr="00D15F29">
        <w:rPr>
          <w:rFonts w:ascii="Arial" w:hAnsi="Arial" w:cs="Arial"/>
        </w:rPr>
        <w:t xml:space="preserve"> use must be prudent. Technology does not create value on its own. Leadership and </w:t>
      </w:r>
      <w:r w:rsidR="0028248D" w:rsidRPr="00D15F29">
        <w:rPr>
          <w:rFonts w:ascii="Arial" w:hAnsi="Arial" w:cs="Arial"/>
        </w:rPr>
        <w:t>teamwork are</w:t>
      </w:r>
      <w:r w:rsidRPr="00D15F29">
        <w:rPr>
          <w:rFonts w:ascii="Arial" w:hAnsi="Arial" w:cs="Arial"/>
        </w:rPr>
        <w:t xml:space="preserve"> also important in successful change.  Reflection made me realise that I prefer analysing ideas first rather than building </w:t>
      </w:r>
      <w:r w:rsidR="0028248D" w:rsidRPr="00D15F29">
        <w:rPr>
          <w:rFonts w:ascii="Arial" w:hAnsi="Arial" w:cs="Arial"/>
        </w:rPr>
        <w:t>several</w:t>
      </w:r>
      <w:r w:rsidRPr="00D15F29">
        <w:rPr>
          <w:rFonts w:ascii="Arial" w:hAnsi="Arial" w:cs="Arial"/>
        </w:rPr>
        <w:t xml:space="preserve"> options first. </w:t>
      </w:r>
      <w:r w:rsidR="00591F93" w:rsidRPr="00D15F29">
        <w:rPr>
          <w:rFonts w:ascii="Arial" w:hAnsi="Arial" w:cs="Arial"/>
        </w:rPr>
        <w:t>T</w:t>
      </w:r>
      <w:r w:rsidRPr="00D15F29">
        <w:rPr>
          <w:rFonts w:ascii="Arial" w:hAnsi="Arial" w:cs="Arial"/>
        </w:rPr>
        <w:t xml:space="preserve">he brainstorming stages will also be more useful to me in future. I will also strive to reserve </w:t>
      </w:r>
      <w:r w:rsidR="0028248D" w:rsidRPr="00D15F29">
        <w:rPr>
          <w:rFonts w:ascii="Arial" w:hAnsi="Arial" w:cs="Arial"/>
        </w:rPr>
        <w:t>judgment</w:t>
      </w:r>
      <w:r w:rsidRPr="00D15F29">
        <w:rPr>
          <w:rFonts w:ascii="Arial" w:hAnsi="Arial" w:cs="Arial"/>
        </w:rPr>
        <w:t xml:space="preserve"> and will hold on to an idea. The module increased my </w:t>
      </w:r>
      <w:r w:rsidR="0028248D" w:rsidRPr="00D15F29">
        <w:rPr>
          <w:rFonts w:ascii="Arial" w:hAnsi="Arial" w:cs="Arial"/>
        </w:rPr>
        <w:t>teamwork</w:t>
      </w:r>
      <w:r w:rsidRPr="00D15F29">
        <w:rPr>
          <w:rFonts w:ascii="Arial" w:hAnsi="Arial" w:cs="Arial"/>
        </w:rPr>
        <w:t xml:space="preserve"> and confidence. It also strengthened my faith in the patient-centred improvement of health and social care practice</w:t>
      </w:r>
      <w:r>
        <w:t>.</w:t>
      </w:r>
    </w:p>
    <w:p w14:paraId="6B8C1AFB" w14:textId="32C200BB" w:rsidR="006618C0" w:rsidRPr="006618C0" w:rsidRDefault="006618C0" w:rsidP="006618C0">
      <w:r w:rsidRPr="006618C0">
        <w:rPr>
          <w:noProof/>
        </w:rPr>
        <w:drawing>
          <wp:inline distT="0" distB="0" distL="0" distR="0" wp14:anchorId="6940871C" wp14:editId="4461042D">
            <wp:extent cx="5943600" cy="2953385"/>
            <wp:effectExtent l="0" t="0" r="0" b="0"/>
            <wp:docPr id="15220459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43600" cy="2953385"/>
                    </a:xfrm>
                    <a:prstGeom prst="rect">
                      <a:avLst/>
                    </a:prstGeom>
                    <a:noFill/>
                    <a:ln>
                      <a:noFill/>
                    </a:ln>
                  </pic:spPr>
                </pic:pic>
              </a:graphicData>
            </a:graphic>
          </wp:inline>
        </w:drawing>
      </w:r>
    </w:p>
    <w:p w14:paraId="031879C7" w14:textId="77777777" w:rsidR="0006690C" w:rsidRDefault="0006690C" w:rsidP="00EF29D8"/>
    <w:p w14:paraId="013451EE" w14:textId="77777777" w:rsidR="0006690C" w:rsidRDefault="0006690C" w:rsidP="00EF29D8"/>
    <w:p w14:paraId="2E928C90" w14:textId="77777777" w:rsidR="00D15F29" w:rsidRDefault="00D15F29" w:rsidP="00EF29D8"/>
    <w:p w14:paraId="795D7AFE" w14:textId="1389438C" w:rsidR="00EF29D8" w:rsidRDefault="00EF29D8" w:rsidP="00C52612">
      <w:pPr>
        <w:pStyle w:val="Heading1"/>
      </w:pPr>
      <w:bookmarkStart w:id="56" w:name="_Toc223086722"/>
      <w:bookmarkStart w:id="57" w:name="_Toc223087002"/>
      <w:bookmarkStart w:id="58" w:name="_Toc223099848"/>
      <w:bookmarkStart w:id="59" w:name="_Toc223127844"/>
      <w:r>
        <w:lastRenderedPageBreak/>
        <w:t>Conclusion</w:t>
      </w:r>
      <w:bookmarkEnd w:id="56"/>
      <w:bookmarkEnd w:id="57"/>
      <w:bookmarkEnd w:id="58"/>
      <w:bookmarkEnd w:id="59"/>
    </w:p>
    <w:p w14:paraId="063BB805" w14:textId="1A920EA3" w:rsidR="0028248D" w:rsidRDefault="00C52612" w:rsidP="00591F93">
      <w:r>
        <w:t>In conclusion, t</w:t>
      </w:r>
      <w:r w:rsidR="00EF29D8">
        <w:t>his portfolio shows that I am aware of innovation, creativity, leadership, and value creation in health and social care. Everything applied theory in solving real healthcare problems</w:t>
      </w:r>
      <w:r w:rsidR="001361C6">
        <w:t xml:space="preserve"> (</w:t>
      </w:r>
      <w:r w:rsidR="001361C6" w:rsidRPr="001361C6">
        <w:t>Ryan</w:t>
      </w:r>
      <w:r w:rsidR="001361C6">
        <w:t xml:space="preserve"> et al., </w:t>
      </w:r>
      <w:r w:rsidR="001361C6" w:rsidRPr="001361C6">
        <w:t>2025)</w:t>
      </w:r>
      <w:r w:rsidR="00EF29D8">
        <w:t xml:space="preserve">. I discussed the issues of staff burnout, digital innovation, and leadership behaviours using good examples. The reflection processes helped me to understand my strong and weak points. The portfolio further indicates that I can connect concepts and real-life responses. It shows that systems of healthcare require an innovative approach and efficient leadership to improve. Overall, this learning experience has helped me to feel more confident and professionally aware. I am better prepared to bring innovation and service improvement </w:t>
      </w:r>
      <w:r w:rsidR="0028248D">
        <w:t>to</w:t>
      </w:r>
      <w:r w:rsidR="00EF29D8">
        <w:t xml:space="preserve"> my upcoming health and social care practice.</w:t>
      </w:r>
    </w:p>
    <w:p w14:paraId="471EFCCE" w14:textId="77777777" w:rsidR="00227238" w:rsidRDefault="00227238">
      <w:pPr>
        <w:spacing w:before="0" w:after="160" w:line="259" w:lineRule="auto"/>
        <w:jc w:val="left"/>
        <w:rPr>
          <w:rFonts w:eastAsiaTheme="majorEastAsia" w:cstheme="majorBidi"/>
          <w:b/>
          <w:sz w:val="32"/>
          <w:szCs w:val="32"/>
        </w:rPr>
      </w:pPr>
      <w:bookmarkStart w:id="60" w:name="_Toc223086723"/>
      <w:bookmarkStart w:id="61" w:name="_Toc223087003"/>
      <w:bookmarkStart w:id="62" w:name="_Toc223099849"/>
      <w:r>
        <w:br w:type="page"/>
      </w:r>
    </w:p>
    <w:p w14:paraId="7F306AF4" w14:textId="0F1F8431" w:rsidR="00875C32" w:rsidRDefault="0028248D" w:rsidP="0028248D">
      <w:pPr>
        <w:pStyle w:val="Heading1"/>
      </w:pPr>
      <w:bookmarkStart w:id="63" w:name="_Toc223127845"/>
      <w:r>
        <w:lastRenderedPageBreak/>
        <w:t>References</w:t>
      </w:r>
      <w:bookmarkEnd w:id="60"/>
      <w:bookmarkEnd w:id="61"/>
      <w:bookmarkEnd w:id="62"/>
      <w:bookmarkEnd w:id="63"/>
    </w:p>
    <w:p w14:paraId="41B3E30B" w14:textId="72BFB479" w:rsidR="001361C6" w:rsidRDefault="00DA7215" w:rsidP="0028248D">
      <w:r w:rsidRPr="0001744F">
        <w:t>Adegbile</w:t>
      </w:r>
      <w:r w:rsidR="001361C6" w:rsidRPr="0001744F">
        <w:t xml:space="preserve">, M. D., </w:t>
      </w:r>
      <w:r w:rsidR="00C203E8" w:rsidRPr="0001744F">
        <w:t>Olaoye</w:t>
      </w:r>
      <w:r w:rsidR="001361C6" w:rsidRPr="0001744F">
        <w:t>, J. A., Maha, C. C., &amp; Tamunobarafiri, G. J. W. J. B. P. H. S. (2024). Integrating business analytics in healthcare: Enhancing patient outcomes through data-driven decision making. </w:t>
      </w:r>
      <w:r w:rsidR="001361C6" w:rsidRPr="0001744F">
        <w:rPr>
          <w:i/>
          <w:iCs/>
        </w:rPr>
        <w:t xml:space="preserve">World J </w:t>
      </w:r>
      <w:r w:rsidR="008D2195" w:rsidRPr="0001744F">
        <w:rPr>
          <w:i/>
          <w:iCs/>
        </w:rPr>
        <w:t>Boil</w:t>
      </w:r>
      <w:r w:rsidR="001361C6" w:rsidRPr="0001744F">
        <w:rPr>
          <w:i/>
          <w:iCs/>
        </w:rPr>
        <w:t xml:space="preserve"> Pharm Health Sci</w:t>
      </w:r>
      <w:r w:rsidR="001361C6" w:rsidRPr="0001744F">
        <w:t>, </w:t>
      </w:r>
      <w:r w:rsidR="001361C6" w:rsidRPr="0001744F">
        <w:rPr>
          <w:i/>
          <w:iCs/>
        </w:rPr>
        <w:t>19</w:t>
      </w:r>
      <w:r w:rsidR="001361C6" w:rsidRPr="0001744F">
        <w:t>(1), 243-250.</w:t>
      </w:r>
    </w:p>
    <w:p w14:paraId="2D1A0479" w14:textId="7A165644" w:rsidR="001361C6" w:rsidRDefault="001361C6" w:rsidP="0028248D">
      <w:r w:rsidRPr="0028248D">
        <w:t xml:space="preserve">Barr, T. L., &amp; </w:t>
      </w:r>
      <w:r w:rsidR="008D2195" w:rsidRPr="0028248D">
        <w:t>Nathanson</w:t>
      </w:r>
      <w:r w:rsidRPr="0028248D">
        <w:t>, S. L. (2022). A holistic transcendental leadership model for enhancing innovation, creativity and well-being in health care. </w:t>
      </w:r>
      <w:r w:rsidRPr="0028248D">
        <w:rPr>
          <w:i/>
          <w:iCs/>
        </w:rPr>
        <w:t>Journal of Holistic Nursing</w:t>
      </w:r>
      <w:r w:rsidRPr="0028248D">
        <w:t>, </w:t>
      </w:r>
      <w:r w:rsidRPr="0028248D">
        <w:rPr>
          <w:i/>
          <w:iCs/>
        </w:rPr>
        <w:t>40</w:t>
      </w:r>
      <w:r w:rsidRPr="0028248D">
        <w:t>(2), 157-168.</w:t>
      </w:r>
    </w:p>
    <w:p w14:paraId="5A2A69E0" w14:textId="669E2DC8" w:rsidR="001361C6" w:rsidRDefault="001361C6" w:rsidP="0028248D">
      <w:r w:rsidRPr="0001744F">
        <w:t xml:space="preserve">Bhati, D., Deogade, M. S., &amp; </w:t>
      </w:r>
      <w:r w:rsidR="008D2195" w:rsidRPr="0001744F">
        <w:t>Kanya</w:t>
      </w:r>
      <w:r w:rsidRPr="0001744F">
        <w:t>, D. (2023). Improving patient outcomes through effective hospital administration: a comprehensive review. </w:t>
      </w:r>
      <w:r w:rsidRPr="0001744F">
        <w:rPr>
          <w:i/>
          <w:iCs/>
        </w:rPr>
        <w:t>Cureus</w:t>
      </w:r>
      <w:r w:rsidRPr="0001744F">
        <w:t>, </w:t>
      </w:r>
      <w:r w:rsidRPr="0001744F">
        <w:rPr>
          <w:i/>
          <w:iCs/>
        </w:rPr>
        <w:t>15</w:t>
      </w:r>
      <w:r w:rsidRPr="0001744F">
        <w:t>(10), e47731.</w:t>
      </w:r>
    </w:p>
    <w:p w14:paraId="282CA100" w14:textId="2A7920C9" w:rsidR="001361C6" w:rsidRDefault="008D2195" w:rsidP="0028248D">
      <w:r w:rsidRPr="0028248D">
        <w:t>Nahoko</w:t>
      </w:r>
      <w:r w:rsidR="001361C6" w:rsidRPr="0028248D">
        <w:t xml:space="preserve">, A., </w:t>
      </w:r>
      <w:r w:rsidRPr="0028248D">
        <w:t>Osun Laja</w:t>
      </w:r>
      <w:r w:rsidR="001361C6" w:rsidRPr="0028248D">
        <w:t>, O., Maha, C. C., Kolawole, T. O., &amp; Abdul, S. (2024). Reviewing healthcare quality improvement initiatives: Best practices in management and leadership. </w:t>
      </w:r>
      <w:r w:rsidR="001361C6" w:rsidRPr="0028248D">
        <w:rPr>
          <w:i/>
          <w:iCs/>
        </w:rPr>
        <w:t>International Journal of Management &amp; Entrepreneurship Research</w:t>
      </w:r>
      <w:r w:rsidR="001361C6" w:rsidRPr="0028248D">
        <w:t>, </w:t>
      </w:r>
      <w:r w:rsidR="001361C6" w:rsidRPr="0028248D">
        <w:rPr>
          <w:i/>
          <w:iCs/>
        </w:rPr>
        <w:t>6</w:t>
      </w:r>
      <w:r w:rsidR="001361C6" w:rsidRPr="0028248D">
        <w:t>(6), 1869-1884.</w:t>
      </w:r>
    </w:p>
    <w:p w14:paraId="532942AF" w14:textId="7B325CB1" w:rsidR="001361C6" w:rsidRPr="0028248D" w:rsidRDefault="001361C6" w:rsidP="0028248D">
      <w:r w:rsidRPr="0001744F">
        <w:t xml:space="preserve">Gibb, S., </w:t>
      </w:r>
      <w:r w:rsidR="008D2195" w:rsidRPr="0001744F">
        <w:t>Mashhour</w:t>
      </w:r>
      <w:r w:rsidRPr="0001744F">
        <w:t>, A., Hendry, A., Webb, A., &amp; Rainey, H. (2024). Culture, Leadership, and Integration (CLI) in the Development of the National Care Service</w:t>
      </w:r>
      <w:r>
        <w:t>:</w:t>
      </w:r>
      <w:r w:rsidRPr="0001744F">
        <w:t xml:space="preserve"> A Journey to ‘We Are the NCS’?</w:t>
      </w:r>
    </w:p>
    <w:p w14:paraId="70F00A90" w14:textId="37C73627" w:rsidR="001361C6" w:rsidRDefault="001361C6" w:rsidP="0028248D">
      <w:r w:rsidRPr="0028248D">
        <w:t xml:space="preserve">Giuliano, K. K., Sup IV, F. C., Benjamin, E., &amp; </w:t>
      </w:r>
      <w:r w:rsidR="008D2195" w:rsidRPr="0028248D">
        <w:t>Krishnamurthy</w:t>
      </w:r>
      <w:r w:rsidRPr="0028248D">
        <w:t xml:space="preserve">, S. (2022). Innovate: preparing nurses to be </w:t>
      </w:r>
      <w:r w:rsidR="008D2195">
        <w:t>healthcare</w:t>
      </w:r>
      <w:r w:rsidRPr="0028248D">
        <w:t xml:space="preserve"> innovation leaders. </w:t>
      </w:r>
      <w:r w:rsidRPr="0028248D">
        <w:rPr>
          <w:i/>
          <w:iCs/>
        </w:rPr>
        <w:t>Nursing administration quarterly</w:t>
      </w:r>
      <w:r w:rsidRPr="0028248D">
        <w:t>, </w:t>
      </w:r>
      <w:r w:rsidRPr="0028248D">
        <w:rPr>
          <w:i/>
          <w:iCs/>
        </w:rPr>
        <w:t>46</w:t>
      </w:r>
      <w:r w:rsidRPr="0028248D">
        <w:t>(3), 255-265.</w:t>
      </w:r>
    </w:p>
    <w:p w14:paraId="43D23218" w14:textId="749244AC" w:rsidR="001361C6" w:rsidRDefault="008D2195" w:rsidP="0028248D">
      <w:r w:rsidRPr="0028248D">
        <w:t>Alemtuzumab</w:t>
      </w:r>
      <w:r w:rsidR="001361C6" w:rsidRPr="0028248D">
        <w:t>, M. (2022). Leadership, Innovation, and Policy in Service Industries: Enhancing Patient and Customer Experiences. </w:t>
      </w:r>
      <w:r w:rsidR="001361C6" w:rsidRPr="0028248D">
        <w:rPr>
          <w:i/>
          <w:iCs/>
        </w:rPr>
        <w:t>Business and Social Sciences</w:t>
      </w:r>
      <w:r w:rsidR="001361C6" w:rsidRPr="0028248D">
        <w:t>, </w:t>
      </w:r>
      <w:r w:rsidR="001361C6" w:rsidRPr="0028248D">
        <w:rPr>
          <w:i/>
          <w:iCs/>
        </w:rPr>
        <w:t>1</w:t>
      </w:r>
      <w:r w:rsidR="001361C6" w:rsidRPr="0028248D">
        <w:t>(1), 1-9.</w:t>
      </w:r>
    </w:p>
    <w:p w14:paraId="71D89F41" w14:textId="77777777" w:rsidR="001361C6" w:rsidRDefault="001361C6" w:rsidP="0028248D">
      <w:r w:rsidRPr="001361C6">
        <w:t>Hawley, R. (2022). </w:t>
      </w:r>
      <w:r w:rsidRPr="001361C6">
        <w:rPr>
          <w:i/>
          <w:iCs/>
        </w:rPr>
        <w:t>Relational Leadership in the NHS: how healthcare leaders identify with public engagement</w:t>
      </w:r>
      <w:r w:rsidRPr="001361C6">
        <w:t> (Doctoral dissertation, Sheffield Hallam University).</w:t>
      </w:r>
    </w:p>
    <w:p w14:paraId="1E6266F8" w14:textId="6965E5F5" w:rsidR="001361C6" w:rsidRDefault="001361C6" w:rsidP="0028248D">
      <w:r w:rsidRPr="0028248D">
        <w:t xml:space="preserve">Hussain, A., Umair, M., Khan, S., </w:t>
      </w:r>
      <w:r w:rsidR="008D2195" w:rsidRPr="0028248D">
        <w:t>Alonza</w:t>
      </w:r>
      <w:r w:rsidRPr="0028248D">
        <w:t>, W. B., Almutairi, S. S., &amp; Malik, A. (2024). Exploring sustainable healthcare: innovations in health economics, social policy, and management. </w:t>
      </w:r>
      <w:r w:rsidR="008D2195" w:rsidRPr="0028248D">
        <w:rPr>
          <w:i/>
          <w:iCs/>
        </w:rPr>
        <w:t>Helion</w:t>
      </w:r>
      <w:r w:rsidRPr="0028248D">
        <w:t>, </w:t>
      </w:r>
      <w:r w:rsidRPr="0028248D">
        <w:rPr>
          <w:i/>
          <w:iCs/>
        </w:rPr>
        <w:t>10</w:t>
      </w:r>
      <w:r w:rsidRPr="0028248D">
        <w:t>(13).</w:t>
      </w:r>
    </w:p>
    <w:p w14:paraId="4014F05D" w14:textId="33ADA76F" w:rsidR="001361C6" w:rsidRDefault="008D2195" w:rsidP="0028248D">
      <w:r w:rsidRPr="0028248D">
        <w:lastRenderedPageBreak/>
        <w:t>Koziol</w:t>
      </w:r>
      <w:r w:rsidR="001361C6" w:rsidRPr="0028248D">
        <w:t>, J., Silvester, T., Cooper, H., Alford, S., &amp; Fraser, L. (2024). Revolutionising health and social care: innovative solutions for a brighter tomorrow–a systematic review of the literature. </w:t>
      </w:r>
      <w:r w:rsidR="001361C6" w:rsidRPr="0028248D">
        <w:rPr>
          <w:i/>
          <w:iCs/>
        </w:rPr>
        <w:t xml:space="preserve">BMC </w:t>
      </w:r>
      <w:r w:rsidR="001361C6">
        <w:rPr>
          <w:i/>
          <w:iCs/>
        </w:rPr>
        <w:t>Health Services Research</w:t>
      </w:r>
      <w:r w:rsidR="001361C6" w:rsidRPr="0028248D">
        <w:t>, </w:t>
      </w:r>
      <w:r w:rsidR="001361C6" w:rsidRPr="0028248D">
        <w:rPr>
          <w:i/>
          <w:iCs/>
        </w:rPr>
        <w:t>24</w:t>
      </w:r>
      <w:r w:rsidR="001361C6" w:rsidRPr="0028248D">
        <w:t>(1), 809.</w:t>
      </w:r>
    </w:p>
    <w:p w14:paraId="7E56096E" w14:textId="77777777" w:rsidR="001361C6" w:rsidRDefault="001361C6" w:rsidP="0028248D">
      <w:r w:rsidRPr="0001744F">
        <w:t>Linnik, L., Sepp, J., &amp; Reinhold, K. (2023). Enhancing patient safety through leadership: A comprehensive literature review on the role of head nurses in hospital settings. </w:t>
      </w:r>
      <w:r w:rsidRPr="0001744F">
        <w:rPr>
          <w:i/>
          <w:iCs/>
        </w:rPr>
        <w:t>Economics and Business</w:t>
      </w:r>
      <w:r w:rsidRPr="0001744F">
        <w:t>, </w:t>
      </w:r>
      <w:r w:rsidRPr="0001744F">
        <w:rPr>
          <w:i/>
          <w:iCs/>
        </w:rPr>
        <w:t>37</w:t>
      </w:r>
      <w:r w:rsidRPr="0001744F">
        <w:t>, 220-235.</w:t>
      </w:r>
    </w:p>
    <w:p w14:paraId="45B4C582" w14:textId="77777777" w:rsidR="001361C6" w:rsidRDefault="001361C6" w:rsidP="0028248D">
      <w:r w:rsidRPr="001361C6">
        <w:t>Ryan, S., Finney, A., Lamph, G., Dobel-Ober, D., Darrant, J., &amp; Lambley-Burke, R. (2025). Increasing research engagement among nurses: the development of a clinical academic research academy in a large health and social care NHS trust. </w:t>
      </w:r>
      <w:r w:rsidRPr="001361C6">
        <w:rPr>
          <w:i/>
          <w:iCs/>
        </w:rPr>
        <w:t>Nurse Researcher</w:t>
      </w:r>
      <w:r w:rsidRPr="001361C6">
        <w:t>, </w:t>
      </w:r>
      <w:r w:rsidRPr="001361C6">
        <w:rPr>
          <w:i/>
          <w:iCs/>
        </w:rPr>
        <w:t>33</w:t>
      </w:r>
      <w:r w:rsidRPr="001361C6">
        <w:t>(4).</w:t>
      </w:r>
    </w:p>
    <w:p w14:paraId="4309F281" w14:textId="77777777" w:rsidR="001361C6" w:rsidRDefault="001361C6" w:rsidP="0028248D">
      <w:r w:rsidRPr="0028248D">
        <w:t>Salhab, M. A. (2025). Fostering leadership and innovation in UK healthcare: insights from the NHS clinical entrepreneur programme and application of clinical leadership models–a systematic review and reflective analysis. </w:t>
      </w:r>
      <w:r w:rsidRPr="0028248D">
        <w:rPr>
          <w:i/>
          <w:iCs/>
        </w:rPr>
        <w:t>Leadership in Health Services</w:t>
      </w:r>
      <w:r w:rsidRPr="0028248D">
        <w:t>, </w:t>
      </w:r>
      <w:r w:rsidRPr="0028248D">
        <w:rPr>
          <w:i/>
          <w:iCs/>
        </w:rPr>
        <w:t>38</w:t>
      </w:r>
      <w:r w:rsidRPr="0028248D">
        <w:t>(4), 574-596.</w:t>
      </w:r>
    </w:p>
    <w:p w14:paraId="6FA91660" w14:textId="77777777" w:rsidR="001361C6" w:rsidRDefault="001361C6" w:rsidP="0028248D">
      <w:r w:rsidRPr="0028248D">
        <w:t>Slåtten, T., Mutonyi, B. R., Nordli, A. J., &amp; Lien, G. (2023). The role of ambidextrous leadership and employee ambidexterity in enhancing service quality of care and creativity–a study of health professionals. </w:t>
      </w:r>
      <w:r w:rsidRPr="0028248D">
        <w:rPr>
          <w:i/>
          <w:iCs/>
        </w:rPr>
        <w:t xml:space="preserve">BMC </w:t>
      </w:r>
      <w:r>
        <w:rPr>
          <w:i/>
          <w:iCs/>
        </w:rPr>
        <w:t>Health Services Research</w:t>
      </w:r>
      <w:r w:rsidRPr="0028248D">
        <w:t>, </w:t>
      </w:r>
      <w:r w:rsidRPr="0028248D">
        <w:rPr>
          <w:i/>
          <w:iCs/>
        </w:rPr>
        <w:t>23</w:t>
      </w:r>
      <w:r w:rsidRPr="0028248D">
        <w:t>(1), 1252.</w:t>
      </w:r>
    </w:p>
    <w:sectPr w:rsidR="001361C6" w:rsidSect="00FC2C9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6760B"/>
    <w:multiLevelType w:val="hybridMultilevel"/>
    <w:tmpl w:val="96862ED4"/>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num w:numId="1" w16cid:durableId="5660383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5C32"/>
    <w:rsid w:val="0001744F"/>
    <w:rsid w:val="0006690C"/>
    <w:rsid w:val="00092CF3"/>
    <w:rsid w:val="000D38AE"/>
    <w:rsid w:val="00124172"/>
    <w:rsid w:val="001361C6"/>
    <w:rsid w:val="001B5CDE"/>
    <w:rsid w:val="00227238"/>
    <w:rsid w:val="0028248D"/>
    <w:rsid w:val="002A3CDF"/>
    <w:rsid w:val="00305E59"/>
    <w:rsid w:val="003939EB"/>
    <w:rsid w:val="003B2EB7"/>
    <w:rsid w:val="003E2F0C"/>
    <w:rsid w:val="0042407B"/>
    <w:rsid w:val="00466FBD"/>
    <w:rsid w:val="0047131D"/>
    <w:rsid w:val="00495AA0"/>
    <w:rsid w:val="004C0F44"/>
    <w:rsid w:val="004F481B"/>
    <w:rsid w:val="004F65B4"/>
    <w:rsid w:val="00503380"/>
    <w:rsid w:val="00537812"/>
    <w:rsid w:val="00591F93"/>
    <w:rsid w:val="005A6FCA"/>
    <w:rsid w:val="005B30CC"/>
    <w:rsid w:val="005C4CA4"/>
    <w:rsid w:val="005F3401"/>
    <w:rsid w:val="006618C0"/>
    <w:rsid w:val="00664793"/>
    <w:rsid w:val="007333D6"/>
    <w:rsid w:val="00756DFB"/>
    <w:rsid w:val="00762A7D"/>
    <w:rsid w:val="007C1E9D"/>
    <w:rsid w:val="00801D4F"/>
    <w:rsid w:val="00820690"/>
    <w:rsid w:val="008520EB"/>
    <w:rsid w:val="00875A19"/>
    <w:rsid w:val="00875C32"/>
    <w:rsid w:val="008832F3"/>
    <w:rsid w:val="008946A8"/>
    <w:rsid w:val="008D2195"/>
    <w:rsid w:val="0098183F"/>
    <w:rsid w:val="00992F62"/>
    <w:rsid w:val="009D6B96"/>
    <w:rsid w:val="00AD0328"/>
    <w:rsid w:val="00AD1DA6"/>
    <w:rsid w:val="00AD70F4"/>
    <w:rsid w:val="00AF5447"/>
    <w:rsid w:val="00B379FD"/>
    <w:rsid w:val="00C203E8"/>
    <w:rsid w:val="00C4057A"/>
    <w:rsid w:val="00C52612"/>
    <w:rsid w:val="00C563AA"/>
    <w:rsid w:val="00C74FF5"/>
    <w:rsid w:val="00C83487"/>
    <w:rsid w:val="00CE78DB"/>
    <w:rsid w:val="00D15F29"/>
    <w:rsid w:val="00D93436"/>
    <w:rsid w:val="00DA7215"/>
    <w:rsid w:val="00DE2F99"/>
    <w:rsid w:val="00E0336F"/>
    <w:rsid w:val="00E35EEC"/>
    <w:rsid w:val="00E624D1"/>
    <w:rsid w:val="00E971E4"/>
    <w:rsid w:val="00EF29D8"/>
    <w:rsid w:val="00F4088D"/>
    <w:rsid w:val="00F77A86"/>
    <w:rsid w:val="00FC2C91"/>
    <w:rsid w:val="00FC6C58"/>
    <w:rsid w:val="00FD508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51D54"/>
  <w15:chartTrackingRefBased/>
  <w15:docId w15:val="{3EA69004-EFC4-4A4D-A402-8A7829998F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2612"/>
    <w:pPr>
      <w:spacing w:before="120" w:after="24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27238"/>
    <w:pPr>
      <w:keepNext/>
      <w:keepLines/>
      <w:pBdr>
        <w:bottom w:val="single" w:sz="4" w:space="1" w:color="auto"/>
      </w:pBdr>
      <w:spacing w:line="240" w:lineRule="auto"/>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27238"/>
    <w:pPr>
      <w:keepNext/>
      <w:keepLines/>
      <w:spacing w:line="240" w:lineRule="auto"/>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B379FD"/>
    <w:pPr>
      <w:keepNext/>
      <w:keepLines/>
      <w:outlineLvl w:val="2"/>
    </w:pPr>
    <w:rPr>
      <w:rFonts w:eastAsiaTheme="majorEastAsia"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7238"/>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227238"/>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semiHidden/>
    <w:rsid w:val="00B379FD"/>
    <w:rPr>
      <w:rFonts w:ascii="Times New Roman" w:eastAsiaTheme="majorEastAsia" w:hAnsi="Times New Roman" w:cstheme="majorBidi"/>
      <w:b/>
      <w:color w:val="1F3763" w:themeColor="accent1" w:themeShade="7F"/>
      <w:sz w:val="24"/>
      <w:szCs w:val="24"/>
    </w:rPr>
  </w:style>
  <w:style w:type="paragraph" w:styleId="TOCHeading">
    <w:name w:val="TOC Heading"/>
    <w:basedOn w:val="Heading1"/>
    <w:next w:val="Normal"/>
    <w:uiPriority w:val="39"/>
    <w:unhideWhenUsed/>
    <w:qFormat/>
    <w:rsid w:val="001361C6"/>
    <w:pPr>
      <w:pBdr>
        <w:bottom w:val="none" w:sz="0" w:space="0" w:color="auto"/>
      </w:pBdr>
      <w:spacing w:before="240" w:after="0" w:line="259" w:lineRule="auto"/>
      <w:jc w:val="left"/>
      <w:outlineLvl w:val="9"/>
    </w:pPr>
    <w:rPr>
      <w:rFonts w:asciiTheme="majorHAnsi" w:hAnsiTheme="majorHAnsi"/>
      <w:b w:val="0"/>
      <w:color w:val="2F5496" w:themeColor="accent1" w:themeShade="BF"/>
      <w:lang w:val="en-US"/>
      <w14:ligatures w14:val="none"/>
    </w:rPr>
  </w:style>
  <w:style w:type="paragraph" w:styleId="TOC1">
    <w:name w:val="toc 1"/>
    <w:basedOn w:val="Normal"/>
    <w:next w:val="Normal"/>
    <w:autoRedefine/>
    <w:uiPriority w:val="39"/>
    <w:unhideWhenUsed/>
    <w:rsid w:val="001361C6"/>
    <w:pPr>
      <w:spacing w:after="100"/>
    </w:pPr>
  </w:style>
  <w:style w:type="paragraph" w:styleId="TOC2">
    <w:name w:val="toc 2"/>
    <w:basedOn w:val="Normal"/>
    <w:next w:val="Normal"/>
    <w:autoRedefine/>
    <w:uiPriority w:val="39"/>
    <w:unhideWhenUsed/>
    <w:rsid w:val="001361C6"/>
    <w:pPr>
      <w:spacing w:after="100"/>
      <w:ind w:left="240"/>
    </w:pPr>
  </w:style>
  <w:style w:type="character" w:styleId="Hyperlink">
    <w:name w:val="Hyperlink"/>
    <w:basedOn w:val="DefaultParagraphFont"/>
    <w:uiPriority w:val="99"/>
    <w:unhideWhenUsed/>
    <w:rsid w:val="001361C6"/>
    <w:rPr>
      <w:color w:val="0563C1" w:themeColor="hyperlink"/>
      <w:u w:val="single"/>
    </w:rPr>
  </w:style>
  <w:style w:type="paragraph" w:styleId="Caption">
    <w:name w:val="caption"/>
    <w:basedOn w:val="Normal"/>
    <w:next w:val="Normal"/>
    <w:uiPriority w:val="35"/>
    <w:unhideWhenUsed/>
    <w:qFormat/>
    <w:rsid w:val="0098183F"/>
    <w:pPr>
      <w:spacing w:before="0" w:after="200" w:line="240" w:lineRule="auto"/>
    </w:pPr>
    <w:rPr>
      <w:i/>
      <w:iCs/>
      <w:color w:val="44546A" w:themeColor="text2"/>
      <w:sz w:val="18"/>
      <w:szCs w:val="18"/>
    </w:rPr>
  </w:style>
  <w:style w:type="paragraph" w:styleId="ListParagraph">
    <w:name w:val="List Paragraph"/>
    <w:basedOn w:val="Normal"/>
    <w:uiPriority w:val="34"/>
    <w:qFormat/>
    <w:rsid w:val="00227238"/>
    <w:pPr>
      <w:ind w:left="720"/>
      <w:contextualSpacing/>
    </w:pPr>
  </w:style>
  <w:style w:type="paragraph" w:styleId="NormalWeb">
    <w:name w:val="Normal (Web)"/>
    <w:basedOn w:val="Normal"/>
    <w:uiPriority w:val="99"/>
    <w:semiHidden/>
    <w:unhideWhenUsed/>
    <w:rsid w:val="00E0336F"/>
    <w:pPr>
      <w:spacing w:before="100" w:beforeAutospacing="1" w:after="100" w:afterAutospacing="1" w:line="240" w:lineRule="auto"/>
      <w:jc w:val="left"/>
    </w:pPr>
    <w:rPr>
      <w:rFonts w:eastAsia="Times New Roman" w:cs="Times New Roman"/>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image" Target="media/image10.jpeg"/><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87D5D7-4B79-4784-A3D9-15AD96553E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2656</Words>
  <Characters>15357</Characters>
  <Application>Microsoft Office Word</Application>
  <DocSecurity>0</DocSecurity>
  <Lines>313</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Patricia Anucha</dc:creator>
  <cp:keywords/>
  <dc:description/>
  <cp:lastModifiedBy>Patricia Chidimma Anucha (2412552)</cp:lastModifiedBy>
  <cp:revision>2</cp:revision>
  <dcterms:created xsi:type="dcterms:W3CDTF">2026-04-10T12:00:00Z</dcterms:created>
  <dcterms:modified xsi:type="dcterms:W3CDTF">2026-04-10T12:00:00Z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69ca3c40-d54f-4a7f-aebf-8e36bbca69ea</vt:lpwstr>
  </property>
</Properties>
</file>