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9E4D6F1" w14:textId="77777777" w:rsidR="00B82CFB" w:rsidRDefault="00FF09BD" w:rsidP="0054637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9C4F23">
        <w:rPr>
          <w:rFonts w:ascii="Calibri" w:eastAsia="Times New Roman" w:hAnsi="Calibri"/>
          <w:b/>
          <w:bCs/>
          <w:sz w:val="32"/>
          <w:szCs w:val="32"/>
          <w:u w:val="single"/>
        </w:rPr>
        <w:t>Reference list</w:t>
      </w:r>
      <w:r w:rsidR="00B82CFB" w:rsidRPr="00B82CFB">
        <w:rPr>
          <w:rFonts w:asciiTheme="minorHAnsi" w:hAnsiTheme="minorHAnsi"/>
          <w:sz w:val="20"/>
          <w:szCs w:val="20"/>
        </w:rPr>
        <w:t xml:space="preserve"> </w:t>
      </w:r>
    </w:p>
    <w:p w14:paraId="45A2946F" w14:textId="3B11B70E" w:rsidR="00FF09BD" w:rsidRPr="00B82CFB" w:rsidRDefault="00B82CFB" w:rsidP="00B82CFB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>
        <w:rPr>
          <w:rFonts w:asciiTheme="minorHAnsi" w:hAnsiTheme="minorHAnsi"/>
          <w:sz w:val="20"/>
          <w:szCs w:val="20"/>
        </w:rPr>
        <w:t>Birch, A. (2017). Revolt. She Said. Revolt Again.</w:t>
      </w:r>
      <w:r w:rsidR="00E670CB">
        <w:rPr>
          <w:rFonts w:asciiTheme="minorHAnsi" w:hAnsiTheme="minorHAnsi"/>
          <w:sz w:val="20"/>
          <w:szCs w:val="20"/>
        </w:rPr>
        <w:t xml:space="preserve"> </w:t>
      </w:r>
      <w:r>
        <w:rPr>
          <w:rFonts w:asciiTheme="minorHAnsi" w:hAnsiTheme="minorHAnsi"/>
          <w:sz w:val="20"/>
          <w:szCs w:val="20"/>
        </w:rPr>
        <w:t>Samuel French.</w:t>
      </w:r>
    </w:p>
    <w:p w14:paraId="09253813" w14:textId="148CA127" w:rsidR="00FF09BD" w:rsidRPr="00F65DB1" w:rsidRDefault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rFonts w:asciiTheme="minorHAnsi" w:hAnsiTheme="minorHAnsi"/>
          <w:sz w:val="20"/>
          <w:szCs w:val="20"/>
        </w:rPr>
        <w:t xml:space="preserve">Brecht, B. and Willett, J. (2019). </w:t>
      </w:r>
      <w:r w:rsidRPr="00F65DB1">
        <w:rPr>
          <w:rFonts w:asciiTheme="minorHAnsi" w:hAnsiTheme="minorHAnsi"/>
          <w:i/>
          <w:iCs/>
          <w:sz w:val="20"/>
          <w:szCs w:val="20"/>
        </w:rPr>
        <w:t>Brecht on Theatre</w:t>
      </w:r>
      <w:r w:rsidRPr="00F65DB1">
        <w:rPr>
          <w:rFonts w:asciiTheme="minorHAnsi" w:hAnsiTheme="minorHAnsi"/>
          <w:sz w:val="20"/>
          <w:szCs w:val="20"/>
        </w:rPr>
        <w:t>.</w:t>
      </w:r>
      <w:r w:rsidR="009471BF">
        <w:rPr>
          <w:rFonts w:asciiTheme="minorHAnsi" w:hAnsiTheme="minorHAnsi"/>
          <w:sz w:val="20"/>
          <w:szCs w:val="20"/>
        </w:rPr>
        <w:t xml:space="preserve"> </w:t>
      </w:r>
      <w:r w:rsidRPr="00F65DB1">
        <w:rPr>
          <w:rFonts w:asciiTheme="minorHAnsi" w:hAnsiTheme="minorHAnsi"/>
          <w:sz w:val="20"/>
          <w:szCs w:val="20"/>
        </w:rPr>
        <w:t>Bloomsbury Academic.</w:t>
      </w:r>
    </w:p>
    <w:p w14:paraId="73E4EAE5" w14:textId="77777777" w:rsidR="00FF09BD" w:rsidRPr="00F65DB1" w:rsidRDefault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rFonts w:asciiTheme="minorHAnsi" w:hAnsiTheme="minorHAnsi"/>
          <w:sz w:val="20"/>
          <w:szCs w:val="20"/>
        </w:rPr>
        <w:t xml:space="preserve">Brennan, T. (2021). </w:t>
      </w:r>
      <w:r w:rsidRPr="00F65DB1">
        <w:rPr>
          <w:rFonts w:asciiTheme="minorHAnsi" w:hAnsiTheme="minorHAnsi"/>
          <w:i/>
          <w:iCs/>
          <w:sz w:val="20"/>
          <w:szCs w:val="20"/>
        </w:rPr>
        <w:t>The Curse of The Serious Artist - Total Theatre</w:t>
      </w:r>
      <w:r w:rsidRPr="00F65DB1">
        <w:rPr>
          <w:rFonts w:asciiTheme="minorHAnsi" w:hAnsiTheme="minorHAnsi"/>
          <w:sz w:val="20"/>
          <w:szCs w:val="20"/>
        </w:rPr>
        <w:t>. [online] Total Theatre. Available at: https://totaltheatre.org.uk/the-curse-of-the-serious-artist/ [Accessed 2 Mar. 2026].</w:t>
      </w:r>
    </w:p>
    <w:p w14:paraId="301443A9" w14:textId="77777777" w:rsidR="00FF09BD" w:rsidRDefault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rFonts w:asciiTheme="minorHAnsi" w:hAnsiTheme="minorHAnsi"/>
          <w:sz w:val="20"/>
          <w:szCs w:val="20"/>
        </w:rPr>
        <w:t xml:space="preserve">Casarotto (2026). </w:t>
      </w:r>
      <w:r w:rsidRPr="00F65DB1">
        <w:rPr>
          <w:rFonts w:asciiTheme="minorHAnsi" w:hAnsiTheme="minorHAnsi"/>
          <w:i/>
          <w:iCs/>
          <w:sz w:val="20"/>
          <w:szCs w:val="20"/>
        </w:rPr>
        <w:t>Lucy Kirkwood - Casarotto Ramsay &amp; Associates</w:t>
      </w:r>
      <w:r w:rsidRPr="00F65DB1">
        <w:rPr>
          <w:rFonts w:asciiTheme="minorHAnsi" w:hAnsiTheme="minorHAnsi"/>
          <w:sz w:val="20"/>
          <w:szCs w:val="20"/>
        </w:rPr>
        <w:t>. [online] Casarotto Ramsay &amp; Associates. Available at: https://www.casarotto.co.uk/clients/lucy-kirkwood [Accessed 2 Mar. 2026].</w:t>
      </w:r>
    </w:p>
    <w:p w14:paraId="14747699" w14:textId="77777777" w:rsidR="00FF09BD" w:rsidRPr="00F65DB1" w:rsidRDefault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rFonts w:asciiTheme="minorHAnsi" w:hAnsiTheme="minorHAnsi"/>
          <w:sz w:val="20"/>
          <w:szCs w:val="20"/>
        </w:rPr>
        <w:t xml:space="preserve">Equity (2019). </w:t>
      </w:r>
      <w:r w:rsidRPr="00F65DB1">
        <w:rPr>
          <w:rFonts w:asciiTheme="minorHAnsi" w:hAnsiTheme="minorHAnsi"/>
          <w:i/>
          <w:iCs/>
          <w:sz w:val="20"/>
          <w:szCs w:val="20"/>
        </w:rPr>
        <w:t>Equity</w:t>
      </w:r>
      <w:r w:rsidRPr="00F65DB1">
        <w:rPr>
          <w:rFonts w:asciiTheme="minorHAnsi" w:hAnsiTheme="minorHAnsi"/>
          <w:sz w:val="20"/>
          <w:szCs w:val="20"/>
        </w:rPr>
        <w:t>. [online] Equity.org.uk. Available at: https://www.equity.org.uk/.</w:t>
      </w:r>
    </w:p>
    <w:p w14:paraId="52F69B01" w14:textId="77777777" w:rsidR="00FF09BD" w:rsidRPr="00F65DB1" w:rsidRDefault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rFonts w:asciiTheme="minorHAnsi" w:hAnsiTheme="minorHAnsi"/>
          <w:sz w:val="20"/>
          <w:szCs w:val="20"/>
        </w:rPr>
        <w:t xml:space="preserve">Gilmour, M. (2019). </w:t>
      </w:r>
      <w:r w:rsidRPr="00F65DB1">
        <w:rPr>
          <w:rFonts w:asciiTheme="minorHAnsi" w:hAnsiTheme="minorHAnsi"/>
          <w:i/>
          <w:iCs/>
          <w:sz w:val="20"/>
          <w:szCs w:val="20"/>
        </w:rPr>
        <w:t>The Power of Rapport</w:t>
      </w:r>
      <w:r w:rsidRPr="00F65DB1">
        <w:rPr>
          <w:rFonts w:asciiTheme="minorHAnsi" w:hAnsiTheme="minorHAnsi"/>
          <w:sz w:val="20"/>
          <w:szCs w:val="20"/>
        </w:rPr>
        <w:t>. Partridge Publishing Singapore.</w:t>
      </w:r>
    </w:p>
    <w:p w14:paraId="59A563E2" w14:textId="77777777" w:rsidR="00FF09BD" w:rsidRPr="00F65DB1" w:rsidRDefault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rFonts w:asciiTheme="minorHAnsi" w:hAnsiTheme="minorHAnsi"/>
          <w:sz w:val="20"/>
          <w:szCs w:val="20"/>
        </w:rPr>
        <w:t xml:space="preserve">Mathes, B. (2018). </w:t>
      </w:r>
      <w:r w:rsidRPr="00F65DB1">
        <w:rPr>
          <w:rFonts w:asciiTheme="minorHAnsi" w:hAnsiTheme="minorHAnsi"/>
          <w:i/>
          <w:iCs/>
          <w:sz w:val="20"/>
          <w:szCs w:val="20"/>
        </w:rPr>
        <w:t>You, the Career</w:t>
      </w:r>
      <w:r w:rsidRPr="00F65DB1">
        <w:rPr>
          <w:rFonts w:asciiTheme="minorHAnsi" w:hAnsiTheme="minorHAnsi"/>
          <w:sz w:val="20"/>
          <w:szCs w:val="20"/>
        </w:rPr>
        <w:t>. Crashbooks.</w:t>
      </w:r>
    </w:p>
    <w:p w14:paraId="597F86B2" w14:textId="49E971D0" w:rsidR="009807CA" w:rsidRDefault="00FF09BD" w:rsidP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rFonts w:asciiTheme="minorHAnsi" w:hAnsiTheme="minorHAnsi"/>
          <w:sz w:val="20"/>
          <w:szCs w:val="20"/>
        </w:rPr>
        <w:t xml:space="preserve">Merlin, B. (2007). </w:t>
      </w:r>
      <w:r w:rsidRPr="00F65DB1">
        <w:rPr>
          <w:rFonts w:asciiTheme="minorHAnsi" w:hAnsiTheme="minorHAnsi"/>
          <w:i/>
          <w:iCs/>
          <w:sz w:val="20"/>
          <w:szCs w:val="20"/>
        </w:rPr>
        <w:t>The complete Stanislavsky toolkit</w:t>
      </w:r>
      <w:r w:rsidRPr="00F65DB1">
        <w:rPr>
          <w:rFonts w:asciiTheme="minorHAnsi" w:hAnsiTheme="minorHAnsi"/>
          <w:sz w:val="20"/>
          <w:szCs w:val="20"/>
        </w:rPr>
        <w:t>. Nick Hern Books.</w:t>
      </w:r>
    </w:p>
    <w:p w14:paraId="17854904" w14:textId="4B1B32F2" w:rsidR="009807CA" w:rsidRDefault="009807CA" w:rsidP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rFonts w:asciiTheme="minorHAnsi" w:hAnsiTheme="minorHAnsi"/>
          <w:noProof/>
          <w:sz w:val="20"/>
          <w:szCs w:val="20"/>
        </w:rPr>
        <w:drawing>
          <wp:anchor distT="0" distB="0" distL="114300" distR="114300" simplePos="0" relativeHeight="251659264" behindDoc="1" locked="0" layoutInCell="1" allowOverlap="1" wp14:anchorId="66081181" wp14:editId="5DD00F5D">
            <wp:simplePos x="0" y="0"/>
            <wp:positionH relativeFrom="column">
              <wp:posOffset>-203200</wp:posOffset>
            </wp:positionH>
            <wp:positionV relativeFrom="paragraph">
              <wp:posOffset>995680</wp:posOffset>
            </wp:positionV>
            <wp:extent cx="5731510" cy="3475355"/>
            <wp:effectExtent l="0" t="0" r="2540" b="0"/>
            <wp:wrapTight wrapText="bothSides">
              <wp:wrapPolygon edited="0">
                <wp:start x="0" y="0"/>
                <wp:lineTo x="0" y="21430"/>
                <wp:lineTo x="21538" y="21430"/>
                <wp:lineTo x="21538" y="0"/>
                <wp:lineTo x="0" y="0"/>
              </wp:wrapPolygon>
            </wp:wrapTight>
            <wp:docPr id="198599271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5992710" name="Picture 1985992710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535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/>
          <w:sz w:val="20"/>
          <w:szCs w:val="20"/>
        </w:rPr>
        <w:t>Professionals, I. (2022). Intimacy Directors and Coordinators. [online] Intimacy Directors and Coordinators. Available at: https://www.idcprofessionals.com/</w:t>
      </w:r>
    </w:p>
    <w:p w14:paraId="363D1FAC" w14:textId="52D4CD81" w:rsidR="00C63EFF" w:rsidRPr="00F65DB1" w:rsidRDefault="00A331B7" w:rsidP="00FF09BD">
      <w:pPr>
        <w:pStyle w:val="NormalWeb"/>
        <w:spacing w:before="0" w:beforeAutospacing="0" w:after="240" w:afterAutospacing="0" w:line="360" w:lineRule="auto"/>
        <w:rPr>
          <w:rFonts w:asciiTheme="minorHAnsi" w:hAnsiTheme="minorHAnsi"/>
          <w:sz w:val="20"/>
          <w:szCs w:val="20"/>
        </w:rPr>
      </w:pPr>
      <w:r w:rsidRPr="00F65DB1">
        <w:rPr>
          <w:noProof/>
          <w:sz w:val="20"/>
          <w:szCs w:val="20"/>
        </w:rPr>
        <w:lastRenderedPageBreak/>
        <w:drawing>
          <wp:anchor distT="0" distB="0" distL="114300" distR="114300" simplePos="0" relativeHeight="251660288" behindDoc="1" locked="0" layoutInCell="1" allowOverlap="1" wp14:anchorId="733A9B06" wp14:editId="0272DA02">
            <wp:simplePos x="0" y="0"/>
            <wp:positionH relativeFrom="column">
              <wp:posOffset>-37465</wp:posOffset>
            </wp:positionH>
            <wp:positionV relativeFrom="paragraph">
              <wp:posOffset>0</wp:posOffset>
            </wp:positionV>
            <wp:extent cx="5731510" cy="6406515"/>
            <wp:effectExtent l="0" t="0" r="2540" b="0"/>
            <wp:wrapTight wrapText="bothSides">
              <wp:wrapPolygon edited="0">
                <wp:start x="0" y="0"/>
                <wp:lineTo x="0" y="21517"/>
                <wp:lineTo x="21538" y="21517"/>
                <wp:lineTo x="21538" y="0"/>
                <wp:lineTo x="0" y="0"/>
              </wp:wrapPolygon>
            </wp:wrapTight>
            <wp:docPr id="184815622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8156225" name="Picture 1848156225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40651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AE84CC" w14:textId="08FC1E18" w:rsidR="00573DE8" w:rsidRDefault="00573DE8" w:rsidP="00573DE8">
      <w:pPr>
        <w:pStyle w:val="ListParagraph"/>
      </w:pPr>
    </w:p>
    <w:p w14:paraId="545D56BD" w14:textId="51622CAC" w:rsidR="00573DE8" w:rsidRDefault="00573DE8" w:rsidP="00573DE8"/>
    <w:p w14:paraId="36E9F02B" w14:textId="6D7A1D29" w:rsidR="00573DE8" w:rsidRPr="00573DE8" w:rsidRDefault="00573DE8" w:rsidP="00573DE8"/>
    <w:sectPr w:rsidR="00573DE8" w:rsidRPr="00573D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E2A47B" w14:textId="77777777" w:rsidR="00FF09BD" w:rsidRDefault="00FF09BD" w:rsidP="00FF09BD">
      <w:pPr>
        <w:spacing w:after="0" w:line="240" w:lineRule="auto"/>
      </w:pPr>
      <w:r>
        <w:separator/>
      </w:r>
    </w:p>
  </w:endnote>
  <w:endnote w:type="continuationSeparator" w:id="0">
    <w:p w14:paraId="00EC831B" w14:textId="77777777" w:rsidR="00FF09BD" w:rsidRDefault="00FF09BD" w:rsidP="00FF09B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9917DF" w14:textId="77777777" w:rsidR="00FF09BD" w:rsidRDefault="00FF09BD" w:rsidP="00FF09BD">
      <w:pPr>
        <w:spacing w:after="0" w:line="240" w:lineRule="auto"/>
      </w:pPr>
      <w:r>
        <w:separator/>
      </w:r>
    </w:p>
  </w:footnote>
  <w:footnote w:type="continuationSeparator" w:id="0">
    <w:p w14:paraId="1FFB1B94" w14:textId="77777777" w:rsidR="00FF09BD" w:rsidRDefault="00FF09BD" w:rsidP="00FF09B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AB85F07"/>
    <w:multiLevelType w:val="hybridMultilevel"/>
    <w:tmpl w:val="96026C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1DC35F3"/>
    <w:multiLevelType w:val="hybridMultilevel"/>
    <w:tmpl w:val="BBF88C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37695588">
    <w:abstractNumId w:val="1"/>
  </w:num>
  <w:num w:numId="2" w16cid:durableId="6132901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4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42F"/>
    <w:rsid w:val="0025455D"/>
    <w:rsid w:val="00257141"/>
    <w:rsid w:val="002E1213"/>
    <w:rsid w:val="00454E56"/>
    <w:rsid w:val="0045742F"/>
    <w:rsid w:val="00573DE8"/>
    <w:rsid w:val="006D071D"/>
    <w:rsid w:val="006D3CF6"/>
    <w:rsid w:val="009471BF"/>
    <w:rsid w:val="009807CA"/>
    <w:rsid w:val="009C4F23"/>
    <w:rsid w:val="00A331B7"/>
    <w:rsid w:val="00A87F99"/>
    <w:rsid w:val="00AF3181"/>
    <w:rsid w:val="00B30D7D"/>
    <w:rsid w:val="00B82CFB"/>
    <w:rsid w:val="00C63EFF"/>
    <w:rsid w:val="00E6384A"/>
    <w:rsid w:val="00E670CB"/>
    <w:rsid w:val="00F65DB1"/>
    <w:rsid w:val="00FF09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460648"/>
  <w15:chartTrackingRefBased/>
  <w15:docId w15:val="{90E6384D-6E62-6641-89F2-24C1C91F4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5742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5742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5742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5742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5742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5742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5742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5742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5742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5742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5742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5742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5742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5742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5742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5742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5742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5742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5742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5742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5742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5742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5742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5742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5742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5742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5742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5742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5742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25714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57141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FF09BD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FF09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09BD"/>
  </w:style>
  <w:style w:type="paragraph" w:styleId="Footer">
    <w:name w:val="footer"/>
    <w:basedOn w:val="Normal"/>
    <w:link w:val="FooterChar"/>
    <w:uiPriority w:val="99"/>
    <w:unhideWhenUsed/>
    <w:rsid w:val="00FF09B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09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 /><Relationship Id="rId3" Type="http://schemas.openxmlformats.org/officeDocument/2006/relationships/settings" Target="settings.xml" /><Relationship Id="rId7" Type="http://schemas.openxmlformats.org/officeDocument/2006/relationships/image" Target="media/image1.jpeg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147</Words>
  <Characters>839</Characters>
  <Application>Microsoft Office Word</Application>
  <DocSecurity>0</DocSecurity>
  <Lines>6</Lines>
  <Paragraphs>1</Paragraphs>
  <ScaleCrop>false</ScaleCrop>
  <Company/>
  <LinksUpToDate>false</LinksUpToDate>
  <CharactersWithSpaces>985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Davies</dc:creator>
  <cp:keywords/>
  <dc:description/>
  <cp:lastModifiedBy>Chris Davies</cp:lastModifiedBy>
  <cp:revision>2</cp:revision>
  <dcterms:created xsi:type="dcterms:W3CDTF">2026-03-03T16:11:00Z</dcterms:created>
  <dcterms:modified xsi:type="dcterms:W3CDTF">2026-03-03T16:11:00Z</dcterms:modified>
</cp:coreProperties>
</file>