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326913C" w:rsidP="6B3145EF" w:rsidRDefault="4326913C" w14:paraId="39675E23" w14:textId="372C7869">
      <w:pPr>
        <w:pStyle w:val="Heading2"/>
        <w:spacing w:before="299" w:beforeAutospacing="off" w:after="299" w:afterAutospacing="off"/>
        <w:rPr>
          <w:rFonts w:ascii="Calibri" w:hAnsi="Calibri" w:eastAsia="Calibri" w:cs="Calibri"/>
          <w:b w:val="0"/>
          <w:bCs w:val="0"/>
          <w:noProof w:val="0"/>
          <w:color w:val="000000" w:themeColor="text1" w:themeTint="FF" w:themeShade="FF"/>
          <w:sz w:val="24"/>
          <w:szCs w:val="24"/>
          <w:lang w:val="en-GB"/>
        </w:rPr>
      </w:pPr>
      <w:r w:rsidRPr="6B3145EF" w:rsidR="51998D67">
        <w:rPr>
          <w:rFonts w:ascii="Calibri" w:hAnsi="Calibri" w:eastAsia="Calibri" w:cs="Calibri"/>
          <w:b w:val="0"/>
          <w:bCs w:val="0"/>
          <w:noProof w:val="0"/>
          <w:color w:val="000000" w:themeColor="text1" w:themeTint="FF" w:themeShade="FF"/>
          <w:sz w:val="24"/>
          <w:szCs w:val="24"/>
          <w:lang w:val="en-GB"/>
        </w:rPr>
        <w:t>Wil John- 2506144</w:t>
      </w:r>
      <w:r>
        <w:tab/>
      </w:r>
      <w:r>
        <w:tab/>
      </w:r>
      <w:r>
        <w:tab/>
      </w:r>
      <w:r>
        <w:tab/>
      </w:r>
      <w:r>
        <w:tab/>
      </w:r>
      <w:r w:rsidRPr="6B3145EF" w:rsidR="6D425D07">
        <w:rPr>
          <w:rFonts w:ascii="Calibri" w:hAnsi="Calibri" w:eastAsia="Calibri" w:cs="Calibri"/>
          <w:b w:val="0"/>
          <w:bCs w:val="0"/>
          <w:noProof w:val="0"/>
          <w:color w:val="000000" w:themeColor="text1" w:themeTint="FF" w:themeShade="FF"/>
          <w:sz w:val="24"/>
          <w:szCs w:val="24"/>
          <w:lang w:val="en-GB"/>
        </w:rPr>
        <w:t>Module Code: BMSH4304</w:t>
      </w:r>
    </w:p>
    <w:p w:rsidR="4326913C" w:rsidP="6B3145EF" w:rsidRDefault="4326913C" w14:paraId="6EAD360C" w14:textId="7DC1B72D">
      <w:pPr>
        <w:pStyle w:val="Normal"/>
        <w:rPr>
          <w:noProof w:val="0"/>
          <w:lang w:val="en-GB"/>
        </w:rPr>
      </w:pPr>
    </w:p>
    <w:p w:rsidR="4326913C" w:rsidP="6B3145EF" w:rsidRDefault="4326913C" w14:paraId="275B7495" w14:textId="58A28FE3">
      <w:pPr>
        <w:pStyle w:val="Heading2"/>
        <w:spacing w:before="299" w:beforeAutospacing="off" w:after="299" w:afterAutospacing="off"/>
        <w:rPr>
          <w:rFonts w:ascii="Calibri" w:hAnsi="Calibri" w:eastAsia="Calibri" w:cs="Calibri"/>
          <w:b w:val="1"/>
          <w:bCs w:val="1"/>
          <w:noProof w:val="0"/>
          <w:color w:val="000000" w:themeColor="text1" w:themeTint="FF" w:themeShade="FF"/>
          <w:sz w:val="24"/>
          <w:szCs w:val="24"/>
          <w:lang w:val="en-GB"/>
        </w:rPr>
      </w:pPr>
      <w:r w:rsidRPr="6B3145EF" w:rsidR="237C377B">
        <w:rPr>
          <w:rFonts w:ascii="Calibri" w:hAnsi="Calibri" w:eastAsia="Calibri" w:cs="Calibri"/>
          <w:b w:val="1"/>
          <w:bCs w:val="1"/>
          <w:noProof w:val="0"/>
          <w:color w:val="000000" w:themeColor="text1" w:themeTint="FF" w:themeShade="FF"/>
          <w:sz w:val="24"/>
          <w:szCs w:val="24"/>
          <w:lang w:val="en-GB"/>
        </w:rPr>
        <w:t>Comprehensive Health and Fitness Assessment Report</w:t>
      </w:r>
    </w:p>
    <w:p w:rsidR="4326913C" w:rsidP="6B3145EF" w:rsidRDefault="4326913C" w14:paraId="271F1BB0" w14:textId="7F553E92">
      <w:pPr>
        <w:pStyle w:val="Heading2"/>
        <w:spacing w:before="299" w:beforeAutospacing="off" w:after="299" w:afterAutospacing="off"/>
        <w:rPr>
          <w:rFonts w:ascii="Calibri" w:hAnsi="Calibri" w:eastAsia="Calibri" w:cs="Calibri"/>
          <w:b w:val="1"/>
          <w:bCs w:val="1"/>
          <w:noProof w:val="0"/>
          <w:color w:val="000000" w:themeColor="text1" w:themeTint="FF" w:themeShade="FF"/>
          <w:sz w:val="24"/>
          <w:szCs w:val="24"/>
          <w:lang w:val="en-GB"/>
        </w:rPr>
      </w:pPr>
      <w:r w:rsidRPr="6B3145EF" w:rsidR="7C012E85">
        <w:rPr>
          <w:rFonts w:ascii="Calibri" w:hAnsi="Calibri" w:eastAsia="Calibri" w:cs="Calibri"/>
          <w:b w:val="1"/>
          <w:bCs w:val="1"/>
          <w:noProof w:val="0"/>
          <w:color w:val="000000" w:themeColor="text1" w:themeTint="FF" w:themeShade="FF"/>
          <w:sz w:val="24"/>
          <w:szCs w:val="24"/>
          <w:lang w:val="en-GB"/>
        </w:rPr>
        <w:t xml:space="preserve">Part 1: Health and Fitness Assessment Design </w:t>
      </w:r>
    </w:p>
    <w:p w:rsidR="4326913C" w:rsidP="6B3145EF" w:rsidRDefault="4326913C" w14:paraId="22701400" w14:textId="014183EE">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A range of health and fitness assessments were selected to provide a comprehensive evaluation of an individual’s physiological status, focusing on body composition, cardiovascular fitness, muscular strength, muscular endurance, and flexibility. The chosen assessments were the InBody scanner, hand grip dynamometer test, press-up test, 3-minute Queens College Step Test, and sit-and-reach test.</w:t>
      </w:r>
    </w:p>
    <w:p w:rsidR="4326913C" w:rsidP="6B3145EF" w:rsidRDefault="4326913C" w14:paraId="6FA51F72" w14:textId="59115089">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The InBody scanner was selected to assess body composition due to its ability to provide detailed outputs including body mass, skeletal muscle mass, and body fat percentage. Body composition is a key determinant of health, as excessive body fat is associated with increased risk of cardiovascular disease, while higher skeletal muscle mass is linked to improved metabolic function (ACSM, 2021). Bioelectrical impedance provides meaningful physiological insight into fat distribution and lean tissue.</w:t>
      </w:r>
    </w:p>
    <w:p w:rsidR="4326913C" w:rsidP="6B3145EF" w:rsidRDefault="4326913C" w14:paraId="0A64FD17" w14:textId="12F0295E">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Cardiovascular fitness was assessed using the 3-minute Queens College Step Test. This submaximal test estimates aerobic capacity through heart rate recovery and is practical, time-efficient, and safe for general populations. Cardiovascular fitness is strongly linked to reduced morbidity and mortality, making it a critical component of health assessment (ACSM, 2021).</w:t>
      </w:r>
    </w:p>
    <w:p w:rsidR="4326913C" w:rsidP="6B3145EF" w:rsidRDefault="4326913C" w14:paraId="73513F0B" w14:textId="0BF59F1E">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Muscular strength was evaluated using the hand grip dynamometer test. Grip strength is a reliable indicator of overall muscular strength and has been associated with functional capacity and long-term health outcomes. It is widely used due to its simplicity, validity, and minimal equipment requirements.</w:t>
      </w:r>
    </w:p>
    <w:p w:rsidR="4326913C" w:rsidP="6B3145EF" w:rsidRDefault="4326913C" w14:paraId="5C0C4C27" w14:textId="3D66D66F">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Muscular endurance was assessed using the press-up test, which measures the ability of upper body muscles to perform repeated contractions. This test is practical and reflects functional endurance relevant to daily activities and sports performance.</w:t>
      </w:r>
    </w:p>
    <w:p w:rsidR="4326913C" w:rsidP="6B3145EF" w:rsidRDefault="4326913C" w14:paraId="3D8EFC73" w14:textId="2AFBA4BE">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Flexibility was measured using the sit-and-reach test, which assesses hamstring and lower back flexibility. Flexibility contributes to injury prevention and functional movement efficiency, making it an important component of fitness.</w:t>
      </w:r>
    </w:p>
    <w:p w:rsidR="4326913C" w:rsidP="6B3145EF" w:rsidRDefault="4326913C" w14:paraId="5D8A1E8A" w14:textId="3674E5AE">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Overall, these assessments were selected due to their strong validity, reliability, ease of administration, and relevance to key components of physical fitness. Together, they provide a holistic overview of an individual’s health and fitness status.</w:t>
      </w:r>
    </w:p>
    <w:p w:rsidR="4326913C" w:rsidP="6B3145EF" w:rsidRDefault="4326913C" w14:paraId="301D126D" w14:textId="0210E6BB">
      <w:pPr>
        <w:rPr>
          <w:rFonts w:ascii="Calibri" w:hAnsi="Calibri" w:eastAsia="Calibri" w:cs="Calibri"/>
          <w:sz w:val="24"/>
          <w:szCs w:val="24"/>
        </w:rPr>
      </w:pPr>
    </w:p>
    <w:p w:rsidR="4326913C" w:rsidP="6B3145EF" w:rsidRDefault="4326913C" w14:paraId="65E8F7E6" w14:textId="52B10058">
      <w:pPr>
        <w:pStyle w:val="Heading2"/>
        <w:spacing w:before="299" w:beforeAutospacing="off" w:after="299" w:afterAutospacing="off"/>
        <w:rPr>
          <w:rFonts w:ascii="Calibri" w:hAnsi="Calibri" w:eastAsia="Calibri" w:cs="Calibri"/>
          <w:b w:val="1"/>
          <w:bCs w:val="1"/>
          <w:noProof w:val="0"/>
          <w:color w:val="000000" w:themeColor="text1" w:themeTint="FF" w:themeShade="FF"/>
          <w:sz w:val="24"/>
          <w:szCs w:val="24"/>
          <w:lang w:val="en-GB"/>
        </w:rPr>
      </w:pPr>
      <w:r w:rsidRPr="6B3145EF" w:rsidR="7C012E85">
        <w:rPr>
          <w:rFonts w:ascii="Calibri" w:hAnsi="Calibri" w:eastAsia="Calibri" w:cs="Calibri"/>
          <w:b w:val="1"/>
          <w:bCs w:val="1"/>
          <w:noProof w:val="0"/>
          <w:color w:val="000000" w:themeColor="text1" w:themeTint="FF" w:themeShade="FF"/>
          <w:sz w:val="24"/>
          <w:szCs w:val="24"/>
          <w:lang w:val="en-GB"/>
        </w:rPr>
        <w:t xml:space="preserve">Part 2: Assessment Procedures and Data Collection </w:t>
      </w:r>
    </w:p>
    <w:p w:rsidR="4326913C" w:rsidP="6B3145EF" w:rsidRDefault="4326913C" w14:paraId="7E238B7B" w14:textId="4DA989B3">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Each assessment was conducted using standardised procedures to ensure accuracy, reliability, and consistency of data collection.</w:t>
      </w:r>
    </w:p>
    <w:p w:rsidR="4326913C" w:rsidP="6B3145EF" w:rsidRDefault="4326913C" w14:paraId="25373AAD" w14:textId="3F6C6E1D">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For the InBody scanner assessment, the client stood barefoot on the device while holding the hand electrodes. The client was instructed to remain still throughout the measurement. Bioelectrical impedance was used to estimate body composition, including body fat percentage and skeletal muscle mass. Prior to testing, the client was advised to avoid food intake, exercise, and excessive fluid consumption to minimise variability in results.</w:t>
      </w:r>
    </w:p>
    <w:p w:rsidR="4326913C" w:rsidP="6B3145EF" w:rsidRDefault="4326913C" w14:paraId="7840B412" w14:textId="0CA41885">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During the 3-minute Queens College Step Test, the client stepped up and down on a 41.3 cm bench for three minutes, following a metronome set at 96 beats per minute to maintain a consistent rhythm. Immediately upon completion, the client’s heart rate was recorded for 15 seconds and multiplied by four to determine beats per minute (bpm). This value was used to estimate cardiovascular fitness.</w:t>
      </w:r>
    </w:p>
    <w:p w:rsidR="4326913C" w:rsidP="6B3145EF" w:rsidRDefault="4326913C" w14:paraId="6ED6EDED" w14:textId="642A3BB1">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For the hand grip dynamometer test, the client held the dynamometer in one hand and performed a maximal voluntary contraction. The client completed multiple attempts for both the right and left hands, with the highest value recorded for each. The client was instructed to maintain proper posture, with the arm positioned by the side and not touching the body, to ensure consistency.</w:t>
      </w:r>
    </w:p>
    <w:p w:rsidR="4326913C" w:rsidP="6B3145EF" w:rsidRDefault="4326913C" w14:paraId="3178D58B" w14:textId="577CDCEF">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In the press-up test, the client performed as many repetitions as possible while maintaining correct technique. The client kept the body in a straight line, lowering the chest towards the floor and fully extending the arms on each repetition. The test was terminated when the client could no longer maintain proper form.</w:t>
      </w:r>
    </w:p>
    <w:p w:rsidR="4326913C" w:rsidP="6B3145EF" w:rsidRDefault="4326913C" w14:paraId="6A036DF6" w14:textId="55D1BDC4">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For the sit-and-reach test, the client sat on the floor with legs fully extended and feet placed against the testing box. The client reached forward along the measuring scale as far as possible, holding the final position momentarily. The best score from multiple attempts was recorded in centimetres.</w:t>
      </w:r>
    </w:p>
    <w:p w:rsidR="4326913C" w:rsidP="6B3145EF" w:rsidRDefault="4326913C" w14:paraId="0E9D5580" w14:textId="5C264820">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Standardisation of testing procedures was essential to ensure valid and reliable results. Variability in factors such as time of day, hydration status, and prior physical activity could influence performance outcomes. Potential sources of measurement error included inconsistent technique, inaccurate timing, and equipment calibration issues.</w:t>
      </w:r>
    </w:p>
    <w:p w:rsidR="4326913C" w:rsidP="6B3145EF" w:rsidRDefault="4326913C" w14:paraId="1465003F" w14:textId="48664E47">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To minimise these errors, the client received clear instructions and demonstrations prior to each test. Equipment was checked for accuracy, and consistent protocols were followed throughout. Where appropriate, multiple trials were conducted to improve reliability. These strategies ensured that the data collected was both accurate and meaningful for subsequent analysis.</w:t>
      </w:r>
    </w:p>
    <w:p w:rsidR="4326913C" w:rsidP="6B3145EF" w:rsidRDefault="4326913C" w14:paraId="71EFDA45" w14:textId="1DC0216C">
      <w:pPr>
        <w:rPr>
          <w:rFonts w:ascii="Calibri" w:hAnsi="Calibri" w:eastAsia="Calibri" w:cs="Calibri"/>
          <w:sz w:val="24"/>
          <w:szCs w:val="24"/>
        </w:rPr>
      </w:pPr>
    </w:p>
    <w:p w:rsidR="4326913C" w:rsidP="6B3145EF" w:rsidRDefault="4326913C" w14:paraId="627B551F" w14:textId="69D8C26B">
      <w:pPr>
        <w:pStyle w:val="Heading2"/>
        <w:spacing w:before="299" w:beforeAutospacing="off" w:after="299" w:afterAutospacing="off"/>
        <w:rPr>
          <w:rFonts w:ascii="Calibri" w:hAnsi="Calibri" w:eastAsia="Calibri" w:cs="Calibri"/>
          <w:b w:val="1"/>
          <w:bCs w:val="1"/>
          <w:noProof w:val="0"/>
          <w:color w:val="000000" w:themeColor="text1" w:themeTint="FF" w:themeShade="FF"/>
          <w:sz w:val="24"/>
          <w:szCs w:val="24"/>
          <w:lang w:val="en-GB"/>
        </w:rPr>
      </w:pPr>
      <w:r w:rsidRPr="6B3145EF" w:rsidR="7C012E85">
        <w:rPr>
          <w:rFonts w:ascii="Calibri" w:hAnsi="Calibri" w:eastAsia="Calibri" w:cs="Calibri"/>
          <w:b w:val="1"/>
          <w:bCs w:val="1"/>
          <w:noProof w:val="0"/>
          <w:color w:val="000000" w:themeColor="text1" w:themeTint="FF" w:themeShade="FF"/>
          <w:sz w:val="24"/>
          <w:szCs w:val="24"/>
          <w:lang w:val="en-GB"/>
        </w:rPr>
        <w:t xml:space="preserve">Part 3: Data Analysis and Interpretation </w:t>
      </w:r>
    </w:p>
    <w:p w:rsidR="4326913C" w:rsidP="6B3145EF" w:rsidRDefault="4326913C" w14:paraId="03F1C3AE" w14:textId="6CD1D852">
      <w:pPr>
        <w:pStyle w:val="Heading3"/>
        <w:spacing w:before="281" w:beforeAutospacing="off" w:after="281" w:afterAutospacing="off"/>
        <w:rPr>
          <w:rFonts w:ascii="Calibri" w:hAnsi="Calibri" w:eastAsia="Calibri" w:cs="Calibri"/>
          <w:b w:val="1"/>
          <w:bCs w:val="1"/>
          <w:noProof w:val="0"/>
          <w:color w:val="000000" w:themeColor="text1" w:themeTint="FF" w:themeShade="FF"/>
          <w:sz w:val="24"/>
          <w:szCs w:val="24"/>
          <w:lang w:val="en-GB"/>
        </w:rPr>
      </w:pPr>
      <w:r w:rsidRPr="6B3145EF" w:rsidR="7C012E85">
        <w:rPr>
          <w:rFonts w:ascii="Calibri" w:hAnsi="Calibri" w:eastAsia="Calibri" w:cs="Calibri"/>
          <w:b w:val="1"/>
          <w:bCs w:val="1"/>
          <w:noProof w:val="0"/>
          <w:color w:val="000000" w:themeColor="text1" w:themeTint="FF" w:themeShade="FF"/>
          <w:sz w:val="24"/>
          <w:szCs w:val="24"/>
          <w:lang w:val="en-GB"/>
        </w:rPr>
        <w:t>Results Summary</w:t>
      </w:r>
    </w:p>
    <w:tbl>
      <w:tblPr>
        <w:tblStyle w:val="TableNormal"/>
        <w:bidiVisual w:val="0"/>
        <w:tblW w:w="0" w:type="auto"/>
        <w:tblLook w:val="06A0" w:firstRow="1" w:lastRow="0" w:firstColumn="1" w:lastColumn="0" w:noHBand="1" w:noVBand="1"/>
      </w:tblPr>
      <w:tblGrid>
        <w:gridCol w:w="2493"/>
        <w:gridCol w:w="2206"/>
        <w:gridCol w:w="3907"/>
      </w:tblGrid>
      <w:tr w:rsidR="6B3145EF" w:rsidTr="6B3145EF" w14:paraId="33BBFC77">
        <w:trPr>
          <w:trHeight w:val="300"/>
        </w:trPr>
        <w:tc>
          <w:tcPr>
            <w:tcW w:w="2493" w:type="dxa"/>
            <w:tcMar/>
            <w:vAlign w:val="center"/>
          </w:tcPr>
          <w:p w:rsidR="6B3145EF" w:rsidP="6B3145EF" w:rsidRDefault="6B3145EF" w14:paraId="3FA109CB" w14:textId="28CA887A">
            <w:pPr>
              <w:spacing w:before="0" w:beforeAutospacing="off" w:after="0" w:afterAutospacing="off"/>
              <w:jc w:val="center"/>
              <w:rPr>
                <w:rFonts w:ascii="Calibri" w:hAnsi="Calibri" w:eastAsia="Calibri" w:cs="Calibri"/>
                <w:b w:val="1"/>
                <w:bCs w:val="1"/>
                <w:sz w:val="24"/>
                <w:szCs w:val="24"/>
              </w:rPr>
            </w:pPr>
            <w:r w:rsidRPr="6B3145EF" w:rsidR="6B3145EF">
              <w:rPr>
                <w:rFonts w:ascii="Calibri" w:hAnsi="Calibri" w:eastAsia="Calibri" w:cs="Calibri"/>
                <w:b w:val="1"/>
                <w:bCs w:val="1"/>
                <w:sz w:val="24"/>
                <w:szCs w:val="24"/>
              </w:rPr>
              <w:t>Component</w:t>
            </w:r>
          </w:p>
        </w:tc>
        <w:tc>
          <w:tcPr>
            <w:tcW w:w="2206" w:type="dxa"/>
            <w:tcMar/>
            <w:vAlign w:val="center"/>
          </w:tcPr>
          <w:p w:rsidR="6B3145EF" w:rsidP="6B3145EF" w:rsidRDefault="6B3145EF" w14:paraId="117523AB" w14:textId="7F060934">
            <w:pPr>
              <w:spacing w:before="0" w:beforeAutospacing="off" w:after="0" w:afterAutospacing="off"/>
              <w:jc w:val="center"/>
              <w:rPr>
                <w:rFonts w:ascii="Calibri" w:hAnsi="Calibri" w:eastAsia="Calibri" w:cs="Calibri"/>
                <w:b w:val="1"/>
                <w:bCs w:val="1"/>
                <w:sz w:val="24"/>
                <w:szCs w:val="24"/>
              </w:rPr>
            </w:pPr>
            <w:r w:rsidRPr="6B3145EF" w:rsidR="6B3145EF">
              <w:rPr>
                <w:rFonts w:ascii="Calibri" w:hAnsi="Calibri" w:eastAsia="Calibri" w:cs="Calibri"/>
                <w:b w:val="1"/>
                <w:bCs w:val="1"/>
                <w:sz w:val="24"/>
                <w:szCs w:val="24"/>
              </w:rPr>
              <w:t>Test</w:t>
            </w:r>
          </w:p>
        </w:tc>
        <w:tc>
          <w:tcPr>
            <w:tcW w:w="3907" w:type="dxa"/>
            <w:tcMar/>
            <w:vAlign w:val="center"/>
          </w:tcPr>
          <w:p w:rsidR="6B3145EF" w:rsidP="6B3145EF" w:rsidRDefault="6B3145EF" w14:paraId="61CA0EE1" w14:textId="2908D499">
            <w:pPr>
              <w:spacing w:before="0" w:beforeAutospacing="off" w:after="0" w:afterAutospacing="off"/>
              <w:jc w:val="center"/>
              <w:rPr>
                <w:rFonts w:ascii="Calibri" w:hAnsi="Calibri" w:eastAsia="Calibri" w:cs="Calibri"/>
                <w:b w:val="1"/>
                <w:bCs w:val="1"/>
                <w:sz w:val="24"/>
                <w:szCs w:val="24"/>
              </w:rPr>
            </w:pPr>
            <w:r w:rsidRPr="6B3145EF" w:rsidR="6B3145EF">
              <w:rPr>
                <w:rFonts w:ascii="Calibri" w:hAnsi="Calibri" w:eastAsia="Calibri" w:cs="Calibri"/>
                <w:b w:val="1"/>
                <w:bCs w:val="1"/>
                <w:sz w:val="24"/>
                <w:szCs w:val="24"/>
              </w:rPr>
              <w:t>Result</w:t>
            </w:r>
          </w:p>
        </w:tc>
      </w:tr>
      <w:tr w:rsidR="6B3145EF" w:rsidTr="6B3145EF" w14:paraId="5D7BCB9A">
        <w:trPr>
          <w:trHeight w:val="300"/>
        </w:trPr>
        <w:tc>
          <w:tcPr>
            <w:tcW w:w="2493" w:type="dxa"/>
            <w:tcMar/>
            <w:vAlign w:val="center"/>
          </w:tcPr>
          <w:p w:rsidR="6B3145EF" w:rsidP="6B3145EF" w:rsidRDefault="6B3145EF" w14:paraId="7C50A0FE" w14:textId="5E6EB6A9">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Body Composition</w:t>
            </w:r>
          </w:p>
        </w:tc>
        <w:tc>
          <w:tcPr>
            <w:tcW w:w="2206" w:type="dxa"/>
            <w:tcMar/>
            <w:vAlign w:val="center"/>
          </w:tcPr>
          <w:p w:rsidR="6B3145EF" w:rsidP="6B3145EF" w:rsidRDefault="6B3145EF" w14:paraId="0B923D9A" w14:textId="034213BD">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InBody Scanner</w:t>
            </w:r>
          </w:p>
        </w:tc>
        <w:tc>
          <w:tcPr>
            <w:tcW w:w="3907" w:type="dxa"/>
            <w:tcMar/>
            <w:vAlign w:val="center"/>
          </w:tcPr>
          <w:p w:rsidR="6B3145EF" w:rsidP="6B3145EF" w:rsidRDefault="6B3145EF" w14:paraId="264F46C5" w14:textId="5DAAA8FA">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94.3 kg, SMM: 48.9 kg, BF%: 10.2%</w:t>
            </w:r>
          </w:p>
        </w:tc>
      </w:tr>
      <w:tr w:rsidR="6B3145EF" w:rsidTr="6B3145EF" w14:paraId="0300C53A">
        <w:trPr>
          <w:trHeight w:val="300"/>
        </w:trPr>
        <w:tc>
          <w:tcPr>
            <w:tcW w:w="2493" w:type="dxa"/>
            <w:tcMar/>
            <w:vAlign w:val="center"/>
          </w:tcPr>
          <w:p w:rsidR="6B3145EF" w:rsidP="6B3145EF" w:rsidRDefault="6B3145EF" w14:paraId="36F1CEB6" w14:textId="208F0138">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Cardiovascular Fitness</w:t>
            </w:r>
          </w:p>
        </w:tc>
        <w:tc>
          <w:tcPr>
            <w:tcW w:w="2206" w:type="dxa"/>
            <w:tcMar/>
            <w:vAlign w:val="center"/>
          </w:tcPr>
          <w:p w:rsidR="6B3145EF" w:rsidP="6B3145EF" w:rsidRDefault="6B3145EF" w14:paraId="5D0DD3A8" w14:textId="2C778369">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Step Test HR</w:t>
            </w:r>
          </w:p>
        </w:tc>
        <w:tc>
          <w:tcPr>
            <w:tcW w:w="3907" w:type="dxa"/>
            <w:tcMar/>
            <w:vAlign w:val="center"/>
          </w:tcPr>
          <w:p w:rsidR="6B3145EF" w:rsidP="6B3145EF" w:rsidRDefault="6B3145EF" w14:paraId="011AA57C" w14:textId="098D56A4">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147 bpm</w:t>
            </w:r>
          </w:p>
        </w:tc>
      </w:tr>
      <w:tr w:rsidR="6B3145EF" w:rsidTr="6B3145EF" w14:paraId="61CDC56C">
        <w:trPr>
          <w:trHeight w:val="300"/>
        </w:trPr>
        <w:tc>
          <w:tcPr>
            <w:tcW w:w="2493" w:type="dxa"/>
            <w:tcMar/>
            <w:vAlign w:val="center"/>
          </w:tcPr>
          <w:p w:rsidR="6B3145EF" w:rsidP="6B3145EF" w:rsidRDefault="6B3145EF" w14:paraId="04F8CD08" w14:textId="45017A7F">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Muscular Endurance</w:t>
            </w:r>
          </w:p>
        </w:tc>
        <w:tc>
          <w:tcPr>
            <w:tcW w:w="2206" w:type="dxa"/>
            <w:tcMar/>
            <w:vAlign w:val="center"/>
          </w:tcPr>
          <w:p w:rsidR="6B3145EF" w:rsidP="6B3145EF" w:rsidRDefault="6B3145EF" w14:paraId="71B660F4" w14:textId="6C414DE1">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Press-Up Test</w:t>
            </w:r>
          </w:p>
        </w:tc>
        <w:tc>
          <w:tcPr>
            <w:tcW w:w="3907" w:type="dxa"/>
            <w:tcMar/>
            <w:vAlign w:val="center"/>
          </w:tcPr>
          <w:p w:rsidR="6B3145EF" w:rsidP="6B3145EF" w:rsidRDefault="6B3145EF" w14:paraId="59CC799E" w14:textId="4CC95D51">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47 reps</w:t>
            </w:r>
          </w:p>
        </w:tc>
      </w:tr>
      <w:tr w:rsidR="6B3145EF" w:rsidTr="6B3145EF" w14:paraId="4A9CC3CA">
        <w:trPr>
          <w:trHeight w:val="300"/>
        </w:trPr>
        <w:tc>
          <w:tcPr>
            <w:tcW w:w="2493" w:type="dxa"/>
            <w:tcMar/>
            <w:vAlign w:val="center"/>
          </w:tcPr>
          <w:p w:rsidR="6B3145EF" w:rsidP="6B3145EF" w:rsidRDefault="6B3145EF" w14:paraId="6BB9B487" w14:textId="226CD337">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Flexibility</w:t>
            </w:r>
          </w:p>
        </w:tc>
        <w:tc>
          <w:tcPr>
            <w:tcW w:w="2206" w:type="dxa"/>
            <w:tcMar/>
            <w:vAlign w:val="center"/>
          </w:tcPr>
          <w:p w:rsidR="6B3145EF" w:rsidP="6B3145EF" w:rsidRDefault="6B3145EF" w14:paraId="5CC83A76" w14:textId="4AF61314">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Sit and Reach</w:t>
            </w:r>
          </w:p>
        </w:tc>
        <w:tc>
          <w:tcPr>
            <w:tcW w:w="3907" w:type="dxa"/>
            <w:tcMar/>
            <w:vAlign w:val="center"/>
          </w:tcPr>
          <w:p w:rsidR="6B3145EF" w:rsidP="6B3145EF" w:rsidRDefault="6B3145EF" w14:paraId="521C4198" w14:textId="2D72BC72">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20 cm</w:t>
            </w:r>
          </w:p>
        </w:tc>
      </w:tr>
      <w:tr w:rsidR="6B3145EF" w:rsidTr="6B3145EF" w14:paraId="1F677577">
        <w:trPr>
          <w:trHeight w:val="300"/>
        </w:trPr>
        <w:tc>
          <w:tcPr>
            <w:tcW w:w="2493" w:type="dxa"/>
            <w:tcMar/>
            <w:vAlign w:val="center"/>
          </w:tcPr>
          <w:p w:rsidR="6B3145EF" w:rsidP="6B3145EF" w:rsidRDefault="6B3145EF" w14:paraId="14AAF874" w14:textId="1B6776B8">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Muscular Strength</w:t>
            </w:r>
          </w:p>
        </w:tc>
        <w:tc>
          <w:tcPr>
            <w:tcW w:w="2206" w:type="dxa"/>
            <w:tcMar/>
            <w:vAlign w:val="center"/>
          </w:tcPr>
          <w:p w:rsidR="6B3145EF" w:rsidP="6B3145EF" w:rsidRDefault="6B3145EF" w14:paraId="60C78367" w14:textId="186C4445">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Grip Strength (R/L)</w:t>
            </w:r>
          </w:p>
        </w:tc>
        <w:tc>
          <w:tcPr>
            <w:tcW w:w="3907" w:type="dxa"/>
            <w:tcMar/>
            <w:vAlign w:val="center"/>
          </w:tcPr>
          <w:p w:rsidR="6B3145EF" w:rsidP="6B3145EF" w:rsidRDefault="6B3145EF" w14:paraId="6BA47F5A" w14:textId="6E9661CE">
            <w:pPr>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49.3 / 48.4 kg</w:t>
            </w:r>
          </w:p>
        </w:tc>
      </w:tr>
    </w:tbl>
    <w:p w:rsidR="4326913C" w:rsidP="6B3145EF" w:rsidRDefault="4326913C" w14:paraId="3A8D0A29" w14:textId="62CB985D">
      <w:pPr>
        <w:bidi w:val="0"/>
        <w:rPr>
          <w:rFonts w:ascii="Calibri" w:hAnsi="Calibri" w:eastAsia="Calibri" w:cs="Calibri"/>
          <w:sz w:val="24"/>
          <w:szCs w:val="24"/>
        </w:rPr>
      </w:pPr>
    </w:p>
    <w:p w:rsidR="4326913C" w:rsidP="6B3145EF" w:rsidRDefault="4326913C" w14:paraId="2B21A183" w14:textId="3D87D4AB">
      <w:pPr>
        <w:pStyle w:val="Heading3"/>
        <w:bidi w:val="0"/>
        <w:spacing w:before="281" w:beforeAutospacing="off" w:after="281" w:afterAutospacing="off"/>
        <w:rPr>
          <w:rFonts w:ascii="Calibri" w:hAnsi="Calibri" w:eastAsia="Calibri" w:cs="Calibri"/>
          <w:b w:val="1"/>
          <w:bCs w:val="1"/>
          <w:noProof w:val="0"/>
          <w:color w:val="000000" w:themeColor="text1" w:themeTint="FF" w:themeShade="FF"/>
          <w:sz w:val="24"/>
          <w:szCs w:val="24"/>
          <w:lang w:val="en-GB"/>
        </w:rPr>
      </w:pPr>
      <w:r w:rsidRPr="6B3145EF" w:rsidR="7C012E85">
        <w:rPr>
          <w:rFonts w:ascii="Calibri" w:hAnsi="Calibri" w:eastAsia="Calibri" w:cs="Calibri"/>
          <w:b w:val="1"/>
          <w:bCs w:val="1"/>
          <w:noProof w:val="0"/>
          <w:color w:val="000000" w:themeColor="text1" w:themeTint="FF" w:themeShade="FF"/>
          <w:sz w:val="24"/>
          <w:szCs w:val="24"/>
          <w:lang w:val="en-GB"/>
        </w:rPr>
        <w:t>ACSM Normative Comparison</w:t>
      </w:r>
    </w:p>
    <w:tbl>
      <w:tblPr>
        <w:tblStyle w:val="TableNormal"/>
        <w:bidiVisual w:val="0"/>
        <w:tblW w:w="0" w:type="auto"/>
        <w:tblLook w:val="06A0" w:firstRow="1" w:lastRow="0" w:firstColumn="1" w:lastColumn="0" w:noHBand="1" w:noVBand="1"/>
      </w:tblPr>
      <w:tblGrid>
        <w:gridCol w:w="2193"/>
        <w:gridCol w:w="1906"/>
        <w:gridCol w:w="2766"/>
        <w:gridCol w:w="1495"/>
      </w:tblGrid>
      <w:tr w:rsidR="6B3145EF" w:rsidTr="6B3145EF" w14:paraId="311C049C">
        <w:trPr>
          <w:trHeight w:val="300"/>
        </w:trPr>
        <w:tc>
          <w:tcPr>
            <w:tcW w:w="2193" w:type="dxa"/>
            <w:tcMar/>
            <w:vAlign w:val="center"/>
          </w:tcPr>
          <w:p w:rsidR="6B3145EF" w:rsidP="6B3145EF" w:rsidRDefault="6B3145EF" w14:paraId="725FC5C5" w14:textId="5F6423EA">
            <w:pPr>
              <w:bidi w:val="0"/>
              <w:spacing w:before="0" w:beforeAutospacing="off" w:after="0" w:afterAutospacing="off"/>
              <w:jc w:val="center"/>
              <w:rPr>
                <w:rFonts w:ascii="Calibri" w:hAnsi="Calibri" w:eastAsia="Calibri" w:cs="Calibri"/>
                <w:b w:val="1"/>
                <w:bCs w:val="1"/>
                <w:sz w:val="24"/>
                <w:szCs w:val="24"/>
              </w:rPr>
            </w:pPr>
            <w:r w:rsidRPr="6B3145EF" w:rsidR="6B3145EF">
              <w:rPr>
                <w:rFonts w:ascii="Calibri" w:hAnsi="Calibri" w:eastAsia="Calibri" w:cs="Calibri"/>
                <w:b w:val="1"/>
                <w:bCs w:val="1"/>
                <w:sz w:val="24"/>
                <w:szCs w:val="24"/>
              </w:rPr>
              <w:t>Component</w:t>
            </w:r>
          </w:p>
        </w:tc>
        <w:tc>
          <w:tcPr>
            <w:tcW w:w="1906" w:type="dxa"/>
            <w:tcMar/>
            <w:vAlign w:val="center"/>
          </w:tcPr>
          <w:p w:rsidR="6B3145EF" w:rsidP="6B3145EF" w:rsidRDefault="6B3145EF" w14:paraId="7D188F28" w14:textId="0343E6FA">
            <w:pPr>
              <w:bidi w:val="0"/>
              <w:spacing w:before="0" w:beforeAutospacing="off" w:after="0" w:afterAutospacing="off"/>
              <w:jc w:val="center"/>
              <w:rPr>
                <w:rFonts w:ascii="Calibri" w:hAnsi="Calibri" w:eastAsia="Calibri" w:cs="Calibri"/>
                <w:b w:val="1"/>
                <w:bCs w:val="1"/>
                <w:sz w:val="24"/>
                <w:szCs w:val="24"/>
              </w:rPr>
            </w:pPr>
            <w:r w:rsidRPr="6B3145EF" w:rsidR="6B3145EF">
              <w:rPr>
                <w:rFonts w:ascii="Calibri" w:hAnsi="Calibri" w:eastAsia="Calibri" w:cs="Calibri"/>
                <w:b w:val="1"/>
                <w:bCs w:val="1"/>
                <w:sz w:val="24"/>
                <w:szCs w:val="24"/>
              </w:rPr>
              <w:t>Result</w:t>
            </w:r>
          </w:p>
        </w:tc>
        <w:tc>
          <w:tcPr>
            <w:tcW w:w="2766" w:type="dxa"/>
            <w:tcMar/>
            <w:vAlign w:val="center"/>
          </w:tcPr>
          <w:p w:rsidR="6B3145EF" w:rsidP="6B3145EF" w:rsidRDefault="6B3145EF" w14:paraId="01CB9BDE" w14:textId="7A6F7066">
            <w:pPr>
              <w:bidi w:val="0"/>
              <w:spacing w:before="0" w:beforeAutospacing="off" w:after="0" w:afterAutospacing="off"/>
              <w:jc w:val="center"/>
              <w:rPr>
                <w:rFonts w:ascii="Calibri" w:hAnsi="Calibri" w:eastAsia="Calibri" w:cs="Calibri"/>
                <w:b w:val="1"/>
                <w:bCs w:val="1"/>
                <w:sz w:val="24"/>
                <w:szCs w:val="24"/>
              </w:rPr>
            </w:pPr>
            <w:r w:rsidRPr="6B3145EF" w:rsidR="6B3145EF">
              <w:rPr>
                <w:rFonts w:ascii="Calibri" w:hAnsi="Calibri" w:eastAsia="Calibri" w:cs="Calibri"/>
                <w:b w:val="1"/>
                <w:bCs w:val="1"/>
                <w:sz w:val="24"/>
                <w:szCs w:val="24"/>
              </w:rPr>
              <w:t>ACSM Norm (Male 20–29)</w:t>
            </w:r>
          </w:p>
        </w:tc>
        <w:tc>
          <w:tcPr>
            <w:tcW w:w="1495" w:type="dxa"/>
            <w:tcMar/>
            <w:vAlign w:val="center"/>
          </w:tcPr>
          <w:p w:rsidR="6B3145EF" w:rsidP="6B3145EF" w:rsidRDefault="6B3145EF" w14:paraId="55DDB5B7" w14:textId="2D00F634">
            <w:pPr>
              <w:bidi w:val="0"/>
              <w:spacing w:before="0" w:beforeAutospacing="off" w:after="0" w:afterAutospacing="off"/>
              <w:jc w:val="center"/>
              <w:rPr>
                <w:rFonts w:ascii="Calibri" w:hAnsi="Calibri" w:eastAsia="Calibri" w:cs="Calibri"/>
                <w:b w:val="1"/>
                <w:bCs w:val="1"/>
                <w:sz w:val="24"/>
                <w:szCs w:val="24"/>
              </w:rPr>
            </w:pPr>
            <w:r w:rsidRPr="6B3145EF" w:rsidR="6B3145EF">
              <w:rPr>
                <w:rFonts w:ascii="Calibri" w:hAnsi="Calibri" w:eastAsia="Calibri" w:cs="Calibri"/>
                <w:b w:val="1"/>
                <w:bCs w:val="1"/>
                <w:sz w:val="24"/>
                <w:szCs w:val="24"/>
              </w:rPr>
              <w:t>Rating</w:t>
            </w:r>
          </w:p>
        </w:tc>
      </w:tr>
      <w:tr w:rsidR="6B3145EF" w:rsidTr="6B3145EF" w14:paraId="409C9E61">
        <w:trPr>
          <w:trHeight w:val="300"/>
        </w:trPr>
        <w:tc>
          <w:tcPr>
            <w:tcW w:w="2193" w:type="dxa"/>
            <w:tcMar/>
            <w:vAlign w:val="center"/>
          </w:tcPr>
          <w:p w:rsidR="6B3145EF" w:rsidP="6B3145EF" w:rsidRDefault="6B3145EF" w14:paraId="73CC888E" w14:textId="708DFFB9">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Body Fat %</w:t>
            </w:r>
          </w:p>
        </w:tc>
        <w:tc>
          <w:tcPr>
            <w:tcW w:w="1906" w:type="dxa"/>
            <w:tcMar/>
            <w:vAlign w:val="center"/>
          </w:tcPr>
          <w:p w:rsidR="6B3145EF" w:rsidP="6B3145EF" w:rsidRDefault="6B3145EF" w14:paraId="4DB19C0F" w14:textId="47213543">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10.2%</w:t>
            </w:r>
          </w:p>
        </w:tc>
        <w:tc>
          <w:tcPr>
            <w:tcW w:w="2766" w:type="dxa"/>
            <w:tcMar/>
            <w:vAlign w:val="center"/>
          </w:tcPr>
          <w:p w:rsidR="6B3145EF" w:rsidP="6B3145EF" w:rsidRDefault="6B3145EF" w14:paraId="3C589F76" w14:textId="193D076F">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8–15%</w:t>
            </w:r>
          </w:p>
        </w:tc>
        <w:tc>
          <w:tcPr>
            <w:tcW w:w="1495" w:type="dxa"/>
            <w:tcMar/>
            <w:vAlign w:val="center"/>
          </w:tcPr>
          <w:p w:rsidR="6B3145EF" w:rsidP="6B3145EF" w:rsidRDefault="6B3145EF" w14:paraId="07F0943B" w14:textId="3B148F01">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Excellent</w:t>
            </w:r>
          </w:p>
        </w:tc>
      </w:tr>
      <w:tr w:rsidR="6B3145EF" w:rsidTr="6B3145EF" w14:paraId="42100ED9">
        <w:trPr>
          <w:trHeight w:val="300"/>
        </w:trPr>
        <w:tc>
          <w:tcPr>
            <w:tcW w:w="2193" w:type="dxa"/>
            <w:tcMar/>
            <w:vAlign w:val="center"/>
          </w:tcPr>
          <w:p w:rsidR="6B3145EF" w:rsidP="6B3145EF" w:rsidRDefault="6B3145EF" w14:paraId="3AB09505" w14:textId="1CF7E570">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Cardiovascular Fitness</w:t>
            </w:r>
          </w:p>
        </w:tc>
        <w:tc>
          <w:tcPr>
            <w:tcW w:w="1906" w:type="dxa"/>
            <w:tcMar/>
            <w:vAlign w:val="center"/>
          </w:tcPr>
          <w:p w:rsidR="6B3145EF" w:rsidP="6B3145EF" w:rsidRDefault="6B3145EF" w14:paraId="6F3051E6" w14:textId="4769EBE4">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147 bpm (recovery)</w:t>
            </w:r>
          </w:p>
        </w:tc>
        <w:tc>
          <w:tcPr>
            <w:tcW w:w="2766" w:type="dxa"/>
            <w:tcMar/>
            <w:vAlign w:val="center"/>
          </w:tcPr>
          <w:p w:rsidR="6B3145EF" w:rsidP="6B3145EF" w:rsidRDefault="6B3145EF" w14:paraId="79FE5860" w14:textId="38D227B0">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~120–140 bpm (good)</w:t>
            </w:r>
          </w:p>
        </w:tc>
        <w:tc>
          <w:tcPr>
            <w:tcW w:w="1495" w:type="dxa"/>
            <w:tcMar/>
            <w:vAlign w:val="center"/>
          </w:tcPr>
          <w:p w:rsidR="6B3145EF" w:rsidP="6B3145EF" w:rsidRDefault="6B3145EF" w14:paraId="64BFE162" w14:textId="51C0E969">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Below Average</w:t>
            </w:r>
          </w:p>
        </w:tc>
      </w:tr>
      <w:tr w:rsidR="6B3145EF" w:rsidTr="6B3145EF" w14:paraId="4CE9C71A">
        <w:trPr>
          <w:trHeight w:val="300"/>
        </w:trPr>
        <w:tc>
          <w:tcPr>
            <w:tcW w:w="2193" w:type="dxa"/>
            <w:tcMar/>
            <w:vAlign w:val="center"/>
          </w:tcPr>
          <w:p w:rsidR="6B3145EF" w:rsidP="6B3145EF" w:rsidRDefault="6B3145EF" w14:paraId="6F3DAAD9" w14:textId="440D0301">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Muscular Endurance</w:t>
            </w:r>
          </w:p>
        </w:tc>
        <w:tc>
          <w:tcPr>
            <w:tcW w:w="1906" w:type="dxa"/>
            <w:tcMar/>
            <w:vAlign w:val="center"/>
          </w:tcPr>
          <w:p w:rsidR="6B3145EF" w:rsidP="6B3145EF" w:rsidRDefault="6B3145EF" w14:paraId="1F5E968A" w14:textId="7EE63979">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47 reps</w:t>
            </w:r>
          </w:p>
        </w:tc>
        <w:tc>
          <w:tcPr>
            <w:tcW w:w="2766" w:type="dxa"/>
            <w:tcMar/>
            <w:vAlign w:val="center"/>
          </w:tcPr>
          <w:p w:rsidR="6B3145EF" w:rsidP="6B3145EF" w:rsidRDefault="6B3145EF" w14:paraId="236C32BA" w14:textId="453827BA">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36+ reps</w:t>
            </w:r>
          </w:p>
        </w:tc>
        <w:tc>
          <w:tcPr>
            <w:tcW w:w="1495" w:type="dxa"/>
            <w:tcMar/>
            <w:vAlign w:val="center"/>
          </w:tcPr>
          <w:p w:rsidR="6B3145EF" w:rsidP="6B3145EF" w:rsidRDefault="6B3145EF" w14:paraId="452CAA13" w14:textId="1FD5B546">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Excellent</w:t>
            </w:r>
          </w:p>
        </w:tc>
      </w:tr>
      <w:tr w:rsidR="6B3145EF" w:rsidTr="6B3145EF" w14:paraId="7CA83EFE">
        <w:trPr>
          <w:trHeight w:val="300"/>
        </w:trPr>
        <w:tc>
          <w:tcPr>
            <w:tcW w:w="2193" w:type="dxa"/>
            <w:tcMar/>
            <w:vAlign w:val="center"/>
          </w:tcPr>
          <w:p w:rsidR="6B3145EF" w:rsidP="6B3145EF" w:rsidRDefault="6B3145EF" w14:paraId="1E89A428" w14:textId="37DB004D">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Flexibility</w:t>
            </w:r>
          </w:p>
        </w:tc>
        <w:tc>
          <w:tcPr>
            <w:tcW w:w="1906" w:type="dxa"/>
            <w:tcMar/>
            <w:vAlign w:val="center"/>
          </w:tcPr>
          <w:p w:rsidR="6B3145EF" w:rsidP="6B3145EF" w:rsidRDefault="6B3145EF" w14:paraId="15647875" w14:textId="520B8CB9">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20 cm</w:t>
            </w:r>
          </w:p>
        </w:tc>
        <w:tc>
          <w:tcPr>
            <w:tcW w:w="2766" w:type="dxa"/>
            <w:tcMar/>
            <w:vAlign w:val="center"/>
          </w:tcPr>
          <w:p w:rsidR="6B3145EF" w:rsidP="6B3145EF" w:rsidRDefault="6B3145EF" w14:paraId="69A6AB7C" w14:textId="71DE43A0">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16–27 cm</w:t>
            </w:r>
          </w:p>
        </w:tc>
        <w:tc>
          <w:tcPr>
            <w:tcW w:w="1495" w:type="dxa"/>
            <w:tcMar/>
            <w:vAlign w:val="center"/>
          </w:tcPr>
          <w:p w:rsidR="6B3145EF" w:rsidP="6B3145EF" w:rsidRDefault="6B3145EF" w14:paraId="66A9EB9F" w14:textId="2D560027">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Average</w:t>
            </w:r>
          </w:p>
        </w:tc>
      </w:tr>
      <w:tr w:rsidR="6B3145EF" w:rsidTr="6B3145EF" w14:paraId="221D7A36">
        <w:trPr>
          <w:trHeight w:val="300"/>
        </w:trPr>
        <w:tc>
          <w:tcPr>
            <w:tcW w:w="2193" w:type="dxa"/>
            <w:tcMar/>
            <w:vAlign w:val="center"/>
          </w:tcPr>
          <w:p w:rsidR="6B3145EF" w:rsidP="6B3145EF" w:rsidRDefault="6B3145EF" w14:paraId="1424F93A" w14:textId="15D99E3E">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Grip Strength</w:t>
            </w:r>
          </w:p>
        </w:tc>
        <w:tc>
          <w:tcPr>
            <w:tcW w:w="1906" w:type="dxa"/>
            <w:tcMar/>
            <w:vAlign w:val="center"/>
          </w:tcPr>
          <w:p w:rsidR="6B3145EF" w:rsidP="6B3145EF" w:rsidRDefault="6B3145EF" w14:paraId="2D22CE87" w14:textId="05D23E59">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~49 kg</w:t>
            </w:r>
          </w:p>
        </w:tc>
        <w:tc>
          <w:tcPr>
            <w:tcW w:w="2766" w:type="dxa"/>
            <w:tcMar/>
            <w:vAlign w:val="center"/>
          </w:tcPr>
          <w:p w:rsidR="6B3145EF" w:rsidP="6B3145EF" w:rsidRDefault="6B3145EF" w14:paraId="23F51260" w14:textId="1712891C">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45–50+ kg</w:t>
            </w:r>
          </w:p>
        </w:tc>
        <w:tc>
          <w:tcPr>
            <w:tcW w:w="1495" w:type="dxa"/>
            <w:tcMar/>
            <w:vAlign w:val="center"/>
          </w:tcPr>
          <w:p w:rsidR="6B3145EF" w:rsidP="6B3145EF" w:rsidRDefault="6B3145EF" w14:paraId="0F4BAE0B" w14:textId="74186B5A">
            <w:pPr>
              <w:bidi w:val="0"/>
              <w:spacing w:before="0" w:beforeAutospacing="off" w:after="0" w:afterAutospacing="off"/>
              <w:rPr>
                <w:rFonts w:ascii="Calibri" w:hAnsi="Calibri" w:eastAsia="Calibri" w:cs="Calibri"/>
                <w:sz w:val="24"/>
                <w:szCs w:val="24"/>
              </w:rPr>
            </w:pPr>
            <w:r w:rsidRPr="6B3145EF" w:rsidR="6B3145EF">
              <w:rPr>
                <w:rFonts w:ascii="Calibri" w:hAnsi="Calibri" w:eastAsia="Calibri" w:cs="Calibri"/>
                <w:sz w:val="24"/>
                <w:szCs w:val="24"/>
              </w:rPr>
              <w:t>Above Average</w:t>
            </w:r>
          </w:p>
        </w:tc>
      </w:tr>
    </w:tbl>
    <w:p w:rsidR="4326913C" w:rsidP="6B3145EF" w:rsidRDefault="4326913C" w14:paraId="464168CE" w14:textId="2F1D4D1B">
      <w:pPr>
        <w:bidi w:val="0"/>
        <w:rPr>
          <w:rFonts w:ascii="Calibri" w:hAnsi="Calibri" w:eastAsia="Calibri" w:cs="Calibri"/>
          <w:sz w:val="24"/>
          <w:szCs w:val="24"/>
        </w:rPr>
      </w:pPr>
    </w:p>
    <w:p w:rsidR="4326913C" w:rsidP="6B3145EF" w:rsidRDefault="4326913C" w14:paraId="2D75BAD1" w14:textId="5F0B8C0A">
      <w:pPr>
        <w:pStyle w:val="Heading3"/>
        <w:bidi w:val="0"/>
        <w:spacing w:before="281" w:beforeAutospacing="off" w:after="281" w:afterAutospacing="off"/>
        <w:rPr>
          <w:rFonts w:ascii="Calibri" w:hAnsi="Calibri" w:eastAsia="Calibri" w:cs="Calibri"/>
          <w:b w:val="1"/>
          <w:bCs w:val="1"/>
          <w:noProof w:val="0"/>
          <w:color w:val="000000" w:themeColor="text1" w:themeTint="FF" w:themeShade="FF"/>
          <w:sz w:val="24"/>
          <w:szCs w:val="24"/>
          <w:lang w:val="en-GB"/>
        </w:rPr>
      </w:pPr>
      <w:r w:rsidRPr="6B3145EF" w:rsidR="7C012E85">
        <w:rPr>
          <w:rFonts w:ascii="Calibri" w:hAnsi="Calibri" w:eastAsia="Calibri" w:cs="Calibri"/>
          <w:b w:val="1"/>
          <w:bCs w:val="1"/>
          <w:noProof w:val="0"/>
          <w:color w:val="000000" w:themeColor="text1" w:themeTint="FF" w:themeShade="FF"/>
          <w:sz w:val="24"/>
          <w:szCs w:val="24"/>
          <w:lang w:val="en-GB"/>
        </w:rPr>
        <w:t>Interpretation</w:t>
      </w:r>
    </w:p>
    <w:p w:rsidR="4326913C" w:rsidP="6B3145EF" w:rsidRDefault="4326913C" w14:paraId="13143B11" w14:textId="73D690B9">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The body composition results indicate a body fat percentage of 10.2%, which is classified as “excellent” according to ACSM normative data for males aged 20–29. This suggests a low level of adiposity and a favourable body composition profile. Additionally, the skeletal muscle mass of 48.9 kg indicates a high level of lean tissue, which is beneficial for metabolic health, strength, and physical performance.</w:t>
      </w:r>
    </w:p>
    <w:p w:rsidR="4326913C" w:rsidP="6B3145EF" w:rsidRDefault="4326913C" w14:paraId="63B15535" w14:textId="19E7DDE5">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In contrast, the cardiovascular fitness result of 147 bpm following the 3-minute step test falls slightly outside the “good” range (typically 120–140 bpm), placing the individual in the “below average” category. This suggests that heart rate recovery is slower than expected for this age group, indicating reduced aerobic efficiency. Given the strong muscular profile, this highlights a disparity between strength-based fitness and cardiovascular capacity.</w:t>
      </w:r>
    </w:p>
    <w:p w:rsidR="4326913C" w:rsidP="6B3145EF" w:rsidRDefault="4326913C" w14:paraId="3B8E28C0" w14:textId="4E55A68C">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The press-up test score of 47 repetitions is categorised as “excellent,” exceeding the ACSM threshold of 36+ repetitions. This demonstrates a high level of upper body muscular endurance, particularly in the pectoral, deltoid, and triceps muscle groups. This level of endurance is advantageous for both functional tasks and athletic performance.</w:t>
      </w:r>
    </w:p>
    <w:p w:rsidR="4326913C" w:rsidP="6B3145EF" w:rsidRDefault="4326913C" w14:paraId="520DE1BA" w14:textId="33EB563B">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Flexibility, assessed via the sit-and-reach test, resulted in a score of 20 cm, which falls within the “average” range (16–27 cm). While adequate, this suggests that flexibility is not a standout component of fitness and could be improved to enhance movement efficiency and reduce injury risk.</w:t>
      </w:r>
    </w:p>
    <w:p w:rsidR="4326913C" w:rsidP="6B3145EF" w:rsidRDefault="4326913C" w14:paraId="6962E904" w14:textId="25E3574D">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Grip strength results of approximately 49 kg place the individual in the “above average” category. Grip strength is strongly correlated with overall muscular strength and functional capacity, indicating a well-developed neuromuscular system.</w:t>
      </w:r>
    </w:p>
    <w:p w:rsidR="4326913C" w:rsidP="6B3145EF" w:rsidRDefault="4326913C" w14:paraId="70A4033C" w14:textId="6145EE78">
      <w:pPr>
        <w:bidi w:val="0"/>
        <w:rPr>
          <w:rFonts w:ascii="Calibri" w:hAnsi="Calibri" w:eastAsia="Calibri" w:cs="Calibri"/>
          <w:sz w:val="24"/>
          <w:szCs w:val="24"/>
        </w:rPr>
      </w:pPr>
    </w:p>
    <w:p w:rsidR="4326913C" w:rsidP="6B3145EF" w:rsidRDefault="4326913C" w14:paraId="6EC19B1B" w14:textId="4F0604D6">
      <w:pPr>
        <w:pStyle w:val="Heading3"/>
        <w:bidi w:val="0"/>
        <w:spacing w:before="281" w:beforeAutospacing="off" w:after="281" w:afterAutospacing="off"/>
        <w:rPr>
          <w:rFonts w:ascii="Calibri" w:hAnsi="Calibri" w:eastAsia="Calibri" w:cs="Calibri"/>
          <w:b w:val="1"/>
          <w:bCs w:val="1"/>
          <w:noProof w:val="0"/>
          <w:color w:val="000000" w:themeColor="text1" w:themeTint="FF" w:themeShade="FF"/>
          <w:sz w:val="24"/>
          <w:szCs w:val="24"/>
          <w:lang w:val="en-GB"/>
        </w:rPr>
      </w:pPr>
      <w:r w:rsidRPr="6B3145EF" w:rsidR="7C012E85">
        <w:rPr>
          <w:rFonts w:ascii="Calibri" w:hAnsi="Calibri" w:eastAsia="Calibri" w:cs="Calibri"/>
          <w:b w:val="1"/>
          <w:bCs w:val="1"/>
          <w:noProof w:val="0"/>
          <w:color w:val="000000" w:themeColor="text1" w:themeTint="FF" w:themeShade="FF"/>
          <w:sz w:val="24"/>
          <w:szCs w:val="24"/>
          <w:lang w:val="en-GB"/>
        </w:rPr>
        <w:t>Summary of Strengths and Weaknesses</w:t>
      </w:r>
    </w:p>
    <w:p w:rsidR="4326913C" w:rsidP="6B3145EF" w:rsidRDefault="4326913C" w14:paraId="31201EAA" w14:textId="284E9AC8">
      <w:pPr>
        <w:bidi w:val="0"/>
        <w:spacing w:before="240" w:beforeAutospacing="off" w:after="240" w:afterAutospacing="off"/>
        <w:rPr>
          <w:rFonts w:ascii="Calibri" w:hAnsi="Calibri" w:eastAsia="Calibri" w:cs="Calibri"/>
          <w:b w:val="1"/>
          <w:bCs w:val="1"/>
          <w:noProof w:val="0"/>
          <w:color w:val="000000" w:themeColor="text1" w:themeTint="FF" w:themeShade="FF"/>
          <w:sz w:val="24"/>
          <w:szCs w:val="24"/>
          <w:lang w:val="en-GB"/>
        </w:rPr>
      </w:pPr>
      <w:r w:rsidRPr="6B3145EF" w:rsidR="7C012E85">
        <w:rPr>
          <w:rFonts w:ascii="Calibri" w:hAnsi="Calibri" w:eastAsia="Calibri" w:cs="Calibri"/>
          <w:b w:val="1"/>
          <w:bCs w:val="1"/>
          <w:noProof w:val="0"/>
          <w:color w:val="000000" w:themeColor="text1" w:themeTint="FF" w:themeShade="FF"/>
          <w:sz w:val="24"/>
          <w:szCs w:val="24"/>
          <w:lang w:val="en-GB"/>
        </w:rPr>
        <w:t>Strengths:</w:t>
      </w:r>
    </w:p>
    <w:p w:rsidR="4326913C" w:rsidP="6B3145EF" w:rsidRDefault="4326913C" w14:paraId="237C3803" w14:textId="2CA62B12">
      <w:pPr>
        <w:pStyle w:val="ListParagraph"/>
        <w:numPr>
          <w:ilvl w:val="0"/>
          <w:numId w:val="1"/>
        </w:numPr>
        <w:bidi w:val="0"/>
        <w:spacing w:before="0" w:beforeAutospacing="off" w:after="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Excellent muscular endurance</w:t>
      </w:r>
    </w:p>
    <w:p w:rsidR="4326913C" w:rsidP="6B3145EF" w:rsidRDefault="4326913C" w14:paraId="7B01E8F7" w14:textId="00CD4F5D">
      <w:pPr>
        <w:pStyle w:val="ListParagraph"/>
        <w:numPr>
          <w:ilvl w:val="0"/>
          <w:numId w:val="1"/>
        </w:numPr>
        <w:bidi w:val="0"/>
        <w:spacing w:before="0" w:beforeAutospacing="off" w:after="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High muscular strength</w:t>
      </w:r>
    </w:p>
    <w:p w:rsidR="4326913C" w:rsidP="6B3145EF" w:rsidRDefault="4326913C" w14:paraId="637FED36" w14:textId="7067BDD4">
      <w:pPr>
        <w:pStyle w:val="ListParagraph"/>
        <w:numPr>
          <w:ilvl w:val="0"/>
          <w:numId w:val="1"/>
        </w:numPr>
        <w:bidi w:val="0"/>
        <w:spacing w:before="0" w:beforeAutospacing="off" w:after="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Excellent body composition (low body fat, high muscle mass)</w:t>
      </w:r>
    </w:p>
    <w:p w:rsidR="4326913C" w:rsidP="6B3145EF" w:rsidRDefault="4326913C" w14:paraId="7BDC74F9" w14:textId="51818D62">
      <w:pPr>
        <w:bidi w:val="0"/>
        <w:spacing w:before="240" w:beforeAutospacing="off" w:after="240" w:afterAutospacing="off"/>
        <w:rPr>
          <w:rFonts w:ascii="Calibri" w:hAnsi="Calibri" w:eastAsia="Calibri" w:cs="Calibri"/>
          <w:b w:val="1"/>
          <w:bCs w:val="1"/>
          <w:noProof w:val="0"/>
          <w:color w:val="000000" w:themeColor="text1" w:themeTint="FF" w:themeShade="FF"/>
          <w:sz w:val="24"/>
          <w:szCs w:val="24"/>
          <w:lang w:val="en-GB"/>
        </w:rPr>
      </w:pPr>
      <w:r w:rsidRPr="6B3145EF" w:rsidR="7C012E85">
        <w:rPr>
          <w:rFonts w:ascii="Calibri" w:hAnsi="Calibri" w:eastAsia="Calibri" w:cs="Calibri"/>
          <w:b w:val="1"/>
          <w:bCs w:val="1"/>
          <w:noProof w:val="0"/>
          <w:color w:val="000000" w:themeColor="text1" w:themeTint="FF" w:themeShade="FF"/>
          <w:sz w:val="24"/>
          <w:szCs w:val="24"/>
          <w:lang w:val="en-GB"/>
        </w:rPr>
        <w:t>Weaknesses:</w:t>
      </w:r>
    </w:p>
    <w:p w:rsidR="4326913C" w:rsidP="6B3145EF" w:rsidRDefault="4326913C" w14:paraId="6CDC57C8" w14:textId="6AE30C9F">
      <w:pPr>
        <w:pStyle w:val="ListParagraph"/>
        <w:numPr>
          <w:ilvl w:val="0"/>
          <w:numId w:val="2"/>
        </w:numPr>
        <w:bidi w:val="0"/>
        <w:spacing w:before="0" w:beforeAutospacing="off" w:after="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Below average cardiovascular fitness</w:t>
      </w:r>
    </w:p>
    <w:p w:rsidR="4326913C" w:rsidP="6B3145EF" w:rsidRDefault="4326913C" w14:paraId="15B64856" w14:textId="0AECCFB5">
      <w:pPr>
        <w:pStyle w:val="ListParagraph"/>
        <w:numPr>
          <w:ilvl w:val="0"/>
          <w:numId w:val="2"/>
        </w:numPr>
        <w:bidi w:val="0"/>
        <w:spacing w:before="0" w:beforeAutospacing="off" w:after="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Average flexibility</w:t>
      </w:r>
    </w:p>
    <w:p w:rsidR="4326913C" w:rsidP="6B3145EF" w:rsidRDefault="4326913C" w14:paraId="7E103333" w14:textId="1DC540EF">
      <w:pPr>
        <w:bidi w:val="0"/>
        <w:rPr>
          <w:rFonts w:ascii="Calibri" w:hAnsi="Calibri" w:eastAsia="Calibri" w:cs="Calibri"/>
          <w:sz w:val="24"/>
          <w:szCs w:val="24"/>
        </w:rPr>
      </w:pPr>
    </w:p>
    <w:p w:rsidR="4326913C" w:rsidP="6B3145EF" w:rsidRDefault="4326913C" w14:paraId="255BDA9C" w14:textId="262ED7FE">
      <w:pPr>
        <w:pStyle w:val="Heading3"/>
        <w:bidi w:val="0"/>
        <w:spacing w:before="281" w:beforeAutospacing="off" w:after="281" w:afterAutospacing="off"/>
        <w:rPr>
          <w:rFonts w:ascii="Calibri" w:hAnsi="Calibri" w:eastAsia="Calibri" w:cs="Calibri"/>
          <w:b w:val="1"/>
          <w:bCs w:val="1"/>
          <w:noProof w:val="0"/>
          <w:color w:val="000000" w:themeColor="text1" w:themeTint="FF" w:themeShade="FF"/>
          <w:sz w:val="24"/>
          <w:szCs w:val="24"/>
          <w:lang w:val="en-GB"/>
        </w:rPr>
      </w:pPr>
      <w:r w:rsidRPr="6B3145EF" w:rsidR="7C012E85">
        <w:rPr>
          <w:rFonts w:ascii="Calibri" w:hAnsi="Calibri" w:eastAsia="Calibri" w:cs="Calibri"/>
          <w:b w:val="1"/>
          <w:bCs w:val="1"/>
          <w:noProof w:val="0"/>
          <w:color w:val="000000" w:themeColor="text1" w:themeTint="FF" w:themeShade="FF"/>
          <w:sz w:val="24"/>
          <w:szCs w:val="24"/>
          <w:lang w:val="en-GB"/>
        </w:rPr>
        <w:t>Implications</w:t>
      </w:r>
    </w:p>
    <w:p w:rsidR="4326913C" w:rsidP="6B3145EF" w:rsidRDefault="4326913C" w14:paraId="090E6C7E" w14:textId="69501974">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The findings indicate that the individual possesses a strong strength and body composition profile but lacks equivalent cardiovascular fitness. This imbalance may limit overall physical performance, particularly in endurance-based activities, and may have implications for long-term cardiovascular health. Addressing this weakness would result in a more balanced and comprehensive fitness profile. It should also be noted that the client was experiencing tonsillitis at the time of testing, which may have negatively impacted performance, particularly in the cardiovascular assessment, and should therefore be considered when interpreting the results.</w:t>
      </w:r>
    </w:p>
    <w:p w:rsidR="4326913C" w:rsidP="6B3145EF" w:rsidRDefault="4326913C" w14:paraId="19E42212" w14:textId="6625EE91">
      <w:pPr>
        <w:bidi w:val="0"/>
        <w:rPr>
          <w:rFonts w:ascii="Calibri" w:hAnsi="Calibri" w:eastAsia="Calibri" w:cs="Calibri"/>
          <w:sz w:val="24"/>
          <w:szCs w:val="24"/>
        </w:rPr>
      </w:pPr>
    </w:p>
    <w:p w:rsidR="4326913C" w:rsidP="6B3145EF" w:rsidRDefault="4326913C" w14:paraId="3941983C" w14:textId="5B00DF4D">
      <w:pPr>
        <w:pStyle w:val="Heading2"/>
        <w:bidi w:val="0"/>
        <w:spacing w:before="299" w:beforeAutospacing="off" w:after="299" w:afterAutospacing="off"/>
        <w:rPr>
          <w:rFonts w:ascii="Calibri" w:hAnsi="Calibri" w:eastAsia="Calibri" w:cs="Calibri"/>
          <w:b w:val="1"/>
          <w:bCs w:val="1"/>
          <w:noProof w:val="0"/>
          <w:color w:val="000000" w:themeColor="text1" w:themeTint="FF" w:themeShade="FF"/>
          <w:sz w:val="24"/>
          <w:szCs w:val="24"/>
          <w:lang w:val="en-GB"/>
        </w:rPr>
      </w:pPr>
      <w:r w:rsidRPr="6B3145EF" w:rsidR="7C012E85">
        <w:rPr>
          <w:rFonts w:ascii="Calibri" w:hAnsi="Calibri" w:eastAsia="Calibri" w:cs="Calibri"/>
          <w:b w:val="1"/>
          <w:bCs w:val="1"/>
          <w:noProof w:val="0"/>
          <w:color w:val="000000" w:themeColor="text1" w:themeTint="FF" w:themeShade="FF"/>
          <w:sz w:val="24"/>
          <w:szCs w:val="24"/>
          <w:lang w:val="en-GB"/>
        </w:rPr>
        <w:t xml:space="preserve">Part 4: Recommendations </w:t>
      </w:r>
    </w:p>
    <w:p w:rsidR="4326913C" w:rsidP="6B3145EF" w:rsidRDefault="4326913C" w14:paraId="26BFFC6E" w14:textId="51B68CD8">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Based on the assessment results, the primary focus should be on improving cardiovascular fitness while maintaining existing muscular strength and endurance.</w:t>
      </w:r>
    </w:p>
    <w:p w:rsidR="4326913C" w:rsidP="6B3145EF" w:rsidRDefault="4326913C" w14:paraId="25D0EAA1" w14:textId="07F49E37">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It is recommended that the individual engages in aerobic training 3–5 times per week, incorporating activities such as running, cycling, or rowing. Training intensity should range between 60–80% of maximum heart rate, progressing gradually to improve cardiovascular efficiency.</w:t>
      </w:r>
    </w:p>
    <w:p w:rsidR="4326913C" w:rsidP="6B3145EF" w:rsidRDefault="4326913C" w14:paraId="410C393D" w14:textId="49ACEB8B">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High-intensity interval training (HIIT) could also be included to enhance aerobic capacity in a time-efficient manner. Sessions may involve short bursts of intense activity followed by recovery periods.</w:t>
      </w:r>
    </w:p>
    <w:p w:rsidR="4326913C" w:rsidP="6B3145EF" w:rsidRDefault="4326913C" w14:paraId="486D7178" w14:textId="1E080563">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To improve flexibility, regular stretching should be incorporated, particularly targeting the hamstrings and lower back. Static stretching post-exercise and dynamic stretching during warm-ups are recommended.</w:t>
      </w:r>
    </w:p>
    <w:p w:rsidR="4326913C" w:rsidP="6B3145EF" w:rsidRDefault="4326913C" w14:paraId="13CEC9A0" w14:textId="6767821C">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Strength training should be maintained 2–3 times per week to preserve muscle mass and strength levels.</w:t>
      </w:r>
    </w:p>
    <w:p w:rsidR="4326913C" w:rsidP="6B3145EF" w:rsidRDefault="4326913C" w14:paraId="26DC17ED" w14:textId="25451526">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Lifestyle factors such as adequate sleep, hydration, and balanced nutrition should also be prioritised to support recovery and performance.</w:t>
      </w:r>
    </w:p>
    <w:p w:rsidR="4326913C" w:rsidP="6B3145EF" w:rsidRDefault="4326913C" w14:paraId="57EDBC3B" w14:textId="0093D722">
      <w:pPr>
        <w:bidi w:val="0"/>
        <w:rPr>
          <w:rFonts w:ascii="Calibri" w:hAnsi="Calibri" w:eastAsia="Calibri" w:cs="Calibri"/>
          <w:sz w:val="24"/>
          <w:szCs w:val="24"/>
        </w:rPr>
      </w:pPr>
    </w:p>
    <w:p w:rsidR="4326913C" w:rsidP="6B3145EF" w:rsidRDefault="4326913C" w14:paraId="2451D8B3" w14:textId="35F42096">
      <w:pPr>
        <w:pStyle w:val="Heading2"/>
        <w:bidi w:val="0"/>
        <w:spacing w:before="299" w:beforeAutospacing="off" w:after="299" w:afterAutospacing="off"/>
        <w:rPr>
          <w:rFonts w:ascii="Calibri" w:hAnsi="Calibri" w:eastAsia="Calibri" w:cs="Calibri"/>
          <w:b w:val="1"/>
          <w:bCs w:val="1"/>
          <w:noProof w:val="0"/>
          <w:color w:val="000000" w:themeColor="text1" w:themeTint="FF" w:themeShade="FF"/>
          <w:sz w:val="24"/>
          <w:szCs w:val="24"/>
          <w:lang w:val="en-GB"/>
        </w:rPr>
      </w:pPr>
      <w:r w:rsidRPr="6B3145EF" w:rsidR="7C012E85">
        <w:rPr>
          <w:rFonts w:ascii="Calibri" w:hAnsi="Calibri" w:eastAsia="Calibri" w:cs="Calibri"/>
          <w:b w:val="1"/>
          <w:bCs w:val="1"/>
          <w:noProof w:val="0"/>
          <w:color w:val="000000" w:themeColor="text1" w:themeTint="FF" w:themeShade="FF"/>
          <w:sz w:val="24"/>
          <w:szCs w:val="24"/>
          <w:lang w:val="en-GB"/>
        </w:rPr>
        <w:t>References (Harvard Style)</w:t>
      </w:r>
    </w:p>
    <w:p w:rsidR="4326913C" w:rsidP="6B3145EF" w:rsidRDefault="4326913C" w14:paraId="43633039" w14:textId="1917D5EC">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 xml:space="preserve">American College of Sports Medicine (ACSM) (2021) </w:t>
      </w:r>
      <w:r w:rsidRPr="6B3145EF" w:rsidR="7C012E85">
        <w:rPr>
          <w:rFonts w:ascii="Calibri" w:hAnsi="Calibri" w:eastAsia="Calibri" w:cs="Calibri"/>
          <w:i w:val="1"/>
          <w:iCs w:val="1"/>
          <w:noProof w:val="0"/>
          <w:color w:val="000000" w:themeColor="text1" w:themeTint="FF" w:themeShade="FF"/>
          <w:sz w:val="24"/>
          <w:szCs w:val="24"/>
          <w:lang w:val="en-GB"/>
        </w:rPr>
        <w:t>ACSM’s Guidelines for Exercise Testing and Prescription</w:t>
      </w:r>
      <w:r w:rsidRPr="6B3145EF" w:rsidR="7C012E85">
        <w:rPr>
          <w:rFonts w:ascii="Calibri" w:hAnsi="Calibri" w:eastAsia="Calibri" w:cs="Calibri"/>
          <w:noProof w:val="0"/>
          <w:color w:val="000000" w:themeColor="text1" w:themeTint="FF" w:themeShade="FF"/>
          <w:sz w:val="24"/>
          <w:szCs w:val="24"/>
          <w:lang w:val="en-GB"/>
        </w:rPr>
        <w:t>. 11th edn. Philadelphia: Wolters Kluwer.</w:t>
      </w:r>
    </w:p>
    <w:p w:rsidR="4326913C" w:rsidP="6B3145EF" w:rsidRDefault="4326913C" w14:paraId="22781CA7" w14:textId="2388A9E5">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 xml:space="preserve">Heyward, V.H. and Gibson, A. (2014) </w:t>
      </w:r>
      <w:r w:rsidRPr="6B3145EF" w:rsidR="7C012E85">
        <w:rPr>
          <w:rFonts w:ascii="Calibri" w:hAnsi="Calibri" w:eastAsia="Calibri" w:cs="Calibri"/>
          <w:i w:val="1"/>
          <w:iCs w:val="1"/>
          <w:noProof w:val="0"/>
          <w:color w:val="000000" w:themeColor="text1" w:themeTint="FF" w:themeShade="FF"/>
          <w:sz w:val="24"/>
          <w:szCs w:val="24"/>
          <w:lang w:val="en-GB"/>
        </w:rPr>
        <w:t>Advanced Fitness Assessment and Exercise Prescription</w:t>
      </w:r>
      <w:r w:rsidRPr="6B3145EF" w:rsidR="7C012E85">
        <w:rPr>
          <w:rFonts w:ascii="Calibri" w:hAnsi="Calibri" w:eastAsia="Calibri" w:cs="Calibri"/>
          <w:noProof w:val="0"/>
          <w:color w:val="000000" w:themeColor="text1" w:themeTint="FF" w:themeShade="FF"/>
          <w:sz w:val="24"/>
          <w:szCs w:val="24"/>
          <w:lang w:val="en-GB"/>
        </w:rPr>
        <w:t>. 7th edn. Champaign, IL: Human Kinetics.</w:t>
      </w:r>
    </w:p>
    <w:p w:rsidR="4326913C" w:rsidP="6B3145EF" w:rsidRDefault="4326913C" w14:paraId="36AA9F74" w14:textId="14058CFF">
      <w:pPr>
        <w:bidi w:val="0"/>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6B3145EF" w:rsidR="7C012E85">
        <w:rPr>
          <w:rFonts w:ascii="Calibri" w:hAnsi="Calibri" w:eastAsia="Calibri" w:cs="Calibri"/>
          <w:noProof w:val="0"/>
          <w:color w:val="000000" w:themeColor="text1" w:themeTint="FF" w:themeShade="FF"/>
          <w:sz w:val="24"/>
          <w:szCs w:val="24"/>
          <w:lang w:val="en-GB"/>
        </w:rPr>
        <w:t xml:space="preserve">McArdle, W.D., Katch, F.I. and Katch, V.L. (2015) </w:t>
      </w:r>
      <w:r w:rsidRPr="6B3145EF" w:rsidR="7C012E85">
        <w:rPr>
          <w:rFonts w:ascii="Calibri" w:hAnsi="Calibri" w:eastAsia="Calibri" w:cs="Calibri"/>
          <w:i w:val="1"/>
          <w:iCs w:val="1"/>
          <w:noProof w:val="0"/>
          <w:color w:val="000000" w:themeColor="text1" w:themeTint="FF" w:themeShade="FF"/>
          <w:sz w:val="24"/>
          <w:szCs w:val="24"/>
          <w:lang w:val="en-GB"/>
        </w:rPr>
        <w:t>Exercise Physiology: Nutrition, Energy, and Human Performance</w:t>
      </w:r>
      <w:r w:rsidRPr="6B3145EF" w:rsidR="7C012E85">
        <w:rPr>
          <w:rFonts w:ascii="Calibri" w:hAnsi="Calibri" w:eastAsia="Calibri" w:cs="Calibri"/>
          <w:noProof w:val="0"/>
          <w:color w:val="000000" w:themeColor="text1" w:themeTint="FF" w:themeShade="FF"/>
          <w:sz w:val="24"/>
          <w:szCs w:val="24"/>
          <w:lang w:val="en-GB"/>
        </w:rPr>
        <w:t>. 8th edn. Philadelphia: Wolters Kluwer.</w:t>
      </w:r>
    </w:p>
    <w:p w:rsidR="4326913C" w:rsidP="6B3145EF" w:rsidRDefault="4326913C" w14:paraId="61C21BEA" w14:textId="437607EC">
      <w:pPr>
        <w:rPr>
          <w:rFonts w:ascii="Calibri" w:hAnsi="Calibri" w:eastAsia="Calibri" w:cs="Calibri"/>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72888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a40f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9EBEF9"/>
    <w:rsid w:val="00655B35"/>
    <w:rsid w:val="0132C89A"/>
    <w:rsid w:val="015AC873"/>
    <w:rsid w:val="02F9E7C1"/>
    <w:rsid w:val="03B5F3DD"/>
    <w:rsid w:val="03C8B9F4"/>
    <w:rsid w:val="04397801"/>
    <w:rsid w:val="04603123"/>
    <w:rsid w:val="06705DA0"/>
    <w:rsid w:val="06725265"/>
    <w:rsid w:val="06BF7407"/>
    <w:rsid w:val="06E75250"/>
    <w:rsid w:val="07644766"/>
    <w:rsid w:val="07686BA8"/>
    <w:rsid w:val="097457F4"/>
    <w:rsid w:val="097BE1CB"/>
    <w:rsid w:val="098F878E"/>
    <w:rsid w:val="0AAD8405"/>
    <w:rsid w:val="0BF0089B"/>
    <w:rsid w:val="0D887D53"/>
    <w:rsid w:val="0EE63EC9"/>
    <w:rsid w:val="0FE377DE"/>
    <w:rsid w:val="1088854B"/>
    <w:rsid w:val="10A2C4D3"/>
    <w:rsid w:val="10A2C4D3"/>
    <w:rsid w:val="120D036F"/>
    <w:rsid w:val="139C5231"/>
    <w:rsid w:val="13FE5638"/>
    <w:rsid w:val="1437760B"/>
    <w:rsid w:val="156C8B0F"/>
    <w:rsid w:val="15CEFD1D"/>
    <w:rsid w:val="162DB8EF"/>
    <w:rsid w:val="169ADFAE"/>
    <w:rsid w:val="17D5F32B"/>
    <w:rsid w:val="17F8055F"/>
    <w:rsid w:val="180254FB"/>
    <w:rsid w:val="180399BC"/>
    <w:rsid w:val="18C37717"/>
    <w:rsid w:val="1A36E967"/>
    <w:rsid w:val="1CD03857"/>
    <w:rsid w:val="1E2FF09B"/>
    <w:rsid w:val="1E58AA81"/>
    <w:rsid w:val="1E9778CD"/>
    <w:rsid w:val="1FB0D5FB"/>
    <w:rsid w:val="20B43D7E"/>
    <w:rsid w:val="21130700"/>
    <w:rsid w:val="217FE02C"/>
    <w:rsid w:val="231178B2"/>
    <w:rsid w:val="237C377B"/>
    <w:rsid w:val="245E0FA5"/>
    <w:rsid w:val="25D2A938"/>
    <w:rsid w:val="26883A42"/>
    <w:rsid w:val="26D7C242"/>
    <w:rsid w:val="278A048C"/>
    <w:rsid w:val="29B9FADF"/>
    <w:rsid w:val="29EF4928"/>
    <w:rsid w:val="2A042135"/>
    <w:rsid w:val="2A571C22"/>
    <w:rsid w:val="2A633804"/>
    <w:rsid w:val="2B5742BD"/>
    <w:rsid w:val="2BEA4C22"/>
    <w:rsid w:val="2DF92C42"/>
    <w:rsid w:val="2E784F6F"/>
    <w:rsid w:val="2EF71F79"/>
    <w:rsid w:val="2F0A1EF9"/>
    <w:rsid w:val="2F2960E9"/>
    <w:rsid w:val="316F8493"/>
    <w:rsid w:val="319EBEF9"/>
    <w:rsid w:val="33330312"/>
    <w:rsid w:val="338E4BB8"/>
    <w:rsid w:val="339B8A87"/>
    <w:rsid w:val="34181AF1"/>
    <w:rsid w:val="35CF8507"/>
    <w:rsid w:val="36FDAFF6"/>
    <w:rsid w:val="373ADA38"/>
    <w:rsid w:val="37A6EE62"/>
    <w:rsid w:val="37D8EE42"/>
    <w:rsid w:val="38A8E72C"/>
    <w:rsid w:val="390CA264"/>
    <w:rsid w:val="39DAB56A"/>
    <w:rsid w:val="3A16139E"/>
    <w:rsid w:val="3BB529E8"/>
    <w:rsid w:val="3BD3B8DE"/>
    <w:rsid w:val="3C599128"/>
    <w:rsid w:val="3CFE8ABD"/>
    <w:rsid w:val="3E5E996E"/>
    <w:rsid w:val="3F20C531"/>
    <w:rsid w:val="3F9ADD48"/>
    <w:rsid w:val="400D8AE8"/>
    <w:rsid w:val="400E8CD3"/>
    <w:rsid w:val="413C40C7"/>
    <w:rsid w:val="41CC80AE"/>
    <w:rsid w:val="4297D3D0"/>
    <w:rsid w:val="42C6CA5F"/>
    <w:rsid w:val="4326913C"/>
    <w:rsid w:val="45D3EEA1"/>
    <w:rsid w:val="45E204AB"/>
    <w:rsid w:val="46992A64"/>
    <w:rsid w:val="46D7EDB2"/>
    <w:rsid w:val="47634BD6"/>
    <w:rsid w:val="4803F7F7"/>
    <w:rsid w:val="4890FAFF"/>
    <w:rsid w:val="49E491A9"/>
    <w:rsid w:val="49EC0CBD"/>
    <w:rsid w:val="4AB408FF"/>
    <w:rsid w:val="4B8B66E3"/>
    <w:rsid w:val="4BF8A3E4"/>
    <w:rsid w:val="4D433448"/>
    <w:rsid w:val="4EF17CB0"/>
    <w:rsid w:val="51998D67"/>
    <w:rsid w:val="5206FBDF"/>
    <w:rsid w:val="55F770F3"/>
    <w:rsid w:val="56ECBA9D"/>
    <w:rsid w:val="56F7F8EE"/>
    <w:rsid w:val="573D1F91"/>
    <w:rsid w:val="57D0AA3C"/>
    <w:rsid w:val="581DA959"/>
    <w:rsid w:val="599553ED"/>
    <w:rsid w:val="5A21EF2D"/>
    <w:rsid w:val="5A2BEF4C"/>
    <w:rsid w:val="5A8CD32B"/>
    <w:rsid w:val="5A981C6F"/>
    <w:rsid w:val="5BBADB80"/>
    <w:rsid w:val="5C77EDD7"/>
    <w:rsid w:val="5C8FACD8"/>
    <w:rsid w:val="5D693284"/>
    <w:rsid w:val="5F1D4B62"/>
    <w:rsid w:val="5F277CA9"/>
    <w:rsid w:val="6061EAA1"/>
    <w:rsid w:val="618C1B99"/>
    <w:rsid w:val="619281F4"/>
    <w:rsid w:val="61E52B73"/>
    <w:rsid w:val="62C4EA17"/>
    <w:rsid w:val="62E27E54"/>
    <w:rsid w:val="6307B03A"/>
    <w:rsid w:val="6308A01F"/>
    <w:rsid w:val="64F856DE"/>
    <w:rsid w:val="656E3029"/>
    <w:rsid w:val="6588F6F4"/>
    <w:rsid w:val="65BD1123"/>
    <w:rsid w:val="67130451"/>
    <w:rsid w:val="6851D44A"/>
    <w:rsid w:val="6867147F"/>
    <w:rsid w:val="6ADE43BA"/>
    <w:rsid w:val="6B3145EF"/>
    <w:rsid w:val="6B50A4EA"/>
    <w:rsid w:val="6D425D07"/>
    <w:rsid w:val="6E571E8B"/>
    <w:rsid w:val="6E5A7B5E"/>
    <w:rsid w:val="6E978B18"/>
    <w:rsid w:val="6EED762B"/>
    <w:rsid w:val="6F5992AB"/>
    <w:rsid w:val="6F8150AA"/>
    <w:rsid w:val="70100A52"/>
    <w:rsid w:val="70D95E61"/>
    <w:rsid w:val="70F36B3A"/>
    <w:rsid w:val="72838B04"/>
    <w:rsid w:val="759859D2"/>
    <w:rsid w:val="76F505CF"/>
    <w:rsid w:val="78038AED"/>
    <w:rsid w:val="78473AFF"/>
    <w:rsid w:val="787B5A7E"/>
    <w:rsid w:val="787B5A7E"/>
    <w:rsid w:val="7885CB53"/>
    <w:rsid w:val="78BCBB7F"/>
    <w:rsid w:val="7A865474"/>
    <w:rsid w:val="7B146C12"/>
    <w:rsid w:val="7C012E85"/>
    <w:rsid w:val="7D6FE6CE"/>
    <w:rsid w:val="7E716EA2"/>
    <w:rsid w:val="7E7905FD"/>
    <w:rsid w:val="7F93C671"/>
    <w:rsid w:val="7FC68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EBEF9"/>
  <w15:chartTrackingRefBased/>
  <w15:docId w15:val="{DB60023E-B3AF-49EF-BA2D-F83A940BC5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B3145E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B3145E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B3145E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B3145E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12fc3da4c814b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Wil John (2506144)</dc:creator>
  <keywords/>
  <dc:description/>
  <lastModifiedBy>Wil John (2506144)</lastModifiedBy>
  <revision>4</revision>
  <dcterms:created xsi:type="dcterms:W3CDTF">2026-03-09T17:53:09.4328188Z</dcterms:created>
  <dcterms:modified xsi:type="dcterms:W3CDTF">2026-04-14T12:43:36.7841250Z</dcterms:modified>
</coreProperties>
</file>