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color w:val="4472C4" w:themeColor="accent1"/>
        </w:rPr>
        <w:id w:val="362716118"/>
        <w:docPartObj>
          <w:docPartGallery w:val="Cover Pages"/>
          <w:docPartUnique/>
        </w:docPartObj>
      </w:sdtPr>
      <w:sdtEndPr>
        <w:rPr>
          <w:color w:val="auto"/>
        </w:rPr>
      </w:sdtEndPr>
      <w:sdtContent>
        <w:p w14:paraId="2AC2C50E" w14:textId="77777777" w:rsidR="007524AB" w:rsidRDefault="007524AB" w:rsidP="007524AB">
          <w:pPr>
            <w:rPr>
              <w:rFonts w:ascii="Calibri" w:eastAsia="Calibri" w:hAnsi="Calibri" w:cs="Calibri"/>
              <w:color w:val="2F5496"/>
              <w:sz w:val="32"/>
              <w:szCs w:val="32"/>
            </w:rPr>
          </w:pPr>
          <w:r>
            <w:rPr>
              <w:rFonts w:ascii="Calibri" w:eastAsia="Calibri" w:hAnsi="Calibri" w:cs="Calibri"/>
              <w:noProof/>
              <w:color w:val="2F5496"/>
              <w:sz w:val="32"/>
              <w:szCs w:val="32"/>
              <w:lang w:val="en-US"/>
            </w:rPr>
            <w:drawing>
              <wp:inline distT="0" distB="0" distL="0" distR="0" wp14:anchorId="5C9984EE" wp14:editId="088D8CD6">
                <wp:extent cx="4023360" cy="1828716"/>
                <wp:effectExtent l="0" t="0" r="0" b="635"/>
                <wp:docPr id="1964011100" name="Picture 2" descr="A yellow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011100" name="Picture 2" descr="A yellow and black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5644" cy="1857026"/>
                        </a:xfrm>
                        <a:prstGeom prst="rect">
                          <a:avLst/>
                        </a:prstGeom>
                      </pic:spPr>
                    </pic:pic>
                  </a:graphicData>
                </a:graphic>
              </wp:inline>
            </w:drawing>
          </w:r>
        </w:p>
        <w:p w14:paraId="0D0E7804" w14:textId="77777777" w:rsidR="007524AB" w:rsidRDefault="007524AB" w:rsidP="007524AB">
          <w:pPr>
            <w:rPr>
              <w:rFonts w:ascii="Calibri" w:eastAsia="Calibri" w:hAnsi="Calibri" w:cs="Calibri"/>
              <w:color w:val="2F5496"/>
              <w:sz w:val="32"/>
              <w:szCs w:val="32"/>
            </w:rPr>
          </w:pPr>
        </w:p>
        <w:p w14:paraId="7F1EE154" w14:textId="77777777" w:rsidR="007524AB" w:rsidRDefault="007524AB" w:rsidP="007524AB">
          <w:pPr>
            <w:rPr>
              <w:rFonts w:ascii="Calibri" w:eastAsia="Calibri" w:hAnsi="Calibri" w:cs="Calibri"/>
              <w:color w:val="2F5496"/>
              <w:sz w:val="32"/>
              <w:szCs w:val="32"/>
            </w:rPr>
          </w:pPr>
        </w:p>
        <w:p w14:paraId="5EB75657" w14:textId="77777777" w:rsidR="007524AB" w:rsidRDefault="007524AB" w:rsidP="007524AB">
          <w:pPr>
            <w:rPr>
              <w:rFonts w:ascii="Calibri" w:eastAsia="Calibri" w:hAnsi="Calibri" w:cs="Calibri"/>
              <w:color w:val="2F5496"/>
              <w:sz w:val="32"/>
              <w:szCs w:val="32"/>
            </w:rPr>
          </w:pPr>
        </w:p>
        <w:p w14:paraId="3A782724" w14:textId="77777777" w:rsidR="007524AB" w:rsidRDefault="007524AB" w:rsidP="007524AB">
          <w:pPr>
            <w:rPr>
              <w:rFonts w:ascii="Calibri" w:eastAsia="Calibri" w:hAnsi="Calibri" w:cs="Calibri"/>
              <w:color w:val="2F5496"/>
              <w:sz w:val="32"/>
              <w:szCs w:val="32"/>
            </w:rPr>
          </w:pPr>
        </w:p>
        <w:p w14:paraId="2E825A42" w14:textId="77777777" w:rsidR="007524AB" w:rsidRDefault="007524AB" w:rsidP="007524AB">
          <w:pPr>
            <w:rPr>
              <w:rFonts w:ascii="Calibri" w:eastAsia="Calibri" w:hAnsi="Calibri" w:cs="Calibri"/>
              <w:color w:val="2F5496"/>
              <w:sz w:val="32"/>
              <w:szCs w:val="32"/>
            </w:rPr>
          </w:pPr>
        </w:p>
        <w:p w14:paraId="59CD6912" w14:textId="77777777" w:rsidR="007524AB" w:rsidRDefault="007524AB" w:rsidP="007524AB">
          <w:pPr>
            <w:pStyle w:val="NoSpacing"/>
            <w:rPr>
              <w:rFonts w:eastAsia="Calibri"/>
              <w:sz w:val="48"/>
              <w:szCs w:val="48"/>
            </w:rPr>
          </w:pPr>
        </w:p>
        <w:p w14:paraId="3844C23D" w14:textId="77777777" w:rsidR="007524AB" w:rsidRDefault="007524AB" w:rsidP="007524AB">
          <w:pPr>
            <w:pStyle w:val="NoSpacing"/>
            <w:rPr>
              <w:rFonts w:eastAsia="Calibri"/>
              <w:sz w:val="48"/>
              <w:szCs w:val="48"/>
            </w:rPr>
          </w:pPr>
        </w:p>
        <w:p w14:paraId="40DC6AD0" w14:textId="77777777" w:rsidR="007524AB" w:rsidRPr="009A2E85" w:rsidRDefault="007524AB" w:rsidP="007524AB">
          <w:pPr>
            <w:pStyle w:val="NoSpacing"/>
            <w:rPr>
              <w:rFonts w:eastAsia="Calibri"/>
              <w:sz w:val="48"/>
              <w:szCs w:val="48"/>
            </w:rPr>
          </w:pPr>
          <w:r w:rsidRPr="009A2E85">
            <w:rPr>
              <w:rFonts w:eastAsia="Calibri"/>
              <w:sz w:val="48"/>
              <w:szCs w:val="48"/>
            </w:rPr>
            <w:t>Name: Jaseem Ali</w:t>
          </w:r>
        </w:p>
        <w:p w14:paraId="62FA806E" w14:textId="77777777" w:rsidR="007524AB" w:rsidRPr="009A2E85" w:rsidRDefault="007524AB" w:rsidP="007524AB">
          <w:pPr>
            <w:pStyle w:val="NoSpacing"/>
            <w:rPr>
              <w:rFonts w:eastAsia="Calibri"/>
              <w:sz w:val="48"/>
              <w:szCs w:val="48"/>
            </w:rPr>
          </w:pPr>
          <w:r w:rsidRPr="009A2E85">
            <w:rPr>
              <w:rFonts w:eastAsia="Calibri"/>
              <w:sz w:val="48"/>
              <w:szCs w:val="48"/>
            </w:rPr>
            <w:t>Student ID: 2321076</w:t>
          </w:r>
        </w:p>
        <w:p w14:paraId="3F1DF81E" w14:textId="77777777" w:rsidR="007524AB" w:rsidRPr="009A2E85" w:rsidRDefault="007524AB" w:rsidP="007524AB">
          <w:pPr>
            <w:pStyle w:val="NoSpacing"/>
            <w:rPr>
              <w:rFonts w:eastAsia="Calibri"/>
              <w:sz w:val="48"/>
              <w:szCs w:val="48"/>
            </w:rPr>
          </w:pPr>
          <w:r w:rsidRPr="009A2E85">
            <w:rPr>
              <w:rFonts w:eastAsia="Calibri"/>
              <w:sz w:val="48"/>
              <w:szCs w:val="48"/>
            </w:rPr>
            <w:t>Module Name: Financial Management</w:t>
          </w:r>
        </w:p>
        <w:p w14:paraId="7BC46FE9" w14:textId="77777777" w:rsidR="007524AB" w:rsidRPr="009A2E85" w:rsidRDefault="007524AB" w:rsidP="007524AB">
          <w:pPr>
            <w:pStyle w:val="NoSpacing"/>
            <w:rPr>
              <w:rFonts w:eastAsia="Calibri"/>
              <w:sz w:val="48"/>
              <w:szCs w:val="48"/>
            </w:rPr>
          </w:pPr>
          <w:r w:rsidRPr="009A2E85">
            <w:rPr>
              <w:rFonts w:eastAsia="Calibri"/>
              <w:sz w:val="48"/>
              <w:szCs w:val="48"/>
            </w:rPr>
            <w:t>Module Code: LCMB7002</w:t>
          </w:r>
        </w:p>
        <w:p w14:paraId="3A0635C1" w14:textId="77777777" w:rsidR="007524AB" w:rsidRPr="009A2E85" w:rsidRDefault="007524AB" w:rsidP="007524AB">
          <w:pPr>
            <w:pStyle w:val="NoSpacing"/>
            <w:rPr>
              <w:rFonts w:eastAsia="Calibri"/>
              <w:sz w:val="48"/>
              <w:szCs w:val="48"/>
            </w:rPr>
          </w:pPr>
          <w:r w:rsidRPr="009A2E85">
            <w:rPr>
              <w:rFonts w:eastAsia="Calibri"/>
              <w:sz w:val="48"/>
              <w:szCs w:val="48"/>
            </w:rPr>
            <w:t>Module Lecturer: David Coker</w:t>
          </w:r>
        </w:p>
        <w:p w14:paraId="6EF3332A" w14:textId="7AF71CF1" w:rsidR="00066D79" w:rsidRDefault="00066D79">
          <w:pPr>
            <w:pStyle w:val="NoSpacing"/>
            <w:spacing w:before="1540" w:after="240"/>
            <w:jc w:val="center"/>
            <w:rPr>
              <w:color w:val="4472C4" w:themeColor="accent1"/>
            </w:rPr>
          </w:pPr>
        </w:p>
        <w:p w14:paraId="6297B089" w14:textId="79BD8C6E" w:rsidR="00066D79" w:rsidRDefault="00066D79">
          <w:pPr>
            <w:pStyle w:val="NoSpacing"/>
            <w:spacing w:before="480"/>
            <w:jc w:val="center"/>
            <w:rPr>
              <w:color w:val="4472C4" w:themeColor="accent1"/>
            </w:rPr>
          </w:pPr>
        </w:p>
        <w:p w14:paraId="52DE82A8" w14:textId="65C79310" w:rsidR="00066D79" w:rsidRDefault="00066D79">
          <w:pPr>
            <w:spacing w:line="259" w:lineRule="auto"/>
            <w:jc w:val="left"/>
          </w:pPr>
          <w:r>
            <w:br w:type="page"/>
          </w:r>
        </w:p>
      </w:sdtContent>
    </w:sdt>
    <w:sdt>
      <w:sdtPr>
        <w:rPr>
          <w:rFonts w:ascii="Times New Roman" w:eastAsiaTheme="minorHAnsi" w:hAnsi="Times New Roman" w:cs="Arial"/>
          <w:color w:val="auto"/>
          <w:kern w:val="2"/>
          <w:sz w:val="24"/>
          <w:szCs w:val="22"/>
          <w:lang w:val="en-IN"/>
          <w14:ligatures w14:val="standardContextual"/>
        </w:rPr>
        <w:id w:val="1693028973"/>
        <w:docPartObj>
          <w:docPartGallery w:val="Table of Contents"/>
          <w:docPartUnique/>
        </w:docPartObj>
      </w:sdtPr>
      <w:sdtEndPr>
        <w:rPr>
          <w:b/>
          <w:bCs/>
          <w:noProof/>
        </w:rPr>
      </w:sdtEndPr>
      <w:sdtContent>
        <w:p w14:paraId="5242EE59" w14:textId="0A2F47B4" w:rsidR="004C3F7D" w:rsidRDefault="004C3F7D">
          <w:pPr>
            <w:pStyle w:val="TOCHeading"/>
          </w:pPr>
          <w:r>
            <w:t>Table of Contents</w:t>
          </w:r>
        </w:p>
        <w:p w14:paraId="7E8708F3" w14:textId="27E94C6E" w:rsidR="004E2003" w:rsidRDefault="004C3F7D">
          <w:pPr>
            <w:pStyle w:val="TOC1"/>
            <w:tabs>
              <w:tab w:val="right" w:leader="dot" w:pos="9016"/>
            </w:tabs>
            <w:rPr>
              <w:rFonts w:asciiTheme="minorHAnsi" w:eastAsiaTheme="minorEastAsia" w:hAnsiTheme="minorHAnsi" w:cstheme="minorBidi"/>
              <w:noProof/>
              <w:sz w:val="22"/>
              <w:lang w:eastAsia="en-IN"/>
            </w:rPr>
          </w:pPr>
          <w:r>
            <w:fldChar w:fldCharType="begin"/>
          </w:r>
          <w:r>
            <w:instrText xml:space="preserve"> TOC \o "1-3" \h \z \u </w:instrText>
          </w:r>
          <w:r>
            <w:fldChar w:fldCharType="separate"/>
          </w:r>
          <w:hyperlink w:anchor="_Toc164387953" w:history="1">
            <w:r w:rsidR="004E2003" w:rsidRPr="00F815B1">
              <w:rPr>
                <w:rStyle w:val="Hyperlink"/>
                <w:noProof/>
              </w:rPr>
              <w:t>PART A- COMPANY INTRODUCTION</w:t>
            </w:r>
            <w:r w:rsidR="004E2003">
              <w:rPr>
                <w:noProof/>
                <w:webHidden/>
              </w:rPr>
              <w:tab/>
            </w:r>
            <w:r w:rsidR="004E2003">
              <w:rPr>
                <w:noProof/>
                <w:webHidden/>
              </w:rPr>
              <w:fldChar w:fldCharType="begin"/>
            </w:r>
            <w:r w:rsidR="004E2003">
              <w:rPr>
                <w:noProof/>
                <w:webHidden/>
              </w:rPr>
              <w:instrText xml:space="preserve"> PAGEREF _Toc164387953 \h </w:instrText>
            </w:r>
            <w:r w:rsidR="004E2003">
              <w:rPr>
                <w:noProof/>
                <w:webHidden/>
              </w:rPr>
            </w:r>
            <w:r w:rsidR="004E2003">
              <w:rPr>
                <w:noProof/>
                <w:webHidden/>
              </w:rPr>
              <w:fldChar w:fldCharType="separate"/>
            </w:r>
            <w:r w:rsidR="004E2003">
              <w:rPr>
                <w:noProof/>
                <w:webHidden/>
              </w:rPr>
              <w:t>4</w:t>
            </w:r>
            <w:r w:rsidR="004E2003">
              <w:rPr>
                <w:noProof/>
                <w:webHidden/>
              </w:rPr>
              <w:fldChar w:fldCharType="end"/>
            </w:r>
          </w:hyperlink>
        </w:p>
        <w:p w14:paraId="1D6F5135" w14:textId="2BADF313" w:rsidR="004E2003" w:rsidRDefault="00BE5995">
          <w:pPr>
            <w:pStyle w:val="TOC1"/>
            <w:tabs>
              <w:tab w:val="right" w:leader="dot" w:pos="9016"/>
            </w:tabs>
            <w:rPr>
              <w:rFonts w:asciiTheme="minorHAnsi" w:eastAsiaTheme="minorEastAsia" w:hAnsiTheme="minorHAnsi" w:cstheme="minorBidi"/>
              <w:noProof/>
              <w:sz w:val="22"/>
              <w:lang w:eastAsia="en-IN"/>
            </w:rPr>
          </w:pPr>
          <w:hyperlink w:anchor="_Toc164387954" w:history="1">
            <w:r w:rsidR="004E2003" w:rsidRPr="00F815B1">
              <w:rPr>
                <w:rStyle w:val="Hyperlink"/>
                <w:noProof/>
              </w:rPr>
              <w:t>PART B- FINANCIAL PERFORMANCE ANALYSIS</w:t>
            </w:r>
            <w:r w:rsidR="004E2003">
              <w:rPr>
                <w:noProof/>
                <w:webHidden/>
              </w:rPr>
              <w:tab/>
            </w:r>
            <w:r w:rsidR="004E2003">
              <w:rPr>
                <w:noProof/>
                <w:webHidden/>
              </w:rPr>
              <w:fldChar w:fldCharType="begin"/>
            </w:r>
            <w:r w:rsidR="004E2003">
              <w:rPr>
                <w:noProof/>
                <w:webHidden/>
              </w:rPr>
              <w:instrText xml:space="preserve"> PAGEREF _Toc164387954 \h </w:instrText>
            </w:r>
            <w:r w:rsidR="004E2003">
              <w:rPr>
                <w:noProof/>
                <w:webHidden/>
              </w:rPr>
            </w:r>
            <w:r w:rsidR="004E2003">
              <w:rPr>
                <w:noProof/>
                <w:webHidden/>
              </w:rPr>
              <w:fldChar w:fldCharType="separate"/>
            </w:r>
            <w:r w:rsidR="004E2003">
              <w:rPr>
                <w:noProof/>
                <w:webHidden/>
              </w:rPr>
              <w:t>5</w:t>
            </w:r>
            <w:r w:rsidR="004E2003">
              <w:rPr>
                <w:noProof/>
                <w:webHidden/>
              </w:rPr>
              <w:fldChar w:fldCharType="end"/>
            </w:r>
          </w:hyperlink>
        </w:p>
        <w:p w14:paraId="528B2CB4" w14:textId="0A175C43"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55" w:history="1">
            <w:r w:rsidR="004E2003" w:rsidRPr="00F815B1">
              <w:rPr>
                <w:rStyle w:val="Hyperlink"/>
                <w:noProof/>
              </w:rPr>
              <w:t>Profitability Ratio</w:t>
            </w:r>
            <w:r w:rsidR="004E2003">
              <w:rPr>
                <w:noProof/>
                <w:webHidden/>
              </w:rPr>
              <w:tab/>
            </w:r>
            <w:r w:rsidR="004E2003">
              <w:rPr>
                <w:noProof/>
                <w:webHidden/>
              </w:rPr>
              <w:fldChar w:fldCharType="begin"/>
            </w:r>
            <w:r w:rsidR="004E2003">
              <w:rPr>
                <w:noProof/>
                <w:webHidden/>
              </w:rPr>
              <w:instrText xml:space="preserve"> PAGEREF _Toc164387955 \h </w:instrText>
            </w:r>
            <w:r w:rsidR="004E2003">
              <w:rPr>
                <w:noProof/>
                <w:webHidden/>
              </w:rPr>
            </w:r>
            <w:r w:rsidR="004E2003">
              <w:rPr>
                <w:noProof/>
                <w:webHidden/>
              </w:rPr>
              <w:fldChar w:fldCharType="separate"/>
            </w:r>
            <w:r w:rsidR="004E2003">
              <w:rPr>
                <w:noProof/>
                <w:webHidden/>
              </w:rPr>
              <w:t>5</w:t>
            </w:r>
            <w:r w:rsidR="004E2003">
              <w:rPr>
                <w:noProof/>
                <w:webHidden/>
              </w:rPr>
              <w:fldChar w:fldCharType="end"/>
            </w:r>
          </w:hyperlink>
        </w:p>
        <w:p w14:paraId="403ED60C" w14:textId="6953D1EE"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56" w:history="1">
            <w:r w:rsidR="004E2003" w:rsidRPr="00F815B1">
              <w:rPr>
                <w:rStyle w:val="Hyperlink"/>
                <w:noProof/>
              </w:rPr>
              <w:t>Liquidity Ratio</w:t>
            </w:r>
            <w:r w:rsidR="004E2003">
              <w:rPr>
                <w:noProof/>
                <w:webHidden/>
              </w:rPr>
              <w:tab/>
            </w:r>
            <w:r w:rsidR="004E2003">
              <w:rPr>
                <w:noProof/>
                <w:webHidden/>
              </w:rPr>
              <w:fldChar w:fldCharType="begin"/>
            </w:r>
            <w:r w:rsidR="004E2003">
              <w:rPr>
                <w:noProof/>
                <w:webHidden/>
              </w:rPr>
              <w:instrText xml:space="preserve"> PAGEREF _Toc164387956 \h </w:instrText>
            </w:r>
            <w:r w:rsidR="004E2003">
              <w:rPr>
                <w:noProof/>
                <w:webHidden/>
              </w:rPr>
            </w:r>
            <w:r w:rsidR="004E2003">
              <w:rPr>
                <w:noProof/>
                <w:webHidden/>
              </w:rPr>
              <w:fldChar w:fldCharType="separate"/>
            </w:r>
            <w:r w:rsidR="004E2003">
              <w:rPr>
                <w:noProof/>
                <w:webHidden/>
              </w:rPr>
              <w:t>6</w:t>
            </w:r>
            <w:r w:rsidR="004E2003">
              <w:rPr>
                <w:noProof/>
                <w:webHidden/>
              </w:rPr>
              <w:fldChar w:fldCharType="end"/>
            </w:r>
          </w:hyperlink>
        </w:p>
        <w:p w14:paraId="45A67056" w14:textId="19024525"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57" w:history="1">
            <w:r w:rsidR="004E2003" w:rsidRPr="00F815B1">
              <w:rPr>
                <w:rStyle w:val="Hyperlink"/>
                <w:noProof/>
              </w:rPr>
              <w:t>Gearing Ratio</w:t>
            </w:r>
            <w:r w:rsidR="004E2003">
              <w:rPr>
                <w:noProof/>
                <w:webHidden/>
              </w:rPr>
              <w:tab/>
            </w:r>
            <w:r w:rsidR="004E2003">
              <w:rPr>
                <w:noProof/>
                <w:webHidden/>
              </w:rPr>
              <w:fldChar w:fldCharType="begin"/>
            </w:r>
            <w:r w:rsidR="004E2003">
              <w:rPr>
                <w:noProof/>
                <w:webHidden/>
              </w:rPr>
              <w:instrText xml:space="preserve"> PAGEREF _Toc164387957 \h </w:instrText>
            </w:r>
            <w:r w:rsidR="004E2003">
              <w:rPr>
                <w:noProof/>
                <w:webHidden/>
              </w:rPr>
            </w:r>
            <w:r w:rsidR="004E2003">
              <w:rPr>
                <w:noProof/>
                <w:webHidden/>
              </w:rPr>
              <w:fldChar w:fldCharType="separate"/>
            </w:r>
            <w:r w:rsidR="004E2003">
              <w:rPr>
                <w:noProof/>
                <w:webHidden/>
              </w:rPr>
              <w:t>7</w:t>
            </w:r>
            <w:r w:rsidR="004E2003">
              <w:rPr>
                <w:noProof/>
                <w:webHidden/>
              </w:rPr>
              <w:fldChar w:fldCharType="end"/>
            </w:r>
          </w:hyperlink>
        </w:p>
        <w:p w14:paraId="1D307540" w14:textId="37FCE753"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58" w:history="1">
            <w:r w:rsidR="004E2003" w:rsidRPr="00F815B1">
              <w:rPr>
                <w:rStyle w:val="Hyperlink"/>
                <w:noProof/>
              </w:rPr>
              <w:t>Efficiency Ratio</w:t>
            </w:r>
            <w:r w:rsidR="004E2003">
              <w:rPr>
                <w:noProof/>
                <w:webHidden/>
              </w:rPr>
              <w:tab/>
            </w:r>
            <w:r w:rsidR="004E2003">
              <w:rPr>
                <w:noProof/>
                <w:webHidden/>
              </w:rPr>
              <w:fldChar w:fldCharType="begin"/>
            </w:r>
            <w:r w:rsidR="004E2003">
              <w:rPr>
                <w:noProof/>
                <w:webHidden/>
              </w:rPr>
              <w:instrText xml:space="preserve"> PAGEREF _Toc164387958 \h </w:instrText>
            </w:r>
            <w:r w:rsidR="004E2003">
              <w:rPr>
                <w:noProof/>
                <w:webHidden/>
              </w:rPr>
            </w:r>
            <w:r w:rsidR="004E2003">
              <w:rPr>
                <w:noProof/>
                <w:webHidden/>
              </w:rPr>
              <w:fldChar w:fldCharType="separate"/>
            </w:r>
            <w:r w:rsidR="004E2003">
              <w:rPr>
                <w:noProof/>
                <w:webHidden/>
              </w:rPr>
              <w:t>9</w:t>
            </w:r>
            <w:r w:rsidR="004E2003">
              <w:rPr>
                <w:noProof/>
                <w:webHidden/>
              </w:rPr>
              <w:fldChar w:fldCharType="end"/>
            </w:r>
          </w:hyperlink>
        </w:p>
        <w:p w14:paraId="670EE234" w14:textId="245C86D3"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59" w:history="1">
            <w:r w:rsidR="004E2003" w:rsidRPr="00F815B1">
              <w:rPr>
                <w:rStyle w:val="Hyperlink"/>
                <w:noProof/>
              </w:rPr>
              <w:t>Comparison with the Competitor</w:t>
            </w:r>
            <w:r w:rsidR="004E2003">
              <w:rPr>
                <w:noProof/>
                <w:webHidden/>
              </w:rPr>
              <w:tab/>
            </w:r>
            <w:r w:rsidR="004E2003">
              <w:rPr>
                <w:noProof/>
                <w:webHidden/>
              </w:rPr>
              <w:fldChar w:fldCharType="begin"/>
            </w:r>
            <w:r w:rsidR="004E2003">
              <w:rPr>
                <w:noProof/>
                <w:webHidden/>
              </w:rPr>
              <w:instrText xml:space="preserve"> PAGEREF _Toc164387959 \h </w:instrText>
            </w:r>
            <w:r w:rsidR="004E2003">
              <w:rPr>
                <w:noProof/>
                <w:webHidden/>
              </w:rPr>
            </w:r>
            <w:r w:rsidR="004E2003">
              <w:rPr>
                <w:noProof/>
                <w:webHidden/>
              </w:rPr>
              <w:fldChar w:fldCharType="separate"/>
            </w:r>
            <w:r w:rsidR="004E2003">
              <w:rPr>
                <w:noProof/>
                <w:webHidden/>
              </w:rPr>
              <w:t>10</w:t>
            </w:r>
            <w:r w:rsidR="004E2003">
              <w:rPr>
                <w:noProof/>
                <w:webHidden/>
              </w:rPr>
              <w:fldChar w:fldCharType="end"/>
            </w:r>
          </w:hyperlink>
        </w:p>
        <w:p w14:paraId="4108C972" w14:textId="4FB74167"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60" w:history="1">
            <w:r w:rsidR="004E2003" w:rsidRPr="00F815B1">
              <w:rPr>
                <w:rStyle w:val="Hyperlink"/>
                <w:noProof/>
              </w:rPr>
              <w:t>Conclusion</w:t>
            </w:r>
            <w:r w:rsidR="004E2003">
              <w:rPr>
                <w:noProof/>
                <w:webHidden/>
              </w:rPr>
              <w:tab/>
            </w:r>
            <w:r w:rsidR="004E2003">
              <w:rPr>
                <w:noProof/>
                <w:webHidden/>
              </w:rPr>
              <w:fldChar w:fldCharType="begin"/>
            </w:r>
            <w:r w:rsidR="004E2003">
              <w:rPr>
                <w:noProof/>
                <w:webHidden/>
              </w:rPr>
              <w:instrText xml:space="preserve"> PAGEREF _Toc164387960 \h </w:instrText>
            </w:r>
            <w:r w:rsidR="004E2003">
              <w:rPr>
                <w:noProof/>
                <w:webHidden/>
              </w:rPr>
            </w:r>
            <w:r w:rsidR="004E2003">
              <w:rPr>
                <w:noProof/>
                <w:webHidden/>
              </w:rPr>
              <w:fldChar w:fldCharType="separate"/>
            </w:r>
            <w:r w:rsidR="004E2003">
              <w:rPr>
                <w:noProof/>
                <w:webHidden/>
              </w:rPr>
              <w:t>13</w:t>
            </w:r>
            <w:r w:rsidR="004E2003">
              <w:rPr>
                <w:noProof/>
                <w:webHidden/>
              </w:rPr>
              <w:fldChar w:fldCharType="end"/>
            </w:r>
          </w:hyperlink>
        </w:p>
        <w:p w14:paraId="0924EB1E" w14:textId="2E1F97B1"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61" w:history="1">
            <w:r w:rsidR="004E2003" w:rsidRPr="00F815B1">
              <w:rPr>
                <w:rStyle w:val="Hyperlink"/>
                <w:noProof/>
              </w:rPr>
              <w:t>Recommendations</w:t>
            </w:r>
            <w:r w:rsidR="004E2003">
              <w:rPr>
                <w:noProof/>
                <w:webHidden/>
              </w:rPr>
              <w:tab/>
            </w:r>
            <w:r w:rsidR="004E2003">
              <w:rPr>
                <w:noProof/>
                <w:webHidden/>
              </w:rPr>
              <w:fldChar w:fldCharType="begin"/>
            </w:r>
            <w:r w:rsidR="004E2003">
              <w:rPr>
                <w:noProof/>
                <w:webHidden/>
              </w:rPr>
              <w:instrText xml:space="preserve"> PAGEREF _Toc164387961 \h </w:instrText>
            </w:r>
            <w:r w:rsidR="004E2003">
              <w:rPr>
                <w:noProof/>
                <w:webHidden/>
              </w:rPr>
            </w:r>
            <w:r w:rsidR="004E2003">
              <w:rPr>
                <w:noProof/>
                <w:webHidden/>
              </w:rPr>
              <w:fldChar w:fldCharType="separate"/>
            </w:r>
            <w:r w:rsidR="004E2003">
              <w:rPr>
                <w:noProof/>
                <w:webHidden/>
              </w:rPr>
              <w:t>13</w:t>
            </w:r>
            <w:r w:rsidR="004E2003">
              <w:rPr>
                <w:noProof/>
                <w:webHidden/>
              </w:rPr>
              <w:fldChar w:fldCharType="end"/>
            </w:r>
          </w:hyperlink>
        </w:p>
        <w:p w14:paraId="685C8310" w14:textId="2258DE19" w:rsidR="004E2003" w:rsidRDefault="00BE5995">
          <w:pPr>
            <w:pStyle w:val="TOC1"/>
            <w:tabs>
              <w:tab w:val="right" w:leader="dot" w:pos="9016"/>
            </w:tabs>
            <w:rPr>
              <w:rFonts w:asciiTheme="minorHAnsi" w:eastAsiaTheme="minorEastAsia" w:hAnsiTheme="minorHAnsi" w:cstheme="minorBidi"/>
              <w:noProof/>
              <w:sz w:val="22"/>
              <w:lang w:eastAsia="en-IN"/>
            </w:rPr>
          </w:pPr>
          <w:hyperlink w:anchor="_Toc164387962" w:history="1">
            <w:r w:rsidR="004E2003" w:rsidRPr="00F815B1">
              <w:rPr>
                <w:rStyle w:val="Hyperlink"/>
                <w:noProof/>
              </w:rPr>
              <w:t>PART C- INVESTMENT APPRAISAL</w:t>
            </w:r>
            <w:r w:rsidR="004E2003">
              <w:rPr>
                <w:noProof/>
                <w:webHidden/>
              </w:rPr>
              <w:tab/>
            </w:r>
            <w:r w:rsidR="004E2003">
              <w:rPr>
                <w:noProof/>
                <w:webHidden/>
              </w:rPr>
              <w:fldChar w:fldCharType="begin"/>
            </w:r>
            <w:r w:rsidR="004E2003">
              <w:rPr>
                <w:noProof/>
                <w:webHidden/>
              </w:rPr>
              <w:instrText xml:space="preserve"> PAGEREF _Toc164387962 \h </w:instrText>
            </w:r>
            <w:r w:rsidR="004E2003">
              <w:rPr>
                <w:noProof/>
                <w:webHidden/>
              </w:rPr>
            </w:r>
            <w:r w:rsidR="004E2003">
              <w:rPr>
                <w:noProof/>
                <w:webHidden/>
              </w:rPr>
              <w:fldChar w:fldCharType="separate"/>
            </w:r>
            <w:r w:rsidR="004E2003">
              <w:rPr>
                <w:noProof/>
                <w:webHidden/>
              </w:rPr>
              <w:t>15</w:t>
            </w:r>
            <w:r w:rsidR="004E2003">
              <w:rPr>
                <w:noProof/>
                <w:webHidden/>
              </w:rPr>
              <w:fldChar w:fldCharType="end"/>
            </w:r>
          </w:hyperlink>
        </w:p>
        <w:p w14:paraId="401CDA40" w14:textId="00E2492C"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63" w:history="1">
            <w:r w:rsidR="004E2003" w:rsidRPr="00F815B1">
              <w:rPr>
                <w:rStyle w:val="Hyperlink"/>
                <w:rFonts w:eastAsia="Times New Roman"/>
                <w:noProof/>
              </w:rPr>
              <w:t>Advantages and shortcomings of PBP, ARR and NPV</w:t>
            </w:r>
            <w:r w:rsidR="004E2003">
              <w:rPr>
                <w:noProof/>
                <w:webHidden/>
              </w:rPr>
              <w:tab/>
            </w:r>
            <w:r w:rsidR="004E2003">
              <w:rPr>
                <w:noProof/>
                <w:webHidden/>
              </w:rPr>
              <w:fldChar w:fldCharType="begin"/>
            </w:r>
            <w:r w:rsidR="004E2003">
              <w:rPr>
                <w:noProof/>
                <w:webHidden/>
              </w:rPr>
              <w:instrText xml:space="preserve"> PAGEREF _Toc164387963 \h </w:instrText>
            </w:r>
            <w:r w:rsidR="004E2003">
              <w:rPr>
                <w:noProof/>
                <w:webHidden/>
              </w:rPr>
            </w:r>
            <w:r w:rsidR="004E2003">
              <w:rPr>
                <w:noProof/>
                <w:webHidden/>
              </w:rPr>
              <w:fldChar w:fldCharType="separate"/>
            </w:r>
            <w:r w:rsidR="004E2003">
              <w:rPr>
                <w:noProof/>
                <w:webHidden/>
              </w:rPr>
              <w:t>18</w:t>
            </w:r>
            <w:r w:rsidR="004E2003">
              <w:rPr>
                <w:noProof/>
                <w:webHidden/>
              </w:rPr>
              <w:fldChar w:fldCharType="end"/>
            </w:r>
          </w:hyperlink>
        </w:p>
        <w:p w14:paraId="2DED9022" w14:textId="7FD4DE5C" w:rsidR="004E2003" w:rsidRDefault="00BE5995">
          <w:pPr>
            <w:pStyle w:val="TOC2"/>
            <w:tabs>
              <w:tab w:val="right" w:leader="dot" w:pos="9016"/>
            </w:tabs>
            <w:rPr>
              <w:rFonts w:asciiTheme="minorHAnsi" w:eastAsiaTheme="minorEastAsia" w:hAnsiTheme="minorHAnsi" w:cstheme="minorBidi"/>
              <w:noProof/>
              <w:sz w:val="22"/>
              <w:lang w:eastAsia="en-IN"/>
            </w:rPr>
          </w:pPr>
          <w:hyperlink w:anchor="_Toc164387964" w:history="1">
            <w:r w:rsidR="004E2003" w:rsidRPr="00F815B1">
              <w:rPr>
                <w:rStyle w:val="Hyperlink"/>
                <w:rFonts w:eastAsia="Times New Roman"/>
                <w:noProof/>
              </w:rPr>
              <w:t>Non-financial factors</w:t>
            </w:r>
            <w:r w:rsidR="004E2003">
              <w:rPr>
                <w:noProof/>
                <w:webHidden/>
              </w:rPr>
              <w:tab/>
            </w:r>
            <w:r w:rsidR="004E2003">
              <w:rPr>
                <w:noProof/>
                <w:webHidden/>
              </w:rPr>
              <w:fldChar w:fldCharType="begin"/>
            </w:r>
            <w:r w:rsidR="004E2003">
              <w:rPr>
                <w:noProof/>
                <w:webHidden/>
              </w:rPr>
              <w:instrText xml:space="preserve"> PAGEREF _Toc164387964 \h </w:instrText>
            </w:r>
            <w:r w:rsidR="004E2003">
              <w:rPr>
                <w:noProof/>
                <w:webHidden/>
              </w:rPr>
            </w:r>
            <w:r w:rsidR="004E2003">
              <w:rPr>
                <w:noProof/>
                <w:webHidden/>
              </w:rPr>
              <w:fldChar w:fldCharType="separate"/>
            </w:r>
            <w:r w:rsidR="004E2003">
              <w:rPr>
                <w:noProof/>
                <w:webHidden/>
              </w:rPr>
              <w:t>19</w:t>
            </w:r>
            <w:r w:rsidR="004E2003">
              <w:rPr>
                <w:noProof/>
                <w:webHidden/>
              </w:rPr>
              <w:fldChar w:fldCharType="end"/>
            </w:r>
          </w:hyperlink>
        </w:p>
        <w:p w14:paraId="0DBF3BC0" w14:textId="439B7C41" w:rsidR="004E2003" w:rsidRDefault="00BE5995">
          <w:pPr>
            <w:pStyle w:val="TOC1"/>
            <w:tabs>
              <w:tab w:val="right" w:leader="dot" w:pos="9016"/>
            </w:tabs>
            <w:rPr>
              <w:rFonts w:asciiTheme="minorHAnsi" w:eastAsiaTheme="minorEastAsia" w:hAnsiTheme="minorHAnsi" w:cstheme="minorBidi"/>
              <w:noProof/>
              <w:sz w:val="22"/>
              <w:lang w:eastAsia="en-IN"/>
            </w:rPr>
          </w:pPr>
          <w:hyperlink w:anchor="_Toc164387965" w:history="1">
            <w:r w:rsidR="004E2003" w:rsidRPr="00F815B1">
              <w:rPr>
                <w:rStyle w:val="Hyperlink"/>
                <w:rFonts w:eastAsia="Times New Roman"/>
                <w:noProof/>
                <w:lang w:eastAsia="en-IN"/>
              </w:rPr>
              <w:t>Reference list</w:t>
            </w:r>
            <w:r w:rsidR="004E2003">
              <w:rPr>
                <w:noProof/>
                <w:webHidden/>
              </w:rPr>
              <w:tab/>
            </w:r>
            <w:r w:rsidR="004E2003">
              <w:rPr>
                <w:noProof/>
                <w:webHidden/>
              </w:rPr>
              <w:fldChar w:fldCharType="begin"/>
            </w:r>
            <w:r w:rsidR="004E2003">
              <w:rPr>
                <w:noProof/>
                <w:webHidden/>
              </w:rPr>
              <w:instrText xml:space="preserve"> PAGEREF _Toc164387965 \h </w:instrText>
            </w:r>
            <w:r w:rsidR="004E2003">
              <w:rPr>
                <w:noProof/>
                <w:webHidden/>
              </w:rPr>
            </w:r>
            <w:r w:rsidR="004E2003">
              <w:rPr>
                <w:noProof/>
                <w:webHidden/>
              </w:rPr>
              <w:fldChar w:fldCharType="separate"/>
            </w:r>
            <w:r w:rsidR="004E2003">
              <w:rPr>
                <w:noProof/>
                <w:webHidden/>
              </w:rPr>
              <w:t>21</w:t>
            </w:r>
            <w:r w:rsidR="004E2003">
              <w:rPr>
                <w:noProof/>
                <w:webHidden/>
              </w:rPr>
              <w:fldChar w:fldCharType="end"/>
            </w:r>
          </w:hyperlink>
        </w:p>
        <w:p w14:paraId="6CBEB1DC" w14:textId="7C63EE97" w:rsidR="004C3F7D" w:rsidRDefault="004C3F7D">
          <w:r>
            <w:rPr>
              <w:b/>
              <w:bCs/>
              <w:noProof/>
            </w:rPr>
            <w:fldChar w:fldCharType="end"/>
          </w:r>
        </w:p>
      </w:sdtContent>
    </w:sdt>
    <w:p w14:paraId="1EDC19DF" w14:textId="77777777" w:rsidR="00C23E60" w:rsidRDefault="00C23E60">
      <w:pPr>
        <w:spacing w:line="259" w:lineRule="auto"/>
        <w:jc w:val="left"/>
      </w:pPr>
      <w:r>
        <w:br w:type="page"/>
      </w:r>
    </w:p>
    <w:p w14:paraId="78DC06B4" w14:textId="77777777" w:rsidR="00C23E60" w:rsidRPr="00C23E60" w:rsidRDefault="00C23E60">
      <w:pPr>
        <w:spacing w:line="259" w:lineRule="auto"/>
        <w:jc w:val="left"/>
        <w:rPr>
          <w:b/>
          <w:bCs/>
          <w:noProof/>
        </w:rPr>
      </w:pPr>
      <w:r w:rsidRPr="00C23E60">
        <w:rPr>
          <w:b/>
          <w:bCs/>
        </w:rPr>
        <w:lastRenderedPageBreak/>
        <w:t>TABLE OF TABLES</w:t>
      </w:r>
      <w:r w:rsidRPr="00C23E60">
        <w:rPr>
          <w:b/>
          <w:bCs/>
        </w:rPr>
        <w:br/>
      </w:r>
      <w:r>
        <w:rPr>
          <w:b/>
          <w:bCs/>
        </w:rPr>
        <w:fldChar w:fldCharType="begin"/>
      </w:r>
      <w:r w:rsidRPr="00C23E60">
        <w:rPr>
          <w:b/>
          <w:bCs/>
        </w:rPr>
        <w:instrText xml:space="preserve"> TOC \h \z \c "Table" </w:instrText>
      </w:r>
      <w:r>
        <w:rPr>
          <w:b/>
          <w:bCs/>
        </w:rPr>
        <w:fldChar w:fldCharType="separate"/>
      </w:r>
    </w:p>
    <w:p w14:paraId="2BFA2413" w14:textId="66FC975E" w:rsidR="00C23E60" w:rsidRDefault="00BE5995">
      <w:pPr>
        <w:pStyle w:val="TableofFigures"/>
        <w:tabs>
          <w:tab w:val="right" w:leader="dot" w:pos="9016"/>
        </w:tabs>
        <w:rPr>
          <w:noProof/>
        </w:rPr>
      </w:pPr>
      <w:hyperlink w:anchor="_Toc164386811" w:history="1">
        <w:r w:rsidR="00C23E60" w:rsidRPr="00890BE8">
          <w:rPr>
            <w:rStyle w:val="Hyperlink"/>
            <w:noProof/>
          </w:rPr>
          <w:t>Table 1 Net Profit Margin</w:t>
        </w:r>
        <w:r w:rsidR="00C23E60">
          <w:rPr>
            <w:noProof/>
            <w:webHidden/>
          </w:rPr>
          <w:tab/>
        </w:r>
        <w:r w:rsidR="00C23E60">
          <w:rPr>
            <w:noProof/>
            <w:webHidden/>
          </w:rPr>
          <w:fldChar w:fldCharType="begin"/>
        </w:r>
        <w:r w:rsidR="00C23E60">
          <w:rPr>
            <w:noProof/>
            <w:webHidden/>
          </w:rPr>
          <w:instrText xml:space="preserve"> PAGEREF _Toc164386811 \h </w:instrText>
        </w:r>
        <w:r w:rsidR="00C23E60">
          <w:rPr>
            <w:noProof/>
            <w:webHidden/>
          </w:rPr>
        </w:r>
        <w:r w:rsidR="00C23E60">
          <w:rPr>
            <w:noProof/>
            <w:webHidden/>
          </w:rPr>
          <w:fldChar w:fldCharType="separate"/>
        </w:r>
        <w:r w:rsidR="00C23E60">
          <w:rPr>
            <w:noProof/>
            <w:webHidden/>
          </w:rPr>
          <w:t>4</w:t>
        </w:r>
        <w:r w:rsidR="00C23E60">
          <w:rPr>
            <w:noProof/>
            <w:webHidden/>
          </w:rPr>
          <w:fldChar w:fldCharType="end"/>
        </w:r>
      </w:hyperlink>
    </w:p>
    <w:p w14:paraId="3646A9F8" w14:textId="6B14C21E" w:rsidR="00C23E60" w:rsidRDefault="00BE5995">
      <w:pPr>
        <w:pStyle w:val="TableofFigures"/>
        <w:tabs>
          <w:tab w:val="right" w:leader="dot" w:pos="9016"/>
        </w:tabs>
        <w:rPr>
          <w:noProof/>
        </w:rPr>
      </w:pPr>
      <w:hyperlink w:anchor="_Toc164386812" w:history="1">
        <w:r w:rsidR="00C23E60" w:rsidRPr="00890BE8">
          <w:rPr>
            <w:rStyle w:val="Hyperlink"/>
            <w:noProof/>
          </w:rPr>
          <w:t>Table 2 Cash Ratio</w:t>
        </w:r>
        <w:r w:rsidR="00C23E60">
          <w:rPr>
            <w:noProof/>
            <w:webHidden/>
          </w:rPr>
          <w:tab/>
        </w:r>
        <w:r w:rsidR="00C23E60">
          <w:rPr>
            <w:noProof/>
            <w:webHidden/>
          </w:rPr>
          <w:fldChar w:fldCharType="begin"/>
        </w:r>
        <w:r w:rsidR="00C23E60">
          <w:rPr>
            <w:noProof/>
            <w:webHidden/>
          </w:rPr>
          <w:instrText xml:space="preserve"> PAGEREF _Toc164386812 \h </w:instrText>
        </w:r>
        <w:r w:rsidR="00C23E60">
          <w:rPr>
            <w:noProof/>
            <w:webHidden/>
          </w:rPr>
        </w:r>
        <w:r w:rsidR="00C23E60">
          <w:rPr>
            <w:noProof/>
            <w:webHidden/>
          </w:rPr>
          <w:fldChar w:fldCharType="separate"/>
        </w:r>
        <w:r w:rsidR="00C23E60">
          <w:rPr>
            <w:noProof/>
            <w:webHidden/>
          </w:rPr>
          <w:t>6</w:t>
        </w:r>
        <w:r w:rsidR="00C23E60">
          <w:rPr>
            <w:noProof/>
            <w:webHidden/>
          </w:rPr>
          <w:fldChar w:fldCharType="end"/>
        </w:r>
      </w:hyperlink>
    </w:p>
    <w:p w14:paraId="4FF36A5B" w14:textId="7F39BD7E" w:rsidR="00C23E60" w:rsidRDefault="00BE5995">
      <w:pPr>
        <w:pStyle w:val="TableofFigures"/>
        <w:tabs>
          <w:tab w:val="right" w:leader="dot" w:pos="9016"/>
        </w:tabs>
        <w:rPr>
          <w:noProof/>
        </w:rPr>
      </w:pPr>
      <w:hyperlink w:anchor="_Toc164386813" w:history="1">
        <w:r w:rsidR="00C23E60" w:rsidRPr="00890BE8">
          <w:rPr>
            <w:rStyle w:val="Hyperlink"/>
            <w:noProof/>
          </w:rPr>
          <w:t>Table 3 Debt-to-Equity Ratio</w:t>
        </w:r>
        <w:r w:rsidR="00C23E60">
          <w:rPr>
            <w:noProof/>
            <w:webHidden/>
          </w:rPr>
          <w:tab/>
        </w:r>
        <w:r w:rsidR="00C23E60">
          <w:rPr>
            <w:noProof/>
            <w:webHidden/>
          </w:rPr>
          <w:fldChar w:fldCharType="begin"/>
        </w:r>
        <w:r w:rsidR="00C23E60">
          <w:rPr>
            <w:noProof/>
            <w:webHidden/>
          </w:rPr>
          <w:instrText xml:space="preserve"> PAGEREF _Toc164386813 \h </w:instrText>
        </w:r>
        <w:r w:rsidR="00C23E60">
          <w:rPr>
            <w:noProof/>
            <w:webHidden/>
          </w:rPr>
        </w:r>
        <w:r w:rsidR="00C23E60">
          <w:rPr>
            <w:noProof/>
            <w:webHidden/>
          </w:rPr>
          <w:fldChar w:fldCharType="separate"/>
        </w:r>
        <w:r w:rsidR="00C23E60">
          <w:rPr>
            <w:noProof/>
            <w:webHidden/>
          </w:rPr>
          <w:t>7</w:t>
        </w:r>
        <w:r w:rsidR="00C23E60">
          <w:rPr>
            <w:noProof/>
            <w:webHidden/>
          </w:rPr>
          <w:fldChar w:fldCharType="end"/>
        </w:r>
      </w:hyperlink>
    </w:p>
    <w:p w14:paraId="4844080A" w14:textId="66207EBA" w:rsidR="00C23E60" w:rsidRDefault="00BE5995">
      <w:pPr>
        <w:pStyle w:val="TableofFigures"/>
        <w:tabs>
          <w:tab w:val="right" w:leader="dot" w:pos="9016"/>
        </w:tabs>
        <w:rPr>
          <w:noProof/>
        </w:rPr>
      </w:pPr>
      <w:hyperlink w:anchor="_Toc164386814" w:history="1">
        <w:r w:rsidR="00C23E60" w:rsidRPr="00890BE8">
          <w:rPr>
            <w:rStyle w:val="Hyperlink"/>
            <w:noProof/>
          </w:rPr>
          <w:t>Table 4 Asset Turnover Ratio</w:t>
        </w:r>
        <w:r w:rsidR="00C23E60">
          <w:rPr>
            <w:noProof/>
            <w:webHidden/>
          </w:rPr>
          <w:tab/>
        </w:r>
        <w:r w:rsidR="00C23E60">
          <w:rPr>
            <w:noProof/>
            <w:webHidden/>
          </w:rPr>
          <w:fldChar w:fldCharType="begin"/>
        </w:r>
        <w:r w:rsidR="00C23E60">
          <w:rPr>
            <w:noProof/>
            <w:webHidden/>
          </w:rPr>
          <w:instrText xml:space="preserve"> PAGEREF _Toc164386814 \h </w:instrText>
        </w:r>
        <w:r w:rsidR="00C23E60">
          <w:rPr>
            <w:noProof/>
            <w:webHidden/>
          </w:rPr>
        </w:r>
        <w:r w:rsidR="00C23E60">
          <w:rPr>
            <w:noProof/>
            <w:webHidden/>
          </w:rPr>
          <w:fldChar w:fldCharType="separate"/>
        </w:r>
        <w:r w:rsidR="00C23E60">
          <w:rPr>
            <w:noProof/>
            <w:webHidden/>
          </w:rPr>
          <w:t>8</w:t>
        </w:r>
        <w:r w:rsidR="00C23E60">
          <w:rPr>
            <w:noProof/>
            <w:webHidden/>
          </w:rPr>
          <w:fldChar w:fldCharType="end"/>
        </w:r>
      </w:hyperlink>
    </w:p>
    <w:p w14:paraId="74F53F72" w14:textId="35115EBC" w:rsidR="00C23E60" w:rsidRDefault="00BE5995">
      <w:pPr>
        <w:pStyle w:val="TableofFigures"/>
        <w:tabs>
          <w:tab w:val="right" w:leader="dot" w:pos="9016"/>
        </w:tabs>
        <w:rPr>
          <w:noProof/>
        </w:rPr>
      </w:pPr>
      <w:hyperlink w:anchor="_Toc164386815" w:history="1">
        <w:r w:rsidR="00C23E60" w:rsidRPr="00890BE8">
          <w:rPr>
            <w:rStyle w:val="Hyperlink"/>
            <w:noProof/>
          </w:rPr>
          <w:t>Table 5 Profitability Ratio Comparison</w:t>
        </w:r>
        <w:r w:rsidR="00C23E60">
          <w:rPr>
            <w:noProof/>
            <w:webHidden/>
          </w:rPr>
          <w:tab/>
        </w:r>
        <w:r w:rsidR="00C23E60">
          <w:rPr>
            <w:noProof/>
            <w:webHidden/>
          </w:rPr>
          <w:fldChar w:fldCharType="begin"/>
        </w:r>
        <w:r w:rsidR="00C23E60">
          <w:rPr>
            <w:noProof/>
            <w:webHidden/>
          </w:rPr>
          <w:instrText xml:space="preserve"> PAGEREF _Toc164386815 \h </w:instrText>
        </w:r>
        <w:r w:rsidR="00C23E60">
          <w:rPr>
            <w:noProof/>
            <w:webHidden/>
          </w:rPr>
        </w:r>
        <w:r w:rsidR="00C23E60">
          <w:rPr>
            <w:noProof/>
            <w:webHidden/>
          </w:rPr>
          <w:fldChar w:fldCharType="separate"/>
        </w:r>
        <w:r w:rsidR="00C23E60">
          <w:rPr>
            <w:noProof/>
            <w:webHidden/>
          </w:rPr>
          <w:t>9</w:t>
        </w:r>
        <w:r w:rsidR="00C23E60">
          <w:rPr>
            <w:noProof/>
            <w:webHidden/>
          </w:rPr>
          <w:fldChar w:fldCharType="end"/>
        </w:r>
      </w:hyperlink>
    </w:p>
    <w:p w14:paraId="7F8FF41E" w14:textId="352CE768" w:rsidR="00C23E60" w:rsidRDefault="00BE5995">
      <w:pPr>
        <w:pStyle w:val="TableofFigures"/>
        <w:tabs>
          <w:tab w:val="right" w:leader="dot" w:pos="9016"/>
        </w:tabs>
        <w:rPr>
          <w:noProof/>
        </w:rPr>
      </w:pPr>
      <w:hyperlink w:anchor="_Toc164386816" w:history="1">
        <w:r w:rsidR="00C23E60" w:rsidRPr="00890BE8">
          <w:rPr>
            <w:rStyle w:val="Hyperlink"/>
            <w:noProof/>
          </w:rPr>
          <w:t>Table 6 Cash Ratio Comparison</w:t>
        </w:r>
        <w:r w:rsidR="00C23E60">
          <w:rPr>
            <w:noProof/>
            <w:webHidden/>
          </w:rPr>
          <w:tab/>
        </w:r>
        <w:r w:rsidR="00C23E60">
          <w:rPr>
            <w:noProof/>
            <w:webHidden/>
          </w:rPr>
          <w:fldChar w:fldCharType="begin"/>
        </w:r>
        <w:r w:rsidR="00C23E60">
          <w:rPr>
            <w:noProof/>
            <w:webHidden/>
          </w:rPr>
          <w:instrText xml:space="preserve"> PAGEREF _Toc164386816 \h </w:instrText>
        </w:r>
        <w:r w:rsidR="00C23E60">
          <w:rPr>
            <w:noProof/>
            <w:webHidden/>
          </w:rPr>
        </w:r>
        <w:r w:rsidR="00C23E60">
          <w:rPr>
            <w:noProof/>
            <w:webHidden/>
          </w:rPr>
          <w:fldChar w:fldCharType="separate"/>
        </w:r>
        <w:r w:rsidR="00C23E60">
          <w:rPr>
            <w:noProof/>
            <w:webHidden/>
          </w:rPr>
          <w:t>10</w:t>
        </w:r>
        <w:r w:rsidR="00C23E60">
          <w:rPr>
            <w:noProof/>
            <w:webHidden/>
          </w:rPr>
          <w:fldChar w:fldCharType="end"/>
        </w:r>
      </w:hyperlink>
    </w:p>
    <w:p w14:paraId="50951EE7" w14:textId="7DB64D69" w:rsidR="00C23E60" w:rsidRDefault="00BE5995">
      <w:pPr>
        <w:pStyle w:val="TableofFigures"/>
        <w:tabs>
          <w:tab w:val="right" w:leader="dot" w:pos="9016"/>
        </w:tabs>
        <w:rPr>
          <w:noProof/>
        </w:rPr>
      </w:pPr>
      <w:hyperlink w:anchor="_Toc164386817" w:history="1">
        <w:r w:rsidR="00C23E60" w:rsidRPr="00890BE8">
          <w:rPr>
            <w:rStyle w:val="Hyperlink"/>
            <w:noProof/>
          </w:rPr>
          <w:t>Table 7 Debt-to-Equity Comparison</w:t>
        </w:r>
        <w:r w:rsidR="00C23E60">
          <w:rPr>
            <w:noProof/>
            <w:webHidden/>
          </w:rPr>
          <w:tab/>
        </w:r>
        <w:r w:rsidR="00C23E60">
          <w:rPr>
            <w:noProof/>
            <w:webHidden/>
          </w:rPr>
          <w:fldChar w:fldCharType="begin"/>
        </w:r>
        <w:r w:rsidR="00C23E60">
          <w:rPr>
            <w:noProof/>
            <w:webHidden/>
          </w:rPr>
          <w:instrText xml:space="preserve"> PAGEREF _Toc164386817 \h </w:instrText>
        </w:r>
        <w:r w:rsidR="00C23E60">
          <w:rPr>
            <w:noProof/>
            <w:webHidden/>
          </w:rPr>
        </w:r>
        <w:r w:rsidR="00C23E60">
          <w:rPr>
            <w:noProof/>
            <w:webHidden/>
          </w:rPr>
          <w:fldChar w:fldCharType="separate"/>
        </w:r>
        <w:r w:rsidR="00C23E60">
          <w:rPr>
            <w:noProof/>
            <w:webHidden/>
          </w:rPr>
          <w:t>11</w:t>
        </w:r>
        <w:r w:rsidR="00C23E60">
          <w:rPr>
            <w:noProof/>
            <w:webHidden/>
          </w:rPr>
          <w:fldChar w:fldCharType="end"/>
        </w:r>
      </w:hyperlink>
    </w:p>
    <w:p w14:paraId="03CF7570" w14:textId="792F14E0" w:rsidR="00C23E60" w:rsidRDefault="00BE5995">
      <w:pPr>
        <w:pStyle w:val="TableofFigures"/>
        <w:tabs>
          <w:tab w:val="right" w:leader="dot" w:pos="9016"/>
        </w:tabs>
        <w:rPr>
          <w:noProof/>
        </w:rPr>
      </w:pPr>
      <w:hyperlink w:anchor="_Toc164386818" w:history="1">
        <w:r w:rsidR="00C23E60" w:rsidRPr="00890BE8">
          <w:rPr>
            <w:rStyle w:val="Hyperlink"/>
            <w:noProof/>
          </w:rPr>
          <w:t>Table 8 Asset Turnover Ratio Comparison</w:t>
        </w:r>
        <w:r w:rsidR="00C23E60">
          <w:rPr>
            <w:noProof/>
            <w:webHidden/>
          </w:rPr>
          <w:tab/>
        </w:r>
        <w:r w:rsidR="00C23E60">
          <w:rPr>
            <w:noProof/>
            <w:webHidden/>
          </w:rPr>
          <w:fldChar w:fldCharType="begin"/>
        </w:r>
        <w:r w:rsidR="00C23E60">
          <w:rPr>
            <w:noProof/>
            <w:webHidden/>
          </w:rPr>
          <w:instrText xml:space="preserve"> PAGEREF _Toc164386818 \h </w:instrText>
        </w:r>
        <w:r w:rsidR="00C23E60">
          <w:rPr>
            <w:noProof/>
            <w:webHidden/>
          </w:rPr>
        </w:r>
        <w:r w:rsidR="00C23E60">
          <w:rPr>
            <w:noProof/>
            <w:webHidden/>
          </w:rPr>
          <w:fldChar w:fldCharType="separate"/>
        </w:r>
        <w:r w:rsidR="00C23E60">
          <w:rPr>
            <w:noProof/>
            <w:webHidden/>
          </w:rPr>
          <w:t>11</w:t>
        </w:r>
        <w:r w:rsidR="00C23E60">
          <w:rPr>
            <w:noProof/>
            <w:webHidden/>
          </w:rPr>
          <w:fldChar w:fldCharType="end"/>
        </w:r>
      </w:hyperlink>
    </w:p>
    <w:p w14:paraId="48D90448" w14:textId="31D961F3" w:rsidR="00C23E60" w:rsidRDefault="00BE5995">
      <w:pPr>
        <w:pStyle w:val="TableofFigures"/>
        <w:tabs>
          <w:tab w:val="right" w:leader="dot" w:pos="9016"/>
        </w:tabs>
        <w:rPr>
          <w:noProof/>
        </w:rPr>
      </w:pPr>
      <w:hyperlink w:anchor="_Toc164386819" w:history="1">
        <w:r w:rsidR="00C23E60" w:rsidRPr="00890BE8">
          <w:rPr>
            <w:rStyle w:val="Hyperlink"/>
            <w:noProof/>
          </w:rPr>
          <w:t>Table 9 Payback Period of Project A</w:t>
        </w:r>
        <w:r w:rsidR="00C23E60">
          <w:rPr>
            <w:noProof/>
            <w:webHidden/>
          </w:rPr>
          <w:tab/>
        </w:r>
        <w:r w:rsidR="00C23E60">
          <w:rPr>
            <w:noProof/>
            <w:webHidden/>
          </w:rPr>
          <w:fldChar w:fldCharType="begin"/>
        </w:r>
        <w:r w:rsidR="00C23E60">
          <w:rPr>
            <w:noProof/>
            <w:webHidden/>
          </w:rPr>
          <w:instrText xml:space="preserve"> PAGEREF _Toc164386819 \h </w:instrText>
        </w:r>
        <w:r w:rsidR="00C23E60">
          <w:rPr>
            <w:noProof/>
            <w:webHidden/>
          </w:rPr>
        </w:r>
        <w:r w:rsidR="00C23E60">
          <w:rPr>
            <w:noProof/>
            <w:webHidden/>
          </w:rPr>
          <w:fldChar w:fldCharType="separate"/>
        </w:r>
        <w:r w:rsidR="00C23E60">
          <w:rPr>
            <w:noProof/>
            <w:webHidden/>
          </w:rPr>
          <w:t>14</w:t>
        </w:r>
        <w:r w:rsidR="00C23E60">
          <w:rPr>
            <w:noProof/>
            <w:webHidden/>
          </w:rPr>
          <w:fldChar w:fldCharType="end"/>
        </w:r>
      </w:hyperlink>
    </w:p>
    <w:p w14:paraId="488619A5" w14:textId="41733664" w:rsidR="00C23E60" w:rsidRDefault="00BE5995">
      <w:pPr>
        <w:pStyle w:val="TableofFigures"/>
        <w:tabs>
          <w:tab w:val="right" w:leader="dot" w:pos="9016"/>
        </w:tabs>
        <w:rPr>
          <w:noProof/>
        </w:rPr>
      </w:pPr>
      <w:hyperlink w:anchor="_Toc164386820" w:history="1">
        <w:r w:rsidR="00C23E60" w:rsidRPr="00890BE8">
          <w:rPr>
            <w:rStyle w:val="Hyperlink"/>
            <w:noProof/>
          </w:rPr>
          <w:t>Table 10 NPV of Project A</w:t>
        </w:r>
        <w:r w:rsidR="00C23E60">
          <w:rPr>
            <w:noProof/>
            <w:webHidden/>
          </w:rPr>
          <w:tab/>
        </w:r>
        <w:r w:rsidR="00C23E60">
          <w:rPr>
            <w:noProof/>
            <w:webHidden/>
          </w:rPr>
          <w:fldChar w:fldCharType="begin"/>
        </w:r>
        <w:r w:rsidR="00C23E60">
          <w:rPr>
            <w:noProof/>
            <w:webHidden/>
          </w:rPr>
          <w:instrText xml:space="preserve"> PAGEREF _Toc164386820 \h </w:instrText>
        </w:r>
        <w:r w:rsidR="00C23E60">
          <w:rPr>
            <w:noProof/>
            <w:webHidden/>
          </w:rPr>
        </w:r>
        <w:r w:rsidR="00C23E60">
          <w:rPr>
            <w:noProof/>
            <w:webHidden/>
          </w:rPr>
          <w:fldChar w:fldCharType="separate"/>
        </w:r>
        <w:r w:rsidR="00C23E60">
          <w:rPr>
            <w:noProof/>
            <w:webHidden/>
          </w:rPr>
          <w:t>15</w:t>
        </w:r>
        <w:r w:rsidR="00C23E60">
          <w:rPr>
            <w:noProof/>
            <w:webHidden/>
          </w:rPr>
          <w:fldChar w:fldCharType="end"/>
        </w:r>
      </w:hyperlink>
    </w:p>
    <w:p w14:paraId="5B92A076" w14:textId="2089A381" w:rsidR="00C23E60" w:rsidRDefault="00BE5995">
      <w:pPr>
        <w:pStyle w:val="TableofFigures"/>
        <w:tabs>
          <w:tab w:val="right" w:leader="dot" w:pos="9016"/>
        </w:tabs>
        <w:rPr>
          <w:noProof/>
        </w:rPr>
      </w:pPr>
      <w:hyperlink w:anchor="_Toc164386821" w:history="1">
        <w:r w:rsidR="00C23E60" w:rsidRPr="00890BE8">
          <w:rPr>
            <w:rStyle w:val="Hyperlink"/>
            <w:rFonts w:cs="Times New Roman"/>
            <w:noProof/>
          </w:rPr>
          <w:t>Table 11 PBP of Project B</w:t>
        </w:r>
        <w:r w:rsidR="00C23E60">
          <w:rPr>
            <w:noProof/>
            <w:webHidden/>
          </w:rPr>
          <w:tab/>
        </w:r>
        <w:r w:rsidR="00C23E60">
          <w:rPr>
            <w:noProof/>
            <w:webHidden/>
          </w:rPr>
          <w:fldChar w:fldCharType="begin"/>
        </w:r>
        <w:r w:rsidR="00C23E60">
          <w:rPr>
            <w:noProof/>
            <w:webHidden/>
          </w:rPr>
          <w:instrText xml:space="preserve"> PAGEREF _Toc164386821 \h </w:instrText>
        </w:r>
        <w:r w:rsidR="00C23E60">
          <w:rPr>
            <w:noProof/>
            <w:webHidden/>
          </w:rPr>
        </w:r>
        <w:r w:rsidR="00C23E60">
          <w:rPr>
            <w:noProof/>
            <w:webHidden/>
          </w:rPr>
          <w:fldChar w:fldCharType="separate"/>
        </w:r>
        <w:r w:rsidR="00C23E60">
          <w:rPr>
            <w:noProof/>
            <w:webHidden/>
          </w:rPr>
          <w:t>15</w:t>
        </w:r>
        <w:r w:rsidR="00C23E60">
          <w:rPr>
            <w:noProof/>
            <w:webHidden/>
          </w:rPr>
          <w:fldChar w:fldCharType="end"/>
        </w:r>
      </w:hyperlink>
    </w:p>
    <w:p w14:paraId="2322C0AF" w14:textId="44C216F3" w:rsidR="00C23E60" w:rsidRDefault="00BE5995">
      <w:pPr>
        <w:pStyle w:val="TableofFigures"/>
        <w:tabs>
          <w:tab w:val="right" w:leader="dot" w:pos="9016"/>
        </w:tabs>
        <w:rPr>
          <w:noProof/>
        </w:rPr>
      </w:pPr>
      <w:hyperlink w:anchor="_Toc164386822" w:history="1">
        <w:r w:rsidR="00C23E60" w:rsidRPr="00890BE8">
          <w:rPr>
            <w:rStyle w:val="Hyperlink"/>
            <w:noProof/>
          </w:rPr>
          <w:t>Table 12 NPV of Project B</w:t>
        </w:r>
        <w:r w:rsidR="00C23E60">
          <w:rPr>
            <w:noProof/>
            <w:webHidden/>
          </w:rPr>
          <w:tab/>
        </w:r>
        <w:r w:rsidR="00C23E60">
          <w:rPr>
            <w:noProof/>
            <w:webHidden/>
          </w:rPr>
          <w:fldChar w:fldCharType="begin"/>
        </w:r>
        <w:r w:rsidR="00C23E60">
          <w:rPr>
            <w:noProof/>
            <w:webHidden/>
          </w:rPr>
          <w:instrText xml:space="preserve"> PAGEREF _Toc164386822 \h </w:instrText>
        </w:r>
        <w:r w:rsidR="00C23E60">
          <w:rPr>
            <w:noProof/>
            <w:webHidden/>
          </w:rPr>
        </w:r>
        <w:r w:rsidR="00C23E60">
          <w:rPr>
            <w:noProof/>
            <w:webHidden/>
          </w:rPr>
          <w:fldChar w:fldCharType="separate"/>
        </w:r>
        <w:r w:rsidR="00C23E60">
          <w:rPr>
            <w:noProof/>
            <w:webHidden/>
          </w:rPr>
          <w:t>16</w:t>
        </w:r>
        <w:r w:rsidR="00C23E60">
          <w:rPr>
            <w:noProof/>
            <w:webHidden/>
          </w:rPr>
          <w:fldChar w:fldCharType="end"/>
        </w:r>
      </w:hyperlink>
    </w:p>
    <w:p w14:paraId="0746D00C" w14:textId="6E7835FE" w:rsidR="00C23E60" w:rsidRDefault="00BE5995">
      <w:pPr>
        <w:pStyle w:val="TableofFigures"/>
        <w:tabs>
          <w:tab w:val="right" w:leader="dot" w:pos="9016"/>
        </w:tabs>
        <w:rPr>
          <w:noProof/>
        </w:rPr>
      </w:pPr>
      <w:hyperlink w:anchor="_Toc164386823" w:history="1">
        <w:r w:rsidR="00C23E60" w:rsidRPr="00890BE8">
          <w:rPr>
            <w:rStyle w:val="Hyperlink"/>
            <w:noProof/>
          </w:rPr>
          <w:t>Table 13 Adjusted NPV of Project A</w:t>
        </w:r>
        <w:r w:rsidR="00C23E60">
          <w:rPr>
            <w:noProof/>
            <w:webHidden/>
          </w:rPr>
          <w:tab/>
        </w:r>
        <w:r w:rsidR="00C23E60">
          <w:rPr>
            <w:noProof/>
            <w:webHidden/>
          </w:rPr>
          <w:fldChar w:fldCharType="begin"/>
        </w:r>
        <w:r w:rsidR="00C23E60">
          <w:rPr>
            <w:noProof/>
            <w:webHidden/>
          </w:rPr>
          <w:instrText xml:space="preserve"> PAGEREF _Toc164386823 \h </w:instrText>
        </w:r>
        <w:r w:rsidR="00C23E60">
          <w:rPr>
            <w:noProof/>
            <w:webHidden/>
          </w:rPr>
        </w:r>
        <w:r w:rsidR="00C23E60">
          <w:rPr>
            <w:noProof/>
            <w:webHidden/>
          </w:rPr>
          <w:fldChar w:fldCharType="separate"/>
        </w:r>
        <w:r w:rsidR="00C23E60">
          <w:rPr>
            <w:noProof/>
            <w:webHidden/>
          </w:rPr>
          <w:t>17</w:t>
        </w:r>
        <w:r w:rsidR="00C23E60">
          <w:rPr>
            <w:noProof/>
            <w:webHidden/>
          </w:rPr>
          <w:fldChar w:fldCharType="end"/>
        </w:r>
      </w:hyperlink>
    </w:p>
    <w:p w14:paraId="42A80100" w14:textId="3C39FC31" w:rsidR="00C23E60" w:rsidRDefault="00BE5995">
      <w:pPr>
        <w:pStyle w:val="TableofFigures"/>
        <w:tabs>
          <w:tab w:val="right" w:leader="dot" w:pos="9016"/>
        </w:tabs>
        <w:rPr>
          <w:noProof/>
        </w:rPr>
      </w:pPr>
      <w:hyperlink w:anchor="_Toc164386824" w:history="1">
        <w:r w:rsidR="00C23E60" w:rsidRPr="00890BE8">
          <w:rPr>
            <w:rStyle w:val="Hyperlink"/>
            <w:noProof/>
          </w:rPr>
          <w:t>Table 14 Adjusted NPV of Project B</w:t>
        </w:r>
        <w:r w:rsidR="00C23E60">
          <w:rPr>
            <w:noProof/>
            <w:webHidden/>
          </w:rPr>
          <w:tab/>
        </w:r>
        <w:r w:rsidR="00C23E60">
          <w:rPr>
            <w:noProof/>
            <w:webHidden/>
          </w:rPr>
          <w:fldChar w:fldCharType="begin"/>
        </w:r>
        <w:r w:rsidR="00C23E60">
          <w:rPr>
            <w:noProof/>
            <w:webHidden/>
          </w:rPr>
          <w:instrText xml:space="preserve"> PAGEREF _Toc164386824 \h </w:instrText>
        </w:r>
        <w:r w:rsidR="00C23E60">
          <w:rPr>
            <w:noProof/>
            <w:webHidden/>
          </w:rPr>
        </w:r>
        <w:r w:rsidR="00C23E60">
          <w:rPr>
            <w:noProof/>
            <w:webHidden/>
          </w:rPr>
          <w:fldChar w:fldCharType="separate"/>
        </w:r>
        <w:r w:rsidR="00C23E60">
          <w:rPr>
            <w:noProof/>
            <w:webHidden/>
          </w:rPr>
          <w:t>17</w:t>
        </w:r>
        <w:r w:rsidR="00C23E60">
          <w:rPr>
            <w:noProof/>
            <w:webHidden/>
          </w:rPr>
          <w:fldChar w:fldCharType="end"/>
        </w:r>
      </w:hyperlink>
    </w:p>
    <w:p w14:paraId="0AA22D4B" w14:textId="77777777" w:rsidR="00C23E60" w:rsidRDefault="00C23E60">
      <w:pPr>
        <w:spacing w:line="259" w:lineRule="auto"/>
        <w:jc w:val="left"/>
      </w:pPr>
      <w:r>
        <w:fldChar w:fldCharType="end"/>
      </w:r>
    </w:p>
    <w:p w14:paraId="2B40B36A" w14:textId="77777777" w:rsidR="00C23E60" w:rsidRPr="00C23E60" w:rsidRDefault="00C23E60">
      <w:pPr>
        <w:spacing w:line="259" w:lineRule="auto"/>
        <w:jc w:val="left"/>
        <w:rPr>
          <w:b/>
          <w:bCs/>
          <w:noProof/>
        </w:rPr>
      </w:pPr>
      <w:r w:rsidRPr="00C23E60">
        <w:rPr>
          <w:b/>
          <w:bCs/>
        </w:rPr>
        <w:t>TABLE OF FIGURES</w:t>
      </w:r>
      <w:r w:rsidRPr="00C23E60">
        <w:rPr>
          <w:b/>
          <w:bCs/>
        </w:rPr>
        <w:br/>
      </w:r>
      <w:r>
        <w:rPr>
          <w:b/>
          <w:bCs/>
        </w:rPr>
        <w:fldChar w:fldCharType="begin"/>
      </w:r>
      <w:r w:rsidRPr="00C23E60">
        <w:rPr>
          <w:b/>
          <w:bCs/>
        </w:rPr>
        <w:instrText xml:space="preserve"> TOC \h \z \c "Figure" </w:instrText>
      </w:r>
      <w:r>
        <w:rPr>
          <w:b/>
          <w:bCs/>
        </w:rPr>
        <w:fldChar w:fldCharType="separate"/>
      </w:r>
    </w:p>
    <w:p w14:paraId="6C2FACB7" w14:textId="5E048E9E" w:rsidR="00C23E60" w:rsidRDefault="00BE5995">
      <w:pPr>
        <w:pStyle w:val="TableofFigures"/>
        <w:tabs>
          <w:tab w:val="right" w:leader="dot" w:pos="9016"/>
        </w:tabs>
        <w:rPr>
          <w:rFonts w:asciiTheme="minorHAnsi" w:eastAsiaTheme="minorEastAsia" w:hAnsiTheme="minorHAnsi" w:cstheme="minorBidi"/>
          <w:noProof/>
          <w:sz w:val="22"/>
          <w:lang w:eastAsia="en-IN"/>
        </w:rPr>
      </w:pPr>
      <w:hyperlink w:anchor="_Toc164386826" w:history="1">
        <w:r w:rsidR="00C23E60" w:rsidRPr="001024C4">
          <w:rPr>
            <w:rStyle w:val="Hyperlink"/>
            <w:noProof/>
          </w:rPr>
          <w:t>Figure 1 Net Profit Margin</w:t>
        </w:r>
        <w:r w:rsidR="00C23E60">
          <w:rPr>
            <w:noProof/>
            <w:webHidden/>
          </w:rPr>
          <w:tab/>
        </w:r>
        <w:r w:rsidR="00C23E60">
          <w:rPr>
            <w:noProof/>
            <w:webHidden/>
          </w:rPr>
          <w:fldChar w:fldCharType="begin"/>
        </w:r>
        <w:r w:rsidR="00C23E60">
          <w:rPr>
            <w:noProof/>
            <w:webHidden/>
          </w:rPr>
          <w:instrText xml:space="preserve"> PAGEREF _Toc164386826 \h </w:instrText>
        </w:r>
        <w:r w:rsidR="00C23E60">
          <w:rPr>
            <w:noProof/>
            <w:webHidden/>
          </w:rPr>
        </w:r>
        <w:r w:rsidR="00C23E60">
          <w:rPr>
            <w:noProof/>
            <w:webHidden/>
          </w:rPr>
          <w:fldChar w:fldCharType="separate"/>
        </w:r>
        <w:r w:rsidR="00C23E60">
          <w:rPr>
            <w:noProof/>
            <w:webHidden/>
          </w:rPr>
          <w:t>5</w:t>
        </w:r>
        <w:r w:rsidR="00C23E60">
          <w:rPr>
            <w:noProof/>
            <w:webHidden/>
          </w:rPr>
          <w:fldChar w:fldCharType="end"/>
        </w:r>
      </w:hyperlink>
    </w:p>
    <w:p w14:paraId="7C01E60F" w14:textId="19C684FE" w:rsidR="00C23E60" w:rsidRDefault="00BE5995">
      <w:pPr>
        <w:pStyle w:val="TableofFigures"/>
        <w:tabs>
          <w:tab w:val="right" w:leader="dot" w:pos="9016"/>
        </w:tabs>
        <w:rPr>
          <w:rFonts w:asciiTheme="minorHAnsi" w:eastAsiaTheme="minorEastAsia" w:hAnsiTheme="minorHAnsi" w:cstheme="minorBidi"/>
          <w:noProof/>
          <w:sz w:val="22"/>
          <w:lang w:eastAsia="en-IN"/>
        </w:rPr>
      </w:pPr>
      <w:hyperlink w:anchor="_Toc164386827" w:history="1">
        <w:r w:rsidR="00C23E60" w:rsidRPr="001024C4">
          <w:rPr>
            <w:rStyle w:val="Hyperlink"/>
            <w:noProof/>
          </w:rPr>
          <w:t>Figure 2 Cash Ratio</w:t>
        </w:r>
        <w:r w:rsidR="00C23E60">
          <w:rPr>
            <w:noProof/>
            <w:webHidden/>
          </w:rPr>
          <w:tab/>
        </w:r>
        <w:r w:rsidR="00C23E60">
          <w:rPr>
            <w:noProof/>
            <w:webHidden/>
          </w:rPr>
          <w:fldChar w:fldCharType="begin"/>
        </w:r>
        <w:r w:rsidR="00C23E60">
          <w:rPr>
            <w:noProof/>
            <w:webHidden/>
          </w:rPr>
          <w:instrText xml:space="preserve"> PAGEREF _Toc164386827 \h </w:instrText>
        </w:r>
        <w:r w:rsidR="00C23E60">
          <w:rPr>
            <w:noProof/>
            <w:webHidden/>
          </w:rPr>
        </w:r>
        <w:r w:rsidR="00C23E60">
          <w:rPr>
            <w:noProof/>
            <w:webHidden/>
          </w:rPr>
          <w:fldChar w:fldCharType="separate"/>
        </w:r>
        <w:r w:rsidR="00C23E60">
          <w:rPr>
            <w:noProof/>
            <w:webHidden/>
          </w:rPr>
          <w:t>6</w:t>
        </w:r>
        <w:r w:rsidR="00C23E60">
          <w:rPr>
            <w:noProof/>
            <w:webHidden/>
          </w:rPr>
          <w:fldChar w:fldCharType="end"/>
        </w:r>
      </w:hyperlink>
    </w:p>
    <w:p w14:paraId="6FE3B7C5" w14:textId="66FE0830" w:rsidR="00C23E60" w:rsidRDefault="00BE5995">
      <w:pPr>
        <w:pStyle w:val="TableofFigures"/>
        <w:tabs>
          <w:tab w:val="right" w:leader="dot" w:pos="9016"/>
        </w:tabs>
        <w:rPr>
          <w:rFonts w:asciiTheme="minorHAnsi" w:eastAsiaTheme="minorEastAsia" w:hAnsiTheme="minorHAnsi" w:cstheme="minorBidi"/>
          <w:noProof/>
          <w:sz w:val="22"/>
          <w:lang w:eastAsia="en-IN"/>
        </w:rPr>
      </w:pPr>
      <w:hyperlink w:anchor="_Toc164386828" w:history="1">
        <w:r w:rsidR="00C23E60" w:rsidRPr="001024C4">
          <w:rPr>
            <w:rStyle w:val="Hyperlink"/>
            <w:noProof/>
          </w:rPr>
          <w:t>Figure 3 Debt-to-Equity</w:t>
        </w:r>
        <w:r w:rsidR="00C23E60">
          <w:rPr>
            <w:noProof/>
            <w:webHidden/>
          </w:rPr>
          <w:tab/>
        </w:r>
        <w:r w:rsidR="00C23E60">
          <w:rPr>
            <w:noProof/>
            <w:webHidden/>
          </w:rPr>
          <w:fldChar w:fldCharType="begin"/>
        </w:r>
        <w:r w:rsidR="00C23E60">
          <w:rPr>
            <w:noProof/>
            <w:webHidden/>
          </w:rPr>
          <w:instrText xml:space="preserve"> PAGEREF _Toc164386828 \h </w:instrText>
        </w:r>
        <w:r w:rsidR="00C23E60">
          <w:rPr>
            <w:noProof/>
            <w:webHidden/>
          </w:rPr>
        </w:r>
        <w:r w:rsidR="00C23E60">
          <w:rPr>
            <w:noProof/>
            <w:webHidden/>
          </w:rPr>
          <w:fldChar w:fldCharType="separate"/>
        </w:r>
        <w:r w:rsidR="00C23E60">
          <w:rPr>
            <w:noProof/>
            <w:webHidden/>
          </w:rPr>
          <w:t>7</w:t>
        </w:r>
        <w:r w:rsidR="00C23E60">
          <w:rPr>
            <w:noProof/>
            <w:webHidden/>
          </w:rPr>
          <w:fldChar w:fldCharType="end"/>
        </w:r>
      </w:hyperlink>
    </w:p>
    <w:p w14:paraId="0E0DF72E" w14:textId="3ADCD8D5" w:rsidR="00C23E60" w:rsidRDefault="00BE5995">
      <w:pPr>
        <w:pStyle w:val="TableofFigures"/>
        <w:tabs>
          <w:tab w:val="right" w:leader="dot" w:pos="9016"/>
        </w:tabs>
        <w:rPr>
          <w:rFonts w:asciiTheme="minorHAnsi" w:eastAsiaTheme="minorEastAsia" w:hAnsiTheme="minorHAnsi" w:cstheme="minorBidi"/>
          <w:noProof/>
          <w:sz w:val="22"/>
          <w:lang w:eastAsia="en-IN"/>
        </w:rPr>
      </w:pPr>
      <w:hyperlink w:anchor="_Toc164386829" w:history="1">
        <w:r w:rsidR="00C23E60" w:rsidRPr="001024C4">
          <w:rPr>
            <w:rStyle w:val="Hyperlink"/>
            <w:noProof/>
          </w:rPr>
          <w:t>Figure 4 Asset Turnover Ratio</w:t>
        </w:r>
        <w:r w:rsidR="00C23E60">
          <w:rPr>
            <w:noProof/>
            <w:webHidden/>
          </w:rPr>
          <w:tab/>
        </w:r>
        <w:r w:rsidR="00C23E60">
          <w:rPr>
            <w:noProof/>
            <w:webHidden/>
          </w:rPr>
          <w:fldChar w:fldCharType="begin"/>
        </w:r>
        <w:r w:rsidR="00C23E60">
          <w:rPr>
            <w:noProof/>
            <w:webHidden/>
          </w:rPr>
          <w:instrText xml:space="preserve"> PAGEREF _Toc164386829 \h </w:instrText>
        </w:r>
        <w:r w:rsidR="00C23E60">
          <w:rPr>
            <w:noProof/>
            <w:webHidden/>
          </w:rPr>
        </w:r>
        <w:r w:rsidR="00C23E60">
          <w:rPr>
            <w:noProof/>
            <w:webHidden/>
          </w:rPr>
          <w:fldChar w:fldCharType="separate"/>
        </w:r>
        <w:r w:rsidR="00C23E60">
          <w:rPr>
            <w:noProof/>
            <w:webHidden/>
          </w:rPr>
          <w:t>9</w:t>
        </w:r>
        <w:r w:rsidR="00C23E60">
          <w:rPr>
            <w:noProof/>
            <w:webHidden/>
          </w:rPr>
          <w:fldChar w:fldCharType="end"/>
        </w:r>
      </w:hyperlink>
    </w:p>
    <w:p w14:paraId="48D067DE" w14:textId="26109FCE" w:rsidR="00C23E60" w:rsidRDefault="00BE5995">
      <w:pPr>
        <w:pStyle w:val="TableofFigures"/>
        <w:tabs>
          <w:tab w:val="right" w:leader="dot" w:pos="9016"/>
        </w:tabs>
        <w:rPr>
          <w:rFonts w:asciiTheme="minorHAnsi" w:eastAsiaTheme="minorEastAsia" w:hAnsiTheme="minorHAnsi" w:cstheme="minorBidi"/>
          <w:noProof/>
          <w:sz w:val="22"/>
          <w:lang w:eastAsia="en-IN"/>
        </w:rPr>
      </w:pPr>
      <w:hyperlink w:anchor="_Toc164386830" w:history="1">
        <w:r w:rsidR="00C23E60" w:rsidRPr="001024C4">
          <w:rPr>
            <w:rStyle w:val="Hyperlink"/>
            <w:noProof/>
          </w:rPr>
          <w:t>Figure 5 Profitability Ratio Comparison</w:t>
        </w:r>
        <w:r w:rsidR="00C23E60">
          <w:rPr>
            <w:noProof/>
            <w:webHidden/>
          </w:rPr>
          <w:tab/>
        </w:r>
        <w:r w:rsidR="00C23E60">
          <w:rPr>
            <w:noProof/>
            <w:webHidden/>
          </w:rPr>
          <w:fldChar w:fldCharType="begin"/>
        </w:r>
        <w:r w:rsidR="00C23E60">
          <w:rPr>
            <w:noProof/>
            <w:webHidden/>
          </w:rPr>
          <w:instrText xml:space="preserve"> PAGEREF _Toc164386830 \h </w:instrText>
        </w:r>
        <w:r w:rsidR="00C23E60">
          <w:rPr>
            <w:noProof/>
            <w:webHidden/>
          </w:rPr>
        </w:r>
        <w:r w:rsidR="00C23E60">
          <w:rPr>
            <w:noProof/>
            <w:webHidden/>
          </w:rPr>
          <w:fldChar w:fldCharType="separate"/>
        </w:r>
        <w:r w:rsidR="00C23E60">
          <w:rPr>
            <w:noProof/>
            <w:webHidden/>
          </w:rPr>
          <w:t>10</w:t>
        </w:r>
        <w:r w:rsidR="00C23E60">
          <w:rPr>
            <w:noProof/>
            <w:webHidden/>
          </w:rPr>
          <w:fldChar w:fldCharType="end"/>
        </w:r>
      </w:hyperlink>
    </w:p>
    <w:p w14:paraId="7E2D8669" w14:textId="1451257D" w:rsidR="00C23E60" w:rsidRDefault="00BE5995">
      <w:pPr>
        <w:pStyle w:val="TableofFigures"/>
        <w:tabs>
          <w:tab w:val="right" w:leader="dot" w:pos="9016"/>
        </w:tabs>
        <w:rPr>
          <w:rFonts w:asciiTheme="minorHAnsi" w:eastAsiaTheme="minorEastAsia" w:hAnsiTheme="minorHAnsi" w:cstheme="minorBidi"/>
          <w:noProof/>
          <w:sz w:val="22"/>
          <w:lang w:eastAsia="en-IN"/>
        </w:rPr>
      </w:pPr>
      <w:hyperlink w:anchor="_Toc164386831" w:history="1">
        <w:r w:rsidR="00C23E60" w:rsidRPr="001024C4">
          <w:rPr>
            <w:rStyle w:val="Hyperlink"/>
            <w:noProof/>
          </w:rPr>
          <w:t>Figure 6 Cash Ratio Comparison</w:t>
        </w:r>
        <w:r w:rsidR="00C23E60">
          <w:rPr>
            <w:noProof/>
            <w:webHidden/>
          </w:rPr>
          <w:tab/>
        </w:r>
        <w:r w:rsidR="00C23E60">
          <w:rPr>
            <w:noProof/>
            <w:webHidden/>
          </w:rPr>
          <w:fldChar w:fldCharType="begin"/>
        </w:r>
        <w:r w:rsidR="00C23E60">
          <w:rPr>
            <w:noProof/>
            <w:webHidden/>
          </w:rPr>
          <w:instrText xml:space="preserve"> PAGEREF _Toc164386831 \h </w:instrText>
        </w:r>
        <w:r w:rsidR="00C23E60">
          <w:rPr>
            <w:noProof/>
            <w:webHidden/>
          </w:rPr>
        </w:r>
        <w:r w:rsidR="00C23E60">
          <w:rPr>
            <w:noProof/>
            <w:webHidden/>
          </w:rPr>
          <w:fldChar w:fldCharType="separate"/>
        </w:r>
        <w:r w:rsidR="00C23E60">
          <w:rPr>
            <w:noProof/>
            <w:webHidden/>
          </w:rPr>
          <w:t>10</w:t>
        </w:r>
        <w:r w:rsidR="00C23E60">
          <w:rPr>
            <w:noProof/>
            <w:webHidden/>
          </w:rPr>
          <w:fldChar w:fldCharType="end"/>
        </w:r>
      </w:hyperlink>
    </w:p>
    <w:p w14:paraId="338A7763" w14:textId="36B9900A" w:rsidR="00C23E60" w:rsidRDefault="00BE5995">
      <w:pPr>
        <w:pStyle w:val="TableofFigures"/>
        <w:tabs>
          <w:tab w:val="right" w:leader="dot" w:pos="9016"/>
        </w:tabs>
        <w:rPr>
          <w:rFonts w:asciiTheme="minorHAnsi" w:eastAsiaTheme="minorEastAsia" w:hAnsiTheme="minorHAnsi" w:cstheme="minorBidi"/>
          <w:noProof/>
          <w:sz w:val="22"/>
          <w:lang w:eastAsia="en-IN"/>
        </w:rPr>
      </w:pPr>
      <w:hyperlink w:anchor="_Toc164386832" w:history="1">
        <w:r w:rsidR="00C23E60" w:rsidRPr="001024C4">
          <w:rPr>
            <w:rStyle w:val="Hyperlink"/>
            <w:noProof/>
          </w:rPr>
          <w:t>Figure 7 Debt-to-Equity Comparison</w:t>
        </w:r>
        <w:r w:rsidR="00C23E60">
          <w:rPr>
            <w:noProof/>
            <w:webHidden/>
          </w:rPr>
          <w:tab/>
        </w:r>
        <w:r w:rsidR="00C23E60">
          <w:rPr>
            <w:noProof/>
            <w:webHidden/>
          </w:rPr>
          <w:fldChar w:fldCharType="begin"/>
        </w:r>
        <w:r w:rsidR="00C23E60">
          <w:rPr>
            <w:noProof/>
            <w:webHidden/>
          </w:rPr>
          <w:instrText xml:space="preserve"> PAGEREF _Toc164386832 \h </w:instrText>
        </w:r>
        <w:r w:rsidR="00C23E60">
          <w:rPr>
            <w:noProof/>
            <w:webHidden/>
          </w:rPr>
        </w:r>
        <w:r w:rsidR="00C23E60">
          <w:rPr>
            <w:noProof/>
            <w:webHidden/>
          </w:rPr>
          <w:fldChar w:fldCharType="separate"/>
        </w:r>
        <w:r w:rsidR="00C23E60">
          <w:rPr>
            <w:noProof/>
            <w:webHidden/>
          </w:rPr>
          <w:t>11</w:t>
        </w:r>
        <w:r w:rsidR="00C23E60">
          <w:rPr>
            <w:noProof/>
            <w:webHidden/>
          </w:rPr>
          <w:fldChar w:fldCharType="end"/>
        </w:r>
      </w:hyperlink>
    </w:p>
    <w:p w14:paraId="6212D393" w14:textId="6B38CB83" w:rsidR="00C23E60" w:rsidRDefault="00BE5995">
      <w:pPr>
        <w:pStyle w:val="TableofFigures"/>
        <w:tabs>
          <w:tab w:val="right" w:leader="dot" w:pos="9016"/>
        </w:tabs>
        <w:rPr>
          <w:rFonts w:asciiTheme="minorHAnsi" w:eastAsiaTheme="minorEastAsia" w:hAnsiTheme="minorHAnsi" w:cstheme="minorBidi"/>
          <w:noProof/>
          <w:sz w:val="22"/>
          <w:lang w:eastAsia="en-IN"/>
        </w:rPr>
      </w:pPr>
      <w:hyperlink w:anchor="_Toc164386833" w:history="1">
        <w:r w:rsidR="00C23E60" w:rsidRPr="001024C4">
          <w:rPr>
            <w:rStyle w:val="Hyperlink"/>
            <w:noProof/>
          </w:rPr>
          <w:t>Figure 8 Asset Turnover Ratio Comparison</w:t>
        </w:r>
        <w:r w:rsidR="00C23E60">
          <w:rPr>
            <w:noProof/>
            <w:webHidden/>
          </w:rPr>
          <w:tab/>
        </w:r>
        <w:r w:rsidR="00C23E60">
          <w:rPr>
            <w:noProof/>
            <w:webHidden/>
          </w:rPr>
          <w:fldChar w:fldCharType="begin"/>
        </w:r>
        <w:r w:rsidR="00C23E60">
          <w:rPr>
            <w:noProof/>
            <w:webHidden/>
          </w:rPr>
          <w:instrText xml:space="preserve"> PAGEREF _Toc164386833 \h </w:instrText>
        </w:r>
        <w:r w:rsidR="00C23E60">
          <w:rPr>
            <w:noProof/>
            <w:webHidden/>
          </w:rPr>
        </w:r>
        <w:r w:rsidR="00C23E60">
          <w:rPr>
            <w:noProof/>
            <w:webHidden/>
          </w:rPr>
          <w:fldChar w:fldCharType="separate"/>
        </w:r>
        <w:r w:rsidR="00C23E60">
          <w:rPr>
            <w:noProof/>
            <w:webHidden/>
          </w:rPr>
          <w:t>12</w:t>
        </w:r>
        <w:r w:rsidR="00C23E60">
          <w:rPr>
            <w:noProof/>
            <w:webHidden/>
          </w:rPr>
          <w:fldChar w:fldCharType="end"/>
        </w:r>
      </w:hyperlink>
    </w:p>
    <w:p w14:paraId="3F0491A9" w14:textId="77777777" w:rsidR="008D0E29" w:rsidRDefault="00C23E60">
      <w:pPr>
        <w:spacing w:line="259" w:lineRule="auto"/>
        <w:jc w:val="left"/>
      </w:pPr>
      <w:r>
        <w:fldChar w:fldCharType="end"/>
      </w:r>
    </w:p>
    <w:p w14:paraId="2CBAB0A8" w14:textId="77777777" w:rsidR="008D0E29" w:rsidRDefault="008D0E29">
      <w:pPr>
        <w:spacing w:line="259" w:lineRule="auto"/>
        <w:jc w:val="left"/>
      </w:pPr>
      <w:r>
        <w:br w:type="page"/>
      </w:r>
    </w:p>
    <w:p w14:paraId="3DC043B8" w14:textId="68E94EED" w:rsidR="0094009C" w:rsidRDefault="008D0E29">
      <w:pPr>
        <w:spacing w:line="259" w:lineRule="auto"/>
        <w:jc w:val="left"/>
      </w:pPr>
      <w:r w:rsidRPr="005B3539">
        <w:rPr>
          <w:b/>
          <w:bCs/>
        </w:rPr>
        <w:lastRenderedPageBreak/>
        <w:t>LIST OF ABBREVIATIONS</w:t>
      </w:r>
      <w:r>
        <w:br/>
      </w:r>
      <w:r>
        <w:br/>
      </w:r>
      <w:r w:rsidR="0094009C">
        <w:t>ARR- Average Rate of Return</w:t>
      </w:r>
    </w:p>
    <w:p w14:paraId="5AE6EF33" w14:textId="1B2035E5" w:rsidR="000F68DD" w:rsidRDefault="008D0E29">
      <w:pPr>
        <w:spacing w:line="259" w:lineRule="auto"/>
        <w:jc w:val="left"/>
      </w:pPr>
      <w:r>
        <w:t>BAT- British American Tobacco</w:t>
      </w:r>
    </w:p>
    <w:p w14:paraId="3536A780" w14:textId="77777777" w:rsidR="0094009C" w:rsidRDefault="000F68DD">
      <w:pPr>
        <w:spacing w:line="259" w:lineRule="auto"/>
        <w:jc w:val="left"/>
      </w:pPr>
      <w:r>
        <w:t>NGP- Next Generation Product</w:t>
      </w:r>
    </w:p>
    <w:p w14:paraId="7A7442EC" w14:textId="77777777" w:rsidR="0094009C" w:rsidRDefault="0094009C">
      <w:pPr>
        <w:spacing w:line="259" w:lineRule="auto"/>
        <w:jc w:val="left"/>
      </w:pPr>
      <w:r>
        <w:t>NPV- Net Present Value</w:t>
      </w:r>
    </w:p>
    <w:p w14:paraId="014E9048" w14:textId="3F89196F" w:rsidR="000F0543" w:rsidRDefault="0094009C">
      <w:pPr>
        <w:spacing w:line="259" w:lineRule="auto"/>
        <w:jc w:val="left"/>
        <w:rPr>
          <w:rFonts w:eastAsiaTheme="majorEastAsia" w:cstheme="majorBidi"/>
          <w:b/>
          <w:sz w:val="32"/>
          <w:szCs w:val="32"/>
        </w:rPr>
      </w:pPr>
      <w:r>
        <w:t>PBP- Pay Back Period</w:t>
      </w:r>
      <w:r w:rsidR="000F0543">
        <w:br w:type="page"/>
      </w:r>
    </w:p>
    <w:p w14:paraId="17E1519F" w14:textId="19AC47E3" w:rsidR="00EF70E2" w:rsidRDefault="00EF70E2" w:rsidP="00EF70E2">
      <w:pPr>
        <w:pStyle w:val="Heading1"/>
      </w:pPr>
      <w:bookmarkStart w:id="1" w:name="_Toc162752540"/>
      <w:bookmarkStart w:id="2" w:name="_Toc164387953"/>
      <w:r>
        <w:lastRenderedPageBreak/>
        <w:t>PART A- COMPANY INTRODUCTION</w:t>
      </w:r>
      <w:bookmarkEnd w:id="1"/>
      <w:bookmarkEnd w:id="2"/>
    </w:p>
    <w:p w14:paraId="6EEC115A" w14:textId="35380ECE" w:rsidR="00EF70E2" w:rsidRDefault="00EF70E2" w:rsidP="00EF70E2">
      <w:r>
        <w:t>The company chosen for this study is British American Tobacco (BAT) company and it is one of the leading companies operating over more than a century. BAT was founded in 1902 and it is one of the largest tobacco companies at the global level the Company operates in over 200 countries and territories. BAT originated as a merger of several tobacco companies in the 20th century and acquisitions and mergers contributed to the rapid growth of the company in the sector. The company also expanded its products from traditional cigarettes to a wide variety of products such as cigars, smokeless tobacco, and other nicotine products</w:t>
      </w:r>
      <w:r w:rsidR="00E554A4">
        <w:t xml:space="preserve"> </w:t>
      </w:r>
      <w:r w:rsidR="00E554A4" w:rsidRPr="00E554A4">
        <w:t>(BAT, 2022)</w:t>
      </w:r>
      <w:r>
        <w:t>.</w:t>
      </w:r>
    </w:p>
    <w:p w14:paraId="7162A074" w14:textId="7663B55F" w:rsidR="00EF70E2" w:rsidRDefault="00EF70E2" w:rsidP="00EF70E2">
      <w:r>
        <w:t>The business model of the company includes manufacturing, Marketing, and distribution of a wide range of tobacco and Nicotine products. The company also focuses on several aspects such as innovation, brand building, product development, etc as well. The environmental and social concerns associated with the products of the company are managed by theme efficiently using sustainability in the operation and focusing on Corporate Social Responsibility</w:t>
      </w:r>
      <w:r w:rsidR="004B5630">
        <w:t xml:space="preserve"> </w:t>
      </w:r>
      <w:r w:rsidR="00840DBF" w:rsidRPr="00840DBF">
        <w:t>(BAT, 2022)</w:t>
      </w:r>
      <w:r>
        <w:t xml:space="preserve">. </w:t>
      </w:r>
    </w:p>
    <w:p w14:paraId="41220D61" w14:textId="77777777" w:rsidR="00EF70E2" w:rsidRDefault="00EF70E2" w:rsidP="00EF70E2">
      <w:r>
        <w:t xml:space="preserve">The company is operating across different countries and different continents including Europe, Asia-Pacific, America, and Africa. The presence of the company is expanded in both developed and emerging markets using its strong distribution channels. </w:t>
      </w:r>
    </w:p>
    <w:p w14:paraId="35ED1862" w14:textId="2B9CDDB7" w:rsidR="00AC4D21" w:rsidRPr="00AC4D21" w:rsidRDefault="00AC4D21" w:rsidP="00EF70E2">
      <w:pPr>
        <w:rPr>
          <w:i/>
          <w:iCs/>
        </w:rPr>
      </w:pPr>
      <w:r w:rsidRPr="00AC4D21">
        <w:rPr>
          <w:i/>
          <w:iCs/>
        </w:rPr>
        <w:t>Major Events</w:t>
      </w:r>
    </w:p>
    <w:p w14:paraId="32DA0369" w14:textId="1D5E32AA" w:rsidR="009615B7" w:rsidRDefault="00AC4D21" w:rsidP="00EF70E2">
      <w:r>
        <w:t>Some of the major events that happened in the company for the last 5 years are explained below,</w:t>
      </w:r>
    </w:p>
    <w:p w14:paraId="6D34C1D3" w14:textId="199B075C" w:rsidR="00AC4D21" w:rsidRDefault="00AC4D21" w:rsidP="00EF70E2">
      <w:r>
        <w:t xml:space="preserve">2019- Expansion of NGP is the major event that happened in the company in the year 2019. The company intensified its Next Generation Product categories which include the e-cigarettes and heated tobacco products for the changing consumer preferences. </w:t>
      </w:r>
    </w:p>
    <w:p w14:paraId="7E7EB922" w14:textId="3B9A4360" w:rsidR="008A6A97" w:rsidRDefault="008A6A97" w:rsidP="00EF70E2">
      <w:r>
        <w:t xml:space="preserve">2020- In this year of the operation, BAT faced several challenges with the marketing and sales of vaping products. Strict regulations from the different markets across the world on selling these products </w:t>
      </w:r>
      <w:r w:rsidR="005711A6">
        <w:t>negatively affected the operations</w:t>
      </w:r>
      <w:r>
        <w:t>.</w:t>
      </w:r>
    </w:p>
    <w:p w14:paraId="1C809414" w14:textId="6A2811E2" w:rsidR="008A6A97" w:rsidRDefault="008A6A97" w:rsidP="00EF70E2">
      <w:r>
        <w:t xml:space="preserve">2021- </w:t>
      </w:r>
      <w:r w:rsidR="005711A6">
        <w:t xml:space="preserve">The company made more </w:t>
      </w:r>
      <w:r w:rsidR="00AD0C18">
        <w:t>investments</w:t>
      </w:r>
      <w:r w:rsidR="005711A6">
        <w:t xml:space="preserve"> in harm-reduction activities this year </w:t>
      </w:r>
      <w:r w:rsidR="00AD0C18">
        <w:t xml:space="preserve">and </w:t>
      </w:r>
      <w:r w:rsidR="005711A6">
        <w:t xml:space="preserve">invested heavily in this sector </w:t>
      </w:r>
      <w:r w:rsidR="00AD0C18">
        <w:t>to reduce</w:t>
      </w:r>
      <w:r w:rsidR="005711A6">
        <w:t xml:space="preserve"> </w:t>
      </w:r>
      <w:r w:rsidR="00AD0C18">
        <w:t xml:space="preserve">the negative impacts and public health improvement. </w:t>
      </w:r>
      <w:r w:rsidR="005711A6">
        <w:t xml:space="preserve"> </w:t>
      </w:r>
    </w:p>
    <w:p w14:paraId="091FC516" w14:textId="640EB7C5" w:rsidR="00AD0C18" w:rsidRDefault="00AD0C18" w:rsidP="00EF70E2">
      <w:r>
        <w:t>2022- To</w:t>
      </w:r>
      <w:r w:rsidRPr="00AD0C18">
        <w:t xml:space="preserve"> enhance marketing, distribution, and consumer interaction tactics, BAT has expedited its digital transformation by investing in e-commerce platforms and data analytics powers. </w:t>
      </w:r>
      <w:r>
        <w:t xml:space="preserve">To </w:t>
      </w:r>
      <w:r w:rsidRPr="00AD0C18">
        <w:lastRenderedPageBreak/>
        <w:t>promote innovation in the NGP industry and create new vaping products and formulas, BAT formed strategic alliances with IT firms.</w:t>
      </w:r>
    </w:p>
    <w:p w14:paraId="3D6289FE" w14:textId="7D5B0BC3" w:rsidR="00AD0C18" w:rsidRDefault="00AD0C18" w:rsidP="00EF70E2">
      <w:r>
        <w:t xml:space="preserve">2023- </w:t>
      </w:r>
      <w:r w:rsidRPr="00AD0C18">
        <w:t>BAT stated its commitment to sustainability by announcing steps to decrease waste, promote renewable energy, and support community development. BAT also increased its market position in emerging areas by taking advantage of the growing demand for tobacco products and NGPs in Asia-Pacific and Africa</w:t>
      </w:r>
      <w:r w:rsidR="00433E6F">
        <w:t xml:space="preserve"> </w:t>
      </w:r>
      <w:r w:rsidR="00433E6F" w:rsidRPr="00433E6F">
        <w:t>(Crosbie et al., 2021)</w:t>
      </w:r>
      <w:r w:rsidR="00433E6F">
        <w:t xml:space="preserve">. </w:t>
      </w:r>
    </w:p>
    <w:p w14:paraId="371C158E" w14:textId="0C237EE6" w:rsidR="00082E6F" w:rsidRDefault="0020544D" w:rsidP="0020544D">
      <w:pPr>
        <w:pStyle w:val="Heading1"/>
      </w:pPr>
      <w:bookmarkStart w:id="3" w:name="_Toc162752541"/>
      <w:bookmarkStart w:id="4" w:name="_Toc164387954"/>
      <w:r>
        <w:t>PART B- FINANCIAL PERFORMANCE ANALYSIS</w:t>
      </w:r>
      <w:bookmarkEnd w:id="3"/>
      <w:bookmarkEnd w:id="4"/>
    </w:p>
    <w:p w14:paraId="436AE60C" w14:textId="0381711C" w:rsidR="00E035F7" w:rsidRDefault="00E035F7" w:rsidP="00E035F7">
      <w:r>
        <w:t xml:space="preserve">The Method used to evaluate the financial performance of the company is the Financial Ratio Analysis and it can give clear insight on the financial health and performance of an organisation. </w:t>
      </w:r>
      <w:r w:rsidR="0053243A">
        <w:t>The ratio analysis is the ratio between different metrics of financial statements of the selected organisation and the evaluation of these metrics can give a clear idea of how stable is the organisation in managing its financial health and obligations</w:t>
      </w:r>
      <w:r w:rsidR="007B7EA9">
        <w:t xml:space="preserve"> </w:t>
      </w:r>
      <w:r w:rsidR="007B7EA9" w:rsidRPr="007B7EA9">
        <w:t>(Altman, 2020)</w:t>
      </w:r>
      <w:r w:rsidR="0053243A">
        <w:t xml:space="preserve">. </w:t>
      </w:r>
    </w:p>
    <w:p w14:paraId="375D09C3" w14:textId="0826612E" w:rsidR="0020544D" w:rsidRDefault="00356C2E" w:rsidP="00356C2E">
      <w:pPr>
        <w:pStyle w:val="Heading2"/>
      </w:pPr>
      <w:bookmarkStart w:id="5" w:name="_Toc162752542"/>
      <w:bookmarkStart w:id="6" w:name="_Toc164387955"/>
      <w:r>
        <w:t>Profitability Ratio</w:t>
      </w:r>
      <w:bookmarkEnd w:id="5"/>
      <w:bookmarkEnd w:id="6"/>
    </w:p>
    <w:p w14:paraId="07B63046" w14:textId="6C1F7C2A" w:rsidR="00356C2E" w:rsidRDefault="006474E7" w:rsidP="00356C2E">
      <w:r>
        <w:t xml:space="preserve">The </w:t>
      </w:r>
      <w:r w:rsidR="00E035F7">
        <w:t>profit-generating</w:t>
      </w:r>
      <w:r>
        <w:t xml:space="preserve"> ability of an organisation can be measured with the calculation of profitability Ratio and these ratios are calculated relative to various metrics such as the revenue, assets, equity, and other several measures of an organisation. </w:t>
      </w:r>
      <w:r w:rsidR="001A06EB">
        <w:t xml:space="preserve">These ratios can give an idea </w:t>
      </w:r>
      <w:r w:rsidR="00E035F7">
        <w:t>of</w:t>
      </w:r>
      <w:r w:rsidR="001A06EB">
        <w:t xml:space="preserve"> how these </w:t>
      </w:r>
      <w:r w:rsidR="00E035F7">
        <w:t>companies</w:t>
      </w:r>
      <w:r w:rsidR="001A06EB">
        <w:t xml:space="preserve"> can use the resources </w:t>
      </w:r>
      <w:r w:rsidR="00E035F7">
        <w:t>to generate</w:t>
      </w:r>
      <w:r w:rsidR="001A06EB">
        <w:t xml:space="preserve"> profit from </w:t>
      </w:r>
      <w:r w:rsidR="00E035F7">
        <w:t>their</w:t>
      </w:r>
      <w:r w:rsidR="001A06EB">
        <w:t xml:space="preserve"> operations. these financial ratios are useful for different stakeholders such as investors, creditors, and management of the company to measure the financial health of the organisation</w:t>
      </w:r>
      <w:r w:rsidR="007B7EA9">
        <w:t xml:space="preserve"> </w:t>
      </w:r>
      <w:r w:rsidR="007B7EA9" w:rsidRPr="007B7EA9">
        <w:t>(Octavia and Aidina, 2020)</w:t>
      </w:r>
      <w:r w:rsidR="001A06EB">
        <w:t xml:space="preserve">. </w:t>
      </w:r>
    </w:p>
    <w:p w14:paraId="78E5E02E" w14:textId="6C89F56A" w:rsidR="001A06EB" w:rsidRDefault="001A06EB" w:rsidP="00356C2E">
      <w:r>
        <w:t xml:space="preserve">The profitability </w:t>
      </w:r>
      <w:r w:rsidR="00E035F7">
        <w:t>ratio</w:t>
      </w:r>
      <w:r>
        <w:t xml:space="preserve"> used for measuring </w:t>
      </w:r>
      <w:r w:rsidR="00E035F7">
        <w:t>BAT's</w:t>
      </w:r>
      <w:r>
        <w:t xml:space="preserve"> financial performance is </w:t>
      </w:r>
      <w:r w:rsidR="00E035F7">
        <w:t xml:space="preserve">the </w:t>
      </w:r>
      <w:r>
        <w:t>Net Profit Ma</w:t>
      </w:r>
      <w:r w:rsidR="00E11D1F">
        <w:t>rgin</w:t>
      </w:r>
      <w:r w:rsidR="00D84ACB">
        <w:t xml:space="preserve"> and it is the financial ratio between the Net profit and the Revenue generated by the Organisation. </w:t>
      </w:r>
      <w:r w:rsidR="00A73F4F">
        <w:t xml:space="preserve">The use of net profit can give a clear idea </w:t>
      </w:r>
      <w:r w:rsidR="00E035F7">
        <w:t>of</w:t>
      </w:r>
      <w:r w:rsidR="00A73F4F">
        <w:t xml:space="preserve"> </w:t>
      </w:r>
      <w:r w:rsidR="00E035F7">
        <w:t xml:space="preserve">the </w:t>
      </w:r>
      <w:r w:rsidR="00A73F4F">
        <w:t xml:space="preserve">total profit remaining after </w:t>
      </w:r>
      <w:r w:rsidR="00EA55DE">
        <w:t>the expenses</w:t>
      </w:r>
      <w:r w:rsidR="00A73F4F">
        <w:t xml:space="preserve"> of the company which includes the operating cost, taxes, interest payments, etc</w:t>
      </w:r>
      <w:r w:rsidR="007B7EA9">
        <w:t xml:space="preserve"> </w:t>
      </w:r>
      <w:r w:rsidR="007B7EA9" w:rsidRPr="007B7EA9">
        <w:t>(Prayitno and Roespinoedji, 2020)</w:t>
      </w:r>
      <w:r w:rsidR="00A73F4F">
        <w:t xml:space="preserve">. </w:t>
      </w:r>
      <w:r w:rsidR="00EA55DE">
        <w:t xml:space="preserve">The below table and graph show the Net profit Margin of the BAT for the years from 2019 to 2023. </w:t>
      </w:r>
    </w:p>
    <w:tbl>
      <w:tblPr>
        <w:tblStyle w:val="TableGrid"/>
        <w:tblW w:w="0" w:type="auto"/>
        <w:jc w:val="center"/>
        <w:tblLook w:val="04A0" w:firstRow="1" w:lastRow="0" w:firstColumn="1" w:lastColumn="0" w:noHBand="0" w:noVBand="1"/>
      </w:tblPr>
      <w:tblGrid>
        <w:gridCol w:w="2547"/>
        <w:gridCol w:w="992"/>
        <w:gridCol w:w="1418"/>
        <w:gridCol w:w="1053"/>
        <w:gridCol w:w="1503"/>
        <w:gridCol w:w="1503"/>
      </w:tblGrid>
      <w:tr w:rsidR="0059776B" w14:paraId="34F3FB1A" w14:textId="77777777" w:rsidTr="00F76021">
        <w:trPr>
          <w:jc w:val="center"/>
        </w:trPr>
        <w:tc>
          <w:tcPr>
            <w:tcW w:w="2547" w:type="dxa"/>
            <w:shd w:val="clear" w:color="auto" w:fill="FFC000" w:themeFill="accent4"/>
          </w:tcPr>
          <w:p w14:paraId="109736F8" w14:textId="77777777" w:rsidR="0059776B" w:rsidRDefault="0059776B" w:rsidP="0059776B">
            <w:pPr>
              <w:jc w:val="center"/>
            </w:pPr>
          </w:p>
        </w:tc>
        <w:tc>
          <w:tcPr>
            <w:tcW w:w="992" w:type="dxa"/>
            <w:shd w:val="clear" w:color="auto" w:fill="FFC000" w:themeFill="accent4"/>
          </w:tcPr>
          <w:p w14:paraId="1424920D" w14:textId="2F16CCDC" w:rsidR="0059776B" w:rsidRDefault="0059776B" w:rsidP="0059776B">
            <w:pPr>
              <w:jc w:val="center"/>
            </w:pPr>
            <w:r>
              <w:t>2019</w:t>
            </w:r>
          </w:p>
        </w:tc>
        <w:tc>
          <w:tcPr>
            <w:tcW w:w="1418" w:type="dxa"/>
            <w:shd w:val="clear" w:color="auto" w:fill="FFC000" w:themeFill="accent4"/>
          </w:tcPr>
          <w:p w14:paraId="5A03BAE9" w14:textId="7BA7F385" w:rsidR="0059776B" w:rsidRDefault="0059776B" w:rsidP="0059776B">
            <w:pPr>
              <w:jc w:val="center"/>
            </w:pPr>
            <w:r>
              <w:t>2020</w:t>
            </w:r>
          </w:p>
        </w:tc>
        <w:tc>
          <w:tcPr>
            <w:tcW w:w="1053" w:type="dxa"/>
            <w:shd w:val="clear" w:color="auto" w:fill="FFC000" w:themeFill="accent4"/>
          </w:tcPr>
          <w:p w14:paraId="5C2673B4" w14:textId="67182831" w:rsidR="0059776B" w:rsidRDefault="0059776B" w:rsidP="0059776B">
            <w:pPr>
              <w:jc w:val="center"/>
            </w:pPr>
            <w:r>
              <w:t>2021</w:t>
            </w:r>
          </w:p>
        </w:tc>
        <w:tc>
          <w:tcPr>
            <w:tcW w:w="1503" w:type="dxa"/>
            <w:shd w:val="clear" w:color="auto" w:fill="FFC000" w:themeFill="accent4"/>
          </w:tcPr>
          <w:p w14:paraId="4A31B248" w14:textId="3B8E44C3" w:rsidR="0059776B" w:rsidRDefault="0059776B" w:rsidP="0059776B">
            <w:pPr>
              <w:jc w:val="center"/>
            </w:pPr>
            <w:r>
              <w:t>2022</w:t>
            </w:r>
          </w:p>
        </w:tc>
        <w:tc>
          <w:tcPr>
            <w:tcW w:w="1503" w:type="dxa"/>
            <w:shd w:val="clear" w:color="auto" w:fill="FFC000" w:themeFill="accent4"/>
          </w:tcPr>
          <w:p w14:paraId="6F915197" w14:textId="3E397654" w:rsidR="0059776B" w:rsidRDefault="0059776B" w:rsidP="0059776B">
            <w:pPr>
              <w:jc w:val="center"/>
            </w:pPr>
            <w:r>
              <w:t>2023</w:t>
            </w:r>
          </w:p>
        </w:tc>
      </w:tr>
      <w:tr w:rsidR="0059776B" w14:paraId="3877908D" w14:textId="77777777" w:rsidTr="00F76021">
        <w:trPr>
          <w:jc w:val="center"/>
        </w:trPr>
        <w:tc>
          <w:tcPr>
            <w:tcW w:w="2547" w:type="dxa"/>
          </w:tcPr>
          <w:p w14:paraId="0EF4E7FE" w14:textId="43DB85F7" w:rsidR="0059776B" w:rsidRDefault="0059776B" w:rsidP="0059776B">
            <w:pPr>
              <w:jc w:val="center"/>
            </w:pPr>
            <w:bookmarkStart w:id="7" w:name="_Hlk162751077"/>
            <w:r>
              <w:t>Net Profit Margin (%)</w:t>
            </w:r>
          </w:p>
        </w:tc>
        <w:tc>
          <w:tcPr>
            <w:tcW w:w="992" w:type="dxa"/>
          </w:tcPr>
          <w:p w14:paraId="6474C30E" w14:textId="441F6581" w:rsidR="0059776B" w:rsidRDefault="0059776B" w:rsidP="0059776B">
            <w:pPr>
              <w:jc w:val="center"/>
            </w:pPr>
            <w:r>
              <w:t>22.6</w:t>
            </w:r>
          </w:p>
        </w:tc>
        <w:tc>
          <w:tcPr>
            <w:tcW w:w="1418" w:type="dxa"/>
          </w:tcPr>
          <w:p w14:paraId="6E6BCA5F" w14:textId="5ADDCF4E" w:rsidR="0059776B" w:rsidRDefault="0059776B" w:rsidP="0059776B">
            <w:pPr>
              <w:jc w:val="center"/>
            </w:pPr>
            <w:r>
              <w:t>25.46</w:t>
            </w:r>
          </w:p>
        </w:tc>
        <w:tc>
          <w:tcPr>
            <w:tcW w:w="1053" w:type="dxa"/>
          </w:tcPr>
          <w:p w14:paraId="383F99FF" w14:textId="33E32B7A" w:rsidR="0059776B" w:rsidRDefault="0059776B" w:rsidP="0059776B">
            <w:pPr>
              <w:jc w:val="center"/>
            </w:pPr>
            <w:r>
              <w:t>27.15</w:t>
            </w:r>
          </w:p>
        </w:tc>
        <w:tc>
          <w:tcPr>
            <w:tcW w:w="1503" w:type="dxa"/>
          </w:tcPr>
          <w:p w14:paraId="7B038C4C" w14:textId="34B3E99E" w:rsidR="0059776B" w:rsidRDefault="0059776B" w:rsidP="0059776B">
            <w:pPr>
              <w:jc w:val="center"/>
            </w:pPr>
            <w:r>
              <w:t>24.75</w:t>
            </w:r>
          </w:p>
        </w:tc>
        <w:tc>
          <w:tcPr>
            <w:tcW w:w="1503" w:type="dxa"/>
          </w:tcPr>
          <w:p w14:paraId="522A3672" w14:textId="0A03A9CB" w:rsidR="0059776B" w:rsidRDefault="0059776B" w:rsidP="0059776B">
            <w:pPr>
              <w:keepNext/>
              <w:jc w:val="center"/>
            </w:pPr>
            <w:r>
              <w:t>52.02</w:t>
            </w:r>
          </w:p>
        </w:tc>
      </w:tr>
    </w:tbl>
    <w:p w14:paraId="449C25EB" w14:textId="774845A3" w:rsidR="00356C2E" w:rsidRDefault="0059776B" w:rsidP="0059776B">
      <w:pPr>
        <w:pStyle w:val="Caption"/>
        <w:jc w:val="center"/>
      </w:pPr>
      <w:bookmarkStart w:id="8" w:name="_Toc164386811"/>
      <w:bookmarkEnd w:id="7"/>
      <w:r>
        <w:t xml:space="preserve">Table </w:t>
      </w:r>
      <w:fldSimple w:instr=" SEQ Table \* ARABIC ">
        <w:r w:rsidR="00A75AAE">
          <w:rPr>
            <w:noProof/>
          </w:rPr>
          <w:t>1</w:t>
        </w:r>
      </w:fldSimple>
      <w:r>
        <w:t xml:space="preserve"> Net Profit Margin</w:t>
      </w:r>
      <w:bookmarkEnd w:id="8"/>
    </w:p>
    <w:p w14:paraId="7E359635" w14:textId="77777777" w:rsidR="0059776B" w:rsidRDefault="0059776B" w:rsidP="0059776B">
      <w:pPr>
        <w:keepNext/>
      </w:pPr>
      <w:r>
        <w:rPr>
          <w:noProof/>
          <w:lang w:val="en-US"/>
        </w:rPr>
        <w:lastRenderedPageBreak/>
        <w:drawing>
          <wp:inline distT="0" distB="0" distL="0" distR="0" wp14:anchorId="1352013E" wp14:editId="1A66E4EF">
            <wp:extent cx="5486400" cy="2110740"/>
            <wp:effectExtent l="0" t="0" r="0" b="3810"/>
            <wp:docPr id="145430461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D95561" w14:textId="764B6025" w:rsidR="0059776B" w:rsidRDefault="0059776B" w:rsidP="0059776B">
      <w:pPr>
        <w:pStyle w:val="Caption"/>
        <w:jc w:val="center"/>
      </w:pPr>
      <w:bookmarkStart w:id="9" w:name="_Toc164386826"/>
      <w:r>
        <w:t xml:space="preserve">Figure </w:t>
      </w:r>
      <w:fldSimple w:instr=" SEQ Figure \* ARABIC ">
        <w:r w:rsidR="00514C56">
          <w:rPr>
            <w:noProof/>
          </w:rPr>
          <w:t>1</w:t>
        </w:r>
      </w:fldSimple>
      <w:r>
        <w:t xml:space="preserve"> Net Profit Margin</w:t>
      </w:r>
      <w:bookmarkEnd w:id="9"/>
    </w:p>
    <w:p w14:paraId="27AE7799" w14:textId="761683D8" w:rsidR="00EA55DE" w:rsidRDefault="00EA55DE" w:rsidP="00EA55DE">
      <w:r>
        <w:t xml:space="preserve">The Net profit Margin of the company for the year 2019 is 22.6% and it increased to the value of 25.46% in the year 2020 and in the year 2021, it shows a value of 27.15. The Net profit Margin of the company shows a declining trend for the year 2022. The Profitability of the company for the year 2023 is showing an inclining trend with a value of 52.02%. The profitability ratio of the company shows a continuous </w:t>
      </w:r>
      <w:r w:rsidR="00C10717">
        <w:t xml:space="preserve">increase from the year 2019 to 2021. The profitability of the company for the last year shows a positive value. </w:t>
      </w:r>
    </w:p>
    <w:p w14:paraId="162A0FC9" w14:textId="68CD1F4C" w:rsidR="00CB4C3E" w:rsidRDefault="00CB4C3E" w:rsidP="00CB4C3E">
      <w:pPr>
        <w:pStyle w:val="Heading2"/>
      </w:pPr>
      <w:bookmarkStart w:id="10" w:name="_Toc162752543"/>
      <w:bookmarkStart w:id="11" w:name="_Toc164387956"/>
      <w:r>
        <w:t>Liquidity Ratio</w:t>
      </w:r>
      <w:bookmarkEnd w:id="10"/>
      <w:bookmarkEnd w:id="11"/>
    </w:p>
    <w:p w14:paraId="26B96A1C" w14:textId="761A8319" w:rsidR="00C10717" w:rsidRDefault="00874891" w:rsidP="00C10717">
      <w:r>
        <w:t xml:space="preserve">There are several short-term financial obligations related to the operations of an organisation and these can be measured with the calculation of Liquidity Ratio. It indicates the ability of the company to convert its assets into cash and meet its short-term expenses. </w:t>
      </w:r>
      <w:r w:rsidR="005E22E8">
        <w:t>This ratio is important for different stakeholders such as the investors, creditors, and management of an organisation and this can give a clear-cut idea of the short-term solvency of the company</w:t>
      </w:r>
      <w:r w:rsidR="007B7EA9">
        <w:t xml:space="preserve"> </w:t>
      </w:r>
      <w:r w:rsidR="007B7EA9" w:rsidRPr="007B7EA9">
        <w:t>(Du, 2017)</w:t>
      </w:r>
      <w:r w:rsidR="005E22E8">
        <w:t xml:space="preserve">. </w:t>
      </w:r>
    </w:p>
    <w:p w14:paraId="04E29247" w14:textId="201345E6" w:rsidR="005E11C2" w:rsidRDefault="000012F8" w:rsidP="00C10717">
      <w:r>
        <w:t>The use</w:t>
      </w:r>
      <w:r w:rsidR="005E22E8">
        <w:t xml:space="preserve"> of </w:t>
      </w:r>
      <w:r>
        <w:t xml:space="preserve">a </w:t>
      </w:r>
      <w:r w:rsidR="005E22E8">
        <w:t xml:space="preserve">liquidity ratio can provide different benefits and the major benefit is the assessment of </w:t>
      </w:r>
      <w:r>
        <w:t xml:space="preserve">the </w:t>
      </w:r>
      <w:r w:rsidR="005E22E8">
        <w:t>short-term solvency</w:t>
      </w:r>
      <w:r>
        <w:t xml:space="preserve"> of the company. A higher liquidity ratio shows that the company can manage its short-term obligations and they have a stronger ability to cover short-term liabilities. The next use of the </w:t>
      </w:r>
      <w:r w:rsidR="003A5A8D">
        <w:t>ratio is the evaluation of the financial health of the organisation and the stability of the company</w:t>
      </w:r>
      <w:r w:rsidR="00055879">
        <w:t xml:space="preserve">. Comparing the performance of the companies can be conducted using the </w:t>
      </w:r>
      <w:r w:rsidR="00B910BB">
        <w:t xml:space="preserve">evaluation of liquidity ratio. </w:t>
      </w:r>
      <w:r w:rsidR="00EA7462">
        <w:t>The benchmarking against the industry competitors and the historical performance is possible with the calculation of the liquidity ratio. Investors can make adequate investment decisions with the evaluation of this financial ratio</w:t>
      </w:r>
      <w:r w:rsidR="007B7EA9">
        <w:t xml:space="preserve"> </w:t>
      </w:r>
      <w:r w:rsidR="007B7EA9" w:rsidRPr="007B7EA9">
        <w:t>(Fitri and Hosen, 2018)</w:t>
      </w:r>
      <w:r w:rsidR="00EA7462">
        <w:t>.</w:t>
      </w:r>
      <w:r w:rsidR="00F215F5">
        <w:t xml:space="preserve"> </w:t>
      </w:r>
    </w:p>
    <w:p w14:paraId="37544B50" w14:textId="6E2413A9" w:rsidR="005E22E8" w:rsidRPr="00C10717" w:rsidRDefault="005E11C2" w:rsidP="00C10717">
      <w:r>
        <w:lastRenderedPageBreak/>
        <w:t xml:space="preserve">The financial Ratio used in this category is the cash ratio and it is the ability to manage the short-term obligations of the company using its cash and cash equivalents. </w:t>
      </w:r>
      <w:r w:rsidR="00D46C2E">
        <w:t>Given below shows the</w:t>
      </w:r>
      <w:r w:rsidR="00AA780D">
        <w:t xml:space="preserve"> cash Ratio of BAT company from the year 2019 to 2023.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76021" w14:paraId="7B716F9F" w14:textId="77777777" w:rsidTr="00F76021">
        <w:tc>
          <w:tcPr>
            <w:tcW w:w="1502" w:type="dxa"/>
            <w:shd w:val="clear" w:color="auto" w:fill="FFC000" w:themeFill="accent4"/>
          </w:tcPr>
          <w:p w14:paraId="28745AA9" w14:textId="77777777" w:rsidR="00F76021" w:rsidRDefault="00F76021" w:rsidP="00F76021">
            <w:pPr>
              <w:jc w:val="center"/>
            </w:pPr>
          </w:p>
        </w:tc>
        <w:tc>
          <w:tcPr>
            <w:tcW w:w="1502" w:type="dxa"/>
            <w:shd w:val="clear" w:color="auto" w:fill="FFC000" w:themeFill="accent4"/>
          </w:tcPr>
          <w:p w14:paraId="12C6D978" w14:textId="634EFEB2" w:rsidR="00F76021" w:rsidRDefault="00F76021" w:rsidP="00F76021">
            <w:pPr>
              <w:jc w:val="center"/>
            </w:pPr>
            <w:r>
              <w:t>2019</w:t>
            </w:r>
          </w:p>
        </w:tc>
        <w:tc>
          <w:tcPr>
            <w:tcW w:w="1503" w:type="dxa"/>
            <w:shd w:val="clear" w:color="auto" w:fill="FFC000" w:themeFill="accent4"/>
          </w:tcPr>
          <w:p w14:paraId="71917C6D" w14:textId="61F943C2" w:rsidR="00F76021" w:rsidRDefault="00F76021" w:rsidP="00F76021">
            <w:pPr>
              <w:jc w:val="center"/>
            </w:pPr>
            <w:r>
              <w:t>2020</w:t>
            </w:r>
          </w:p>
        </w:tc>
        <w:tc>
          <w:tcPr>
            <w:tcW w:w="1503" w:type="dxa"/>
            <w:shd w:val="clear" w:color="auto" w:fill="FFC000" w:themeFill="accent4"/>
          </w:tcPr>
          <w:p w14:paraId="755F4566" w14:textId="1B81874D" w:rsidR="00F76021" w:rsidRDefault="00F76021" w:rsidP="00F76021">
            <w:pPr>
              <w:jc w:val="center"/>
            </w:pPr>
            <w:r>
              <w:t>2021</w:t>
            </w:r>
          </w:p>
        </w:tc>
        <w:tc>
          <w:tcPr>
            <w:tcW w:w="1503" w:type="dxa"/>
            <w:shd w:val="clear" w:color="auto" w:fill="FFC000" w:themeFill="accent4"/>
          </w:tcPr>
          <w:p w14:paraId="62F65828" w14:textId="6FA997DF" w:rsidR="00F76021" w:rsidRDefault="00F76021" w:rsidP="00F76021">
            <w:pPr>
              <w:jc w:val="center"/>
            </w:pPr>
            <w:r>
              <w:t>2022</w:t>
            </w:r>
          </w:p>
        </w:tc>
        <w:tc>
          <w:tcPr>
            <w:tcW w:w="1503" w:type="dxa"/>
            <w:shd w:val="clear" w:color="auto" w:fill="FFC000" w:themeFill="accent4"/>
          </w:tcPr>
          <w:p w14:paraId="1FA0EB59" w14:textId="4638E95E" w:rsidR="00F76021" w:rsidRDefault="00F76021" w:rsidP="00F76021">
            <w:pPr>
              <w:jc w:val="center"/>
            </w:pPr>
            <w:r>
              <w:t>2023</w:t>
            </w:r>
          </w:p>
        </w:tc>
      </w:tr>
      <w:tr w:rsidR="00F76021" w14:paraId="7F0E625E" w14:textId="77777777" w:rsidTr="00F76021">
        <w:tc>
          <w:tcPr>
            <w:tcW w:w="1502" w:type="dxa"/>
          </w:tcPr>
          <w:p w14:paraId="49D4331A" w14:textId="4C7CE622" w:rsidR="00F76021" w:rsidRDefault="00F76021" w:rsidP="00F76021">
            <w:pPr>
              <w:jc w:val="center"/>
            </w:pPr>
            <w:r>
              <w:t>Cash Ratio</w:t>
            </w:r>
          </w:p>
        </w:tc>
        <w:tc>
          <w:tcPr>
            <w:tcW w:w="1502" w:type="dxa"/>
          </w:tcPr>
          <w:p w14:paraId="6CB94E86" w14:textId="707ECB82" w:rsidR="00F76021" w:rsidRDefault="00F76021" w:rsidP="00F76021">
            <w:pPr>
              <w:jc w:val="center"/>
            </w:pPr>
            <w:r>
              <w:t>0.13</w:t>
            </w:r>
          </w:p>
        </w:tc>
        <w:tc>
          <w:tcPr>
            <w:tcW w:w="1503" w:type="dxa"/>
          </w:tcPr>
          <w:p w14:paraId="1C0661F8" w14:textId="51F75A0B" w:rsidR="00F76021" w:rsidRDefault="00F76021" w:rsidP="00F76021">
            <w:pPr>
              <w:jc w:val="center"/>
            </w:pPr>
            <w:r>
              <w:t>0.20</w:t>
            </w:r>
          </w:p>
        </w:tc>
        <w:tc>
          <w:tcPr>
            <w:tcW w:w="1503" w:type="dxa"/>
          </w:tcPr>
          <w:p w14:paraId="3BE9212A" w14:textId="4DEB046E" w:rsidR="00F76021" w:rsidRDefault="00F76021" w:rsidP="00F76021">
            <w:pPr>
              <w:jc w:val="center"/>
            </w:pPr>
            <w:r>
              <w:t>0.18</w:t>
            </w:r>
          </w:p>
        </w:tc>
        <w:tc>
          <w:tcPr>
            <w:tcW w:w="1503" w:type="dxa"/>
          </w:tcPr>
          <w:p w14:paraId="79AA1954" w14:textId="2E770AE4" w:rsidR="00F76021" w:rsidRDefault="00F76021" w:rsidP="00F76021">
            <w:pPr>
              <w:jc w:val="center"/>
            </w:pPr>
            <w:r>
              <w:t>0.19</w:t>
            </w:r>
          </w:p>
        </w:tc>
        <w:tc>
          <w:tcPr>
            <w:tcW w:w="1503" w:type="dxa"/>
          </w:tcPr>
          <w:p w14:paraId="0D9A99E3" w14:textId="2365EED7" w:rsidR="00F76021" w:rsidRDefault="00F76021" w:rsidP="00F76021">
            <w:pPr>
              <w:keepNext/>
              <w:jc w:val="center"/>
            </w:pPr>
            <w:r>
              <w:t>0.29</w:t>
            </w:r>
          </w:p>
        </w:tc>
      </w:tr>
    </w:tbl>
    <w:p w14:paraId="6A70F954" w14:textId="0E2791E6" w:rsidR="00CB4C3E" w:rsidRDefault="00F76021" w:rsidP="00F76021">
      <w:pPr>
        <w:pStyle w:val="Caption"/>
        <w:jc w:val="center"/>
      </w:pPr>
      <w:bookmarkStart w:id="12" w:name="_Toc164386812"/>
      <w:r>
        <w:t xml:space="preserve">Table </w:t>
      </w:r>
      <w:fldSimple w:instr=" SEQ Table \* ARABIC ">
        <w:r w:rsidR="00A75AAE">
          <w:rPr>
            <w:noProof/>
          </w:rPr>
          <w:t>2</w:t>
        </w:r>
      </w:fldSimple>
      <w:r>
        <w:t xml:space="preserve"> Cash Ratio</w:t>
      </w:r>
      <w:bookmarkEnd w:id="12"/>
    </w:p>
    <w:p w14:paraId="5229A536" w14:textId="77777777" w:rsidR="00AA780D" w:rsidRDefault="00AA780D" w:rsidP="00AA780D">
      <w:pPr>
        <w:keepNext/>
      </w:pPr>
      <w:r>
        <w:rPr>
          <w:noProof/>
          <w:lang w:val="en-US"/>
        </w:rPr>
        <w:drawing>
          <wp:inline distT="0" distB="0" distL="0" distR="0" wp14:anchorId="072154EE" wp14:editId="6CAB5D6F">
            <wp:extent cx="5486400" cy="1996440"/>
            <wp:effectExtent l="0" t="0" r="0" b="3810"/>
            <wp:docPr id="27966095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84A05E" w14:textId="40C5BCB1" w:rsidR="00AA780D" w:rsidRDefault="00AA780D" w:rsidP="00AA780D">
      <w:pPr>
        <w:pStyle w:val="Caption"/>
        <w:jc w:val="center"/>
      </w:pPr>
      <w:bookmarkStart w:id="13" w:name="_Toc164386827"/>
      <w:r>
        <w:t xml:space="preserve">Figure </w:t>
      </w:r>
      <w:fldSimple w:instr=" SEQ Figure \* ARABIC ">
        <w:r w:rsidR="00514C56">
          <w:rPr>
            <w:noProof/>
          </w:rPr>
          <w:t>2</w:t>
        </w:r>
      </w:fldSimple>
      <w:r>
        <w:t xml:space="preserve"> Cash Ratio</w:t>
      </w:r>
      <w:bookmarkEnd w:id="13"/>
    </w:p>
    <w:p w14:paraId="033C431F" w14:textId="760A89E5" w:rsidR="00AA780D" w:rsidRDefault="00550113" w:rsidP="00AA780D">
      <w:r>
        <w:t xml:space="preserve">The above table and chart show the cash ratio of BAT from the year 2019 to 2023. </w:t>
      </w:r>
      <w:r w:rsidR="00BD0F4E">
        <w:t>The cash ratio of the company for the year 2019 is 0.13 and it increased in the year 2020 with a value of 0.2. in the year 2021, the cash ratio shows a slight decline in the value and for the years 2022 and 2023, they show a value of 0.19 and 0.29.</w:t>
      </w:r>
      <w:r>
        <w:t xml:space="preserve"> </w:t>
      </w:r>
      <w:r w:rsidR="00B56227">
        <w:t xml:space="preserve"> the cash ratio of the company for the year 2023 shows a huge inclining trend and it indicates that the financial health of the company for the recent year was good. </w:t>
      </w:r>
    </w:p>
    <w:p w14:paraId="78969F3A" w14:textId="33F33368" w:rsidR="00F76021" w:rsidRDefault="00397301" w:rsidP="00262021">
      <w:pPr>
        <w:pStyle w:val="Heading2"/>
      </w:pPr>
      <w:bookmarkStart w:id="14" w:name="_Toc162752544"/>
      <w:bookmarkStart w:id="15" w:name="_Toc164387957"/>
      <w:r>
        <w:t xml:space="preserve">Gearing </w:t>
      </w:r>
      <w:r w:rsidR="00262021">
        <w:t>Ratio</w:t>
      </w:r>
      <w:bookmarkEnd w:id="14"/>
      <w:bookmarkEnd w:id="15"/>
    </w:p>
    <w:p w14:paraId="0B13BB15" w14:textId="61ED0F51" w:rsidR="00B8050D" w:rsidRDefault="00FE0DFD" w:rsidP="00B56227">
      <w:r>
        <w:t>The gearing ratio is also known as the leverage ratio of an organisation and it measures the capacity in managing long-term financial obligations.</w:t>
      </w:r>
      <w:r w:rsidR="005E11C2">
        <w:t xml:space="preserve"> </w:t>
      </w:r>
      <w:r w:rsidR="008D0719">
        <w:t>It is mostly calculated with concern on the total liabilities or debt of the organisation.</w:t>
      </w:r>
      <w:r w:rsidR="005D28C6">
        <w:t xml:space="preserve"> The financial structure and risk profile of an organisation can be </w:t>
      </w:r>
      <w:r w:rsidR="00B8050D">
        <w:t>measured with the help of the gearing ratio of the organisation</w:t>
      </w:r>
      <w:r w:rsidR="007B7EA9">
        <w:t xml:space="preserve"> </w:t>
      </w:r>
      <w:r w:rsidR="007B7EA9" w:rsidRPr="007B7EA9">
        <w:t>(Situm, 2014)</w:t>
      </w:r>
      <w:r w:rsidR="00B8050D">
        <w:t>.</w:t>
      </w:r>
    </w:p>
    <w:p w14:paraId="56C8497C" w14:textId="1BDA458B" w:rsidR="002D1784" w:rsidRDefault="00B8050D" w:rsidP="002D1784">
      <w:r>
        <w:t xml:space="preserve">The use of a gearing ratio can be </w:t>
      </w:r>
      <w:r w:rsidR="002D1784">
        <w:t>helpful</w:t>
      </w:r>
      <w:r>
        <w:t xml:space="preserve"> in different ways and it can support the financial risk assessment of an organisation.</w:t>
      </w:r>
      <w:r w:rsidR="002D1784">
        <w:t xml:space="preserve"> </w:t>
      </w:r>
      <w:r>
        <w:t xml:space="preserve"> </w:t>
      </w:r>
      <w:r w:rsidR="002D1784" w:rsidRPr="002D1784">
        <w:t xml:space="preserve">The evaluation of a company's capital structure, investment prospects, and financial risk involves the use of gearing ratios. </w:t>
      </w:r>
      <w:r w:rsidR="002D1784">
        <w:t>Excessive</w:t>
      </w:r>
      <w:r w:rsidR="002D1784" w:rsidRPr="002D1784">
        <w:t xml:space="preserve"> reliance on debt investment, as seen by a high gearing ratio, might put a company's finances </w:t>
      </w:r>
      <w:r w:rsidR="002D1784">
        <w:t>in</w:t>
      </w:r>
      <w:r w:rsidR="002D1784" w:rsidRPr="002D1784">
        <w:t xml:space="preserve"> danger because of the monthly principal repayment and interest payments. During recessions or times with low </w:t>
      </w:r>
      <w:r w:rsidR="002D1784" w:rsidRPr="002D1784">
        <w:lastRenderedPageBreak/>
        <w:t xml:space="preserve">profitability in especially, this can put pressure on cash flow and financial flexibility. </w:t>
      </w:r>
      <w:r w:rsidR="002D1784" w:rsidRPr="002D1784">
        <w:br/>
        <w:t>Analysing a company's capital structure may reveal how leveraged it is, with higher ratios signifying a greater dependence on loan financing. Evaluating a company's financial health, capital raising capacity, and total risk exposure is made easier for stakeholders when they comprehend its capital structure</w:t>
      </w:r>
      <w:r w:rsidR="007B7EA9">
        <w:t xml:space="preserve"> </w:t>
      </w:r>
      <w:r w:rsidR="007B7EA9" w:rsidRPr="007B7EA9">
        <w:t>(Supriyanto and Darmawan, 2018)</w:t>
      </w:r>
      <w:r w:rsidR="002D1784" w:rsidRPr="002D1784">
        <w:t>. Investors and analysts can evaluate possible investments and relative risk levels by comparing firms in the same industry or other sectors</w:t>
      </w:r>
      <w:r w:rsidR="00BC58B7">
        <w:t xml:space="preserve"> </w:t>
      </w:r>
      <w:r w:rsidR="00BC58B7" w:rsidRPr="00BC58B7">
        <w:t>(Bharadwaj, 2020)</w:t>
      </w:r>
      <w:r w:rsidR="002D1784" w:rsidRPr="002D1784">
        <w:t>.</w:t>
      </w:r>
    </w:p>
    <w:p w14:paraId="55751488" w14:textId="17752513" w:rsidR="005779FD" w:rsidRDefault="005779FD" w:rsidP="002D1784">
      <w:r w:rsidRPr="005779FD">
        <w:t>When evaluating an investment, investors utilise gearing ratios to assess the risk-return trade-off while taking the company's capacity to pay off debt and control financial risk into account. Gearing ratios are another tool used by lenders and credit rating agencies to evaluate a firm's creditworthiness; larger ratios may result in higher borrowing rates or make it more difficult for the company to access credit markets. On the other hand, low ratios could suggest stronger finances and reduced credit risk, which would lead to better borrowing conditions</w:t>
      </w:r>
      <w:r w:rsidR="007B7EA9">
        <w:t xml:space="preserve"> </w:t>
      </w:r>
      <w:r w:rsidR="007B7EA9" w:rsidRPr="007B7EA9">
        <w:t>(Distinguin, Mahdavi-Ardekani and Tarazi, 2016)</w:t>
      </w:r>
      <w:r w:rsidRPr="005779FD">
        <w:t>.</w:t>
      </w:r>
      <w:r>
        <w:t xml:space="preserve"> </w:t>
      </w:r>
    </w:p>
    <w:p w14:paraId="4D0B4550" w14:textId="36E33152" w:rsidR="00820347" w:rsidRDefault="00820347" w:rsidP="002D1784">
      <w:r>
        <w:t xml:space="preserve">The Gearing ratio we are using is the Debt-to-Equity ratio and it is the financial ratio between net debts and net equity of the company.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397301" w14:paraId="06D88AE2" w14:textId="77777777" w:rsidTr="00836881">
        <w:tc>
          <w:tcPr>
            <w:tcW w:w="1502" w:type="dxa"/>
            <w:shd w:val="clear" w:color="auto" w:fill="FFC000" w:themeFill="accent4"/>
          </w:tcPr>
          <w:p w14:paraId="18A635BC" w14:textId="77777777" w:rsidR="00397301" w:rsidRDefault="00397301" w:rsidP="00836881">
            <w:pPr>
              <w:jc w:val="center"/>
            </w:pPr>
          </w:p>
        </w:tc>
        <w:tc>
          <w:tcPr>
            <w:tcW w:w="1502" w:type="dxa"/>
            <w:shd w:val="clear" w:color="auto" w:fill="FFC000" w:themeFill="accent4"/>
          </w:tcPr>
          <w:p w14:paraId="3B6836CD" w14:textId="77777777" w:rsidR="00397301" w:rsidRDefault="00397301" w:rsidP="00836881">
            <w:pPr>
              <w:jc w:val="center"/>
            </w:pPr>
            <w:r>
              <w:t>2019</w:t>
            </w:r>
          </w:p>
        </w:tc>
        <w:tc>
          <w:tcPr>
            <w:tcW w:w="1503" w:type="dxa"/>
            <w:shd w:val="clear" w:color="auto" w:fill="FFC000" w:themeFill="accent4"/>
          </w:tcPr>
          <w:p w14:paraId="280B3795" w14:textId="77777777" w:rsidR="00397301" w:rsidRDefault="00397301" w:rsidP="00836881">
            <w:pPr>
              <w:jc w:val="center"/>
            </w:pPr>
            <w:r>
              <w:t>2020</w:t>
            </w:r>
          </w:p>
        </w:tc>
        <w:tc>
          <w:tcPr>
            <w:tcW w:w="1503" w:type="dxa"/>
            <w:shd w:val="clear" w:color="auto" w:fill="FFC000" w:themeFill="accent4"/>
          </w:tcPr>
          <w:p w14:paraId="51601230" w14:textId="77777777" w:rsidR="00397301" w:rsidRDefault="00397301" w:rsidP="00836881">
            <w:pPr>
              <w:jc w:val="center"/>
            </w:pPr>
            <w:r>
              <w:t>2021</w:t>
            </w:r>
          </w:p>
        </w:tc>
        <w:tc>
          <w:tcPr>
            <w:tcW w:w="1503" w:type="dxa"/>
            <w:shd w:val="clear" w:color="auto" w:fill="FFC000" w:themeFill="accent4"/>
          </w:tcPr>
          <w:p w14:paraId="6DA6AB14" w14:textId="77777777" w:rsidR="00397301" w:rsidRDefault="00397301" w:rsidP="00836881">
            <w:pPr>
              <w:jc w:val="center"/>
            </w:pPr>
            <w:r>
              <w:t>2022</w:t>
            </w:r>
          </w:p>
        </w:tc>
        <w:tc>
          <w:tcPr>
            <w:tcW w:w="1503" w:type="dxa"/>
            <w:shd w:val="clear" w:color="auto" w:fill="FFC000" w:themeFill="accent4"/>
          </w:tcPr>
          <w:p w14:paraId="2DFE10D5" w14:textId="77777777" w:rsidR="00397301" w:rsidRDefault="00397301" w:rsidP="00836881">
            <w:pPr>
              <w:jc w:val="center"/>
            </w:pPr>
            <w:r>
              <w:t>2023</w:t>
            </w:r>
          </w:p>
        </w:tc>
      </w:tr>
      <w:tr w:rsidR="00397301" w14:paraId="60BFF3E8" w14:textId="77777777" w:rsidTr="00836881">
        <w:tc>
          <w:tcPr>
            <w:tcW w:w="1502" w:type="dxa"/>
          </w:tcPr>
          <w:p w14:paraId="3C54A8DD" w14:textId="0E15BBAA" w:rsidR="00397301" w:rsidRDefault="00397301" w:rsidP="00836881">
            <w:pPr>
              <w:jc w:val="center"/>
            </w:pPr>
            <w:r>
              <w:t>Debt-to-Equity Ratio</w:t>
            </w:r>
          </w:p>
        </w:tc>
        <w:tc>
          <w:tcPr>
            <w:tcW w:w="1502" w:type="dxa"/>
          </w:tcPr>
          <w:p w14:paraId="16DEF8EF" w14:textId="1FC5DC18" w:rsidR="00397301" w:rsidRDefault="00397301" w:rsidP="00836881">
            <w:pPr>
              <w:jc w:val="center"/>
            </w:pPr>
            <w:r>
              <w:t>1.19</w:t>
            </w:r>
          </w:p>
        </w:tc>
        <w:tc>
          <w:tcPr>
            <w:tcW w:w="1503" w:type="dxa"/>
          </w:tcPr>
          <w:p w14:paraId="0300A9B7" w14:textId="15836156" w:rsidR="00397301" w:rsidRDefault="00397301" w:rsidP="00836881">
            <w:pPr>
              <w:jc w:val="center"/>
            </w:pPr>
            <w:r>
              <w:t>1.18</w:t>
            </w:r>
          </w:p>
        </w:tc>
        <w:tc>
          <w:tcPr>
            <w:tcW w:w="1503" w:type="dxa"/>
          </w:tcPr>
          <w:p w14:paraId="4B7B907F" w14:textId="6CE4287B" w:rsidR="00397301" w:rsidRDefault="00397301" w:rsidP="00836881">
            <w:pPr>
              <w:jc w:val="center"/>
            </w:pPr>
            <w:r>
              <w:t>1.03</w:t>
            </w:r>
          </w:p>
        </w:tc>
        <w:tc>
          <w:tcPr>
            <w:tcW w:w="1503" w:type="dxa"/>
          </w:tcPr>
          <w:p w14:paraId="5E6328C3" w14:textId="1D16E1A9" w:rsidR="00397301" w:rsidRDefault="00397301" w:rsidP="00836881">
            <w:pPr>
              <w:jc w:val="center"/>
            </w:pPr>
            <w:r>
              <w:t>1.02</w:t>
            </w:r>
          </w:p>
        </w:tc>
        <w:tc>
          <w:tcPr>
            <w:tcW w:w="1503" w:type="dxa"/>
          </w:tcPr>
          <w:p w14:paraId="1D1F9C68" w14:textId="45EB7EDD" w:rsidR="00397301" w:rsidRDefault="00397301" w:rsidP="00397301">
            <w:pPr>
              <w:keepNext/>
              <w:jc w:val="center"/>
            </w:pPr>
            <w:r>
              <w:t>1.24</w:t>
            </w:r>
          </w:p>
        </w:tc>
      </w:tr>
    </w:tbl>
    <w:p w14:paraId="008F0ACD" w14:textId="4DDB5DF8" w:rsidR="00262021" w:rsidRDefault="00397301" w:rsidP="00397301">
      <w:pPr>
        <w:pStyle w:val="Caption"/>
        <w:jc w:val="center"/>
      </w:pPr>
      <w:bookmarkStart w:id="16" w:name="_Toc164386813"/>
      <w:r>
        <w:t xml:space="preserve">Table </w:t>
      </w:r>
      <w:fldSimple w:instr=" SEQ Table \* ARABIC ">
        <w:r w:rsidR="00A75AAE">
          <w:rPr>
            <w:noProof/>
          </w:rPr>
          <w:t>3</w:t>
        </w:r>
      </w:fldSimple>
      <w:r>
        <w:t xml:space="preserve"> Debt-to-Equity Ratio</w:t>
      </w:r>
      <w:bookmarkEnd w:id="16"/>
    </w:p>
    <w:p w14:paraId="47BE80DF" w14:textId="77777777" w:rsidR="00BE05D0" w:rsidRDefault="00BE05D0" w:rsidP="00BE05D0">
      <w:pPr>
        <w:keepNext/>
      </w:pPr>
      <w:r>
        <w:rPr>
          <w:noProof/>
          <w:lang w:val="en-US"/>
        </w:rPr>
        <w:drawing>
          <wp:inline distT="0" distB="0" distL="0" distR="0" wp14:anchorId="57708F86" wp14:editId="54ED363B">
            <wp:extent cx="5486400" cy="1783080"/>
            <wp:effectExtent l="0" t="0" r="0" b="7620"/>
            <wp:docPr id="42120003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20F5B85" w14:textId="67E49F6A" w:rsidR="00077899" w:rsidRDefault="00BE05D0" w:rsidP="00BE05D0">
      <w:pPr>
        <w:pStyle w:val="Caption"/>
        <w:jc w:val="center"/>
      </w:pPr>
      <w:bookmarkStart w:id="17" w:name="_Toc164386828"/>
      <w:r>
        <w:t xml:space="preserve">Figure </w:t>
      </w:r>
      <w:fldSimple w:instr=" SEQ Figure \* ARABIC ">
        <w:r w:rsidR="00514C56">
          <w:rPr>
            <w:noProof/>
          </w:rPr>
          <w:t>3</w:t>
        </w:r>
      </w:fldSimple>
      <w:r>
        <w:t xml:space="preserve"> Debt-to-Equity</w:t>
      </w:r>
      <w:bookmarkEnd w:id="17"/>
    </w:p>
    <w:p w14:paraId="103BABE7" w14:textId="741A865F" w:rsidR="00EA29C1" w:rsidRDefault="00231554" w:rsidP="00EA29C1">
      <w:r>
        <w:t xml:space="preserve">The debt-to-equity ratio of BAT company is shown in the above graph and chart. The debt-to-equity ratio of the company in the year 2019 is 1.19 and it shows a declining trend till the year 2022. It indicates that the company became more able to manage long-term obligations throughout these years. </w:t>
      </w:r>
      <w:r w:rsidR="00EC75D1">
        <w:t xml:space="preserve">The debt-to-equity ratio of the company for the year 2023 is showing </w:t>
      </w:r>
      <w:r w:rsidR="00EC75D1">
        <w:lastRenderedPageBreak/>
        <w:t xml:space="preserve">a higher value compared to other years and it indicates that the company should focus on enhancing the management of long-term financial obligations. </w:t>
      </w:r>
    </w:p>
    <w:p w14:paraId="1627E354" w14:textId="3D7793A5" w:rsidR="00397301" w:rsidRDefault="00397301" w:rsidP="00397301">
      <w:pPr>
        <w:pStyle w:val="Heading2"/>
      </w:pPr>
      <w:bookmarkStart w:id="18" w:name="_Toc162752545"/>
      <w:bookmarkStart w:id="19" w:name="_Toc164387958"/>
      <w:r>
        <w:t>Efficiency Ratio</w:t>
      </w:r>
      <w:bookmarkEnd w:id="18"/>
      <w:bookmarkEnd w:id="19"/>
    </w:p>
    <w:p w14:paraId="4EAF2142" w14:textId="0A2AF5D6" w:rsidR="00EC75D1" w:rsidRDefault="00820347" w:rsidP="00EC75D1">
      <w:r>
        <w:t xml:space="preserve">The financial ratio that can give an idea of how an organisation uses its assets and liabilities for generating income from operations is known as the Efficiency ratio. </w:t>
      </w:r>
      <w:r w:rsidR="00FB17BE">
        <w:t xml:space="preserve">The operational efficiency and effectiveness of the organisation can be measured with the help of </w:t>
      </w:r>
      <w:r w:rsidR="00102316">
        <w:t xml:space="preserve">the </w:t>
      </w:r>
      <w:r w:rsidR="00FB17BE">
        <w:t xml:space="preserve">efficiency ratio. </w:t>
      </w:r>
      <w:r w:rsidR="009940E3">
        <w:t>Different aspects of an organisation such as inventory management, working capital management, and Asset utilisation can be measured with the use of efficiency ratios</w:t>
      </w:r>
      <w:r w:rsidR="007B7EA9">
        <w:t xml:space="preserve"> </w:t>
      </w:r>
      <w:r w:rsidR="007B7EA9" w:rsidRPr="007B7EA9">
        <w:t>(Lite, 2019)</w:t>
      </w:r>
      <w:r w:rsidR="009940E3">
        <w:t xml:space="preserve">. </w:t>
      </w:r>
    </w:p>
    <w:p w14:paraId="1C2FEBB1" w14:textId="768F8B8A" w:rsidR="009940E3" w:rsidRDefault="002B6D6B" w:rsidP="00EC75D1">
      <w:r w:rsidRPr="002B6D6B">
        <w:t xml:space="preserve">A key instrument for evaluating a company's performance, capital structure, and financial risk is a gearing ratio. Elevated gearing ratios suggest a firm's significant dependence on debt funding, hence augmenting financial risk. Organisations exhibiting elevated gearing ratios have a more leveraged capital structure, signifying a greater dependence on debt finance. Taking into account the firm's capacity to pay off debt and control financial risk, investors utilise gearing ratios to assess the risk-return trade-off of investing in a company. </w:t>
      </w:r>
      <w:r w:rsidR="00365D54">
        <w:t>To</w:t>
      </w:r>
      <w:r w:rsidRPr="002B6D6B">
        <w:t xml:space="preserve"> evaluate a company's creditworthiness and debt repayment capacity, lenders and credit rating agencies employ gearing ratios. </w:t>
      </w:r>
      <w:r w:rsidR="004E0C4D" w:rsidRPr="002B6D6B">
        <w:t>fewer</w:t>
      </w:r>
      <w:r w:rsidRPr="002B6D6B">
        <w:t xml:space="preserve"> gearing ratios may indicate stronger finances and less credit risk, whereas high ratios might result in higher borrowing rates or make it harder to access credit markets</w:t>
      </w:r>
      <w:r w:rsidR="000A511E">
        <w:t xml:space="preserve"> </w:t>
      </w:r>
      <w:r w:rsidR="000A511E" w:rsidRPr="000A511E">
        <w:t>(Rizal, 2016)</w:t>
      </w:r>
      <w:r w:rsidRPr="002B6D6B">
        <w:t>.</w:t>
      </w:r>
      <w:r w:rsidR="00365D54">
        <w:t xml:space="preserve"> </w:t>
      </w:r>
      <w:r w:rsidR="00365D54" w:rsidRPr="00365D54">
        <w:t>By strategically comparing a company's performance to that of its peers in the industry or competitors, benchmarking enables businesses to pinpoint areas for improvement, establish performance goals, and discover best practices.</w:t>
      </w:r>
      <w:r w:rsidR="004E0C4D">
        <w:t xml:space="preserve"> </w:t>
      </w:r>
    </w:p>
    <w:p w14:paraId="4A700E89" w14:textId="345B94DA" w:rsidR="00E74922" w:rsidRPr="00EC75D1" w:rsidRDefault="00E74922" w:rsidP="00EC75D1">
      <w:r>
        <w:t>The financial Ratio evaluated in this category is the asset turnover ratio and it is the financial ratio between</w:t>
      </w:r>
      <w:r w:rsidR="00E9527D">
        <w:t xml:space="preserve"> revenue and average total assets of an organisation. Given table and chart </w:t>
      </w:r>
      <w:r w:rsidR="00387770">
        <w:t>evaluate</w:t>
      </w:r>
      <w:r w:rsidR="00E9527D">
        <w:t xml:space="preserve"> the </w:t>
      </w:r>
      <w:r w:rsidR="00387770">
        <w:t xml:space="preserve">asset turnover ratio of BAT company for the years from 2019 to 2023.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B7941" w14:paraId="5C4A2FAB" w14:textId="77777777" w:rsidTr="00836881">
        <w:tc>
          <w:tcPr>
            <w:tcW w:w="1502" w:type="dxa"/>
            <w:shd w:val="clear" w:color="auto" w:fill="FFC000" w:themeFill="accent4"/>
          </w:tcPr>
          <w:p w14:paraId="5272E2EB" w14:textId="77777777" w:rsidR="004B7941" w:rsidRDefault="004B7941" w:rsidP="00F62A3B">
            <w:pPr>
              <w:jc w:val="center"/>
            </w:pPr>
          </w:p>
        </w:tc>
        <w:tc>
          <w:tcPr>
            <w:tcW w:w="1502" w:type="dxa"/>
            <w:shd w:val="clear" w:color="auto" w:fill="FFC000" w:themeFill="accent4"/>
          </w:tcPr>
          <w:p w14:paraId="1C782512" w14:textId="77777777" w:rsidR="004B7941" w:rsidRDefault="004B7941" w:rsidP="00F62A3B">
            <w:pPr>
              <w:jc w:val="center"/>
            </w:pPr>
            <w:r>
              <w:t>2019</w:t>
            </w:r>
          </w:p>
        </w:tc>
        <w:tc>
          <w:tcPr>
            <w:tcW w:w="1503" w:type="dxa"/>
            <w:shd w:val="clear" w:color="auto" w:fill="FFC000" w:themeFill="accent4"/>
          </w:tcPr>
          <w:p w14:paraId="4832D2E5" w14:textId="77777777" w:rsidR="004B7941" w:rsidRDefault="004B7941" w:rsidP="00F62A3B">
            <w:pPr>
              <w:jc w:val="center"/>
            </w:pPr>
            <w:r>
              <w:t>2020</w:t>
            </w:r>
          </w:p>
        </w:tc>
        <w:tc>
          <w:tcPr>
            <w:tcW w:w="1503" w:type="dxa"/>
            <w:shd w:val="clear" w:color="auto" w:fill="FFC000" w:themeFill="accent4"/>
          </w:tcPr>
          <w:p w14:paraId="60D16D3C" w14:textId="77777777" w:rsidR="004B7941" w:rsidRDefault="004B7941" w:rsidP="00F62A3B">
            <w:pPr>
              <w:jc w:val="center"/>
            </w:pPr>
            <w:r>
              <w:t>2021</w:t>
            </w:r>
          </w:p>
        </w:tc>
        <w:tc>
          <w:tcPr>
            <w:tcW w:w="1503" w:type="dxa"/>
            <w:shd w:val="clear" w:color="auto" w:fill="FFC000" w:themeFill="accent4"/>
          </w:tcPr>
          <w:p w14:paraId="5D589307" w14:textId="77777777" w:rsidR="004B7941" w:rsidRDefault="004B7941" w:rsidP="00F62A3B">
            <w:pPr>
              <w:jc w:val="center"/>
            </w:pPr>
            <w:r>
              <w:t>2022</w:t>
            </w:r>
          </w:p>
        </w:tc>
        <w:tc>
          <w:tcPr>
            <w:tcW w:w="1503" w:type="dxa"/>
            <w:shd w:val="clear" w:color="auto" w:fill="FFC000" w:themeFill="accent4"/>
          </w:tcPr>
          <w:p w14:paraId="2A0D5387" w14:textId="77777777" w:rsidR="004B7941" w:rsidRDefault="004B7941" w:rsidP="00F62A3B">
            <w:pPr>
              <w:jc w:val="center"/>
            </w:pPr>
            <w:r>
              <w:t>2023</w:t>
            </w:r>
          </w:p>
        </w:tc>
      </w:tr>
      <w:tr w:rsidR="004B7941" w14:paraId="1E197493" w14:textId="77777777" w:rsidTr="00836881">
        <w:tc>
          <w:tcPr>
            <w:tcW w:w="1502" w:type="dxa"/>
          </w:tcPr>
          <w:p w14:paraId="251393DB" w14:textId="4CF03756" w:rsidR="004B7941" w:rsidRDefault="004B7941" w:rsidP="00F62A3B">
            <w:pPr>
              <w:jc w:val="center"/>
            </w:pPr>
            <w:r>
              <w:t>Asset Turnover Ratio</w:t>
            </w:r>
          </w:p>
        </w:tc>
        <w:tc>
          <w:tcPr>
            <w:tcW w:w="1502" w:type="dxa"/>
          </w:tcPr>
          <w:p w14:paraId="7B1BFF23" w14:textId="30765220" w:rsidR="004B7941" w:rsidRDefault="004B7941" w:rsidP="00F62A3B">
            <w:pPr>
              <w:jc w:val="center"/>
            </w:pPr>
            <w:r>
              <w:t>0.18</w:t>
            </w:r>
          </w:p>
        </w:tc>
        <w:tc>
          <w:tcPr>
            <w:tcW w:w="1503" w:type="dxa"/>
          </w:tcPr>
          <w:p w14:paraId="7C17E5F6" w14:textId="2E7A9A18" w:rsidR="004B7941" w:rsidRDefault="004B7941" w:rsidP="00F62A3B">
            <w:pPr>
              <w:jc w:val="center"/>
            </w:pPr>
            <w:r>
              <w:t>0.18</w:t>
            </w:r>
          </w:p>
        </w:tc>
        <w:tc>
          <w:tcPr>
            <w:tcW w:w="1503" w:type="dxa"/>
          </w:tcPr>
          <w:p w14:paraId="3BDDFF23" w14:textId="3642FBAC" w:rsidR="004B7941" w:rsidRDefault="004B7941" w:rsidP="00F62A3B">
            <w:pPr>
              <w:jc w:val="center"/>
            </w:pPr>
            <w:r>
              <w:t>0.18</w:t>
            </w:r>
          </w:p>
        </w:tc>
        <w:tc>
          <w:tcPr>
            <w:tcW w:w="1503" w:type="dxa"/>
          </w:tcPr>
          <w:p w14:paraId="4E91A36D" w14:textId="6136BEFA" w:rsidR="004B7941" w:rsidRDefault="004B7941" w:rsidP="00F62A3B">
            <w:pPr>
              <w:jc w:val="center"/>
            </w:pPr>
            <w:r>
              <w:t>0.18</w:t>
            </w:r>
          </w:p>
        </w:tc>
        <w:tc>
          <w:tcPr>
            <w:tcW w:w="1503" w:type="dxa"/>
          </w:tcPr>
          <w:p w14:paraId="443771E7" w14:textId="2E8ACBA1" w:rsidR="004B7941" w:rsidRDefault="004B7941" w:rsidP="00F62A3B">
            <w:pPr>
              <w:keepNext/>
              <w:jc w:val="center"/>
            </w:pPr>
            <w:r>
              <w:t>0.22</w:t>
            </w:r>
          </w:p>
        </w:tc>
      </w:tr>
    </w:tbl>
    <w:p w14:paraId="0D73A722" w14:textId="05D34678" w:rsidR="00397301" w:rsidRDefault="009940E3" w:rsidP="009940E3">
      <w:pPr>
        <w:pStyle w:val="Caption"/>
        <w:jc w:val="center"/>
      </w:pPr>
      <w:bookmarkStart w:id="20" w:name="_Toc164386814"/>
      <w:r>
        <w:t xml:space="preserve">Table </w:t>
      </w:r>
      <w:fldSimple w:instr=" SEQ Table \* ARABIC ">
        <w:r w:rsidR="00A75AAE">
          <w:rPr>
            <w:noProof/>
          </w:rPr>
          <w:t>4</w:t>
        </w:r>
      </w:fldSimple>
      <w:r>
        <w:t xml:space="preserve"> Asset Turnover Ratio</w:t>
      </w:r>
      <w:bookmarkEnd w:id="20"/>
    </w:p>
    <w:p w14:paraId="104AE16F" w14:textId="77777777" w:rsidR="00387770" w:rsidRDefault="00387770" w:rsidP="00387770">
      <w:pPr>
        <w:keepNext/>
      </w:pPr>
      <w:r>
        <w:rPr>
          <w:noProof/>
          <w:lang w:val="en-US"/>
        </w:rPr>
        <w:lastRenderedPageBreak/>
        <w:drawing>
          <wp:inline distT="0" distB="0" distL="0" distR="0" wp14:anchorId="3A1723B3" wp14:editId="597D7806">
            <wp:extent cx="5486400" cy="2308860"/>
            <wp:effectExtent l="0" t="0" r="0" b="15240"/>
            <wp:docPr id="127713099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82CC38" w14:textId="58E8E5B8" w:rsidR="00387770" w:rsidRDefault="00387770" w:rsidP="00387770">
      <w:pPr>
        <w:pStyle w:val="Caption"/>
        <w:jc w:val="center"/>
      </w:pPr>
      <w:bookmarkStart w:id="21" w:name="_Toc164386829"/>
      <w:r>
        <w:t xml:space="preserve">Figure </w:t>
      </w:r>
      <w:fldSimple w:instr=" SEQ Figure \* ARABIC ">
        <w:r w:rsidR="00514C56">
          <w:rPr>
            <w:noProof/>
          </w:rPr>
          <w:t>4</w:t>
        </w:r>
      </w:fldSimple>
      <w:r>
        <w:t xml:space="preserve"> Asset Turnover Ratio</w:t>
      </w:r>
      <w:bookmarkEnd w:id="21"/>
    </w:p>
    <w:p w14:paraId="58345753" w14:textId="17159A3A" w:rsidR="00387770" w:rsidRDefault="009E3D40" w:rsidP="00387770">
      <w:r>
        <w:t xml:space="preserve">The above chart and graph show the asset turnover ratio of the company from the year 2019 to 2023. </w:t>
      </w:r>
      <w:r w:rsidR="00C462AB">
        <w:t xml:space="preserve">The Asset turnover ratio of the company from the year 2019 to 2022 remains the same as 0.18 and the value increased in the year 2023 to 0.22. </w:t>
      </w:r>
      <w:r w:rsidR="00D65175">
        <w:t>It indicates that the ability of the company to generate income from the assets increased in the last year and can expect positive growth in the future years as well.</w:t>
      </w:r>
    </w:p>
    <w:p w14:paraId="2E19C792" w14:textId="3FC9E6F1" w:rsidR="0076529F" w:rsidRDefault="00C3349C" w:rsidP="00C3349C">
      <w:pPr>
        <w:pStyle w:val="Heading2"/>
      </w:pPr>
      <w:bookmarkStart w:id="22" w:name="_Toc162752546"/>
      <w:bookmarkStart w:id="23" w:name="_Toc164387959"/>
      <w:r>
        <w:t>Comparison with the Competitor</w:t>
      </w:r>
      <w:bookmarkEnd w:id="22"/>
      <w:bookmarkEnd w:id="23"/>
    </w:p>
    <w:p w14:paraId="7BAFE3DB" w14:textId="2B59BC16" w:rsidR="00C3349C" w:rsidRDefault="00C3349C" w:rsidP="00C3349C">
      <w:r>
        <w:t xml:space="preserve">This section of the Report focuses on the comparison of BAT's financial ratio with one of the competitors of the company in the industry. </w:t>
      </w:r>
      <w:r w:rsidR="00E21CA9">
        <w:t>The selected Competitor of the company is Imperial Brand</w:t>
      </w:r>
      <w:r w:rsidR="00627E6E">
        <w:t xml:space="preserve"> </w:t>
      </w:r>
      <w:r w:rsidR="00627E6E" w:rsidRPr="00627E6E">
        <w:t>(www.macrotrends.net, n.d.)</w:t>
      </w:r>
      <w:r w:rsidR="00E21CA9">
        <w:t xml:space="preserve">. </w:t>
      </w:r>
    </w:p>
    <w:tbl>
      <w:tblPr>
        <w:tblStyle w:val="TableGrid"/>
        <w:tblW w:w="0" w:type="auto"/>
        <w:tblLook w:val="04A0" w:firstRow="1" w:lastRow="0" w:firstColumn="1" w:lastColumn="0" w:noHBand="0" w:noVBand="1"/>
      </w:tblPr>
      <w:tblGrid>
        <w:gridCol w:w="3005"/>
        <w:gridCol w:w="3005"/>
        <w:gridCol w:w="3006"/>
      </w:tblGrid>
      <w:tr w:rsidR="00E21CA9" w14:paraId="3FD07050" w14:textId="77777777" w:rsidTr="00434832">
        <w:tc>
          <w:tcPr>
            <w:tcW w:w="3005" w:type="dxa"/>
            <w:shd w:val="clear" w:color="auto" w:fill="FFC000" w:themeFill="accent4"/>
          </w:tcPr>
          <w:p w14:paraId="23457E4B" w14:textId="77777777" w:rsidR="00E21CA9" w:rsidRDefault="00E21CA9" w:rsidP="00C3349C"/>
        </w:tc>
        <w:tc>
          <w:tcPr>
            <w:tcW w:w="3005" w:type="dxa"/>
            <w:shd w:val="clear" w:color="auto" w:fill="FFC000" w:themeFill="accent4"/>
          </w:tcPr>
          <w:p w14:paraId="3C0AD152" w14:textId="099CAD1B" w:rsidR="00E21CA9" w:rsidRDefault="00E21CA9" w:rsidP="00C3349C">
            <w:r>
              <w:t>BAT</w:t>
            </w:r>
          </w:p>
        </w:tc>
        <w:tc>
          <w:tcPr>
            <w:tcW w:w="3006" w:type="dxa"/>
            <w:shd w:val="clear" w:color="auto" w:fill="FFC000" w:themeFill="accent4"/>
          </w:tcPr>
          <w:p w14:paraId="060D1AF9" w14:textId="622CEDE3" w:rsidR="00E21CA9" w:rsidRDefault="00E21CA9" w:rsidP="00C3349C">
            <w:r>
              <w:t>Imperial Brands</w:t>
            </w:r>
          </w:p>
        </w:tc>
      </w:tr>
      <w:tr w:rsidR="00E21CA9" w14:paraId="4538A725" w14:textId="77777777" w:rsidTr="00E21CA9">
        <w:tc>
          <w:tcPr>
            <w:tcW w:w="3005" w:type="dxa"/>
          </w:tcPr>
          <w:p w14:paraId="3A718D32" w14:textId="62A65B32" w:rsidR="00E21CA9" w:rsidRDefault="00E21CA9" w:rsidP="00C3349C">
            <w:r>
              <w:t>2019</w:t>
            </w:r>
          </w:p>
        </w:tc>
        <w:tc>
          <w:tcPr>
            <w:tcW w:w="3005" w:type="dxa"/>
          </w:tcPr>
          <w:p w14:paraId="314292BA" w14:textId="4E7C9F81" w:rsidR="00E21CA9" w:rsidRDefault="00E21CA9" w:rsidP="00C3349C">
            <w:r w:rsidRPr="00E21CA9">
              <w:t>22.6</w:t>
            </w:r>
            <w:r w:rsidRPr="00E21CA9">
              <w:tab/>
            </w:r>
            <w:r w:rsidRPr="00E21CA9">
              <w:tab/>
            </w:r>
            <w:r w:rsidRPr="00E21CA9">
              <w:tab/>
            </w:r>
          </w:p>
        </w:tc>
        <w:tc>
          <w:tcPr>
            <w:tcW w:w="3006" w:type="dxa"/>
          </w:tcPr>
          <w:p w14:paraId="6203C20F" w14:textId="35C86C4E" w:rsidR="00E21CA9" w:rsidRDefault="00E21CA9" w:rsidP="00C3349C">
            <w:r>
              <w:t>4.59</w:t>
            </w:r>
          </w:p>
        </w:tc>
      </w:tr>
      <w:tr w:rsidR="00E21CA9" w14:paraId="418644F9" w14:textId="77777777" w:rsidTr="00E21CA9">
        <w:tc>
          <w:tcPr>
            <w:tcW w:w="3005" w:type="dxa"/>
          </w:tcPr>
          <w:p w14:paraId="29710D49" w14:textId="3214E641" w:rsidR="00E21CA9" w:rsidRDefault="00E21CA9" w:rsidP="00C3349C">
            <w:r>
              <w:t>2020</w:t>
            </w:r>
          </w:p>
        </w:tc>
        <w:tc>
          <w:tcPr>
            <w:tcW w:w="3005" w:type="dxa"/>
          </w:tcPr>
          <w:p w14:paraId="71177100" w14:textId="1DFFEE68" w:rsidR="00E21CA9" w:rsidRDefault="00E21CA9" w:rsidP="00C3349C">
            <w:r w:rsidRPr="00E21CA9">
              <w:t>25.46</w:t>
            </w:r>
            <w:r w:rsidRPr="00E21CA9">
              <w:tab/>
            </w:r>
          </w:p>
        </w:tc>
        <w:tc>
          <w:tcPr>
            <w:tcW w:w="3006" w:type="dxa"/>
          </w:tcPr>
          <w:p w14:paraId="2B56F1C8" w14:textId="522FC684" w:rsidR="00E21CA9" w:rsidRDefault="00E21CA9" w:rsidP="00C3349C">
            <w:r>
              <w:t>8.65</w:t>
            </w:r>
          </w:p>
        </w:tc>
      </w:tr>
      <w:tr w:rsidR="00E21CA9" w14:paraId="1C6A8DC2" w14:textId="77777777" w:rsidTr="00E21CA9">
        <w:tc>
          <w:tcPr>
            <w:tcW w:w="3005" w:type="dxa"/>
          </w:tcPr>
          <w:p w14:paraId="5710CA97" w14:textId="4B384F7E" w:rsidR="00E21CA9" w:rsidRDefault="00E21CA9" w:rsidP="00C3349C">
            <w:r>
              <w:t>2021</w:t>
            </w:r>
          </w:p>
        </w:tc>
        <w:tc>
          <w:tcPr>
            <w:tcW w:w="3005" w:type="dxa"/>
          </w:tcPr>
          <w:p w14:paraId="3A38DD4B" w14:textId="57A95B54" w:rsidR="00E21CA9" w:rsidRDefault="00E21CA9" w:rsidP="00C3349C">
            <w:r w:rsidRPr="00E21CA9">
              <w:t>27.15</w:t>
            </w:r>
          </w:p>
        </w:tc>
        <w:tc>
          <w:tcPr>
            <w:tcW w:w="3006" w:type="dxa"/>
          </w:tcPr>
          <w:p w14:paraId="328E694D" w14:textId="21F2C7D7" w:rsidR="00E21CA9" w:rsidRDefault="00E21CA9" w:rsidP="00C3349C">
            <w:r>
              <w:t>4.82</w:t>
            </w:r>
          </w:p>
        </w:tc>
      </w:tr>
      <w:tr w:rsidR="00E21CA9" w14:paraId="67D136DD" w14:textId="77777777" w:rsidTr="00E21CA9">
        <w:tc>
          <w:tcPr>
            <w:tcW w:w="3005" w:type="dxa"/>
          </w:tcPr>
          <w:p w14:paraId="3ECD1CB3" w14:textId="3B2E46FD" w:rsidR="00E21CA9" w:rsidRDefault="00E21CA9" w:rsidP="00C3349C">
            <w:r>
              <w:t>2022</w:t>
            </w:r>
          </w:p>
        </w:tc>
        <w:tc>
          <w:tcPr>
            <w:tcW w:w="3005" w:type="dxa"/>
          </w:tcPr>
          <w:p w14:paraId="5DD2D4F8" w14:textId="680BE643" w:rsidR="00E21CA9" w:rsidRDefault="00E21CA9" w:rsidP="00C3349C">
            <w:r w:rsidRPr="00E21CA9">
              <w:t>24.75</w:t>
            </w:r>
          </w:p>
        </w:tc>
        <w:tc>
          <w:tcPr>
            <w:tcW w:w="3006" w:type="dxa"/>
          </w:tcPr>
          <w:p w14:paraId="7C41150B" w14:textId="02BE2E10" w:rsidR="00E21CA9" w:rsidRDefault="00E21CA9" w:rsidP="00C3349C">
            <w:r>
              <w:t>7.17</w:t>
            </w:r>
          </w:p>
        </w:tc>
      </w:tr>
      <w:tr w:rsidR="00E21CA9" w14:paraId="75A9A2CC" w14:textId="77777777" w:rsidTr="00E21CA9">
        <w:tc>
          <w:tcPr>
            <w:tcW w:w="3005" w:type="dxa"/>
          </w:tcPr>
          <w:p w14:paraId="6450892D" w14:textId="355D6FB3" w:rsidR="00E21CA9" w:rsidRDefault="00E21CA9" w:rsidP="00C3349C">
            <w:r>
              <w:t>2023</w:t>
            </w:r>
          </w:p>
        </w:tc>
        <w:tc>
          <w:tcPr>
            <w:tcW w:w="3005" w:type="dxa"/>
          </w:tcPr>
          <w:p w14:paraId="00AB7E9C" w14:textId="67AF7BC8" w:rsidR="00E21CA9" w:rsidRDefault="00E21CA9" w:rsidP="00C3349C">
            <w:r w:rsidRPr="00E21CA9">
              <w:t>52.02</w:t>
            </w:r>
          </w:p>
        </w:tc>
        <w:tc>
          <w:tcPr>
            <w:tcW w:w="3006" w:type="dxa"/>
          </w:tcPr>
          <w:p w14:paraId="4E24D26E" w14:textId="6E93373C" w:rsidR="00E21CA9" w:rsidRDefault="00E21CA9" w:rsidP="00E21CA9">
            <w:pPr>
              <w:keepNext/>
            </w:pPr>
            <w:r>
              <w:t>7.17</w:t>
            </w:r>
          </w:p>
        </w:tc>
      </w:tr>
    </w:tbl>
    <w:p w14:paraId="3BF96A89" w14:textId="752FCCBA" w:rsidR="00290EDF" w:rsidRDefault="00E21CA9" w:rsidP="00E21CA9">
      <w:pPr>
        <w:pStyle w:val="Caption"/>
        <w:jc w:val="center"/>
      </w:pPr>
      <w:bookmarkStart w:id="24" w:name="_Toc164386815"/>
      <w:r>
        <w:t xml:space="preserve">Table </w:t>
      </w:r>
      <w:fldSimple w:instr=" SEQ Table \* ARABIC ">
        <w:r w:rsidR="00A75AAE">
          <w:rPr>
            <w:noProof/>
          </w:rPr>
          <w:t>5</w:t>
        </w:r>
      </w:fldSimple>
      <w:r>
        <w:t xml:space="preserve"> Profitability Ratio Comparison</w:t>
      </w:r>
      <w:bookmarkEnd w:id="24"/>
    </w:p>
    <w:p w14:paraId="5B71B016" w14:textId="77777777" w:rsidR="003C5B89" w:rsidRDefault="00B91085" w:rsidP="003C5B89">
      <w:pPr>
        <w:keepNext/>
      </w:pPr>
      <w:r>
        <w:rPr>
          <w:noProof/>
          <w:lang w:val="en-US"/>
        </w:rPr>
        <w:lastRenderedPageBreak/>
        <w:drawing>
          <wp:inline distT="0" distB="0" distL="0" distR="0" wp14:anchorId="0B25CC32" wp14:editId="2CE6DEB7">
            <wp:extent cx="5486400" cy="2042160"/>
            <wp:effectExtent l="0" t="0" r="0" b="15240"/>
            <wp:docPr id="16213553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707A3A" w14:textId="7D7E93FF" w:rsidR="00E21CA9" w:rsidRDefault="003C5B89" w:rsidP="003C5B89">
      <w:pPr>
        <w:pStyle w:val="Caption"/>
        <w:jc w:val="center"/>
      </w:pPr>
      <w:bookmarkStart w:id="25" w:name="_Toc164386830"/>
      <w:r>
        <w:t xml:space="preserve">Figure </w:t>
      </w:r>
      <w:fldSimple w:instr=" SEQ Figure \* ARABIC ">
        <w:r w:rsidR="00514C56">
          <w:rPr>
            <w:noProof/>
          </w:rPr>
          <w:t>5</w:t>
        </w:r>
      </w:fldSimple>
      <w:r>
        <w:t xml:space="preserve"> Profitability Ratio Comparison</w:t>
      </w:r>
      <w:bookmarkEnd w:id="25"/>
    </w:p>
    <w:p w14:paraId="1E937253" w14:textId="4F3F058D" w:rsidR="003C5B89" w:rsidRDefault="003C5B89" w:rsidP="003C5B89">
      <w:r>
        <w:t xml:space="preserve">The Table and chart above show the Profitability Ratio Comparison between BAT company and Imperial </w:t>
      </w:r>
      <w:r w:rsidR="00EB047C">
        <w:t>Brands</w:t>
      </w:r>
      <w:r>
        <w:t xml:space="preserve">, one of its major competitors in the Market. </w:t>
      </w:r>
      <w:r w:rsidR="00E80A3D">
        <w:t xml:space="preserve">The evaluation of the Net profit Margin indicates that the Profitability of the company in the whole year is higher compared to the competitor in the market. BAT </w:t>
      </w:r>
      <w:r w:rsidR="009E13E0">
        <w:t>can</w:t>
      </w:r>
      <w:r w:rsidR="00E80A3D">
        <w:t xml:space="preserve"> generate higher </w:t>
      </w:r>
      <w:r w:rsidR="009E13E0">
        <w:t>profits</w:t>
      </w:r>
      <w:r w:rsidR="00E80A3D">
        <w:t xml:space="preserve"> compared to its </w:t>
      </w:r>
      <w:r w:rsidR="009E13E0">
        <w:t>competitors</w:t>
      </w:r>
      <w:r w:rsidR="00E80A3D">
        <w:t xml:space="preserve">. </w:t>
      </w:r>
    </w:p>
    <w:tbl>
      <w:tblPr>
        <w:tblStyle w:val="TableGrid"/>
        <w:tblW w:w="0" w:type="auto"/>
        <w:tblLook w:val="04A0" w:firstRow="1" w:lastRow="0" w:firstColumn="1" w:lastColumn="0" w:noHBand="0" w:noVBand="1"/>
      </w:tblPr>
      <w:tblGrid>
        <w:gridCol w:w="3005"/>
        <w:gridCol w:w="3005"/>
        <w:gridCol w:w="3006"/>
      </w:tblGrid>
      <w:tr w:rsidR="00934BDC" w14:paraId="497CDE18" w14:textId="77777777" w:rsidTr="00836881">
        <w:tc>
          <w:tcPr>
            <w:tcW w:w="3005" w:type="dxa"/>
            <w:shd w:val="clear" w:color="auto" w:fill="FFC000" w:themeFill="accent4"/>
          </w:tcPr>
          <w:p w14:paraId="0B9A3C1E" w14:textId="77777777" w:rsidR="00934BDC" w:rsidRDefault="00934BDC" w:rsidP="00836881"/>
        </w:tc>
        <w:tc>
          <w:tcPr>
            <w:tcW w:w="3005" w:type="dxa"/>
            <w:shd w:val="clear" w:color="auto" w:fill="FFC000" w:themeFill="accent4"/>
          </w:tcPr>
          <w:p w14:paraId="37010139" w14:textId="77777777" w:rsidR="00934BDC" w:rsidRDefault="00934BDC" w:rsidP="00836881">
            <w:r>
              <w:t>BAT</w:t>
            </w:r>
          </w:p>
        </w:tc>
        <w:tc>
          <w:tcPr>
            <w:tcW w:w="3006" w:type="dxa"/>
            <w:shd w:val="clear" w:color="auto" w:fill="FFC000" w:themeFill="accent4"/>
          </w:tcPr>
          <w:p w14:paraId="3C98B5A2" w14:textId="77777777" w:rsidR="00934BDC" w:rsidRDefault="00934BDC" w:rsidP="00836881">
            <w:r>
              <w:t>Imperial Brands</w:t>
            </w:r>
          </w:p>
        </w:tc>
      </w:tr>
      <w:tr w:rsidR="00934BDC" w14:paraId="468E657D" w14:textId="77777777" w:rsidTr="00836881">
        <w:tc>
          <w:tcPr>
            <w:tcW w:w="3005" w:type="dxa"/>
          </w:tcPr>
          <w:p w14:paraId="56611B2E" w14:textId="77777777" w:rsidR="00934BDC" w:rsidRDefault="00934BDC" w:rsidP="00836881">
            <w:r>
              <w:t>2019</w:t>
            </w:r>
          </w:p>
        </w:tc>
        <w:tc>
          <w:tcPr>
            <w:tcW w:w="3005" w:type="dxa"/>
          </w:tcPr>
          <w:p w14:paraId="665C9318" w14:textId="786A8AEE" w:rsidR="00934BDC" w:rsidRDefault="00934BDC" w:rsidP="00836881">
            <w:r w:rsidRPr="00934BDC">
              <w:t>0.13</w:t>
            </w:r>
            <w:r w:rsidRPr="00934BDC">
              <w:tab/>
            </w:r>
          </w:p>
        </w:tc>
        <w:tc>
          <w:tcPr>
            <w:tcW w:w="3006" w:type="dxa"/>
          </w:tcPr>
          <w:p w14:paraId="0883E254" w14:textId="52B819D1" w:rsidR="00934BDC" w:rsidRDefault="00934BDC" w:rsidP="00836881">
            <w:r>
              <w:t>0.22</w:t>
            </w:r>
          </w:p>
        </w:tc>
      </w:tr>
      <w:tr w:rsidR="00934BDC" w14:paraId="581FF672" w14:textId="77777777" w:rsidTr="00836881">
        <w:tc>
          <w:tcPr>
            <w:tcW w:w="3005" w:type="dxa"/>
          </w:tcPr>
          <w:p w14:paraId="5FD8565B" w14:textId="77777777" w:rsidR="00934BDC" w:rsidRDefault="00934BDC" w:rsidP="00836881">
            <w:r>
              <w:t>2020</w:t>
            </w:r>
          </w:p>
        </w:tc>
        <w:tc>
          <w:tcPr>
            <w:tcW w:w="3005" w:type="dxa"/>
          </w:tcPr>
          <w:p w14:paraId="0975DB1F" w14:textId="4A3F5759" w:rsidR="00934BDC" w:rsidRDefault="00934BDC" w:rsidP="00836881">
            <w:r w:rsidRPr="00934BDC">
              <w:t>0.20</w:t>
            </w:r>
            <w:r w:rsidRPr="00934BDC">
              <w:tab/>
            </w:r>
          </w:p>
        </w:tc>
        <w:tc>
          <w:tcPr>
            <w:tcW w:w="3006" w:type="dxa"/>
          </w:tcPr>
          <w:p w14:paraId="0963E39F" w14:textId="2AE43B8F" w:rsidR="00934BDC" w:rsidRDefault="00934BDC" w:rsidP="00836881">
            <w:r>
              <w:t>0.32</w:t>
            </w:r>
          </w:p>
        </w:tc>
      </w:tr>
      <w:tr w:rsidR="00934BDC" w14:paraId="5E85EB1F" w14:textId="77777777" w:rsidTr="00836881">
        <w:tc>
          <w:tcPr>
            <w:tcW w:w="3005" w:type="dxa"/>
          </w:tcPr>
          <w:p w14:paraId="5D3E4948" w14:textId="77777777" w:rsidR="00934BDC" w:rsidRDefault="00934BDC" w:rsidP="00836881">
            <w:r>
              <w:t>2021</w:t>
            </w:r>
          </w:p>
        </w:tc>
        <w:tc>
          <w:tcPr>
            <w:tcW w:w="3005" w:type="dxa"/>
          </w:tcPr>
          <w:p w14:paraId="398E2F24" w14:textId="2FC7D5DB" w:rsidR="00934BDC" w:rsidRDefault="00934BDC" w:rsidP="00836881">
            <w:r w:rsidRPr="00934BDC">
              <w:t>0.18</w:t>
            </w:r>
            <w:r w:rsidRPr="00934BDC">
              <w:tab/>
            </w:r>
          </w:p>
        </w:tc>
        <w:tc>
          <w:tcPr>
            <w:tcW w:w="3006" w:type="dxa"/>
          </w:tcPr>
          <w:p w14:paraId="1EB345B5" w14:textId="25501089" w:rsidR="00934BDC" w:rsidRDefault="00934BDC" w:rsidP="00836881">
            <w:r>
              <w:t>0.34</w:t>
            </w:r>
          </w:p>
        </w:tc>
      </w:tr>
      <w:tr w:rsidR="00934BDC" w14:paraId="3924C5D0" w14:textId="77777777" w:rsidTr="00836881">
        <w:tc>
          <w:tcPr>
            <w:tcW w:w="3005" w:type="dxa"/>
          </w:tcPr>
          <w:p w14:paraId="5299F135" w14:textId="77777777" w:rsidR="00934BDC" w:rsidRDefault="00934BDC" w:rsidP="00836881">
            <w:r>
              <w:t>2022</w:t>
            </w:r>
          </w:p>
        </w:tc>
        <w:tc>
          <w:tcPr>
            <w:tcW w:w="3005" w:type="dxa"/>
          </w:tcPr>
          <w:p w14:paraId="76C75C23" w14:textId="63D96DA5" w:rsidR="00934BDC" w:rsidRDefault="00934BDC" w:rsidP="00836881">
            <w:r w:rsidRPr="00934BDC">
              <w:t>0.19</w:t>
            </w:r>
            <w:r w:rsidRPr="00934BDC">
              <w:tab/>
            </w:r>
          </w:p>
        </w:tc>
        <w:tc>
          <w:tcPr>
            <w:tcW w:w="3006" w:type="dxa"/>
          </w:tcPr>
          <w:p w14:paraId="59269B68" w14:textId="5DA08D0C" w:rsidR="00934BDC" w:rsidRDefault="00934BDC" w:rsidP="00836881">
            <w:r>
              <w:t>0.34</w:t>
            </w:r>
          </w:p>
        </w:tc>
      </w:tr>
      <w:tr w:rsidR="00934BDC" w14:paraId="17B6AAEF" w14:textId="77777777" w:rsidTr="00836881">
        <w:tc>
          <w:tcPr>
            <w:tcW w:w="3005" w:type="dxa"/>
          </w:tcPr>
          <w:p w14:paraId="52C59F04" w14:textId="77777777" w:rsidR="00934BDC" w:rsidRDefault="00934BDC" w:rsidP="00836881">
            <w:r>
              <w:t>2023</w:t>
            </w:r>
          </w:p>
        </w:tc>
        <w:tc>
          <w:tcPr>
            <w:tcW w:w="3005" w:type="dxa"/>
          </w:tcPr>
          <w:p w14:paraId="02725039" w14:textId="6AD5EBB8" w:rsidR="00934BDC" w:rsidRDefault="00934BDC" w:rsidP="00836881">
            <w:r w:rsidRPr="00934BDC">
              <w:t>0.29</w:t>
            </w:r>
          </w:p>
        </w:tc>
        <w:tc>
          <w:tcPr>
            <w:tcW w:w="3006" w:type="dxa"/>
          </w:tcPr>
          <w:p w14:paraId="767C402B" w14:textId="62AA981C" w:rsidR="00934BDC" w:rsidRDefault="00934BDC" w:rsidP="00934BDC">
            <w:pPr>
              <w:keepNext/>
            </w:pPr>
            <w:r>
              <w:t>0.32</w:t>
            </w:r>
          </w:p>
        </w:tc>
      </w:tr>
    </w:tbl>
    <w:p w14:paraId="7015CFD0" w14:textId="32CA7DED" w:rsidR="00434832" w:rsidRDefault="00934BDC" w:rsidP="00934BDC">
      <w:pPr>
        <w:pStyle w:val="Caption"/>
        <w:jc w:val="center"/>
      </w:pPr>
      <w:bookmarkStart w:id="26" w:name="_Toc164386816"/>
      <w:r>
        <w:t xml:space="preserve">Table </w:t>
      </w:r>
      <w:fldSimple w:instr=" SEQ Table \* ARABIC ">
        <w:r w:rsidR="00A75AAE">
          <w:rPr>
            <w:noProof/>
          </w:rPr>
          <w:t>6</w:t>
        </w:r>
      </w:fldSimple>
      <w:r>
        <w:t xml:space="preserve"> Cash Ratio Comparison</w:t>
      </w:r>
      <w:bookmarkEnd w:id="26"/>
    </w:p>
    <w:p w14:paraId="1F6FEAB0" w14:textId="77777777" w:rsidR="0085397E" w:rsidRDefault="0085397E" w:rsidP="0085397E">
      <w:pPr>
        <w:keepNext/>
      </w:pPr>
      <w:r>
        <w:rPr>
          <w:noProof/>
          <w:lang w:val="en-US"/>
        </w:rPr>
        <w:drawing>
          <wp:inline distT="0" distB="0" distL="0" distR="0" wp14:anchorId="31AE2118" wp14:editId="6C9A8CB6">
            <wp:extent cx="5486400" cy="1859280"/>
            <wp:effectExtent l="0" t="0" r="0" b="7620"/>
            <wp:docPr id="61832516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1C7CA3C" w14:textId="3316E86C" w:rsidR="00934BDC" w:rsidRDefault="0085397E" w:rsidP="0085397E">
      <w:pPr>
        <w:pStyle w:val="Caption"/>
        <w:jc w:val="center"/>
      </w:pPr>
      <w:bookmarkStart w:id="27" w:name="_Toc164386831"/>
      <w:r>
        <w:t xml:space="preserve">Figure </w:t>
      </w:r>
      <w:fldSimple w:instr=" SEQ Figure \* ARABIC ">
        <w:r w:rsidR="00514C56">
          <w:rPr>
            <w:noProof/>
          </w:rPr>
          <w:t>6</w:t>
        </w:r>
      </w:fldSimple>
      <w:r>
        <w:t xml:space="preserve"> Cash Ratio Comparison</w:t>
      </w:r>
      <w:bookmarkEnd w:id="27"/>
    </w:p>
    <w:p w14:paraId="52C8344F" w14:textId="34D98A0A" w:rsidR="0085397E" w:rsidRDefault="0085397E" w:rsidP="0085397E">
      <w:r>
        <w:t xml:space="preserve">The above Table and chart show the Cash Ratio comparison of the BAT company with its competitor Imperial </w:t>
      </w:r>
      <w:r w:rsidR="00733FBF">
        <w:t>Brands</w:t>
      </w:r>
      <w:r>
        <w:t xml:space="preserve">. </w:t>
      </w:r>
      <w:r w:rsidR="009F43B2">
        <w:t xml:space="preserve">The </w:t>
      </w:r>
      <w:r w:rsidR="00447D15">
        <w:t xml:space="preserve">company's cash Ratio is lesser when compared to the </w:t>
      </w:r>
      <w:r w:rsidR="00447D15">
        <w:lastRenderedPageBreak/>
        <w:t>competitor in the Market and indicates that the company should focus on enhancing</w:t>
      </w:r>
      <w:r w:rsidR="009F43B2">
        <w:t xml:space="preserve"> its Liquidity. </w:t>
      </w:r>
    </w:p>
    <w:tbl>
      <w:tblPr>
        <w:tblStyle w:val="TableGrid"/>
        <w:tblW w:w="0" w:type="auto"/>
        <w:tblLook w:val="04A0" w:firstRow="1" w:lastRow="0" w:firstColumn="1" w:lastColumn="0" w:noHBand="0" w:noVBand="1"/>
      </w:tblPr>
      <w:tblGrid>
        <w:gridCol w:w="3005"/>
        <w:gridCol w:w="3005"/>
        <w:gridCol w:w="3006"/>
      </w:tblGrid>
      <w:tr w:rsidR="0071703E" w14:paraId="4C139CD1" w14:textId="77777777" w:rsidTr="00836881">
        <w:tc>
          <w:tcPr>
            <w:tcW w:w="3005" w:type="dxa"/>
            <w:shd w:val="clear" w:color="auto" w:fill="FFC000" w:themeFill="accent4"/>
          </w:tcPr>
          <w:p w14:paraId="4FDD9F3D" w14:textId="77777777" w:rsidR="0071703E" w:rsidRDefault="0071703E" w:rsidP="00836881"/>
        </w:tc>
        <w:tc>
          <w:tcPr>
            <w:tcW w:w="3005" w:type="dxa"/>
            <w:shd w:val="clear" w:color="auto" w:fill="FFC000" w:themeFill="accent4"/>
          </w:tcPr>
          <w:p w14:paraId="0432CCB1" w14:textId="77777777" w:rsidR="0071703E" w:rsidRDefault="0071703E" w:rsidP="00836881">
            <w:r>
              <w:t>BAT</w:t>
            </w:r>
          </w:p>
        </w:tc>
        <w:tc>
          <w:tcPr>
            <w:tcW w:w="3006" w:type="dxa"/>
            <w:shd w:val="clear" w:color="auto" w:fill="FFC000" w:themeFill="accent4"/>
          </w:tcPr>
          <w:p w14:paraId="2BE35A80" w14:textId="77777777" w:rsidR="0071703E" w:rsidRDefault="0071703E" w:rsidP="00836881">
            <w:r>
              <w:t>Imperial Brands</w:t>
            </w:r>
          </w:p>
        </w:tc>
      </w:tr>
      <w:tr w:rsidR="0071703E" w14:paraId="173CF958" w14:textId="77777777" w:rsidTr="00836881">
        <w:tc>
          <w:tcPr>
            <w:tcW w:w="3005" w:type="dxa"/>
          </w:tcPr>
          <w:p w14:paraId="2773E03C" w14:textId="77777777" w:rsidR="0071703E" w:rsidRDefault="0071703E" w:rsidP="0071703E">
            <w:r>
              <w:t>2019</w:t>
            </w:r>
          </w:p>
        </w:tc>
        <w:tc>
          <w:tcPr>
            <w:tcW w:w="3005" w:type="dxa"/>
          </w:tcPr>
          <w:p w14:paraId="236E1D43" w14:textId="00E9977D" w:rsidR="0071703E" w:rsidRDefault="002E2F98" w:rsidP="002E2F98">
            <w:pPr>
              <w:tabs>
                <w:tab w:val="center" w:pos="1394"/>
              </w:tabs>
            </w:pPr>
            <w:r>
              <w:t xml:space="preserve">           </w:t>
            </w:r>
            <w:r w:rsidRPr="002E2F98">
              <w:t>1.19</w:t>
            </w:r>
          </w:p>
        </w:tc>
        <w:tc>
          <w:tcPr>
            <w:tcW w:w="3006" w:type="dxa"/>
          </w:tcPr>
          <w:p w14:paraId="52656769" w14:textId="2BA2AF3E" w:rsidR="0071703E" w:rsidRDefault="0071703E" w:rsidP="0071703E">
            <w:r>
              <w:t>0.51</w:t>
            </w:r>
          </w:p>
        </w:tc>
      </w:tr>
      <w:tr w:rsidR="0071703E" w14:paraId="3DF1B0CC" w14:textId="77777777" w:rsidTr="00836881">
        <w:tc>
          <w:tcPr>
            <w:tcW w:w="3005" w:type="dxa"/>
          </w:tcPr>
          <w:p w14:paraId="1936626A" w14:textId="77777777" w:rsidR="0071703E" w:rsidRDefault="0071703E" w:rsidP="0071703E">
            <w:r>
              <w:t>2020</w:t>
            </w:r>
          </w:p>
        </w:tc>
        <w:tc>
          <w:tcPr>
            <w:tcW w:w="3005" w:type="dxa"/>
          </w:tcPr>
          <w:p w14:paraId="566A2DE2" w14:textId="13AA8F18" w:rsidR="0071703E" w:rsidRDefault="002E2F98" w:rsidP="0071703E">
            <w:r w:rsidRPr="002E2F98">
              <w:tab/>
              <w:t>1.18</w:t>
            </w:r>
          </w:p>
        </w:tc>
        <w:tc>
          <w:tcPr>
            <w:tcW w:w="3006" w:type="dxa"/>
          </w:tcPr>
          <w:p w14:paraId="426F2BD7" w14:textId="7FD0CFA7" w:rsidR="0071703E" w:rsidRDefault="0071703E" w:rsidP="0071703E">
            <w:r>
              <w:t>0.72</w:t>
            </w:r>
          </w:p>
        </w:tc>
      </w:tr>
      <w:tr w:rsidR="0071703E" w14:paraId="2AD85367" w14:textId="77777777" w:rsidTr="00836881">
        <w:tc>
          <w:tcPr>
            <w:tcW w:w="3005" w:type="dxa"/>
          </w:tcPr>
          <w:p w14:paraId="7C1845D7" w14:textId="77777777" w:rsidR="0071703E" w:rsidRDefault="0071703E" w:rsidP="0071703E">
            <w:r>
              <w:t>2021</w:t>
            </w:r>
          </w:p>
        </w:tc>
        <w:tc>
          <w:tcPr>
            <w:tcW w:w="3005" w:type="dxa"/>
          </w:tcPr>
          <w:p w14:paraId="4A3C511A" w14:textId="7187B395" w:rsidR="0071703E" w:rsidRDefault="002E2F98" w:rsidP="0071703E">
            <w:r w:rsidRPr="002E2F98">
              <w:tab/>
              <w:t>1.03</w:t>
            </w:r>
          </w:p>
        </w:tc>
        <w:tc>
          <w:tcPr>
            <w:tcW w:w="3006" w:type="dxa"/>
          </w:tcPr>
          <w:p w14:paraId="07002000" w14:textId="08BB3A06" w:rsidR="0071703E" w:rsidRDefault="0071703E" w:rsidP="0071703E">
            <w:r>
              <w:t>0.72</w:t>
            </w:r>
          </w:p>
        </w:tc>
      </w:tr>
      <w:tr w:rsidR="0071703E" w14:paraId="3A25B402" w14:textId="77777777" w:rsidTr="00836881">
        <w:tc>
          <w:tcPr>
            <w:tcW w:w="3005" w:type="dxa"/>
          </w:tcPr>
          <w:p w14:paraId="4804611F" w14:textId="77777777" w:rsidR="0071703E" w:rsidRDefault="0071703E" w:rsidP="0071703E">
            <w:r>
              <w:t>2022</w:t>
            </w:r>
          </w:p>
        </w:tc>
        <w:tc>
          <w:tcPr>
            <w:tcW w:w="3005" w:type="dxa"/>
          </w:tcPr>
          <w:p w14:paraId="6B0EBFC5" w14:textId="67E796D6" w:rsidR="0071703E" w:rsidRDefault="002E2F98" w:rsidP="0071703E">
            <w:r w:rsidRPr="002E2F98">
              <w:tab/>
              <w:t>1.02</w:t>
            </w:r>
          </w:p>
        </w:tc>
        <w:tc>
          <w:tcPr>
            <w:tcW w:w="3006" w:type="dxa"/>
          </w:tcPr>
          <w:p w14:paraId="2FDFDCC8" w14:textId="396545B3" w:rsidR="0071703E" w:rsidRDefault="0071703E" w:rsidP="0071703E">
            <w:r>
              <w:t>0.74</w:t>
            </w:r>
          </w:p>
        </w:tc>
      </w:tr>
      <w:tr w:rsidR="0071703E" w14:paraId="203425B9" w14:textId="77777777" w:rsidTr="00836881">
        <w:tc>
          <w:tcPr>
            <w:tcW w:w="3005" w:type="dxa"/>
          </w:tcPr>
          <w:p w14:paraId="537771EA" w14:textId="77777777" w:rsidR="0071703E" w:rsidRDefault="0071703E" w:rsidP="0071703E">
            <w:r>
              <w:t>2023</w:t>
            </w:r>
          </w:p>
        </w:tc>
        <w:tc>
          <w:tcPr>
            <w:tcW w:w="3005" w:type="dxa"/>
          </w:tcPr>
          <w:p w14:paraId="2859F8E6" w14:textId="75107CAB" w:rsidR="0071703E" w:rsidRDefault="002E2F98" w:rsidP="0071703E">
            <w:r w:rsidRPr="002E2F98">
              <w:tab/>
              <w:t>1.24</w:t>
            </w:r>
          </w:p>
        </w:tc>
        <w:tc>
          <w:tcPr>
            <w:tcW w:w="3006" w:type="dxa"/>
          </w:tcPr>
          <w:p w14:paraId="1EAE4FB2" w14:textId="7FEECA30" w:rsidR="0071703E" w:rsidRDefault="0071703E" w:rsidP="002E2F98">
            <w:pPr>
              <w:keepNext/>
            </w:pPr>
            <w:r>
              <w:t>0.74</w:t>
            </w:r>
          </w:p>
        </w:tc>
      </w:tr>
    </w:tbl>
    <w:p w14:paraId="27F028E4" w14:textId="33E093BA" w:rsidR="005F4FFA" w:rsidRDefault="002E2F98" w:rsidP="002E2F98">
      <w:pPr>
        <w:pStyle w:val="Caption"/>
        <w:jc w:val="center"/>
      </w:pPr>
      <w:bookmarkStart w:id="28" w:name="_Toc164386817"/>
      <w:r>
        <w:t xml:space="preserve">Table </w:t>
      </w:r>
      <w:fldSimple w:instr=" SEQ Table \* ARABIC ">
        <w:r w:rsidR="00A75AAE">
          <w:rPr>
            <w:noProof/>
          </w:rPr>
          <w:t>7</w:t>
        </w:r>
      </w:fldSimple>
      <w:r>
        <w:t xml:space="preserve"> Debt-to-Equity Comparison</w:t>
      </w:r>
      <w:bookmarkEnd w:id="28"/>
    </w:p>
    <w:p w14:paraId="2788BA6A" w14:textId="77777777" w:rsidR="00772CEB" w:rsidRDefault="00772CEB" w:rsidP="00772CEB">
      <w:pPr>
        <w:keepNext/>
      </w:pPr>
      <w:r>
        <w:rPr>
          <w:noProof/>
          <w:lang w:val="en-US"/>
        </w:rPr>
        <w:drawing>
          <wp:inline distT="0" distB="0" distL="0" distR="0" wp14:anchorId="1D7CBFDB" wp14:editId="3E6A3763">
            <wp:extent cx="5486400" cy="1668780"/>
            <wp:effectExtent l="0" t="0" r="0" b="7620"/>
            <wp:docPr id="63643503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27B59F" w14:textId="2B9DB5F3" w:rsidR="00772CEB" w:rsidRDefault="00772CEB" w:rsidP="00772CEB">
      <w:pPr>
        <w:pStyle w:val="Caption"/>
        <w:jc w:val="center"/>
      </w:pPr>
      <w:bookmarkStart w:id="29" w:name="_Toc164386832"/>
      <w:r>
        <w:t xml:space="preserve">Figure </w:t>
      </w:r>
      <w:fldSimple w:instr=" SEQ Figure \* ARABIC ">
        <w:r w:rsidR="00514C56">
          <w:rPr>
            <w:noProof/>
          </w:rPr>
          <w:t>7</w:t>
        </w:r>
      </w:fldSimple>
      <w:r>
        <w:t xml:space="preserve"> Debt-to-Equity Comparison</w:t>
      </w:r>
      <w:bookmarkEnd w:id="29"/>
    </w:p>
    <w:p w14:paraId="2FF71F60" w14:textId="3AF7221D" w:rsidR="00772CEB" w:rsidRDefault="00772CEB" w:rsidP="00772CEB">
      <w:r>
        <w:t xml:space="preserve">The table and chart show the comparison between the Debt-to-Equity ratio of BAT company with Imperial Brands. </w:t>
      </w:r>
      <w:r w:rsidR="00447D15">
        <w:t xml:space="preserve">The gearing ratio of BAT shows a higher value than competitors in each year. A higher gearing ratio is not healthier for an organisation and it shows that the company has more debt compared to the competitor. </w:t>
      </w:r>
    </w:p>
    <w:tbl>
      <w:tblPr>
        <w:tblStyle w:val="TableGrid"/>
        <w:tblW w:w="0" w:type="auto"/>
        <w:tblLook w:val="04A0" w:firstRow="1" w:lastRow="0" w:firstColumn="1" w:lastColumn="0" w:noHBand="0" w:noVBand="1"/>
      </w:tblPr>
      <w:tblGrid>
        <w:gridCol w:w="3005"/>
        <w:gridCol w:w="3005"/>
        <w:gridCol w:w="3006"/>
      </w:tblGrid>
      <w:tr w:rsidR="009B0245" w14:paraId="25B6D234" w14:textId="77777777" w:rsidTr="00836881">
        <w:tc>
          <w:tcPr>
            <w:tcW w:w="3005" w:type="dxa"/>
            <w:shd w:val="clear" w:color="auto" w:fill="FFC000" w:themeFill="accent4"/>
          </w:tcPr>
          <w:p w14:paraId="633368CF" w14:textId="77777777" w:rsidR="009B0245" w:rsidRDefault="009B0245" w:rsidP="00836881"/>
        </w:tc>
        <w:tc>
          <w:tcPr>
            <w:tcW w:w="3005" w:type="dxa"/>
            <w:shd w:val="clear" w:color="auto" w:fill="FFC000" w:themeFill="accent4"/>
          </w:tcPr>
          <w:p w14:paraId="4648B1AE" w14:textId="77777777" w:rsidR="009B0245" w:rsidRDefault="009B0245" w:rsidP="00836881">
            <w:r>
              <w:t>BAT</w:t>
            </w:r>
          </w:p>
        </w:tc>
        <w:tc>
          <w:tcPr>
            <w:tcW w:w="3006" w:type="dxa"/>
            <w:shd w:val="clear" w:color="auto" w:fill="FFC000" w:themeFill="accent4"/>
          </w:tcPr>
          <w:p w14:paraId="6DD529F0" w14:textId="77777777" w:rsidR="009B0245" w:rsidRDefault="009B0245" w:rsidP="00836881">
            <w:r>
              <w:t>Imperial Brands</w:t>
            </w:r>
          </w:p>
        </w:tc>
      </w:tr>
      <w:tr w:rsidR="009B0245" w14:paraId="19AA1E1A" w14:textId="77777777" w:rsidTr="00836881">
        <w:tc>
          <w:tcPr>
            <w:tcW w:w="3005" w:type="dxa"/>
          </w:tcPr>
          <w:p w14:paraId="71AACBA9" w14:textId="77777777" w:rsidR="009B0245" w:rsidRDefault="009B0245" w:rsidP="00836881">
            <w:r>
              <w:t>2019</w:t>
            </w:r>
          </w:p>
        </w:tc>
        <w:tc>
          <w:tcPr>
            <w:tcW w:w="3005" w:type="dxa"/>
          </w:tcPr>
          <w:p w14:paraId="40540A21" w14:textId="06B73BC8" w:rsidR="009B0245" w:rsidRDefault="009B0245" w:rsidP="00836881">
            <w:pPr>
              <w:tabs>
                <w:tab w:val="center" w:pos="1394"/>
              </w:tabs>
            </w:pPr>
            <w:r w:rsidRPr="009B0245">
              <w:t>0.18</w:t>
            </w:r>
            <w:r w:rsidRPr="009B0245">
              <w:tab/>
            </w:r>
          </w:p>
        </w:tc>
        <w:tc>
          <w:tcPr>
            <w:tcW w:w="3006" w:type="dxa"/>
          </w:tcPr>
          <w:p w14:paraId="73157804" w14:textId="2D18B0E2" w:rsidR="009B0245" w:rsidRDefault="009B0245" w:rsidP="00836881">
            <w:r>
              <w:t>0.17</w:t>
            </w:r>
          </w:p>
        </w:tc>
      </w:tr>
      <w:tr w:rsidR="009B0245" w14:paraId="1BDE7DF4" w14:textId="77777777" w:rsidTr="00836881">
        <w:tc>
          <w:tcPr>
            <w:tcW w:w="3005" w:type="dxa"/>
          </w:tcPr>
          <w:p w14:paraId="2E518D9C" w14:textId="77777777" w:rsidR="009B0245" w:rsidRDefault="009B0245" w:rsidP="00836881">
            <w:r>
              <w:t>2020</w:t>
            </w:r>
          </w:p>
        </w:tc>
        <w:tc>
          <w:tcPr>
            <w:tcW w:w="3005" w:type="dxa"/>
          </w:tcPr>
          <w:p w14:paraId="09B25C10" w14:textId="04FBD1BD" w:rsidR="009B0245" w:rsidRDefault="009B0245" w:rsidP="00836881">
            <w:r w:rsidRPr="009B0245">
              <w:t>0.18</w:t>
            </w:r>
            <w:r w:rsidRPr="009B0245">
              <w:tab/>
            </w:r>
          </w:p>
        </w:tc>
        <w:tc>
          <w:tcPr>
            <w:tcW w:w="3006" w:type="dxa"/>
          </w:tcPr>
          <w:p w14:paraId="1A8282BE" w14:textId="76F41AAD" w:rsidR="009B0245" w:rsidRDefault="009B0245" w:rsidP="00836881">
            <w:r>
              <w:t>0.21</w:t>
            </w:r>
          </w:p>
        </w:tc>
      </w:tr>
      <w:tr w:rsidR="009B0245" w14:paraId="06CACFB3" w14:textId="77777777" w:rsidTr="00836881">
        <w:tc>
          <w:tcPr>
            <w:tcW w:w="3005" w:type="dxa"/>
          </w:tcPr>
          <w:p w14:paraId="4192C5B1" w14:textId="77777777" w:rsidR="009B0245" w:rsidRDefault="009B0245" w:rsidP="00836881">
            <w:r>
              <w:t>2021</w:t>
            </w:r>
          </w:p>
        </w:tc>
        <w:tc>
          <w:tcPr>
            <w:tcW w:w="3005" w:type="dxa"/>
          </w:tcPr>
          <w:p w14:paraId="36B6FF27" w14:textId="21B6FBC4" w:rsidR="009B0245" w:rsidRDefault="009B0245" w:rsidP="00836881">
            <w:r w:rsidRPr="009B0245">
              <w:t>0.18</w:t>
            </w:r>
            <w:r w:rsidRPr="009B0245">
              <w:tab/>
            </w:r>
          </w:p>
        </w:tc>
        <w:tc>
          <w:tcPr>
            <w:tcW w:w="3006" w:type="dxa"/>
          </w:tcPr>
          <w:p w14:paraId="25674B91" w14:textId="5550595F" w:rsidR="009B0245" w:rsidRDefault="009B0245" w:rsidP="00836881">
            <w:r>
              <w:t>0.21</w:t>
            </w:r>
          </w:p>
        </w:tc>
      </w:tr>
      <w:tr w:rsidR="009B0245" w14:paraId="077A31A6" w14:textId="77777777" w:rsidTr="00836881">
        <w:tc>
          <w:tcPr>
            <w:tcW w:w="3005" w:type="dxa"/>
          </w:tcPr>
          <w:p w14:paraId="2D8EA739" w14:textId="77777777" w:rsidR="009B0245" w:rsidRDefault="009B0245" w:rsidP="00836881">
            <w:r>
              <w:t>2022</w:t>
            </w:r>
          </w:p>
        </w:tc>
        <w:tc>
          <w:tcPr>
            <w:tcW w:w="3005" w:type="dxa"/>
          </w:tcPr>
          <w:p w14:paraId="54B1FB17" w14:textId="2A4E9133" w:rsidR="009B0245" w:rsidRDefault="009B0245" w:rsidP="00836881">
            <w:r w:rsidRPr="009B0245">
              <w:t>0.18</w:t>
            </w:r>
            <w:r w:rsidRPr="009B0245">
              <w:tab/>
            </w:r>
          </w:p>
        </w:tc>
        <w:tc>
          <w:tcPr>
            <w:tcW w:w="3006" w:type="dxa"/>
          </w:tcPr>
          <w:p w14:paraId="4AFA82D6" w14:textId="08572053" w:rsidR="009B0245" w:rsidRDefault="009B0245" w:rsidP="00836881">
            <w:r>
              <w:t>0.21</w:t>
            </w:r>
          </w:p>
        </w:tc>
      </w:tr>
      <w:tr w:rsidR="009B0245" w14:paraId="0079227F" w14:textId="77777777" w:rsidTr="00836881">
        <w:tc>
          <w:tcPr>
            <w:tcW w:w="3005" w:type="dxa"/>
          </w:tcPr>
          <w:p w14:paraId="75CF61FA" w14:textId="77777777" w:rsidR="009B0245" w:rsidRDefault="009B0245" w:rsidP="00836881">
            <w:r>
              <w:t>2023</w:t>
            </w:r>
          </w:p>
        </w:tc>
        <w:tc>
          <w:tcPr>
            <w:tcW w:w="3005" w:type="dxa"/>
          </w:tcPr>
          <w:p w14:paraId="2FEEA843" w14:textId="232514E4" w:rsidR="009B0245" w:rsidRDefault="009B0245" w:rsidP="00836881">
            <w:r w:rsidRPr="009B0245">
              <w:t>0.22</w:t>
            </w:r>
          </w:p>
        </w:tc>
        <w:tc>
          <w:tcPr>
            <w:tcW w:w="3006" w:type="dxa"/>
          </w:tcPr>
          <w:p w14:paraId="71B9D04E" w14:textId="364B9C41" w:rsidR="009B0245" w:rsidRDefault="009B0245" w:rsidP="009B0245">
            <w:pPr>
              <w:keepNext/>
            </w:pPr>
            <w:r>
              <w:t>0.21</w:t>
            </w:r>
          </w:p>
        </w:tc>
      </w:tr>
    </w:tbl>
    <w:p w14:paraId="6FCAC779" w14:textId="43FC625F" w:rsidR="009B0245" w:rsidRDefault="009B0245" w:rsidP="009B0245">
      <w:pPr>
        <w:pStyle w:val="Caption"/>
        <w:jc w:val="center"/>
      </w:pPr>
      <w:bookmarkStart w:id="30" w:name="_Toc164386818"/>
      <w:r>
        <w:t xml:space="preserve">Table </w:t>
      </w:r>
      <w:fldSimple w:instr=" SEQ Table \* ARABIC ">
        <w:r w:rsidR="00A75AAE">
          <w:rPr>
            <w:noProof/>
          </w:rPr>
          <w:t>8</w:t>
        </w:r>
      </w:fldSimple>
      <w:r>
        <w:t xml:space="preserve"> Asset Turnover Ratio Comparison</w:t>
      </w:r>
      <w:bookmarkEnd w:id="30"/>
    </w:p>
    <w:p w14:paraId="4059A235" w14:textId="77777777" w:rsidR="00514C56" w:rsidRDefault="00514C56" w:rsidP="00514C56">
      <w:pPr>
        <w:keepNext/>
      </w:pPr>
      <w:r>
        <w:rPr>
          <w:noProof/>
          <w:lang w:val="en-US"/>
        </w:rPr>
        <w:lastRenderedPageBreak/>
        <w:drawing>
          <wp:inline distT="0" distB="0" distL="0" distR="0" wp14:anchorId="635D2406" wp14:editId="600F0E79">
            <wp:extent cx="5486400" cy="1645920"/>
            <wp:effectExtent l="0" t="0" r="0" b="11430"/>
            <wp:docPr id="75852914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04CD807" w14:textId="7EB1EC0B" w:rsidR="009B0245" w:rsidRDefault="00514C56" w:rsidP="00514C56">
      <w:pPr>
        <w:pStyle w:val="Caption"/>
        <w:jc w:val="center"/>
      </w:pPr>
      <w:bookmarkStart w:id="31" w:name="_Toc164386833"/>
      <w:r>
        <w:t xml:space="preserve">Figure </w:t>
      </w:r>
      <w:fldSimple w:instr=" SEQ Figure \* ARABIC ">
        <w:r>
          <w:rPr>
            <w:noProof/>
          </w:rPr>
          <w:t>8</w:t>
        </w:r>
      </w:fldSimple>
      <w:r>
        <w:t xml:space="preserve"> Asset Turnover Ratio Comparison</w:t>
      </w:r>
      <w:bookmarkEnd w:id="31"/>
    </w:p>
    <w:p w14:paraId="02C2C9D5" w14:textId="74EDFDF4" w:rsidR="00514C56" w:rsidRDefault="0042427F" w:rsidP="00514C56">
      <w:r>
        <w:t xml:space="preserve">The above chart and graph show the asset turnover ratio comparison of Imperial Brands and the BAT. </w:t>
      </w:r>
      <w:r w:rsidR="00746F78">
        <w:t xml:space="preserve">The Asset turnover ratio of the company is low compared to the asset turnover ratio of BAT from the year 2019 to 2023. </w:t>
      </w:r>
      <w:r w:rsidR="006859B6">
        <w:t xml:space="preserve">The asset turnover ratio of the company in the year 2023 is higher than the competitor. On taking the average efficiency ratio, the Imperial brands show a higher value than BAT. It indicates that the company should focus on the Enhancement of Asset turnover ratio in the future. </w:t>
      </w:r>
    </w:p>
    <w:p w14:paraId="17CC481E" w14:textId="4063A762" w:rsidR="0071008F" w:rsidRDefault="0071008F" w:rsidP="0071008F">
      <w:pPr>
        <w:pStyle w:val="Heading2"/>
      </w:pPr>
      <w:bookmarkStart w:id="32" w:name="_Toc164387960"/>
      <w:r>
        <w:t>Conclusion</w:t>
      </w:r>
      <w:bookmarkEnd w:id="32"/>
    </w:p>
    <w:p w14:paraId="444E211A" w14:textId="62675421" w:rsidR="0071008F" w:rsidRPr="0071008F" w:rsidRDefault="0071008F" w:rsidP="0071008F">
      <w:r>
        <w:t>The financial Ratio analysis and the Comparison with the competitor gave a clear idea of the financial health and Performance of BAT company. The profitability Ratio of the company is improving and the company should maintain this in future years as well for better operation.</w:t>
      </w:r>
      <w:r w:rsidR="00B95C2D">
        <w:t xml:space="preserve"> On evaluating the Liquidity ratio, the company is showing a lower value and poor performance than the competitor. They should focus on the Improvement of this liquidity. The gearing ratio of the company is increasing and higher than the competitor. The company should adopt methods for declining debt. </w:t>
      </w:r>
      <w:r>
        <w:t xml:space="preserve"> </w:t>
      </w:r>
      <w:r w:rsidR="002F013D">
        <w:t xml:space="preserve">The asset turnover ratio performance of the company is not </w:t>
      </w:r>
      <w:r w:rsidR="004C3F7D">
        <w:t>satisfactory</w:t>
      </w:r>
      <w:r w:rsidR="002F013D">
        <w:t xml:space="preserve"> compared to the competitor. BAT should focus on enhancing its financial Performance in the future.</w:t>
      </w:r>
    </w:p>
    <w:p w14:paraId="2108CE40" w14:textId="7798577E" w:rsidR="00D65175" w:rsidRDefault="00D65175" w:rsidP="00D65175">
      <w:pPr>
        <w:pStyle w:val="Heading2"/>
      </w:pPr>
      <w:bookmarkStart w:id="33" w:name="_Toc162752547"/>
      <w:bookmarkStart w:id="34" w:name="_Toc164387961"/>
      <w:r>
        <w:t>Recommendation</w:t>
      </w:r>
      <w:r w:rsidR="00694CC0">
        <w:t>s</w:t>
      </w:r>
      <w:bookmarkEnd w:id="33"/>
      <w:bookmarkEnd w:id="34"/>
    </w:p>
    <w:p w14:paraId="5C57EB4E" w14:textId="64F78191" w:rsidR="00D65175" w:rsidRDefault="00D65175" w:rsidP="00D65175">
      <w:r>
        <w:t xml:space="preserve">The BAT company can adopt several measures for the enhancement of financial performance in different ways. The company can enhance different ratios and financial health with the adoption of certain strategies and such strategies are explained in the following section. </w:t>
      </w:r>
    </w:p>
    <w:p w14:paraId="624A850D" w14:textId="09638BE3" w:rsidR="00D3430E" w:rsidRDefault="00D3430E" w:rsidP="00D65175">
      <w:r>
        <w:t>One of the methods that can be adopted by the company in the enhancement of its financial performance is the boosting of its profitability and the company can choose the following methods in improving the profitability.</w:t>
      </w:r>
    </w:p>
    <w:p w14:paraId="7ECF4E0D" w14:textId="48297B19" w:rsidR="00D3430E" w:rsidRDefault="00D3430E" w:rsidP="008D0E29">
      <w:r w:rsidRPr="008D0E29">
        <w:rPr>
          <w:u w:val="single"/>
        </w:rPr>
        <w:lastRenderedPageBreak/>
        <w:t>Product Diversification</w:t>
      </w:r>
      <w:r>
        <w:t xml:space="preserve">: The product portfolio of the company can be improved in the future to earn more profit from the operation. </w:t>
      </w:r>
      <w:r w:rsidR="00DF7C95">
        <w:t>To</w:t>
      </w:r>
      <w:r w:rsidR="00DF7C95" w:rsidRPr="00DF7C95">
        <w:t xml:space="preserve"> diversify its product line beyond conventional tobacco, British American Tobacco (BAT) </w:t>
      </w:r>
      <w:r w:rsidR="00DF7C95">
        <w:t>can</w:t>
      </w:r>
      <w:r w:rsidR="00DF7C95" w:rsidRPr="00DF7C95">
        <w:t xml:space="preserve"> put this plan into practice. This involves launching novel tobacco and non-tobacco goods to satisfy </w:t>
      </w:r>
      <w:r w:rsidR="00DF7C95">
        <w:t>health-conscious consumers</w:t>
      </w:r>
      <w:r w:rsidR="00DF7C95" w:rsidRPr="00DF7C95">
        <w:t>. This plan attempts to draw in more customers and relieve worries over the use of traditional tobacco products</w:t>
      </w:r>
      <w:r w:rsidR="00A41B46">
        <w:t xml:space="preserve"> </w:t>
      </w:r>
      <w:r w:rsidR="00A41B46" w:rsidRPr="00A41B46">
        <w:t>(Benur and Bramwell, 2015)</w:t>
      </w:r>
      <w:r w:rsidR="00DF7C95" w:rsidRPr="00DF7C95">
        <w:t>. The product diversity of BAT also enables it to adjust to shifting customer inclinations and market conditions, guaranteeing its competitiveness and relevance in the dynamic business. This strategy prepares BAT for long-term development and profitability while also increasing the company's market relevance</w:t>
      </w:r>
      <w:r w:rsidR="0061605D">
        <w:t xml:space="preserve"> </w:t>
      </w:r>
      <w:r w:rsidR="0061605D" w:rsidRPr="0061605D">
        <w:t>(Bowen and Sleuwaegen, 2017)</w:t>
      </w:r>
      <w:r w:rsidR="00DF7C95" w:rsidRPr="00DF7C95">
        <w:t>.</w:t>
      </w:r>
    </w:p>
    <w:p w14:paraId="23EE4A71" w14:textId="61F9D1F6" w:rsidR="00694CC0" w:rsidRDefault="00694CC0" w:rsidP="008D0E29">
      <w:r w:rsidRPr="008D0E29">
        <w:rPr>
          <w:u w:val="single"/>
        </w:rPr>
        <w:t>Cost Optimisation</w:t>
      </w:r>
      <w:r w:rsidRPr="00694CC0">
        <w:t>:</w:t>
      </w:r>
      <w:r>
        <w:t xml:space="preserve"> To</w:t>
      </w:r>
      <w:r w:rsidRPr="00694CC0">
        <w:t xml:space="preserve"> increase operational effectiveness and profitability, British American Tobacco (BAT) </w:t>
      </w:r>
      <w:r>
        <w:t>can</w:t>
      </w:r>
      <w:r w:rsidRPr="00694CC0">
        <w:t xml:space="preserve"> </w:t>
      </w:r>
      <w:r>
        <w:t>put</w:t>
      </w:r>
      <w:r w:rsidRPr="00694CC0">
        <w:t xml:space="preserve"> cost optimisation ideas into practice. The firm focuses on supply chain management, which may be made more efficient by lowering logistical costs and inventory levels via the use of technology and data analytics. </w:t>
      </w:r>
      <w:r>
        <w:t>To</w:t>
      </w:r>
      <w:r w:rsidRPr="00694CC0">
        <w:t xml:space="preserve"> bargain for better terms from vendors and suppliers, BAT can also undertake procurement cost reduction programmes, which will cut the cost of components and raw materials</w:t>
      </w:r>
      <w:r w:rsidR="00457849">
        <w:t xml:space="preserve"> </w:t>
      </w:r>
      <w:r w:rsidR="00457849" w:rsidRPr="00457849">
        <w:t>(Frangopol, Dong and Sabatino, 2017)</w:t>
      </w:r>
      <w:r w:rsidRPr="00694CC0">
        <w:t>.</w:t>
      </w:r>
    </w:p>
    <w:p w14:paraId="440B2C6F" w14:textId="6CDE20C0" w:rsidR="000F1051" w:rsidRDefault="000F1051" w:rsidP="008D0E29">
      <w:r w:rsidRPr="008D0E29">
        <w:rPr>
          <w:u w:val="single"/>
        </w:rPr>
        <w:t>Sustainability Initiatives</w:t>
      </w:r>
      <w:r w:rsidRPr="000F1051">
        <w:t>:</w:t>
      </w:r>
      <w:r>
        <w:t xml:space="preserve"> To</w:t>
      </w:r>
      <w:r w:rsidRPr="000F1051">
        <w:t xml:space="preserve"> lessen its impact on the environment, encourage social responsibility, and improve the reputation of its brand, British American Tobacco (BAT) </w:t>
      </w:r>
      <w:r>
        <w:t>can</w:t>
      </w:r>
      <w:r w:rsidRPr="000F1051">
        <w:t xml:space="preserve"> </w:t>
      </w:r>
      <w:r>
        <w:t>give</w:t>
      </w:r>
      <w:r w:rsidRPr="000F1051">
        <w:t xml:space="preserve"> priority to initiatives that promote sustainability. In addition to helping local people and encouraging biodiversity protection, the firm is developing sustainable purchasing techniques for raw materials. Deforestation and environmental damage are lessened as a result. By making investments in renewable energy sources and modernising its manufacturing facilities, BAT </w:t>
      </w:r>
      <w:r>
        <w:t>can</w:t>
      </w:r>
      <w:r w:rsidRPr="000F1051">
        <w:t xml:space="preserve"> also </w:t>
      </w:r>
      <w:r>
        <w:t>lower</w:t>
      </w:r>
      <w:r w:rsidRPr="000F1051">
        <w:t xml:space="preserve"> its carbon impact. This contributes to the fight against climate change and shows its dedication to environmental care. </w:t>
      </w:r>
      <w:r>
        <w:t>To</w:t>
      </w:r>
      <w:r w:rsidRPr="000F1051">
        <w:t xml:space="preserve"> solve social issues and raise the standard of living in the area, BAT </w:t>
      </w:r>
      <w:r>
        <w:t xml:space="preserve">can </w:t>
      </w:r>
      <w:r w:rsidRPr="000F1051">
        <w:t>also fund community development initiatives</w:t>
      </w:r>
      <w:r w:rsidR="00F9458E">
        <w:t xml:space="preserve"> </w:t>
      </w:r>
      <w:r w:rsidR="00F9458E" w:rsidRPr="00F9458E">
        <w:t>(Corbo, Lamastra and Capri, 2014)</w:t>
      </w:r>
      <w:r w:rsidRPr="000F1051">
        <w:t>. To empower communities and improve quality of life, this entails making investments in infrastructure, healthcare, and education.</w:t>
      </w:r>
    </w:p>
    <w:p w14:paraId="0820A6CD" w14:textId="12F878A5" w:rsidR="00BE3E08" w:rsidRDefault="000F1051" w:rsidP="00BE3E08">
      <w:r>
        <w:t xml:space="preserve">Another area in which the company should give more importance in the future is the better management of its long-term financial obligations. </w:t>
      </w:r>
      <w:r w:rsidR="00BE3E08">
        <w:t xml:space="preserve">This can be managed with debt repayment and it can help the company in reducing its gearing ratio. The company can allocate one portion of the profit for managing its debt repayment and this can contribute to the minimisation of debt repayment. Equity financing is another strategy that can be adopted by the company </w:t>
      </w:r>
      <w:r w:rsidR="000C2683">
        <w:t xml:space="preserve">to </w:t>
      </w:r>
      <w:r w:rsidR="000C2683">
        <w:lastRenderedPageBreak/>
        <w:t>generate</w:t>
      </w:r>
      <w:r w:rsidR="00BE3E08">
        <w:t xml:space="preserve"> </w:t>
      </w:r>
      <w:r w:rsidR="000C2683">
        <w:t>more</w:t>
      </w:r>
      <w:r w:rsidR="00BE3E08">
        <w:t xml:space="preserve"> income and management of its debts. </w:t>
      </w:r>
      <w:r w:rsidR="000C2683">
        <w:t>The company can conduct stock offerings and equity investments. The company can issue more shares or they can attract more investors.  This can lead to the strengthening of the equity base of the company. The reliance of the BAT on debt financing can be minimised with the use of this method and these can manage the gearing ratio in a better manner</w:t>
      </w:r>
      <w:r w:rsidR="006E3F4E">
        <w:t xml:space="preserve"> </w:t>
      </w:r>
      <w:r w:rsidR="006E3F4E" w:rsidRPr="006E3F4E">
        <w:t>(Ita, 2017)</w:t>
      </w:r>
      <w:r w:rsidR="000C2683">
        <w:t xml:space="preserve">. </w:t>
      </w:r>
    </w:p>
    <w:p w14:paraId="27A08CB7" w14:textId="0D3065B9" w:rsidR="00A432D8" w:rsidRPr="00E011FA" w:rsidRDefault="00A432D8" w:rsidP="00E011FA">
      <w:pPr>
        <w:pStyle w:val="Heading1"/>
      </w:pPr>
      <w:bookmarkStart w:id="35" w:name="_Toc162752548"/>
      <w:bookmarkStart w:id="36" w:name="_Toc164387962"/>
      <w:r>
        <w:t>PART C- INVESTMENT APPRAISAL</w:t>
      </w:r>
      <w:bookmarkEnd w:id="35"/>
      <w:bookmarkEnd w:id="36"/>
    </w:p>
    <w:p w14:paraId="55430F23" w14:textId="77777777" w:rsidR="00A432D8" w:rsidRPr="00A432D8" w:rsidRDefault="00A432D8" w:rsidP="00A432D8">
      <w:pPr>
        <w:spacing w:line="276" w:lineRule="auto"/>
        <w:rPr>
          <w:rFonts w:cs="Times New Roman"/>
          <w:b/>
          <w:u w:val="double"/>
        </w:rPr>
      </w:pPr>
      <w:r w:rsidRPr="00A432D8">
        <w:rPr>
          <w:rFonts w:cs="Times New Roman"/>
          <w:b/>
          <w:u w:val="double"/>
        </w:rPr>
        <w:t>Project A</w:t>
      </w:r>
    </w:p>
    <w:p w14:paraId="08A89692" w14:textId="77777777" w:rsidR="00A432D8" w:rsidRPr="00A432D8" w:rsidRDefault="00A432D8" w:rsidP="00A432D8">
      <w:pPr>
        <w:spacing w:line="276" w:lineRule="auto"/>
        <w:rPr>
          <w:rFonts w:cs="Times New Roman"/>
          <w:u w:val="single"/>
        </w:rPr>
      </w:pPr>
      <w:r w:rsidRPr="00A432D8">
        <w:rPr>
          <w:rFonts w:cs="Times New Roman"/>
          <w:u w:val="single"/>
        </w:rPr>
        <w:t>Payback Period</w:t>
      </w:r>
    </w:p>
    <w:tbl>
      <w:tblPr>
        <w:tblW w:w="4022" w:type="dxa"/>
        <w:tblLook w:val="04A0" w:firstRow="1" w:lastRow="0" w:firstColumn="1" w:lastColumn="0" w:noHBand="0" w:noVBand="1"/>
      </w:tblPr>
      <w:tblGrid>
        <w:gridCol w:w="714"/>
        <w:gridCol w:w="1430"/>
        <w:gridCol w:w="1878"/>
      </w:tblGrid>
      <w:tr w:rsidR="00A432D8" w:rsidRPr="00A432D8" w14:paraId="59300ADE" w14:textId="77777777" w:rsidTr="00836881">
        <w:trPr>
          <w:trHeight w:val="258"/>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A5253F"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Year</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4892C34B"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Projected Cashflow</w:t>
            </w:r>
          </w:p>
        </w:tc>
        <w:tc>
          <w:tcPr>
            <w:tcW w:w="1878" w:type="dxa"/>
            <w:tcBorders>
              <w:top w:val="single" w:sz="4" w:space="0" w:color="auto"/>
              <w:left w:val="nil"/>
              <w:bottom w:val="single" w:sz="4" w:space="0" w:color="auto"/>
              <w:right w:val="single" w:sz="4" w:space="0" w:color="auto"/>
            </w:tcBorders>
            <w:shd w:val="clear" w:color="auto" w:fill="auto"/>
            <w:noWrap/>
            <w:vAlign w:val="bottom"/>
            <w:hideMark/>
          </w:tcPr>
          <w:p w14:paraId="415AF32E"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Cumulative Cashflow</w:t>
            </w:r>
          </w:p>
        </w:tc>
      </w:tr>
      <w:tr w:rsidR="00A432D8" w:rsidRPr="00A432D8" w14:paraId="49804D02" w14:textId="77777777" w:rsidTr="00836881">
        <w:trPr>
          <w:trHeight w:val="25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31DDAB7"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0</w:t>
            </w:r>
          </w:p>
        </w:tc>
        <w:tc>
          <w:tcPr>
            <w:tcW w:w="1430" w:type="dxa"/>
            <w:tcBorders>
              <w:top w:val="nil"/>
              <w:left w:val="nil"/>
              <w:bottom w:val="single" w:sz="4" w:space="0" w:color="auto"/>
              <w:right w:val="single" w:sz="4" w:space="0" w:color="auto"/>
            </w:tcBorders>
            <w:shd w:val="clear" w:color="auto" w:fill="auto"/>
            <w:vAlign w:val="center"/>
            <w:hideMark/>
          </w:tcPr>
          <w:p w14:paraId="4B5C5FD1"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-5,000</w:t>
            </w:r>
          </w:p>
        </w:tc>
        <w:tc>
          <w:tcPr>
            <w:tcW w:w="1878" w:type="dxa"/>
            <w:tcBorders>
              <w:top w:val="nil"/>
              <w:left w:val="nil"/>
              <w:bottom w:val="single" w:sz="4" w:space="0" w:color="auto"/>
              <w:right w:val="single" w:sz="4" w:space="0" w:color="auto"/>
            </w:tcBorders>
            <w:shd w:val="clear" w:color="auto" w:fill="auto"/>
            <w:noWrap/>
            <w:vAlign w:val="bottom"/>
            <w:hideMark/>
          </w:tcPr>
          <w:p w14:paraId="31D4BDC0"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-5,000</w:t>
            </w:r>
          </w:p>
        </w:tc>
      </w:tr>
      <w:tr w:rsidR="00A432D8" w:rsidRPr="00A432D8" w14:paraId="4CB5F5BF" w14:textId="77777777" w:rsidTr="00836881">
        <w:trPr>
          <w:trHeight w:val="25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A1732E5"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w:t>
            </w:r>
          </w:p>
        </w:tc>
        <w:tc>
          <w:tcPr>
            <w:tcW w:w="1430" w:type="dxa"/>
            <w:tcBorders>
              <w:top w:val="nil"/>
              <w:left w:val="nil"/>
              <w:bottom w:val="single" w:sz="4" w:space="0" w:color="auto"/>
              <w:right w:val="single" w:sz="4" w:space="0" w:color="auto"/>
            </w:tcBorders>
            <w:shd w:val="clear" w:color="auto" w:fill="auto"/>
            <w:vAlign w:val="center"/>
            <w:hideMark/>
          </w:tcPr>
          <w:p w14:paraId="47086DFB"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2,500</w:t>
            </w:r>
          </w:p>
        </w:tc>
        <w:tc>
          <w:tcPr>
            <w:tcW w:w="1878" w:type="dxa"/>
            <w:tcBorders>
              <w:top w:val="nil"/>
              <w:left w:val="nil"/>
              <w:bottom w:val="single" w:sz="4" w:space="0" w:color="auto"/>
              <w:right w:val="single" w:sz="4" w:space="0" w:color="auto"/>
            </w:tcBorders>
            <w:shd w:val="clear" w:color="auto" w:fill="auto"/>
            <w:noWrap/>
            <w:vAlign w:val="bottom"/>
            <w:hideMark/>
          </w:tcPr>
          <w:p w14:paraId="29701A84"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-2,500</w:t>
            </w:r>
          </w:p>
        </w:tc>
      </w:tr>
      <w:tr w:rsidR="00A432D8" w:rsidRPr="00A432D8" w14:paraId="07DFC98A" w14:textId="77777777" w:rsidTr="00836881">
        <w:trPr>
          <w:trHeight w:val="25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A17846"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2</w:t>
            </w:r>
          </w:p>
        </w:tc>
        <w:tc>
          <w:tcPr>
            <w:tcW w:w="1430" w:type="dxa"/>
            <w:tcBorders>
              <w:top w:val="nil"/>
              <w:left w:val="nil"/>
              <w:bottom w:val="single" w:sz="4" w:space="0" w:color="auto"/>
              <w:right w:val="single" w:sz="4" w:space="0" w:color="auto"/>
            </w:tcBorders>
            <w:shd w:val="clear" w:color="auto" w:fill="auto"/>
            <w:vAlign w:val="center"/>
            <w:hideMark/>
          </w:tcPr>
          <w:p w14:paraId="7C90181A"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2,000</w:t>
            </w:r>
          </w:p>
        </w:tc>
        <w:tc>
          <w:tcPr>
            <w:tcW w:w="1878" w:type="dxa"/>
            <w:tcBorders>
              <w:top w:val="nil"/>
              <w:left w:val="nil"/>
              <w:bottom w:val="single" w:sz="4" w:space="0" w:color="auto"/>
              <w:right w:val="single" w:sz="4" w:space="0" w:color="auto"/>
            </w:tcBorders>
            <w:shd w:val="clear" w:color="auto" w:fill="auto"/>
            <w:noWrap/>
            <w:vAlign w:val="bottom"/>
            <w:hideMark/>
          </w:tcPr>
          <w:p w14:paraId="3EF99542"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-500</w:t>
            </w:r>
          </w:p>
        </w:tc>
      </w:tr>
      <w:tr w:rsidR="00A432D8" w:rsidRPr="00A432D8" w14:paraId="20F06189" w14:textId="77777777" w:rsidTr="00836881">
        <w:trPr>
          <w:trHeight w:val="25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F436E54"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3</w:t>
            </w:r>
          </w:p>
        </w:tc>
        <w:tc>
          <w:tcPr>
            <w:tcW w:w="1430" w:type="dxa"/>
            <w:tcBorders>
              <w:top w:val="nil"/>
              <w:left w:val="nil"/>
              <w:bottom w:val="single" w:sz="4" w:space="0" w:color="auto"/>
              <w:right w:val="single" w:sz="4" w:space="0" w:color="auto"/>
            </w:tcBorders>
            <w:shd w:val="clear" w:color="auto" w:fill="auto"/>
            <w:vAlign w:val="center"/>
            <w:hideMark/>
          </w:tcPr>
          <w:p w14:paraId="48EC5306"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1,000</w:t>
            </w:r>
          </w:p>
        </w:tc>
        <w:tc>
          <w:tcPr>
            <w:tcW w:w="1878" w:type="dxa"/>
            <w:tcBorders>
              <w:top w:val="nil"/>
              <w:left w:val="nil"/>
              <w:bottom w:val="single" w:sz="4" w:space="0" w:color="auto"/>
              <w:right w:val="single" w:sz="4" w:space="0" w:color="auto"/>
            </w:tcBorders>
            <w:shd w:val="clear" w:color="auto" w:fill="auto"/>
            <w:noWrap/>
            <w:vAlign w:val="bottom"/>
            <w:hideMark/>
          </w:tcPr>
          <w:p w14:paraId="2D39E419"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500</w:t>
            </w:r>
          </w:p>
        </w:tc>
      </w:tr>
      <w:tr w:rsidR="00A432D8" w:rsidRPr="00A432D8" w14:paraId="04704F49" w14:textId="77777777" w:rsidTr="00836881">
        <w:trPr>
          <w:trHeight w:val="25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DA7F10"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4</w:t>
            </w:r>
          </w:p>
        </w:tc>
        <w:tc>
          <w:tcPr>
            <w:tcW w:w="1430" w:type="dxa"/>
            <w:tcBorders>
              <w:top w:val="nil"/>
              <w:left w:val="nil"/>
              <w:bottom w:val="single" w:sz="4" w:space="0" w:color="auto"/>
              <w:right w:val="single" w:sz="4" w:space="0" w:color="auto"/>
            </w:tcBorders>
            <w:shd w:val="clear" w:color="auto" w:fill="auto"/>
            <w:vAlign w:val="center"/>
            <w:hideMark/>
          </w:tcPr>
          <w:p w14:paraId="19496ECB"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-442</w:t>
            </w:r>
          </w:p>
        </w:tc>
        <w:tc>
          <w:tcPr>
            <w:tcW w:w="1878" w:type="dxa"/>
            <w:tcBorders>
              <w:top w:val="nil"/>
              <w:left w:val="nil"/>
              <w:bottom w:val="single" w:sz="4" w:space="0" w:color="auto"/>
              <w:right w:val="single" w:sz="4" w:space="0" w:color="auto"/>
            </w:tcBorders>
            <w:shd w:val="clear" w:color="auto" w:fill="auto"/>
            <w:noWrap/>
            <w:vAlign w:val="bottom"/>
            <w:hideMark/>
          </w:tcPr>
          <w:p w14:paraId="312C1D64" w14:textId="77777777" w:rsidR="00A432D8" w:rsidRPr="00A432D8" w:rsidRDefault="00A432D8" w:rsidP="00A75AAE">
            <w:pPr>
              <w:keepNext/>
              <w:spacing w:after="0" w:line="276" w:lineRule="auto"/>
              <w:jc w:val="center"/>
              <w:rPr>
                <w:rFonts w:eastAsia="Times New Roman" w:cs="Times New Roman"/>
                <w:color w:val="000000"/>
                <w:szCs w:val="24"/>
              </w:rPr>
            </w:pPr>
            <w:r w:rsidRPr="00A432D8">
              <w:rPr>
                <w:rFonts w:eastAsia="Times New Roman" w:cs="Times New Roman"/>
                <w:color w:val="000000"/>
                <w:szCs w:val="24"/>
              </w:rPr>
              <w:t>58</w:t>
            </w:r>
          </w:p>
        </w:tc>
      </w:tr>
    </w:tbl>
    <w:p w14:paraId="2B49C70F" w14:textId="5D9BB466" w:rsidR="00A75AAE" w:rsidRDefault="00A75AAE">
      <w:pPr>
        <w:pStyle w:val="Caption"/>
      </w:pPr>
      <w:bookmarkStart w:id="37" w:name="_Toc164386819"/>
      <w:r>
        <w:t xml:space="preserve">Table </w:t>
      </w:r>
      <w:fldSimple w:instr=" SEQ Table \* ARABIC ">
        <w:r>
          <w:rPr>
            <w:noProof/>
          </w:rPr>
          <w:t>9</w:t>
        </w:r>
      </w:fldSimple>
      <w:r>
        <w:t xml:space="preserve"> Payback Period of Project A</w:t>
      </w:r>
      <w:bookmarkEnd w:id="37"/>
    </w:p>
    <w:p w14:paraId="4E1753D0" w14:textId="77777777" w:rsidR="00A432D8" w:rsidRPr="00A432D8" w:rsidRDefault="00A432D8" w:rsidP="00A432D8">
      <w:pPr>
        <w:spacing w:line="276" w:lineRule="auto"/>
        <w:rPr>
          <w:rFonts w:cs="Times New Roman"/>
        </w:rPr>
      </w:pPr>
      <w:r w:rsidRPr="00A432D8">
        <w:rPr>
          <w:rFonts w:cs="Times New Roman"/>
        </w:rPr>
        <w:t>The payback period is between the years 2 and 3.</w:t>
      </w:r>
    </w:p>
    <w:p w14:paraId="6FF74473" w14:textId="77777777" w:rsidR="00A432D8" w:rsidRPr="00A432D8" w:rsidRDefault="00A432D8" w:rsidP="00A432D8">
      <w:pPr>
        <w:spacing w:line="276" w:lineRule="auto"/>
        <w:rPr>
          <w:rFonts w:cs="Times New Roman"/>
        </w:rPr>
      </w:pPr>
      <w:r w:rsidRPr="00A432D8">
        <w:rPr>
          <w:rFonts w:cs="Times New Roman"/>
        </w:rPr>
        <w:t>Payback period= 2 years +500/1000</w:t>
      </w:r>
    </w:p>
    <w:p w14:paraId="7C09F393" w14:textId="77777777" w:rsidR="00A432D8" w:rsidRPr="00A432D8" w:rsidRDefault="00A432D8" w:rsidP="00A432D8">
      <w:pPr>
        <w:spacing w:line="276" w:lineRule="auto"/>
        <w:rPr>
          <w:rFonts w:cs="Times New Roman"/>
          <w:b/>
        </w:rPr>
      </w:pPr>
      <w:r w:rsidRPr="00A432D8">
        <w:rPr>
          <w:rFonts w:cs="Times New Roman"/>
          <w:b/>
        </w:rPr>
        <w:t xml:space="preserve">Payback period =  2.5 years </w:t>
      </w:r>
    </w:p>
    <w:p w14:paraId="24D23BBA" w14:textId="77777777" w:rsidR="00A432D8" w:rsidRPr="00A432D8" w:rsidRDefault="00A432D8" w:rsidP="00A432D8">
      <w:pPr>
        <w:spacing w:line="276" w:lineRule="auto"/>
        <w:ind w:left="720" w:firstLine="720"/>
        <w:rPr>
          <w:rFonts w:cs="Times New Roman"/>
          <w:b/>
        </w:rPr>
      </w:pPr>
      <w:r w:rsidRPr="00A432D8">
        <w:rPr>
          <w:rFonts w:cs="Times New Roman"/>
          <w:b/>
        </w:rPr>
        <w:t>= 2 years 6 months</w:t>
      </w:r>
    </w:p>
    <w:p w14:paraId="304A02A6" w14:textId="77777777" w:rsidR="00A432D8" w:rsidRPr="00A432D8" w:rsidRDefault="00A432D8" w:rsidP="00A432D8">
      <w:pPr>
        <w:spacing w:line="276" w:lineRule="auto"/>
        <w:rPr>
          <w:rFonts w:cs="Times New Roman"/>
          <w:u w:val="single"/>
        </w:rPr>
      </w:pPr>
      <w:r w:rsidRPr="00A432D8">
        <w:rPr>
          <w:rFonts w:cs="Times New Roman"/>
          <w:u w:val="single"/>
        </w:rPr>
        <w:t>Accounting Rate of Return</w:t>
      </w:r>
    </w:p>
    <w:p w14:paraId="22545700" w14:textId="77777777" w:rsidR="00A432D8" w:rsidRPr="00A432D8" w:rsidRDefault="00A432D8" w:rsidP="00A432D8">
      <w:pPr>
        <w:spacing w:line="276" w:lineRule="auto"/>
        <w:rPr>
          <w:rFonts w:cs="Times New Roman"/>
        </w:rPr>
      </w:pPr>
      <w:r w:rsidRPr="00A432D8">
        <w:rPr>
          <w:rFonts w:cs="Times New Roman"/>
        </w:rPr>
        <w:t>Average Rate of return= Average Profit/ Average Investment</w:t>
      </w:r>
    </w:p>
    <w:p w14:paraId="189A536C" w14:textId="50CCDCF1" w:rsidR="00A432D8" w:rsidRPr="00A432D8" w:rsidRDefault="00A432D8" w:rsidP="00A432D8">
      <w:pPr>
        <w:spacing w:line="276" w:lineRule="auto"/>
        <w:rPr>
          <w:rFonts w:cs="Times New Roman"/>
        </w:rPr>
      </w:pPr>
      <w:r w:rsidRPr="00A432D8">
        <w:rPr>
          <w:rFonts w:cs="Times New Roman"/>
        </w:rPr>
        <w:t xml:space="preserve">Average </w:t>
      </w:r>
      <w:r w:rsidR="004C3F7D">
        <w:rPr>
          <w:rFonts w:cs="Times New Roman"/>
        </w:rPr>
        <w:t>Profit</w:t>
      </w:r>
      <w:r w:rsidRPr="00A432D8">
        <w:rPr>
          <w:rFonts w:cs="Times New Roman"/>
        </w:rPr>
        <w:t xml:space="preserve"> Profit/ No of Years (Prastuti and Setianingrum, 2018).</w:t>
      </w:r>
    </w:p>
    <w:p w14:paraId="737F2774" w14:textId="77777777" w:rsidR="00A432D8" w:rsidRPr="00A432D8" w:rsidRDefault="00A432D8" w:rsidP="00A432D8">
      <w:pPr>
        <w:spacing w:line="276" w:lineRule="auto"/>
        <w:rPr>
          <w:rFonts w:cs="Times New Roman"/>
        </w:rPr>
      </w:pPr>
      <w:r w:rsidRPr="00A432D8">
        <w:rPr>
          <w:rFonts w:cs="Times New Roman"/>
        </w:rPr>
        <w:t>Average Investment= (Initial investment + Scrap value) / 2 + Additional working capital</w:t>
      </w:r>
    </w:p>
    <w:p w14:paraId="70198972" w14:textId="77777777" w:rsidR="00A432D8" w:rsidRPr="00A432D8" w:rsidRDefault="00A432D8" w:rsidP="00A432D8">
      <w:pPr>
        <w:spacing w:line="276" w:lineRule="auto"/>
        <w:rPr>
          <w:rFonts w:cs="Times New Roman"/>
        </w:rPr>
      </w:pPr>
      <w:r w:rsidRPr="00A432D8">
        <w:rPr>
          <w:rFonts w:cs="Times New Roman"/>
        </w:rPr>
        <w:t>Average Profit = 5058/4= 1264.5</w:t>
      </w:r>
    </w:p>
    <w:p w14:paraId="1EBAC171" w14:textId="77777777" w:rsidR="00A432D8" w:rsidRPr="00A432D8" w:rsidRDefault="00A432D8" w:rsidP="00A432D8">
      <w:pPr>
        <w:spacing w:line="276" w:lineRule="auto"/>
        <w:rPr>
          <w:rFonts w:cs="Times New Roman"/>
        </w:rPr>
      </w:pPr>
      <w:r w:rsidRPr="00A432D8">
        <w:rPr>
          <w:rFonts w:cs="Times New Roman"/>
        </w:rPr>
        <w:t>Average Investment= 5000/2= 2500</w:t>
      </w:r>
    </w:p>
    <w:p w14:paraId="7D9BDC98" w14:textId="77777777" w:rsidR="00A432D8" w:rsidRPr="00A432D8" w:rsidRDefault="00A432D8" w:rsidP="00A432D8">
      <w:pPr>
        <w:spacing w:line="276" w:lineRule="auto"/>
        <w:rPr>
          <w:rFonts w:cs="Times New Roman"/>
          <w:b/>
        </w:rPr>
      </w:pPr>
      <w:r w:rsidRPr="00A432D8">
        <w:rPr>
          <w:rFonts w:cs="Times New Roman"/>
          <w:b/>
        </w:rPr>
        <w:t>ARR= 1264.5/2500= 0.5058</w:t>
      </w:r>
    </w:p>
    <w:p w14:paraId="5F6ABD89" w14:textId="77777777" w:rsidR="00A432D8" w:rsidRPr="00A432D8" w:rsidRDefault="00A432D8" w:rsidP="00A432D8">
      <w:pPr>
        <w:spacing w:line="276" w:lineRule="auto"/>
        <w:rPr>
          <w:rFonts w:cs="Times New Roman"/>
          <w:u w:val="single"/>
        </w:rPr>
      </w:pPr>
      <w:r w:rsidRPr="00A432D8">
        <w:rPr>
          <w:rFonts w:cs="Times New Roman"/>
          <w:u w:val="single"/>
        </w:rPr>
        <w:t>Net Present Value</w:t>
      </w:r>
    </w:p>
    <w:tbl>
      <w:tblPr>
        <w:tblW w:w="7480" w:type="dxa"/>
        <w:tblLook w:val="04A0" w:firstRow="1" w:lastRow="0" w:firstColumn="1" w:lastColumn="0" w:noHBand="0" w:noVBand="1"/>
      </w:tblPr>
      <w:tblGrid>
        <w:gridCol w:w="960"/>
        <w:gridCol w:w="1920"/>
        <w:gridCol w:w="2520"/>
        <w:gridCol w:w="2080"/>
      </w:tblGrid>
      <w:tr w:rsidR="00A432D8" w:rsidRPr="00A432D8" w14:paraId="6EE02874" w14:textId="77777777" w:rsidTr="00836881">
        <w:trPr>
          <w:trHeight w:val="74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F61699"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Year</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14:paraId="27CDBFA7"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Projected Cashflow</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1B3E3BDE"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 xml:space="preserve">Discount Factor </w:t>
            </w:r>
          </w:p>
          <w:p w14:paraId="3D8B7117"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 xml:space="preserve">( 0.75%)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297E5719"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Present Value</w:t>
            </w:r>
          </w:p>
        </w:tc>
      </w:tr>
      <w:tr w:rsidR="00A432D8" w:rsidRPr="00A432D8" w14:paraId="1DA3AA02"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87CEA32"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w:t>
            </w:r>
          </w:p>
        </w:tc>
        <w:tc>
          <w:tcPr>
            <w:tcW w:w="1920" w:type="dxa"/>
            <w:tcBorders>
              <w:top w:val="nil"/>
              <w:left w:val="nil"/>
              <w:bottom w:val="single" w:sz="4" w:space="0" w:color="auto"/>
              <w:right w:val="single" w:sz="4" w:space="0" w:color="auto"/>
            </w:tcBorders>
            <w:shd w:val="clear" w:color="auto" w:fill="auto"/>
            <w:vAlign w:val="center"/>
            <w:hideMark/>
          </w:tcPr>
          <w:p w14:paraId="5B3143F9"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-5,000</w:t>
            </w:r>
          </w:p>
        </w:tc>
        <w:tc>
          <w:tcPr>
            <w:tcW w:w="2520" w:type="dxa"/>
            <w:tcBorders>
              <w:top w:val="nil"/>
              <w:left w:val="nil"/>
              <w:bottom w:val="single" w:sz="4" w:space="0" w:color="auto"/>
              <w:right w:val="single" w:sz="4" w:space="0" w:color="auto"/>
            </w:tcBorders>
            <w:shd w:val="clear" w:color="auto" w:fill="auto"/>
            <w:vAlign w:val="center"/>
            <w:hideMark/>
          </w:tcPr>
          <w:p w14:paraId="0C09900F"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w:t>
            </w:r>
          </w:p>
        </w:tc>
        <w:tc>
          <w:tcPr>
            <w:tcW w:w="2080" w:type="dxa"/>
            <w:tcBorders>
              <w:top w:val="nil"/>
              <w:left w:val="nil"/>
              <w:bottom w:val="single" w:sz="4" w:space="0" w:color="auto"/>
              <w:right w:val="single" w:sz="4" w:space="0" w:color="auto"/>
            </w:tcBorders>
            <w:shd w:val="clear" w:color="auto" w:fill="auto"/>
            <w:vAlign w:val="center"/>
            <w:hideMark/>
          </w:tcPr>
          <w:p w14:paraId="65E858CD"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-5000.00</w:t>
            </w:r>
          </w:p>
        </w:tc>
      </w:tr>
      <w:tr w:rsidR="00A432D8" w:rsidRPr="00A432D8" w14:paraId="5AAE4E7E"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ABDDA08"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w:t>
            </w:r>
          </w:p>
        </w:tc>
        <w:tc>
          <w:tcPr>
            <w:tcW w:w="1920" w:type="dxa"/>
            <w:tcBorders>
              <w:top w:val="nil"/>
              <w:left w:val="nil"/>
              <w:bottom w:val="single" w:sz="4" w:space="0" w:color="auto"/>
              <w:right w:val="single" w:sz="4" w:space="0" w:color="auto"/>
            </w:tcBorders>
            <w:shd w:val="clear" w:color="auto" w:fill="auto"/>
            <w:vAlign w:val="center"/>
            <w:hideMark/>
          </w:tcPr>
          <w:p w14:paraId="50622D70"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2,500</w:t>
            </w:r>
          </w:p>
        </w:tc>
        <w:tc>
          <w:tcPr>
            <w:tcW w:w="2520" w:type="dxa"/>
            <w:tcBorders>
              <w:top w:val="nil"/>
              <w:left w:val="nil"/>
              <w:bottom w:val="single" w:sz="4" w:space="0" w:color="auto"/>
              <w:right w:val="single" w:sz="4" w:space="0" w:color="auto"/>
            </w:tcBorders>
            <w:shd w:val="clear" w:color="auto" w:fill="auto"/>
            <w:vAlign w:val="center"/>
            <w:hideMark/>
          </w:tcPr>
          <w:p w14:paraId="6175F4EE"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0.993</w:t>
            </w:r>
          </w:p>
        </w:tc>
        <w:tc>
          <w:tcPr>
            <w:tcW w:w="2080" w:type="dxa"/>
            <w:tcBorders>
              <w:top w:val="nil"/>
              <w:left w:val="nil"/>
              <w:bottom w:val="single" w:sz="4" w:space="0" w:color="auto"/>
              <w:right w:val="single" w:sz="4" w:space="0" w:color="auto"/>
            </w:tcBorders>
            <w:shd w:val="clear" w:color="auto" w:fill="auto"/>
            <w:vAlign w:val="center"/>
            <w:hideMark/>
          </w:tcPr>
          <w:p w14:paraId="05424719"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2481.39</w:t>
            </w:r>
          </w:p>
        </w:tc>
      </w:tr>
      <w:tr w:rsidR="00A432D8" w:rsidRPr="00A432D8" w14:paraId="449F7123"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C060B64"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lastRenderedPageBreak/>
              <w:t>2</w:t>
            </w:r>
          </w:p>
        </w:tc>
        <w:tc>
          <w:tcPr>
            <w:tcW w:w="1920" w:type="dxa"/>
            <w:tcBorders>
              <w:top w:val="nil"/>
              <w:left w:val="nil"/>
              <w:bottom w:val="single" w:sz="4" w:space="0" w:color="auto"/>
              <w:right w:val="single" w:sz="4" w:space="0" w:color="auto"/>
            </w:tcBorders>
            <w:shd w:val="clear" w:color="auto" w:fill="auto"/>
            <w:vAlign w:val="center"/>
            <w:hideMark/>
          </w:tcPr>
          <w:p w14:paraId="3EEFF071"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2,000</w:t>
            </w:r>
          </w:p>
        </w:tc>
        <w:tc>
          <w:tcPr>
            <w:tcW w:w="2520" w:type="dxa"/>
            <w:tcBorders>
              <w:top w:val="nil"/>
              <w:left w:val="nil"/>
              <w:bottom w:val="single" w:sz="4" w:space="0" w:color="auto"/>
              <w:right w:val="single" w:sz="4" w:space="0" w:color="auto"/>
            </w:tcBorders>
            <w:shd w:val="clear" w:color="auto" w:fill="auto"/>
            <w:vAlign w:val="center"/>
            <w:hideMark/>
          </w:tcPr>
          <w:p w14:paraId="15E7F54C"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0.985</w:t>
            </w:r>
          </w:p>
        </w:tc>
        <w:tc>
          <w:tcPr>
            <w:tcW w:w="2080" w:type="dxa"/>
            <w:tcBorders>
              <w:top w:val="nil"/>
              <w:left w:val="nil"/>
              <w:bottom w:val="single" w:sz="4" w:space="0" w:color="auto"/>
              <w:right w:val="single" w:sz="4" w:space="0" w:color="auto"/>
            </w:tcBorders>
            <w:shd w:val="clear" w:color="auto" w:fill="auto"/>
            <w:vAlign w:val="center"/>
            <w:hideMark/>
          </w:tcPr>
          <w:p w14:paraId="7EBA1AB4"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1970.33</w:t>
            </w:r>
          </w:p>
        </w:tc>
      </w:tr>
      <w:tr w:rsidR="00A432D8" w:rsidRPr="00A432D8" w14:paraId="25765F2C"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3C42E65"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3</w:t>
            </w:r>
          </w:p>
        </w:tc>
        <w:tc>
          <w:tcPr>
            <w:tcW w:w="1920" w:type="dxa"/>
            <w:tcBorders>
              <w:top w:val="nil"/>
              <w:left w:val="nil"/>
              <w:bottom w:val="single" w:sz="4" w:space="0" w:color="auto"/>
              <w:right w:val="single" w:sz="4" w:space="0" w:color="auto"/>
            </w:tcBorders>
            <w:shd w:val="clear" w:color="auto" w:fill="auto"/>
            <w:vAlign w:val="center"/>
            <w:hideMark/>
          </w:tcPr>
          <w:p w14:paraId="0834BB00"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1,000</w:t>
            </w:r>
          </w:p>
        </w:tc>
        <w:tc>
          <w:tcPr>
            <w:tcW w:w="2520" w:type="dxa"/>
            <w:tcBorders>
              <w:top w:val="nil"/>
              <w:left w:val="nil"/>
              <w:bottom w:val="single" w:sz="4" w:space="0" w:color="auto"/>
              <w:right w:val="single" w:sz="4" w:space="0" w:color="auto"/>
            </w:tcBorders>
            <w:shd w:val="clear" w:color="auto" w:fill="auto"/>
            <w:vAlign w:val="center"/>
            <w:hideMark/>
          </w:tcPr>
          <w:p w14:paraId="69F6AE76"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0.978</w:t>
            </w:r>
          </w:p>
        </w:tc>
        <w:tc>
          <w:tcPr>
            <w:tcW w:w="2080" w:type="dxa"/>
            <w:tcBorders>
              <w:top w:val="nil"/>
              <w:left w:val="nil"/>
              <w:bottom w:val="single" w:sz="4" w:space="0" w:color="auto"/>
              <w:right w:val="single" w:sz="4" w:space="0" w:color="auto"/>
            </w:tcBorders>
            <w:shd w:val="clear" w:color="auto" w:fill="auto"/>
            <w:vAlign w:val="center"/>
            <w:hideMark/>
          </w:tcPr>
          <w:p w14:paraId="378FDF4D"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977.83</w:t>
            </w:r>
          </w:p>
        </w:tc>
      </w:tr>
      <w:tr w:rsidR="00A432D8" w:rsidRPr="00A432D8" w14:paraId="5820FADA"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92DD86D"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4</w:t>
            </w:r>
          </w:p>
        </w:tc>
        <w:tc>
          <w:tcPr>
            <w:tcW w:w="1920" w:type="dxa"/>
            <w:tcBorders>
              <w:top w:val="nil"/>
              <w:left w:val="nil"/>
              <w:bottom w:val="single" w:sz="4" w:space="0" w:color="auto"/>
              <w:right w:val="single" w:sz="4" w:space="0" w:color="auto"/>
            </w:tcBorders>
            <w:shd w:val="clear" w:color="auto" w:fill="auto"/>
            <w:vAlign w:val="center"/>
            <w:hideMark/>
          </w:tcPr>
          <w:p w14:paraId="7ED4A556"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-442</w:t>
            </w:r>
          </w:p>
        </w:tc>
        <w:tc>
          <w:tcPr>
            <w:tcW w:w="2520" w:type="dxa"/>
            <w:tcBorders>
              <w:top w:val="nil"/>
              <w:left w:val="nil"/>
              <w:bottom w:val="single" w:sz="4" w:space="0" w:color="auto"/>
              <w:right w:val="single" w:sz="4" w:space="0" w:color="auto"/>
            </w:tcBorders>
            <w:shd w:val="clear" w:color="auto" w:fill="auto"/>
            <w:vAlign w:val="center"/>
            <w:hideMark/>
          </w:tcPr>
          <w:p w14:paraId="3ED7C8FB"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0.971</w:t>
            </w:r>
          </w:p>
        </w:tc>
        <w:tc>
          <w:tcPr>
            <w:tcW w:w="2080" w:type="dxa"/>
            <w:tcBorders>
              <w:top w:val="nil"/>
              <w:left w:val="nil"/>
              <w:bottom w:val="single" w:sz="4" w:space="0" w:color="auto"/>
              <w:right w:val="single" w:sz="4" w:space="0" w:color="auto"/>
            </w:tcBorders>
            <w:shd w:val="clear" w:color="auto" w:fill="auto"/>
            <w:vAlign w:val="center"/>
            <w:hideMark/>
          </w:tcPr>
          <w:p w14:paraId="77461F05"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-428.98</w:t>
            </w:r>
          </w:p>
        </w:tc>
      </w:tr>
      <w:tr w:rsidR="00A432D8" w:rsidRPr="00A432D8" w14:paraId="075BE062" w14:textId="77777777" w:rsidTr="00836881">
        <w:trPr>
          <w:trHeight w:val="312"/>
        </w:trPr>
        <w:tc>
          <w:tcPr>
            <w:tcW w:w="54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456BD" w14:textId="77777777" w:rsidR="00A432D8" w:rsidRPr="00A432D8" w:rsidRDefault="00A432D8" w:rsidP="00836881">
            <w:pPr>
              <w:spacing w:after="0" w:line="276" w:lineRule="auto"/>
              <w:jc w:val="right"/>
              <w:rPr>
                <w:rFonts w:eastAsia="Times New Roman" w:cs="Times New Roman"/>
                <w:b/>
                <w:iCs/>
                <w:color w:val="000000"/>
                <w:szCs w:val="24"/>
              </w:rPr>
            </w:pPr>
            <w:r w:rsidRPr="00A432D8">
              <w:rPr>
                <w:rFonts w:eastAsia="Times New Roman" w:cs="Times New Roman"/>
                <w:b/>
                <w:iCs/>
                <w:color w:val="000000"/>
                <w:szCs w:val="24"/>
              </w:rPr>
              <w:t>NPV</w:t>
            </w:r>
          </w:p>
        </w:tc>
        <w:tc>
          <w:tcPr>
            <w:tcW w:w="2080" w:type="dxa"/>
            <w:tcBorders>
              <w:top w:val="nil"/>
              <w:left w:val="nil"/>
              <w:bottom w:val="single" w:sz="4" w:space="0" w:color="auto"/>
              <w:right w:val="single" w:sz="4" w:space="0" w:color="auto"/>
            </w:tcBorders>
            <w:shd w:val="clear" w:color="auto" w:fill="auto"/>
            <w:vAlign w:val="center"/>
            <w:hideMark/>
          </w:tcPr>
          <w:p w14:paraId="4CC04675" w14:textId="77777777" w:rsidR="00A432D8" w:rsidRPr="00A432D8" w:rsidRDefault="00A432D8" w:rsidP="00A75AAE">
            <w:pPr>
              <w:keepNext/>
              <w:spacing w:after="0" w:line="276" w:lineRule="auto"/>
              <w:jc w:val="right"/>
              <w:rPr>
                <w:rFonts w:eastAsia="Times New Roman" w:cs="Times New Roman"/>
                <w:b/>
                <w:bCs/>
                <w:iCs/>
                <w:color w:val="000000"/>
                <w:szCs w:val="24"/>
              </w:rPr>
            </w:pPr>
            <w:r w:rsidRPr="00A432D8">
              <w:rPr>
                <w:rFonts w:eastAsia="Times New Roman" w:cs="Times New Roman"/>
                <w:b/>
                <w:bCs/>
                <w:iCs/>
                <w:color w:val="000000"/>
                <w:szCs w:val="24"/>
              </w:rPr>
              <w:t>0.57m</w:t>
            </w:r>
          </w:p>
        </w:tc>
      </w:tr>
    </w:tbl>
    <w:p w14:paraId="500A9D09" w14:textId="1219F853" w:rsidR="00A75AAE" w:rsidRDefault="00A75AAE" w:rsidP="00A75AAE">
      <w:pPr>
        <w:pStyle w:val="Caption"/>
        <w:jc w:val="center"/>
      </w:pPr>
      <w:bookmarkStart w:id="38" w:name="_Toc164386820"/>
      <w:r>
        <w:t xml:space="preserve">Table </w:t>
      </w:r>
      <w:fldSimple w:instr=" SEQ Table \* ARABIC ">
        <w:r>
          <w:rPr>
            <w:noProof/>
          </w:rPr>
          <w:t>10</w:t>
        </w:r>
      </w:fldSimple>
      <w:r>
        <w:t xml:space="preserve"> NPV of Project A</w:t>
      </w:r>
      <w:bookmarkEnd w:id="38"/>
    </w:p>
    <w:p w14:paraId="3E409E92" w14:textId="77777777" w:rsidR="00A432D8" w:rsidRPr="00A432D8" w:rsidRDefault="00A432D8" w:rsidP="00A432D8">
      <w:pPr>
        <w:spacing w:line="276" w:lineRule="auto"/>
        <w:rPr>
          <w:rFonts w:cs="Times New Roman"/>
          <w:b/>
          <w:u w:val="double"/>
        </w:rPr>
      </w:pPr>
      <w:r w:rsidRPr="00A432D8">
        <w:rPr>
          <w:rFonts w:cs="Times New Roman"/>
          <w:b/>
          <w:u w:val="double"/>
        </w:rPr>
        <w:t>Project B</w:t>
      </w:r>
    </w:p>
    <w:p w14:paraId="501018B6" w14:textId="77777777" w:rsidR="00A432D8" w:rsidRPr="00A432D8" w:rsidRDefault="00A432D8" w:rsidP="00A432D8">
      <w:pPr>
        <w:spacing w:line="276" w:lineRule="auto"/>
        <w:rPr>
          <w:rFonts w:cs="Times New Roman"/>
          <w:u w:val="single"/>
        </w:rPr>
      </w:pPr>
      <w:r w:rsidRPr="00A432D8">
        <w:rPr>
          <w:rFonts w:cs="Times New Roman"/>
          <w:u w:val="single"/>
        </w:rPr>
        <w:t>Payback Period</w:t>
      </w:r>
    </w:p>
    <w:tbl>
      <w:tblPr>
        <w:tblW w:w="5400" w:type="dxa"/>
        <w:jc w:val="center"/>
        <w:tblLook w:val="04A0" w:firstRow="1" w:lastRow="0" w:firstColumn="1" w:lastColumn="0" w:noHBand="0" w:noVBand="1"/>
      </w:tblPr>
      <w:tblGrid>
        <w:gridCol w:w="960"/>
        <w:gridCol w:w="1920"/>
        <w:gridCol w:w="2520"/>
      </w:tblGrid>
      <w:tr w:rsidR="00A432D8" w:rsidRPr="00A432D8" w14:paraId="4CDDFA2B" w14:textId="77777777" w:rsidTr="00A75AAE">
        <w:trPr>
          <w:trHeight w:val="312"/>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90D782"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Year</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13A86474"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Projected Cashflow</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14:paraId="3E2281E5"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Cumulative Cashflow</w:t>
            </w:r>
          </w:p>
        </w:tc>
      </w:tr>
      <w:tr w:rsidR="00A432D8" w:rsidRPr="00A432D8" w14:paraId="319871F7" w14:textId="77777777" w:rsidTr="00A75AAE">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AD32480"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0</w:t>
            </w:r>
          </w:p>
        </w:tc>
        <w:tc>
          <w:tcPr>
            <w:tcW w:w="1920" w:type="dxa"/>
            <w:tcBorders>
              <w:top w:val="nil"/>
              <w:left w:val="nil"/>
              <w:bottom w:val="single" w:sz="4" w:space="0" w:color="auto"/>
              <w:right w:val="single" w:sz="4" w:space="0" w:color="auto"/>
            </w:tcBorders>
            <w:shd w:val="clear" w:color="auto" w:fill="auto"/>
            <w:vAlign w:val="center"/>
            <w:hideMark/>
          </w:tcPr>
          <w:p w14:paraId="112C3D63"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-1,000</w:t>
            </w:r>
          </w:p>
        </w:tc>
        <w:tc>
          <w:tcPr>
            <w:tcW w:w="2520" w:type="dxa"/>
            <w:tcBorders>
              <w:top w:val="nil"/>
              <w:left w:val="nil"/>
              <w:bottom w:val="single" w:sz="4" w:space="0" w:color="auto"/>
              <w:right w:val="single" w:sz="4" w:space="0" w:color="auto"/>
            </w:tcBorders>
            <w:shd w:val="clear" w:color="auto" w:fill="auto"/>
            <w:noWrap/>
            <w:vAlign w:val="bottom"/>
            <w:hideMark/>
          </w:tcPr>
          <w:p w14:paraId="693BAE3E"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-1,000</w:t>
            </w:r>
          </w:p>
        </w:tc>
      </w:tr>
      <w:tr w:rsidR="00A432D8" w:rsidRPr="00A432D8" w14:paraId="441A80DB" w14:textId="77777777" w:rsidTr="00A75AAE">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058EAB8"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w:t>
            </w:r>
          </w:p>
        </w:tc>
        <w:tc>
          <w:tcPr>
            <w:tcW w:w="1920" w:type="dxa"/>
            <w:tcBorders>
              <w:top w:val="nil"/>
              <w:left w:val="nil"/>
              <w:bottom w:val="single" w:sz="4" w:space="0" w:color="auto"/>
              <w:right w:val="single" w:sz="4" w:space="0" w:color="auto"/>
            </w:tcBorders>
            <w:shd w:val="clear" w:color="auto" w:fill="auto"/>
            <w:vAlign w:val="center"/>
            <w:hideMark/>
          </w:tcPr>
          <w:p w14:paraId="2E317474"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1,500</w:t>
            </w:r>
          </w:p>
        </w:tc>
        <w:tc>
          <w:tcPr>
            <w:tcW w:w="2520" w:type="dxa"/>
            <w:tcBorders>
              <w:top w:val="nil"/>
              <w:left w:val="nil"/>
              <w:bottom w:val="single" w:sz="4" w:space="0" w:color="auto"/>
              <w:right w:val="single" w:sz="4" w:space="0" w:color="auto"/>
            </w:tcBorders>
            <w:shd w:val="clear" w:color="auto" w:fill="auto"/>
            <w:noWrap/>
            <w:vAlign w:val="bottom"/>
            <w:hideMark/>
          </w:tcPr>
          <w:p w14:paraId="3A4D574A"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500</w:t>
            </w:r>
          </w:p>
        </w:tc>
      </w:tr>
      <w:tr w:rsidR="00A432D8" w:rsidRPr="00A432D8" w14:paraId="52BDD33A" w14:textId="77777777" w:rsidTr="00A75AAE">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7CE3CA2"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2</w:t>
            </w:r>
          </w:p>
        </w:tc>
        <w:tc>
          <w:tcPr>
            <w:tcW w:w="1920" w:type="dxa"/>
            <w:tcBorders>
              <w:top w:val="nil"/>
              <w:left w:val="nil"/>
              <w:bottom w:val="single" w:sz="4" w:space="0" w:color="auto"/>
              <w:right w:val="single" w:sz="4" w:space="0" w:color="auto"/>
            </w:tcBorders>
            <w:shd w:val="clear" w:color="auto" w:fill="auto"/>
            <w:vAlign w:val="center"/>
            <w:hideMark/>
          </w:tcPr>
          <w:p w14:paraId="4DF8DBFB"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1,000</w:t>
            </w:r>
          </w:p>
        </w:tc>
        <w:tc>
          <w:tcPr>
            <w:tcW w:w="2520" w:type="dxa"/>
            <w:tcBorders>
              <w:top w:val="nil"/>
              <w:left w:val="nil"/>
              <w:bottom w:val="single" w:sz="4" w:space="0" w:color="auto"/>
              <w:right w:val="single" w:sz="4" w:space="0" w:color="auto"/>
            </w:tcBorders>
            <w:shd w:val="clear" w:color="auto" w:fill="auto"/>
            <w:noWrap/>
            <w:vAlign w:val="bottom"/>
            <w:hideMark/>
          </w:tcPr>
          <w:p w14:paraId="5F1C10D0"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1,500</w:t>
            </w:r>
          </w:p>
        </w:tc>
      </w:tr>
      <w:tr w:rsidR="00A432D8" w:rsidRPr="00A432D8" w14:paraId="56539316" w14:textId="77777777" w:rsidTr="00A75AAE">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75D45D7"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3</w:t>
            </w:r>
          </w:p>
        </w:tc>
        <w:tc>
          <w:tcPr>
            <w:tcW w:w="1920" w:type="dxa"/>
            <w:tcBorders>
              <w:top w:val="nil"/>
              <w:left w:val="nil"/>
              <w:bottom w:val="single" w:sz="4" w:space="0" w:color="auto"/>
              <w:right w:val="single" w:sz="4" w:space="0" w:color="auto"/>
            </w:tcBorders>
            <w:shd w:val="clear" w:color="auto" w:fill="auto"/>
            <w:vAlign w:val="center"/>
            <w:hideMark/>
          </w:tcPr>
          <w:p w14:paraId="304D26EB"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1,000</w:t>
            </w:r>
          </w:p>
        </w:tc>
        <w:tc>
          <w:tcPr>
            <w:tcW w:w="2520" w:type="dxa"/>
            <w:tcBorders>
              <w:top w:val="nil"/>
              <w:left w:val="nil"/>
              <w:bottom w:val="single" w:sz="4" w:space="0" w:color="auto"/>
              <w:right w:val="single" w:sz="4" w:space="0" w:color="auto"/>
            </w:tcBorders>
            <w:shd w:val="clear" w:color="auto" w:fill="auto"/>
            <w:noWrap/>
            <w:vAlign w:val="bottom"/>
            <w:hideMark/>
          </w:tcPr>
          <w:p w14:paraId="1ADAC8BC"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2,500</w:t>
            </w:r>
          </w:p>
        </w:tc>
      </w:tr>
      <w:tr w:rsidR="00A432D8" w:rsidRPr="00A432D8" w14:paraId="0AC5DA25" w14:textId="77777777" w:rsidTr="00A75AAE">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F3E9512"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4</w:t>
            </w:r>
          </w:p>
        </w:tc>
        <w:tc>
          <w:tcPr>
            <w:tcW w:w="1920" w:type="dxa"/>
            <w:tcBorders>
              <w:top w:val="nil"/>
              <w:left w:val="nil"/>
              <w:bottom w:val="single" w:sz="4" w:space="0" w:color="auto"/>
              <w:right w:val="single" w:sz="4" w:space="0" w:color="auto"/>
            </w:tcBorders>
            <w:shd w:val="clear" w:color="auto" w:fill="auto"/>
            <w:vAlign w:val="center"/>
            <w:hideMark/>
          </w:tcPr>
          <w:p w14:paraId="7EE9CAD2"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-470</w:t>
            </w:r>
          </w:p>
        </w:tc>
        <w:tc>
          <w:tcPr>
            <w:tcW w:w="2520" w:type="dxa"/>
            <w:tcBorders>
              <w:top w:val="nil"/>
              <w:left w:val="nil"/>
              <w:bottom w:val="single" w:sz="4" w:space="0" w:color="auto"/>
              <w:right w:val="single" w:sz="4" w:space="0" w:color="auto"/>
            </w:tcBorders>
            <w:shd w:val="clear" w:color="auto" w:fill="auto"/>
            <w:noWrap/>
            <w:vAlign w:val="bottom"/>
            <w:hideMark/>
          </w:tcPr>
          <w:p w14:paraId="6A16E115"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2,030</w:t>
            </w:r>
          </w:p>
        </w:tc>
      </w:tr>
    </w:tbl>
    <w:p w14:paraId="634E660D" w14:textId="1E6B54AE" w:rsidR="00A432D8" w:rsidRPr="00A432D8" w:rsidRDefault="00A432D8" w:rsidP="00A75AAE">
      <w:pPr>
        <w:pStyle w:val="Caption"/>
        <w:jc w:val="center"/>
        <w:rPr>
          <w:rFonts w:cs="Times New Roman"/>
          <w:u w:val="single"/>
        </w:rPr>
      </w:pPr>
      <w:bookmarkStart w:id="39" w:name="_Toc164386821"/>
      <w:r w:rsidRPr="00A432D8">
        <w:rPr>
          <w:rFonts w:cs="Times New Roman"/>
        </w:rPr>
        <w:t xml:space="preserve">Table </w:t>
      </w:r>
      <w:r w:rsidRPr="00A432D8">
        <w:rPr>
          <w:rFonts w:cs="Times New Roman"/>
        </w:rPr>
        <w:fldChar w:fldCharType="begin"/>
      </w:r>
      <w:r w:rsidRPr="00A432D8">
        <w:rPr>
          <w:rFonts w:cs="Times New Roman"/>
        </w:rPr>
        <w:instrText xml:space="preserve"> SEQ Table \* ARABIC </w:instrText>
      </w:r>
      <w:r w:rsidRPr="00A432D8">
        <w:rPr>
          <w:rFonts w:cs="Times New Roman"/>
        </w:rPr>
        <w:fldChar w:fldCharType="separate"/>
      </w:r>
      <w:r w:rsidR="00A75AAE">
        <w:rPr>
          <w:rFonts w:cs="Times New Roman"/>
          <w:noProof/>
        </w:rPr>
        <w:t>11</w:t>
      </w:r>
      <w:r w:rsidRPr="00A432D8">
        <w:rPr>
          <w:rFonts w:cs="Times New Roman"/>
        </w:rPr>
        <w:fldChar w:fldCharType="end"/>
      </w:r>
      <w:r w:rsidRPr="00A432D8">
        <w:rPr>
          <w:rFonts w:cs="Times New Roman"/>
        </w:rPr>
        <w:t xml:space="preserve"> PBP of Project B</w:t>
      </w:r>
      <w:bookmarkEnd w:id="39"/>
    </w:p>
    <w:p w14:paraId="51ADEBCB" w14:textId="5E44DC7F" w:rsidR="00A432D8" w:rsidRPr="00A432D8" w:rsidRDefault="00A432D8" w:rsidP="00A432D8">
      <w:pPr>
        <w:spacing w:line="276" w:lineRule="auto"/>
        <w:rPr>
          <w:rFonts w:cs="Times New Roman"/>
        </w:rPr>
      </w:pPr>
      <w:r w:rsidRPr="00A432D8">
        <w:rPr>
          <w:rFonts w:cs="Times New Roman"/>
        </w:rPr>
        <w:t>The payback period is between the years 0 and 1 (Abuseif and Gou, 2018).</w:t>
      </w:r>
    </w:p>
    <w:p w14:paraId="183BBA3E" w14:textId="77777777" w:rsidR="00A432D8" w:rsidRPr="00A432D8" w:rsidRDefault="00A432D8" w:rsidP="00A432D8">
      <w:pPr>
        <w:spacing w:line="276" w:lineRule="auto"/>
        <w:rPr>
          <w:rFonts w:cs="Times New Roman"/>
        </w:rPr>
      </w:pPr>
      <w:r w:rsidRPr="00A432D8">
        <w:rPr>
          <w:rFonts w:cs="Times New Roman"/>
        </w:rPr>
        <w:t>Payback period= 0 years +1000/15000</w:t>
      </w:r>
    </w:p>
    <w:p w14:paraId="46649ACA" w14:textId="77777777" w:rsidR="00A432D8" w:rsidRPr="00A432D8" w:rsidRDefault="00A432D8" w:rsidP="00A432D8">
      <w:pPr>
        <w:spacing w:line="276" w:lineRule="auto"/>
        <w:rPr>
          <w:rFonts w:cs="Times New Roman"/>
          <w:b/>
          <w:u w:val="double"/>
        </w:rPr>
      </w:pPr>
      <w:r w:rsidRPr="00A432D8">
        <w:rPr>
          <w:rFonts w:cs="Times New Roman"/>
          <w:b/>
        </w:rPr>
        <w:t xml:space="preserve">Payback period =  </w:t>
      </w:r>
      <w:r w:rsidRPr="00A432D8">
        <w:rPr>
          <w:rFonts w:cs="Times New Roman"/>
          <w:b/>
          <w:u w:val="double"/>
        </w:rPr>
        <w:t xml:space="preserve">.66 years </w:t>
      </w:r>
    </w:p>
    <w:p w14:paraId="1C930F0D" w14:textId="77777777" w:rsidR="00A432D8" w:rsidRPr="00A432D8" w:rsidRDefault="00A432D8" w:rsidP="00A432D8">
      <w:pPr>
        <w:spacing w:line="276" w:lineRule="auto"/>
        <w:ind w:left="720" w:firstLine="720"/>
        <w:rPr>
          <w:rFonts w:cs="Times New Roman"/>
          <w:b/>
          <w:u w:val="double"/>
        </w:rPr>
      </w:pPr>
      <w:r w:rsidRPr="00A432D8">
        <w:rPr>
          <w:rFonts w:cs="Times New Roman"/>
          <w:b/>
          <w:u w:val="double"/>
        </w:rPr>
        <w:t>= 8 months</w:t>
      </w:r>
    </w:p>
    <w:p w14:paraId="50B52D21" w14:textId="77777777" w:rsidR="00A432D8" w:rsidRPr="00A432D8" w:rsidRDefault="00A432D8" w:rsidP="00A432D8">
      <w:pPr>
        <w:spacing w:line="276" w:lineRule="auto"/>
        <w:rPr>
          <w:rFonts w:cs="Times New Roman"/>
          <w:u w:val="single"/>
        </w:rPr>
      </w:pPr>
      <w:r w:rsidRPr="00A432D8">
        <w:rPr>
          <w:rFonts w:cs="Times New Roman"/>
          <w:u w:val="single"/>
        </w:rPr>
        <w:t>Accounting Rate of Return</w:t>
      </w:r>
    </w:p>
    <w:p w14:paraId="519128CC" w14:textId="77777777" w:rsidR="00A432D8" w:rsidRPr="00A432D8" w:rsidRDefault="00A432D8" w:rsidP="00A432D8">
      <w:pPr>
        <w:spacing w:line="276" w:lineRule="auto"/>
        <w:rPr>
          <w:rFonts w:cs="Times New Roman"/>
        </w:rPr>
      </w:pPr>
      <w:r w:rsidRPr="00A432D8">
        <w:rPr>
          <w:rFonts w:cs="Times New Roman"/>
        </w:rPr>
        <w:t>Average Profit = 3030/4= 757.5</w:t>
      </w:r>
    </w:p>
    <w:p w14:paraId="48D703D5" w14:textId="77777777" w:rsidR="00A432D8" w:rsidRPr="00A432D8" w:rsidRDefault="00A432D8" w:rsidP="00A432D8">
      <w:pPr>
        <w:spacing w:line="276" w:lineRule="auto"/>
        <w:rPr>
          <w:rFonts w:cs="Times New Roman"/>
        </w:rPr>
      </w:pPr>
      <w:r w:rsidRPr="00A432D8">
        <w:rPr>
          <w:rFonts w:cs="Times New Roman"/>
        </w:rPr>
        <w:t>Average Investment= 1000/2= 500</w:t>
      </w:r>
    </w:p>
    <w:p w14:paraId="7BBAE787" w14:textId="77777777" w:rsidR="00A432D8" w:rsidRPr="00A432D8" w:rsidRDefault="00A432D8" w:rsidP="00A432D8">
      <w:pPr>
        <w:spacing w:line="276" w:lineRule="auto"/>
        <w:rPr>
          <w:rFonts w:cs="Times New Roman"/>
          <w:b/>
        </w:rPr>
      </w:pPr>
      <w:r w:rsidRPr="00A432D8">
        <w:rPr>
          <w:rFonts w:cs="Times New Roman"/>
          <w:b/>
        </w:rPr>
        <w:t>ARR= 757.5/500= 1.515</w:t>
      </w:r>
    </w:p>
    <w:p w14:paraId="4C512E7D" w14:textId="77777777" w:rsidR="00A432D8" w:rsidRPr="00A432D8" w:rsidRDefault="00A432D8" w:rsidP="00A432D8">
      <w:pPr>
        <w:spacing w:line="276" w:lineRule="auto"/>
        <w:rPr>
          <w:rFonts w:cs="Times New Roman"/>
          <w:u w:val="single"/>
        </w:rPr>
      </w:pPr>
      <w:r w:rsidRPr="00A432D8">
        <w:rPr>
          <w:rFonts w:cs="Times New Roman"/>
          <w:u w:val="single"/>
        </w:rPr>
        <w:t>Net Present Value</w:t>
      </w:r>
    </w:p>
    <w:tbl>
      <w:tblPr>
        <w:tblW w:w="7480" w:type="dxa"/>
        <w:tblLook w:val="04A0" w:firstRow="1" w:lastRow="0" w:firstColumn="1" w:lastColumn="0" w:noHBand="0" w:noVBand="1"/>
      </w:tblPr>
      <w:tblGrid>
        <w:gridCol w:w="960"/>
        <w:gridCol w:w="1920"/>
        <w:gridCol w:w="2520"/>
        <w:gridCol w:w="2080"/>
      </w:tblGrid>
      <w:tr w:rsidR="00A432D8" w:rsidRPr="00A432D8" w14:paraId="4CDEC84B" w14:textId="77777777" w:rsidTr="00836881">
        <w:trPr>
          <w:trHeight w:val="74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714268"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Year</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14:paraId="510D772E"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Projected Cashflow</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0CA21307"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 xml:space="preserve">Discount Factor </w:t>
            </w:r>
          </w:p>
          <w:p w14:paraId="40C0BBED"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 xml:space="preserve">( 0.75%)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3CF63868"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Present Value</w:t>
            </w:r>
          </w:p>
        </w:tc>
      </w:tr>
      <w:tr w:rsidR="00A432D8" w:rsidRPr="00A432D8" w14:paraId="3ADDE15D"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9B6CF46"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w:t>
            </w:r>
          </w:p>
        </w:tc>
        <w:tc>
          <w:tcPr>
            <w:tcW w:w="1920" w:type="dxa"/>
            <w:tcBorders>
              <w:top w:val="nil"/>
              <w:left w:val="nil"/>
              <w:bottom w:val="single" w:sz="4" w:space="0" w:color="auto"/>
              <w:right w:val="single" w:sz="4" w:space="0" w:color="auto"/>
            </w:tcBorders>
            <w:shd w:val="clear" w:color="auto" w:fill="auto"/>
            <w:vAlign w:val="center"/>
            <w:hideMark/>
          </w:tcPr>
          <w:p w14:paraId="153A64BC"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-1,000</w:t>
            </w:r>
          </w:p>
        </w:tc>
        <w:tc>
          <w:tcPr>
            <w:tcW w:w="2520" w:type="dxa"/>
            <w:tcBorders>
              <w:top w:val="nil"/>
              <w:left w:val="nil"/>
              <w:bottom w:val="single" w:sz="4" w:space="0" w:color="auto"/>
              <w:right w:val="single" w:sz="4" w:space="0" w:color="auto"/>
            </w:tcBorders>
            <w:shd w:val="clear" w:color="auto" w:fill="auto"/>
            <w:vAlign w:val="center"/>
            <w:hideMark/>
          </w:tcPr>
          <w:p w14:paraId="7C372B87"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w:t>
            </w:r>
          </w:p>
        </w:tc>
        <w:tc>
          <w:tcPr>
            <w:tcW w:w="2080" w:type="dxa"/>
            <w:tcBorders>
              <w:top w:val="nil"/>
              <w:left w:val="nil"/>
              <w:bottom w:val="single" w:sz="4" w:space="0" w:color="auto"/>
              <w:right w:val="single" w:sz="4" w:space="0" w:color="auto"/>
            </w:tcBorders>
            <w:shd w:val="clear" w:color="auto" w:fill="auto"/>
            <w:vAlign w:val="center"/>
            <w:hideMark/>
          </w:tcPr>
          <w:p w14:paraId="6B8DD2D3"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-1000.00</w:t>
            </w:r>
          </w:p>
        </w:tc>
      </w:tr>
      <w:tr w:rsidR="00A432D8" w:rsidRPr="00A432D8" w14:paraId="4EE2E442"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D1B783C"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w:t>
            </w:r>
          </w:p>
        </w:tc>
        <w:tc>
          <w:tcPr>
            <w:tcW w:w="1920" w:type="dxa"/>
            <w:tcBorders>
              <w:top w:val="nil"/>
              <w:left w:val="nil"/>
              <w:bottom w:val="single" w:sz="4" w:space="0" w:color="auto"/>
              <w:right w:val="single" w:sz="4" w:space="0" w:color="auto"/>
            </w:tcBorders>
            <w:shd w:val="clear" w:color="auto" w:fill="auto"/>
            <w:vAlign w:val="center"/>
            <w:hideMark/>
          </w:tcPr>
          <w:p w14:paraId="51E092A0"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1,500</w:t>
            </w:r>
          </w:p>
        </w:tc>
        <w:tc>
          <w:tcPr>
            <w:tcW w:w="2520" w:type="dxa"/>
            <w:tcBorders>
              <w:top w:val="nil"/>
              <w:left w:val="nil"/>
              <w:bottom w:val="single" w:sz="4" w:space="0" w:color="auto"/>
              <w:right w:val="single" w:sz="4" w:space="0" w:color="auto"/>
            </w:tcBorders>
            <w:shd w:val="clear" w:color="auto" w:fill="auto"/>
            <w:vAlign w:val="center"/>
            <w:hideMark/>
          </w:tcPr>
          <w:p w14:paraId="2F65F5A5"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0.993</w:t>
            </w:r>
          </w:p>
        </w:tc>
        <w:tc>
          <w:tcPr>
            <w:tcW w:w="2080" w:type="dxa"/>
            <w:tcBorders>
              <w:top w:val="nil"/>
              <w:left w:val="nil"/>
              <w:bottom w:val="single" w:sz="4" w:space="0" w:color="auto"/>
              <w:right w:val="single" w:sz="4" w:space="0" w:color="auto"/>
            </w:tcBorders>
            <w:shd w:val="clear" w:color="auto" w:fill="auto"/>
            <w:vAlign w:val="center"/>
            <w:hideMark/>
          </w:tcPr>
          <w:p w14:paraId="758D7588"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1488.83</w:t>
            </w:r>
          </w:p>
        </w:tc>
      </w:tr>
      <w:tr w:rsidR="00A432D8" w:rsidRPr="00A432D8" w14:paraId="6544E6E3"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15B8992"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2</w:t>
            </w:r>
          </w:p>
        </w:tc>
        <w:tc>
          <w:tcPr>
            <w:tcW w:w="1920" w:type="dxa"/>
            <w:tcBorders>
              <w:top w:val="nil"/>
              <w:left w:val="nil"/>
              <w:bottom w:val="single" w:sz="4" w:space="0" w:color="auto"/>
              <w:right w:val="single" w:sz="4" w:space="0" w:color="auto"/>
            </w:tcBorders>
            <w:shd w:val="clear" w:color="auto" w:fill="auto"/>
            <w:vAlign w:val="center"/>
            <w:hideMark/>
          </w:tcPr>
          <w:p w14:paraId="5FB99ED2"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1,000</w:t>
            </w:r>
          </w:p>
        </w:tc>
        <w:tc>
          <w:tcPr>
            <w:tcW w:w="2520" w:type="dxa"/>
            <w:tcBorders>
              <w:top w:val="nil"/>
              <w:left w:val="nil"/>
              <w:bottom w:val="single" w:sz="4" w:space="0" w:color="auto"/>
              <w:right w:val="single" w:sz="4" w:space="0" w:color="auto"/>
            </w:tcBorders>
            <w:shd w:val="clear" w:color="auto" w:fill="auto"/>
            <w:vAlign w:val="center"/>
            <w:hideMark/>
          </w:tcPr>
          <w:p w14:paraId="6F0ED6FF"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0.985</w:t>
            </w:r>
          </w:p>
        </w:tc>
        <w:tc>
          <w:tcPr>
            <w:tcW w:w="2080" w:type="dxa"/>
            <w:tcBorders>
              <w:top w:val="nil"/>
              <w:left w:val="nil"/>
              <w:bottom w:val="single" w:sz="4" w:space="0" w:color="auto"/>
              <w:right w:val="single" w:sz="4" w:space="0" w:color="auto"/>
            </w:tcBorders>
            <w:shd w:val="clear" w:color="auto" w:fill="auto"/>
            <w:vAlign w:val="center"/>
            <w:hideMark/>
          </w:tcPr>
          <w:p w14:paraId="275AE661"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985.17</w:t>
            </w:r>
          </w:p>
        </w:tc>
      </w:tr>
      <w:tr w:rsidR="00A432D8" w:rsidRPr="00A432D8" w14:paraId="387E493F"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F5A6F87"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3</w:t>
            </w:r>
          </w:p>
        </w:tc>
        <w:tc>
          <w:tcPr>
            <w:tcW w:w="1920" w:type="dxa"/>
            <w:tcBorders>
              <w:top w:val="nil"/>
              <w:left w:val="nil"/>
              <w:bottom w:val="single" w:sz="4" w:space="0" w:color="auto"/>
              <w:right w:val="single" w:sz="4" w:space="0" w:color="auto"/>
            </w:tcBorders>
            <w:shd w:val="clear" w:color="auto" w:fill="auto"/>
            <w:vAlign w:val="center"/>
            <w:hideMark/>
          </w:tcPr>
          <w:p w14:paraId="6B755872"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1,000</w:t>
            </w:r>
          </w:p>
        </w:tc>
        <w:tc>
          <w:tcPr>
            <w:tcW w:w="2520" w:type="dxa"/>
            <w:tcBorders>
              <w:top w:val="nil"/>
              <w:left w:val="nil"/>
              <w:bottom w:val="single" w:sz="4" w:space="0" w:color="auto"/>
              <w:right w:val="single" w:sz="4" w:space="0" w:color="auto"/>
            </w:tcBorders>
            <w:shd w:val="clear" w:color="auto" w:fill="auto"/>
            <w:vAlign w:val="center"/>
            <w:hideMark/>
          </w:tcPr>
          <w:p w14:paraId="0FCEF56B"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0.978</w:t>
            </w:r>
          </w:p>
        </w:tc>
        <w:tc>
          <w:tcPr>
            <w:tcW w:w="2080" w:type="dxa"/>
            <w:tcBorders>
              <w:top w:val="nil"/>
              <w:left w:val="nil"/>
              <w:bottom w:val="single" w:sz="4" w:space="0" w:color="auto"/>
              <w:right w:val="single" w:sz="4" w:space="0" w:color="auto"/>
            </w:tcBorders>
            <w:shd w:val="clear" w:color="auto" w:fill="auto"/>
            <w:vAlign w:val="center"/>
            <w:hideMark/>
          </w:tcPr>
          <w:p w14:paraId="11A9C1D8"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977.83</w:t>
            </w:r>
          </w:p>
        </w:tc>
      </w:tr>
      <w:tr w:rsidR="00A432D8" w:rsidRPr="00A432D8" w14:paraId="7358DF34"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FCCBE31"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4</w:t>
            </w:r>
          </w:p>
        </w:tc>
        <w:tc>
          <w:tcPr>
            <w:tcW w:w="1920" w:type="dxa"/>
            <w:tcBorders>
              <w:top w:val="nil"/>
              <w:left w:val="nil"/>
              <w:bottom w:val="single" w:sz="4" w:space="0" w:color="auto"/>
              <w:right w:val="single" w:sz="4" w:space="0" w:color="auto"/>
            </w:tcBorders>
            <w:shd w:val="clear" w:color="auto" w:fill="auto"/>
            <w:vAlign w:val="center"/>
            <w:hideMark/>
          </w:tcPr>
          <w:p w14:paraId="4CA94281"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-470</w:t>
            </w:r>
          </w:p>
        </w:tc>
        <w:tc>
          <w:tcPr>
            <w:tcW w:w="2520" w:type="dxa"/>
            <w:tcBorders>
              <w:top w:val="nil"/>
              <w:left w:val="nil"/>
              <w:bottom w:val="single" w:sz="4" w:space="0" w:color="auto"/>
              <w:right w:val="single" w:sz="4" w:space="0" w:color="auto"/>
            </w:tcBorders>
            <w:shd w:val="clear" w:color="auto" w:fill="auto"/>
            <w:vAlign w:val="center"/>
            <w:hideMark/>
          </w:tcPr>
          <w:p w14:paraId="14692D80"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0.971</w:t>
            </w:r>
          </w:p>
        </w:tc>
        <w:tc>
          <w:tcPr>
            <w:tcW w:w="2080" w:type="dxa"/>
            <w:tcBorders>
              <w:top w:val="nil"/>
              <w:left w:val="nil"/>
              <w:bottom w:val="single" w:sz="4" w:space="0" w:color="auto"/>
              <w:right w:val="single" w:sz="4" w:space="0" w:color="auto"/>
            </w:tcBorders>
            <w:shd w:val="clear" w:color="auto" w:fill="auto"/>
            <w:vAlign w:val="center"/>
            <w:hideMark/>
          </w:tcPr>
          <w:p w14:paraId="22034ACA"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-456.16</w:t>
            </w:r>
          </w:p>
        </w:tc>
      </w:tr>
      <w:tr w:rsidR="00A432D8" w:rsidRPr="00A432D8" w14:paraId="74838DA8" w14:textId="77777777" w:rsidTr="00836881">
        <w:trPr>
          <w:trHeight w:val="312"/>
        </w:trPr>
        <w:tc>
          <w:tcPr>
            <w:tcW w:w="54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7B418" w14:textId="77777777" w:rsidR="00A432D8" w:rsidRPr="00A432D8" w:rsidRDefault="00A432D8" w:rsidP="00836881">
            <w:pPr>
              <w:spacing w:after="0" w:line="276" w:lineRule="auto"/>
              <w:jc w:val="right"/>
              <w:rPr>
                <w:rFonts w:eastAsia="Times New Roman" w:cs="Times New Roman"/>
                <w:i/>
                <w:iCs/>
                <w:color w:val="000000"/>
                <w:szCs w:val="24"/>
              </w:rPr>
            </w:pPr>
            <w:r w:rsidRPr="00A432D8">
              <w:rPr>
                <w:rFonts w:eastAsia="Times New Roman" w:cs="Times New Roman"/>
                <w:i/>
                <w:iCs/>
                <w:color w:val="000000"/>
                <w:szCs w:val="24"/>
              </w:rPr>
              <w:t>NPV</w:t>
            </w:r>
          </w:p>
        </w:tc>
        <w:tc>
          <w:tcPr>
            <w:tcW w:w="2080" w:type="dxa"/>
            <w:tcBorders>
              <w:top w:val="nil"/>
              <w:left w:val="nil"/>
              <w:bottom w:val="single" w:sz="4" w:space="0" w:color="auto"/>
              <w:right w:val="single" w:sz="4" w:space="0" w:color="auto"/>
            </w:tcBorders>
            <w:shd w:val="clear" w:color="auto" w:fill="auto"/>
            <w:vAlign w:val="center"/>
            <w:hideMark/>
          </w:tcPr>
          <w:p w14:paraId="1244CD45" w14:textId="77777777" w:rsidR="00A432D8" w:rsidRPr="00A432D8" w:rsidRDefault="00A432D8" w:rsidP="00A75AAE">
            <w:pPr>
              <w:keepNext/>
              <w:spacing w:after="0" w:line="276" w:lineRule="auto"/>
              <w:jc w:val="right"/>
              <w:rPr>
                <w:rFonts w:eastAsia="Times New Roman" w:cs="Times New Roman"/>
                <w:b/>
                <w:bCs/>
                <w:i/>
                <w:iCs/>
                <w:color w:val="000000"/>
                <w:szCs w:val="24"/>
              </w:rPr>
            </w:pPr>
            <w:r w:rsidRPr="00A432D8">
              <w:rPr>
                <w:rFonts w:eastAsia="Times New Roman" w:cs="Times New Roman"/>
                <w:b/>
                <w:bCs/>
                <w:i/>
                <w:iCs/>
                <w:color w:val="000000"/>
                <w:szCs w:val="24"/>
              </w:rPr>
              <w:t>1995.67m</w:t>
            </w:r>
          </w:p>
        </w:tc>
      </w:tr>
    </w:tbl>
    <w:p w14:paraId="299C232B" w14:textId="3DD571D9" w:rsidR="00E011FA" w:rsidRDefault="00A75AAE" w:rsidP="00A75AAE">
      <w:pPr>
        <w:pStyle w:val="Caption"/>
        <w:jc w:val="center"/>
      </w:pPr>
      <w:bookmarkStart w:id="40" w:name="_Toc164386822"/>
      <w:r>
        <w:t xml:space="preserve">Table </w:t>
      </w:r>
      <w:fldSimple w:instr=" SEQ Table \* ARABIC ">
        <w:r>
          <w:rPr>
            <w:noProof/>
          </w:rPr>
          <w:t>12</w:t>
        </w:r>
      </w:fldSimple>
      <w:r>
        <w:t xml:space="preserve"> NPV of Project B</w:t>
      </w:r>
      <w:bookmarkEnd w:id="40"/>
    </w:p>
    <w:p w14:paraId="6C0B4B53" w14:textId="2ED12C45" w:rsidR="00A432D8" w:rsidRDefault="00A432D8" w:rsidP="00E011FA">
      <w:r w:rsidRPr="0041289B">
        <w:t xml:space="preserve">While evaluating projects A and B, project B  seems more favourable than others. The payback period, accounting rate of return, and net present value are three significant metrics that have been studied to evaluate the financial viability of Projects A and B. </w:t>
      </w:r>
    </w:p>
    <w:p w14:paraId="085590A3" w14:textId="70D04EAB" w:rsidR="00A432D8" w:rsidRPr="00DD7479" w:rsidRDefault="00A432D8" w:rsidP="00DD7479">
      <w:r w:rsidRPr="00DD7479">
        <w:lastRenderedPageBreak/>
        <w:t xml:space="preserve">First of all, the payback period gives an accurate indication of how long it takes to get back the initial investment. While Project A indicates a payback period that is 2.5 years shorter than Project B's, which is 0.66 years, which is approximately 8 months, it is crucial to recognize that shorter payback periods do not always translate into higher profitability. It does, however, indicate an increased rate of return on capital invested, which is beneficial to risk mitigation and liquidity. Apart from that, the projects' average return on investment offers an indicator of profitability </w:t>
      </w:r>
      <w:r w:rsidR="004C3F7D">
        <w:t>of</w:t>
      </w:r>
      <w:r w:rsidRPr="00DD7479">
        <w:t xml:space="preserve"> average investment (Lin, 2019). With an ARR of 1.515 compared to Project A's 0.5058, Project B demonstrates a considerable advantage over Project A in this regard. This indicates that Project B is more financially attractive because it provides significantly higher returns per unit of expenditure.  The net present value provides an in-depth assessment of each project's profitability in present terms by considering the time value of money. With an NPV of 1.996 million, which is far higher than Project A's NPV of 0.57 million, Project B shows to be more attractive once more in this case. A project that has a positive net present value is both attractive and financially viable because it generates value above the required rate of return (Kłeczek, 2014).</w:t>
      </w:r>
    </w:p>
    <w:p w14:paraId="559A7CD4" w14:textId="6B2AF9E5" w:rsidR="00A432D8" w:rsidRPr="00DD7479" w:rsidRDefault="00A432D8" w:rsidP="00DD7479">
      <w:r w:rsidRPr="00DD7479">
        <w:t>Project B appears to be more appropriate for acceptance when these criteria are evaluated. As demonstrated by both ARR and NPV, Project B offers a higher return even if Project A has a slightly shorter payback period. In addition, whereas Project A has a relatively lower NPV, Project B has a positive NPV, indicating that it generates value above the needed rate of return. Project B thus becomes the more financially attractive option since it not only quickly returns the initial investment but additionally yields higher returns over the project's lifetime. Before choosing an alternative, it is essential to take into consideration qualitative factors including risk, strategic alignment, and market circumstances (Gordon, 2020).</w:t>
      </w:r>
    </w:p>
    <w:p w14:paraId="22B3B306" w14:textId="77777777" w:rsidR="00A432D8" w:rsidRPr="00DD7479" w:rsidRDefault="00A432D8" w:rsidP="00DD7479">
      <w:r w:rsidRPr="00DD7479">
        <w:t xml:space="preserve">  The new NPV using the adjusted initial investment and cash flows given below:</w:t>
      </w:r>
    </w:p>
    <w:p w14:paraId="62E7B722" w14:textId="77777777" w:rsidR="00A432D8" w:rsidRPr="00870E67" w:rsidRDefault="00A432D8" w:rsidP="00A432D8">
      <w:pPr>
        <w:spacing w:after="0" w:line="276" w:lineRule="auto"/>
      </w:pPr>
      <w:r>
        <w:t>Project A:</w:t>
      </w:r>
    </w:p>
    <w:tbl>
      <w:tblPr>
        <w:tblW w:w="6912" w:type="dxa"/>
        <w:jc w:val="center"/>
        <w:tblLook w:val="04A0" w:firstRow="1" w:lastRow="0" w:firstColumn="1" w:lastColumn="0" w:noHBand="0" w:noVBand="1"/>
      </w:tblPr>
      <w:tblGrid>
        <w:gridCol w:w="887"/>
        <w:gridCol w:w="1774"/>
        <w:gridCol w:w="2329"/>
        <w:gridCol w:w="1922"/>
      </w:tblGrid>
      <w:tr w:rsidR="00A432D8" w:rsidRPr="00A432D8" w14:paraId="1DDFB745" w14:textId="77777777" w:rsidTr="00A75AAE">
        <w:trPr>
          <w:trHeight w:val="549"/>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977E7"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Year</w:t>
            </w:r>
          </w:p>
        </w:tc>
        <w:tc>
          <w:tcPr>
            <w:tcW w:w="1774" w:type="dxa"/>
            <w:tcBorders>
              <w:top w:val="single" w:sz="4" w:space="0" w:color="auto"/>
              <w:left w:val="nil"/>
              <w:bottom w:val="single" w:sz="4" w:space="0" w:color="auto"/>
              <w:right w:val="single" w:sz="4" w:space="0" w:color="auto"/>
            </w:tcBorders>
            <w:shd w:val="clear" w:color="auto" w:fill="auto"/>
            <w:vAlign w:val="bottom"/>
            <w:hideMark/>
          </w:tcPr>
          <w:p w14:paraId="5F29CFFA"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Projected Cash flow</w:t>
            </w:r>
          </w:p>
        </w:tc>
        <w:tc>
          <w:tcPr>
            <w:tcW w:w="2328" w:type="dxa"/>
            <w:tcBorders>
              <w:top w:val="single" w:sz="4" w:space="0" w:color="auto"/>
              <w:left w:val="nil"/>
              <w:bottom w:val="single" w:sz="4" w:space="0" w:color="auto"/>
              <w:right w:val="single" w:sz="4" w:space="0" w:color="auto"/>
            </w:tcBorders>
            <w:shd w:val="clear" w:color="auto" w:fill="auto"/>
            <w:vAlign w:val="center"/>
            <w:hideMark/>
          </w:tcPr>
          <w:p w14:paraId="621C9BC9"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 xml:space="preserve">Discount Factor </w:t>
            </w:r>
          </w:p>
          <w:p w14:paraId="7E91526C"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 xml:space="preserve">( 0.75%) </w:t>
            </w:r>
          </w:p>
        </w:tc>
        <w:tc>
          <w:tcPr>
            <w:tcW w:w="1922" w:type="dxa"/>
            <w:tcBorders>
              <w:top w:val="single" w:sz="4" w:space="0" w:color="auto"/>
              <w:left w:val="nil"/>
              <w:bottom w:val="single" w:sz="4" w:space="0" w:color="auto"/>
              <w:right w:val="single" w:sz="4" w:space="0" w:color="auto"/>
            </w:tcBorders>
            <w:shd w:val="clear" w:color="auto" w:fill="auto"/>
            <w:vAlign w:val="center"/>
            <w:hideMark/>
          </w:tcPr>
          <w:p w14:paraId="2813E25C"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Present Value</w:t>
            </w:r>
          </w:p>
        </w:tc>
      </w:tr>
      <w:tr w:rsidR="00A432D8" w:rsidRPr="00A432D8" w14:paraId="5B107784" w14:textId="77777777" w:rsidTr="00A75AAE">
        <w:trPr>
          <w:trHeight w:val="230"/>
          <w:jc w:val="center"/>
        </w:trPr>
        <w:tc>
          <w:tcPr>
            <w:tcW w:w="887" w:type="dxa"/>
            <w:tcBorders>
              <w:top w:val="nil"/>
              <w:left w:val="single" w:sz="4" w:space="0" w:color="auto"/>
              <w:bottom w:val="single" w:sz="4" w:space="0" w:color="auto"/>
              <w:right w:val="single" w:sz="4" w:space="0" w:color="auto"/>
            </w:tcBorders>
            <w:shd w:val="clear" w:color="auto" w:fill="auto"/>
            <w:vAlign w:val="center"/>
            <w:hideMark/>
          </w:tcPr>
          <w:p w14:paraId="2A868F5C"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w:t>
            </w:r>
          </w:p>
        </w:tc>
        <w:tc>
          <w:tcPr>
            <w:tcW w:w="1774" w:type="dxa"/>
            <w:tcBorders>
              <w:top w:val="nil"/>
              <w:left w:val="nil"/>
              <w:bottom w:val="single" w:sz="4" w:space="0" w:color="auto"/>
              <w:right w:val="single" w:sz="4" w:space="0" w:color="auto"/>
            </w:tcBorders>
            <w:shd w:val="clear" w:color="auto" w:fill="auto"/>
            <w:vAlign w:val="center"/>
            <w:hideMark/>
          </w:tcPr>
          <w:p w14:paraId="0736863B"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-5,500</w:t>
            </w:r>
          </w:p>
        </w:tc>
        <w:tc>
          <w:tcPr>
            <w:tcW w:w="2328" w:type="dxa"/>
            <w:tcBorders>
              <w:top w:val="nil"/>
              <w:left w:val="nil"/>
              <w:bottom w:val="single" w:sz="4" w:space="0" w:color="auto"/>
              <w:right w:val="single" w:sz="4" w:space="0" w:color="auto"/>
            </w:tcBorders>
            <w:shd w:val="clear" w:color="auto" w:fill="auto"/>
            <w:vAlign w:val="center"/>
            <w:hideMark/>
          </w:tcPr>
          <w:p w14:paraId="51C835B0"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w:t>
            </w:r>
          </w:p>
        </w:tc>
        <w:tc>
          <w:tcPr>
            <w:tcW w:w="1922" w:type="dxa"/>
            <w:tcBorders>
              <w:top w:val="nil"/>
              <w:left w:val="nil"/>
              <w:bottom w:val="single" w:sz="4" w:space="0" w:color="auto"/>
              <w:right w:val="single" w:sz="4" w:space="0" w:color="auto"/>
            </w:tcBorders>
            <w:shd w:val="clear" w:color="auto" w:fill="auto"/>
            <w:vAlign w:val="center"/>
            <w:hideMark/>
          </w:tcPr>
          <w:p w14:paraId="08C079E2"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-5500.00</w:t>
            </w:r>
          </w:p>
        </w:tc>
      </w:tr>
      <w:tr w:rsidR="00A432D8" w:rsidRPr="00A432D8" w14:paraId="02CAB3D4" w14:textId="77777777" w:rsidTr="00A75AAE">
        <w:trPr>
          <w:trHeight w:val="230"/>
          <w:jc w:val="center"/>
        </w:trPr>
        <w:tc>
          <w:tcPr>
            <w:tcW w:w="887" w:type="dxa"/>
            <w:tcBorders>
              <w:top w:val="nil"/>
              <w:left w:val="single" w:sz="4" w:space="0" w:color="auto"/>
              <w:bottom w:val="single" w:sz="4" w:space="0" w:color="auto"/>
              <w:right w:val="single" w:sz="4" w:space="0" w:color="auto"/>
            </w:tcBorders>
            <w:shd w:val="clear" w:color="auto" w:fill="auto"/>
            <w:vAlign w:val="center"/>
            <w:hideMark/>
          </w:tcPr>
          <w:p w14:paraId="21C5E76F"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w:t>
            </w:r>
          </w:p>
        </w:tc>
        <w:tc>
          <w:tcPr>
            <w:tcW w:w="1774" w:type="dxa"/>
            <w:tcBorders>
              <w:top w:val="nil"/>
              <w:left w:val="nil"/>
              <w:bottom w:val="single" w:sz="4" w:space="0" w:color="auto"/>
              <w:right w:val="single" w:sz="4" w:space="0" w:color="auto"/>
            </w:tcBorders>
            <w:shd w:val="clear" w:color="auto" w:fill="auto"/>
            <w:vAlign w:val="center"/>
            <w:hideMark/>
          </w:tcPr>
          <w:p w14:paraId="404C570E"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2,250</w:t>
            </w:r>
          </w:p>
        </w:tc>
        <w:tc>
          <w:tcPr>
            <w:tcW w:w="2328" w:type="dxa"/>
            <w:tcBorders>
              <w:top w:val="nil"/>
              <w:left w:val="nil"/>
              <w:bottom w:val="single" w:sz="4" w:space="0" w:color="auto"/>
              <w:right w:val="single" w:sz="4" w:space="0" w:color="auto"/>
            </w:tcBorders>
            <w:shd w:val="clear" w:color="auto" w:fill="auto"/>
            <w:vAlign w:val="center"/>
            <w:hideMark/>
          </w:tcPr>
          <w:p w14:paraId="4BB483BC"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0.993</w:t>
            </w:r>
          </w:p>
        </w:tc>
        <w:tc>
          <w:tcPr>
            <w:tcW w:w="1922" w:type="dxa"/>
            <w:tcBorders>
              <w:top w:val="nil"/>
              <w:left w:val="nil"/>
              <w:bottom w:val="single" w:sz="4" w:space="0" w:color="auto"/>
              <w:right w:val="single" w:sz="4" w:space="0" w:color="auto"/>
            </w:tcBorders>
            <w:shd w:val="clear" w:color="auto" w:fill="auto"/>
            <w:vAlign w:val="center"/>
            <w:hideMark/>
          </w:tcPr>
          <w:p w14:paraId="672EA05B"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2233.25</w:t>
            </w:r>
          </w:p>
        </w:tc>
      </w:tr>
      <w:tr w:rsidR="00A432D8" w:rsidRPr="00A432D8" w14:paraId="112BF39D" w14:textId="77777777" w:rsidTr="00A75AAE">
        <w:trPr>
          <w:trHeight w:val="230"/>
          <w:jc w:val="center"/>
        </w:trPr>
        <w:tc>
          <w:tcPr>
            <w:tcW w:w="887" w:type="dxa"/>
            <w:tcBorders>
              <w:top w:val="nil"/>
              <w:left w:val="single" w:sz="4" w:space="0" w:color="auto"/>
              <w:bottom w:val="single" w:sz="4" w:space="0" w:color="auto"/>
              <w:right w:val="single" w:sz="4" w:space="0" w:color="auto"/>
            </w:tcBorders>
            <w:shd w:val="clear" w:color="auto" w:fill="auto"/>
            <w:vAlign w:val="center"/>
            <w:hideMark/>
          </w:tcPr>
          <w:p w14:paraId="35618DA7"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2</w:t>
            </w:r>
          </w:p>
        </w:tc>
        <w:tc>
          <w:tcPr>
            <w:tcW w:w="1774" w:type="dxa"/>
            <w:tcBorders>
              <w:top w:val="nil"/>
              <w:left w:val="nil"/>
              <w:bottom w:val="single" w:sz="4" w:space="0" w:color="auto"/>
              <w:right w:val="single" w:sz="4" w:space="0" w:color="auto"/>
            </w:tcBorders>
            <w:shd w:val="clear" w:color="auto" w:fill="auto"/>
            <w:vAlign w:val="center"/>
            <w:hideMark/>
          </w:tcPr>
          <w:p w14:paraId="7A841E00"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1,800</w:t>
            </w:r>
          </w:p>
        </w:tc>
        <w:tc>
          <w:tcPr>
            <w:tcW w:w="2328" w:type="dxa"/>
            <w:tcBorders>
              <w:top w:val="nil"/>
              <w:left w:val="nil"/>
              <w:bottom w:val="single" w:sz="4" w:space="0" w:color="auto"/>
              <w:right w:val="single" w:sz="4" w:space="0" w:color="auto"/>
            </w:tcBorders>
            <w:shd w:val="clear" w:color="auto" w:fill="auto"/>
            <w:vAlign w:val="center"/>
            <w:hideMark/>
          </w:tcPr>
          <w:p w14:paraId="397FF124"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0.985</w:t>
            </w:r>
          </w:p>
        </w:tc>
        <w:tc>
          <w:tcPr>
            <w:tcW w:w="1922" w:type="dxa"/>
            <w:tcBorders>
              <w:top w:val="nil"/>
              <w:left w:val="nil"/>
              <w:bottom w:val="single" w:sz="4" w:space="0" w:color="auto"/>
              <w:right w:val="single" w:sz="4" w:space="0" w:color="auto"/>
            </w:tcBorders>
            <w:shd w:val="clear" w:color="auto" w:fill="auto"/>
            <w:vAlign w:val="center"/>
            <w:hideMark/>
          </w:tcPr>
          <w:p w14:paraId="7C52D7C1"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1773.30</w:t>
            </w:r>
          </w:p>
        </w:tc>
      </w:tr>
      <w:tr w:rsidR="00A432D8" w:rsidRPr="00A432D8" w14:paraId="417D7A9A" w14:textId="77777777" w:rsidTr="00A75AAE">
        <w:trPr>
          <w:trHeight w:val="230"/>
          <w:jc w:val="center"/>
        </w:trPr>
        <w:tc>
          <w:tcPr>
            <w:tcW w:w="887" w:type="dxa"/>
            <w:tcBorders>
              <w:top w:val="nil"/>
              <w:left w:val="single" w:sz="4" w:space="0" w:color="auto"/>
              <w:bottom w:val="single" w:sz="4" w:space="0" w:color="auto"/>
              <w:right w:val="single" w:sz="4" w:space="0" w:color="auto"/>
            </w:tcBorders>
            <w:shd w:val="clear" w:color="auto" w:fill="auto"/>
            <w:vAlign w:val="center"/>
            <w:hideMark/>
          </w:tcPr>
          <w:p w14:paraId="5E2D821C"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3</w:t>
            </w:r>
          </w:p>
        </w:tc>
        <w:tc>
          <w:tcPr>
            <w:tcW w:w="1774" w:type="dxa"/>
            <w:tcBorders>
              <w:top w:val="nil"/>
              <w:left w:val="nil"/>
              <w:bottom w:val="single" w:sz="4" w:space="0" w:color="auto"/>
              <w:right w:val="single" w:sz="4" w:space="0" w:color="auto"/>
            </w:tcBorders>
            <w:shd w:val="clear" w:color="auto" w:fill="auto"/>
            <w:vAlign w:val="center"/>
            <w:hideMark/>
          </w:tcPr>
          <w:p w14:paraId="12E54F3B"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900</w:t>
            </w:r>
          </w:p>
        </w:tc>
        <w:tc>
          <w:tcPr>
            <w:tcW w:w="2328" w:type="dxa"/>
            <w:tcBorders>
              <w:top w:val="nil"/>
              <w:left w:val="nil"/>
              <w:bottom w:val="single" w:sz="4" w:space="0" w:color="auto"/>
              <w:right w:val="single" w:sz="4" w:space="0" w:color="auto"/>
            </w:tcBorders>
            <w:shd w:val="clear" w:color="auto" w:fill="auto"/>
            <w:vAlign w:val="center"/>
            <w:hideMark/>
          </w:tcPr>
          <w:p w14:paraId="021D42DC"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0.978</w:t>
            </w:r>
          </w:p>
        </w:tc>
        <w:tc>
          <w:tcPr>
            <w:tcW w:w="1922" w:type="dxa"/>
            <w:tcBorders>
              <w:top w:val="nil"/>
              <w:left w:val="nil"/>
              <w:bottom w:val="single" w:sz="4" w:space="0" w:color="auto"/>
              <w:right w:val="single" w:sz="4" w:space="0" w:color="auto"/>
            </w:tcBorders>
            <w:shd w:val="clear" w:color="auto" w:fill="auto"/>
            <w:vAlign w:val="center"/>
            <w:hideMark/>
          </w:tcPr>
          <w:p w14:paraId="379A9CC8"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880.05</w:t>
            </w:r>
          </w:p>
        </w:tc>
      </w:tr>
      <w:tr w:rsidR="00A432D8" w:rsidRPr="00A432D8" w14:paraId="1EDE03E1" w14:textId="77777777" w:rsidTr="00A75AAE">
        <w:trPr>
          <w:trHeight w:val="230"/>
          <w:jc w:val="center"/>
        </w:trPr>
        <w:tc>
          <w:tcPr>
            <w:tcW w:w="887" w:type="dxa"/>
            <w:tcBorders>
              <w:top w:val="nil"/>
              <w:left w:val="single" w:sz="4" w:space="0" w:color="auto"/>
              <w:bottom w:val="single" w:sz="4" w:space="0" w:color="auto"/>
              <w:right w:val="single" w:sz="4" w:space="0" w:color="auto"/>
            </w:tcBorders>
            <w:shd w:val="clear" w:color="auto" w:fill="auto"/>
            <w:vAlign w:val="center"/>
            <w:hideMark/>
          </w:tcPr>
          <w:p w14:paraId="05D53D8A"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4</w:t>
            </w:r>
          </w:p>
        </w:tc>
        <w:tc>
          <w:tcPr>
            <w:tcW w:w="1774" w:type="dxa"/>
            <w:tcBorders>
              <w:top w:val="nil"/>
              <w:left w:val="nil"/>
              <w:bottom w:val="single" w:sz="4" w:space="0" w:color="auto"/>
              <w:right w:val="single" w:sz="4" w:space="0" w:color="auto"/>
            </w:tcBorders>
            <w:shd w:val="clear" w:color="auto" w:fill="auto"/>
            <w:vAlign w:val="center"/>
            <w:hideMark/>
          </w:tcPr>
          <w:p w14:paraId="60A69792"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-398</w:t>
            </w:r>
          </w:p>
        </w:tc>
        <w:tc>
          <w:tcPr>
            <w:tcW w:w="2328" w:type="dxa"/>
            <w:tcBorders>
              <w:top w:val="nil"/>
              <w:left w:val="nil"/>
              <w:bottom w:val="single" w:sz="4" w:space="0" w:color="auto"/>
              <w:right w:val="single" w:sz="4" w:space="0" w:color="auto"/>
            </w:tcBorders>
            <w:shd w:val="clear" w:color="auto" w:fill="auto"/>
            <w:vAlign w:val="center"/>
            <w:hideMark/>
          </w:tcPr>
          <w:p w14:paraId="72119DF8"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0.971</w:t>
            </w:r>
          </w:p>
        </w:tc>
        <w:tc>
          <w:tcPr>
            <w:tcW w:w="1922" w:type="dxa"/>
            <w:tcBorders>
              <w:top w:val="nil"/>
              <w:left w:val="nil"/>
              <w:bottom w:val="single" w:sz="4" w:space="0" w:color="auto"/>
              <w:right w:val="single" w:sz="4" w:space="0" w:color="auto"/>
            </w:tcBorders>
            <w:shd w:val="clear" w:color="auto" w:fill="auto"/>
            <w:vAlign w:val="center"/>
            <w:hideMark/>
          </w:tcPr>
          <w:p w14:paraId="28E61C72"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-386.09</w:t>
            </w:r>
          </w:p>
        </w:tc>
      </w:tr>
      <w:tr w:rsidR="00A432D8" w:rsidRPr="00A432D8" w14:paraId="735FCC9B" w14:textId="77777777" w:rsidTr="00A75AAE">
        <w:trPr>
          <w:trHeight w:val="230"/>
          <w:jc w:val="center"/>
        </w:trPr>
        <w:tc>
          <w:tcPr>
            <w:tcW w:w="499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786A2" w14:textId="77777777" w:rsidR="00A432D8" w:rsidRPr="00A432D8" w:rsidRDefault="00A432D8" w:rsidP="00836881">
            <w:pPr>
              <w:spacing w:after="0" w:line="276" w:lineRule="auto"/>
              <w:jc w:val="right"/>
              <w:rPr>
                <w:rFonts w:eastAsia="Times New Roman" w:cs="Times New Roman"/>
                <w:i/>
                <w:iCs/>
                <w:color w:val="000000"/>
                <w:szCs w:val="24"/>
              </w:rPr>
            </w:pPr>
            <w:r w:rsidRPr="00A432D8">
              <w:rPr>
                <w:rFonts w:eastAsia="Times New Roman" w:cs="Times New Roman"/>
                <w:i/>
                <w:iCs/>
                <w:color w:val="000000"/>
                <w:szCs w:val="24"/>
              </w:rPr>
              <w:t>NPV</w:t>
            </w:r>
          </w:p>
        </w:tc>
        <w:tc>
          <w:tcPr>
            <w:tcW w:w="1922" w:type="dxa"/>
            <w:tcBorders>
              <w:top w:val="nil"/>
              <w:left w:val="nil"/>
              <w:bottom w:val="single" w:sz="4" w:space="0" w:color="auto"/>
              <w:right w:val="single" w:sz="4" w:space="0" w:color="auto"/>
            </w:tcBorders>
            <w:shd w:val="clear" w:color="auto" w:fill="auto"/>
            <w:vAlign w:val="center"/>
            <w:hideMark/>
          </w:tcPr>
          <w:p w14:paraId="4104E206" w14:textId="77777777" w:rsidR="00A432D8" w:rsidRPr="00A432D8" w:rsidRDefault="00A432D8" w:rsidP="00836881">
            <w:pPr>
              <w:spacing w:after="0" w:line="276" w:lineRule="auto"/>
              <w:jc w:val="right"/>
              <w:rPr>
                <w:rFonts w:eastAsia="Times New Roman" w:cs="Times New Roman"/>
                <w:b/>
                <w:bCs/>
                <w:i/>
                <w:iCs/>
                <w:color w:val="000000"/>
                <w:szCs w:val="24"/>
              </w:rPr>
            </w:pPr>
            <w:r w:rsidRPr="00A432D8">
              <w:rPr>
                <w:rFonts w:eastAsia="Times New Roman" w:cs="Times New Roman"/>
                <w:b/>
                <w:bCs/>
                <w:i/>
                <w:iCs/>
                <w:color w:val="000000"/>
                <w:szCs w:val="24"/>
              </w:rPr>
              <w:t>-999.49</w:t>
            </w:r>
          </w:p>
        </w:tc>
      </w:tr>
    </w:tbl>
    <w:p w14:paraId="3D393AA3" w14:textId="240D518A" w:rsidR="00A432D8" w:rsidRPr="00870E67" w:rsidRDefault="00A432D8" w:rsidP="00A75AAE">
      <w:pPr>
        <w:pStyle w:val="Caption"/>
        <w:jc w:val="center"/>
        <w:rPr>
          <w:sz w:val="24"/>
        </w:rPr>
      </w:pPr>
      <w:bookmarkStart w:id="41" w:name="_Toc164386823"/>
      <w:r>
        <w:t xml:space="preserve">Table </w:t>
      </w:r>
      <w:fldSimple w:instr=" SEQ Table \* ARABIC ">
        <w:r w:rsidR="00A75AAE">
          <w:rPr>
            <w:noProof/>
          </w:rPr>
          <w:t>13</w:t>
        </w:r>
      </w:fldSimple>
      <w:r>
        <w:t xml:space="preserve"> Adjusted NPV of Project A</w:t>
      </w:r>
      <w:bookmarkEnd w:id="41"/>
    </w:p>
    <w:p w14:paraId="578B6172" w14:textId="77777777" w:rsidR="00A432D8" w:rsidRDefault="00A432D8" w:rsidP="00A432D8">
      <w:pPr>
        <w:spacing w:after="0" w:line="276" w:lineRule="auto"/>
        <w:rPr>
          <w:rFonts w:eastAsia="Times New Roman" w:cstheme="minorHAnsi"/>
          <w:szCs w:val="24"/>
        </w:rPr>
      </w:pPr>
      <w:r>
        <w:rPr>
          <w:rFonts w:eastAsia="Times New Roman" w:cstheme="minorHAnsi"/>
          <w:szCs w:val="24"/>
        </w:rPr>
        <w:lastRenderedPageBreak/>
        <w:t>Project B:</w:t>
      </w:r>
    </w:p>
    <w:tbl>
      <w:tblPr>
        <w:tblW w:w="7480" w:type="dxa"/>
        <w:tblLook w:val="04A0" w:firstRow="1" w:lastRow="0" w:firstColumn="1" w:lastColumn="0" w:noHBand="0" w:noVBand="1"/>
      </w:tblPr>
      <w:tblGrid>
        <w:gridCol w:w="960"/>
        <w:gridCol w:w="1920"/>
        <w:gridCol w:w="2520"/>
        <w:gridCol w:w="2080"/>
      </w:tblGrid>
      <w:tr w:rsidR="00A432D8" w:rsidRPr="00A432D8" w14:paraId="0104F47E" w14:textId="77777777" w:rsidTr="00836881">
        <w:trPr>
          <w:trHeight w:val="74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63147"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Year</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14:paraId="693D229E"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Projected Cashflow</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6965FF95"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 xml:space="preserve">Discount Factor ( 0.75%)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090ADE75"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Present Value</w:t>
            </w:r>
          </w:p>
        </w:tc>
      </w:tr>
      <w:tr w:rsidR="00A432D8" w:rsidRPr="00A432D8" w14:paraId="7B2F5589"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6242BEA"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w:t>
            </w:r>
          </w:p>
        </w:tc>
        <w:tc>
          <w:tcPr>
            <w:tcW w:w="1920" w:type="dxa"/>
            <w:tcBorders>
              <w:top w:val="nil"/>
              <w:left w:val="nil"/>
              <w:bottom w:val="single" w:sz="4" w:space="0" w:color="auto"/>
              <w:right w:val="single" w:sz="4" w:space="0" w:color="auto"/>
            </w:tcBorders>
            <w:shd w:val="clear" w:color="auto" w:fill="auto"/>
            <w:vAlign w:val="center"/>
            <w:hideMark/>
          </w:tcPr>
          <w:p w14:paraId="24B574F2"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-1,100</w:t>
            </w:r>
          </w:p>
        </w:tc>
        <w:tc>
          <w:tcPr>
            <w:tcW w:w="2520" w:type="dxa"/>
            <w:tcBorders>
              <w:top w:val="nil"/>
              <w:left w:val="nil"/>
              <w:bottom w:val="single" w:sz="4" w:space="0" w:color="auto"/>
              <w:right w:val="single" w:sz="4" w:space="0" w:color="auto"/>
            </w:tcBorders>
            <w:shd w:val="clear" w:color="auto" w:fill="auto"/>
            <w:vAlign w:val="center"/>
            <w:hideMark/>
          </w:tcPr>
          <w:p w14:paraId="60542B0C"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w:t>
            </w:r>
          </w:p>
        </w:tc>
        <w:tc>
          <w:tcPr>
            <w:tcW w:w="2080" w:type="dxa"/>
            <w:tcBorders>
              <w:top w:val="nil"/>
              <w:left w:val="nil"/>
              <w:bottom w:val="single" w:sz="4" w:space="0" w:color="auto"/>
              <w:right w:val="single" w:sz="4" w:space="0" w:color="auto"/>
            </w:tcBorders>
            <w:shd w:val="clear" w:color="auto" w:fill="auto"/>
            <w:vAlign w:val="center"/>
            <w:hideMark/>
          </w:tcPr>
          <w:p w14:paraId="180461F9"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-1100.00</w:t>
            </w:r>
          </w:p>
        </w:tc>
      </w:tr>
      <w:tr w:rsidR="00A432D8" w:rsidRPr="00A432D8" w14:paraId="3662C5D1"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1F15EEE"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w:t>
            </w:r>
          </w:p>
        </w:tc>
        <w:tc>
          <w:tcPr>
            <w:tcW w:w="1920" w:type="dxa"/>
            <w:tcBorders>
              <w:top w:val="nil"/>
              <w:left w:val="nil"/>
              <w:bottom w:val="single" w:sz="4" w:space="0" w:color="auto"/>
              <w:right w:val="single" w:sz="4" w:space="0" w:color="auto"/>
            </w:tcBorders>
            <w:shd w:val="clear" w:color="auto" w:fill="auto"/>
            <w:vAlign w:val="center"/>
            <w:hideMark/>
          </w:tcPr>
          <w:p w14:paraId="03D3BB8A"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1,350</w:t>
            </w:r>
          </w:p>
        </w:tc>
        <w:tc>
          <w:tcPr>
            <w:tcW w:w="2520" w:type="dxa"/>
            <w:tcBorders>
              <w:top w:val="nil"/>
              <w:left w:val="nil"/>
              <w:bottom w:val="single" w:sz="4" w:space="0" w:color="auto"/>
              <w:right w:val="single" w:sz="4" w:space="0" w:color="auto"/>
            </w:tcBorders>
            <w:shd w:val="clear" w:color="auto" w:fill="auto"/>
            <w:vAlign w:val="center"/>
            <w:hideMark/>
          </w:tcPr>
          <w:p w14:paraId="6CCE3FE6"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0.993</w:t>
            </w:r>
          </w:p>
        </w:tc>
        <w:tc>
          <w:tcPr>
            <w:tcW w:w="2080" w:type="dxa"/>
            <w:tcBorders>
              <w:top w:val="nil"/>
              <w:left w:val="nil"/>
              <w:bottom w:val="single" w:sz="4" w:space="0" w:color="auto"/>
              <w:right w:val="single" w:sz="4" w:space="0" w:color="auto"/>
            </w:tcBorders>
            <w:shd w:val="clear" w:color="auto" w:fill="auto"/>
            <w:vAlign w:val="center"/>
            <w:hideMark/>
          </w:tcPr>
          <w:p w14:paraId="3F763F2F"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1339.95</w:t>
            </w:r>
          </w:p>
        </w:tc>
      </w:tr>
      <w:tr w:rsidR="00A432D8" w:rsidRPr="00A432D8" w14:paraId="217B8F56"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64BB14E"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2</w:t>
            </w:r>
          </w:p>
        </w:tc>
        <w:tc>
          <w:tcPr>
            <w:tcW w:w="1920" w:type="dxa"/>
            <w:tcBorders>
              <w:top w:val="nil"/>
              <w:left w:val="nil"/>
              <w:bottom w:val="single" w:sz="4" w:space="0" w:color="auto"/>
              <w:right w:val="single" w:sz="4" w:space="0" w:color="auto"/>
            </w:tcBorders>
            <w:shd w:val="clear" w:color="auto" w:fill="auto"/>
            <w:vAlign w:val="center"/>
            <w:hideMark/>
          </w:tcPr>
          <w:p w14:paraId="20DDB0AA"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900</w:t>
            </w:r>
          </w:p>
        </w:tc>
        <w:tc>
          <w:tcPr>
            <w:tcW w:w="2520" w:type="dxa"/>
            <w:tcBorders>
              <w:top w:val="nil"/>
              <w:left w:val="nil"/>
              <w:bottom w:val="single" w:sz="4" w:space="0" w:color="auto"/>
              <w:right w:val="single" w:sz="4" w:space="0" w:color="auto"/>
            </w:tcBorders>
            <w:shd w:val="clear" w:color="auto" w:fill="auto"/>
            <w:vAlign w:val="center"/>
            <w:hideMark/>
          </w:tcPr>
          <w:p w14:paraId="73CF2D7D"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0.985</w:t>
            </w:r>
          </w:p>
        </w:tc>
        <w:tc>
          <w:tcPr>
            <w:tcW w:w="2080" w:type="dxa"/>
            <w:tcBorders>
              <w:top w:val="nil"/>
              <w:left w:val="nil"/>
              <w:bottom w:val="single" w:sz="4" w:space="0" w:color="auto"/>
              <w:right w:val="single" w:sz="4" w:space="0" w:color="auto"/>
            </w:tcBorders>
            <w:shd w:val="clear" w:color="auto" w:fill="auto"/>
            <w:vAlign w:val="center"/>
            <w:hideMark/>
          </w:tcPr>
          <w:p w14:paraId="6E111C67"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886.65</w:t>
            </w:r>
          </w:p>
        </w:tc>
      </w:tr>
      <w:tr w:rsidR="00A432D8" w:rsidRPr="00A432D8" w14:paraId="6D46A5C9"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C3689B8"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3</w:t>
            </w:r>
          </w:p>
        </w:tc>
        <w:tc>
          <w:tcPr>
            <w:tcW w:w="1920" w:type="dxa"/>
            <w:tcBorders>
              <w:top w:val="nil"/>
              <w:left w:val="nil"/>
              <w:bottom w:val="single" w:sz="4" w:space="0" w:color="auto"/>
              <w:right w:val="single" w:sz="4" w:space="0" w:color="auto"/>
            </w:tcBorders>
            <w:shd w:val="clear" w:color="auto" w:fill="auto"/>
            <w:vAlign w:val="center"/>
            <w:hideMark/>
          </w:tcPr>
          <w:p w14:paraId="734E2983"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900</w:t>
            </w:r>
          </w:p>
        </w:tc>
        <w:tc>
          <w:tcPr>
            <w:tcW w:w="2520" w:type="dxa"/>
            <w:tcBorders>
              <w:top w:val="nil"/>
              <w:left w:val="nil"/>
              <w:bottom w:val="single" w:sz="4" w:space="0" w:color="auto"/>
              <w:right w:val="single" w:sz="4" w:space="0" w:color="auto"/>
            </w:tcBorders>
            <w:shd w:val="clear" w:color="auto" w:fill="auto"/>
            <w:vAlign w:val="center"/>
            <w:hideMark/>
          </w:tcPr>
          <w:p w14:paraId="189B8658"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0.978</w:t>
            </w:r>
          </w:p>
        </w:tc>
        <w:tc>
          <w:tcPr>
            <w:tcW w:w="2080" w:type="dxa"/>
            <w:tcBorders>
              <w:top w:val="nil"/>
              <w:left w:val="nil"/>
              <w:bottom w:val="single" w:sz="4" w:space="0" w:color="auto"/>
              <w:right w:val="single" w:sz="4" w:space="0" w:color="auto"/>
            </w:tcBorders>
            <w:shd w:val="clear" w:color="auto" w:fill="auto"/>
            <w:vAlign w:val="center"/>
            <w:hideMark/>
          </w:tcPr>
          <w:p w14:paraId="217DAC45"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880.05</w:t>
            </w:r>
          </w:p>
        </w:tc>
      </w:tr>
      <w:tr w:rsidR="00A432D8" w:rsidRPr="00A432D8" w14:paraId="01D3A39F" w14:textId="77777777" w:rsidTr="00836881">
        <w:trPr>
          <w:trHeight w:val="3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A52FE3D"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4</w:t>
            </w:r>
          </w:p>
        </w:tc>
        <w:tc>
          <w:tcPr>
            <w:tcW w:w="1920" w:type="dxa"/>
            <w:tcBorders>
              <w:top w:val="nil"/>
              <w:left w:val="nil"/>
              <w:bottom w:val="single" w:sz="4" w:space="0" w:color="auto"/>
              <w:right w:val="single" w:sz="4" w:space="0" w:color="auto"/>
            </w:tcBorders>
            <w:shd w:val="clear" w:color="auto" w:fill="auto"/>
            <w:vAlign w:val="center"/>
            <w:hideMark/>
          </w:tcPr>
          <w:p w14:paraId="6CF04B7D" w14:textId="77777777" w:rsidR="00A432D8" w:rsidRPr="00A432D8" w:rsidRDefault="00A432D8" w:rsidP="00836881">
            <w:pPr>
              <w:spacing w:after="0" w:line="276" w:lineRule="auto"/>
              <w:jc w:val="center"/>
              <w:rPr>
                <w:rFonts w:eastAsia="Times New Roman" w:cs="Times New Roman"/>
                <w:color w:val="000000"/>
                <w:szCs w:val="24"/>
              </w:rPr>
            </w:pPr>
            <w:r w:rsidRPr="00A432D8">
              <w:rPr>
                <w:rFonts w:eastAsia="Times New Roman" w:cs="Times New Roman"/>
                <w:color w:val="000000"/>
                <w:szCs w:val="24"/>
              </w:rPr>
              <w:t>-423</w:t>
            </w:r>
          </w:p>
        </w:tc>
        <w:tc>
          <w:tcPr>
            <w:tcW w:w="2520" w:type="dxa"/>
            <w:tcBorders>
              <w:top w:val="nil"/>
              <w:left w:val="nil"/>
              <w:bottom w:val="single" w:sz="4" w:space="0" w:color="auto"/>
              <w:right w:val="single" w:sz="4" w:space="0" w:color="auto"/>
            </w:tcBorders>
            <w:shd w:val="clear" w:color="auto" w:fill="auto"/>
            <w:vAlign w:val="center"/>
            <w:hideMark/>
          </w:tcPr>
          <w:p w14:paraId="598CF8BD"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0.971</w:t>
            </w:r>
          </w:p>
        </w:tc>
        <w:tc>
          <w:tcPr>
            <w:tcW w:w="2080" w:type="dxa"/>
            <w:tcBorders>
              <w:top w:val="nil"/>
              <w:left w:val="nil"/>
              <w:bottom w:val="single" w:sz="4" w:space="0" w:color="auto"/>
              <w:right w:val="single" w:sz="4" w:space="0" w:color="auto"/>
            </w:tcBorders>
            <w:shd w:val="clear" w:color="auto" w:fill="auto"/>
            <w:vAlign w:val="center"/>
            <w:hideMark/>
          </w:tcPr>
          <w:p w14:paraId="102F4E18" w14:textId="77777777" w:rsidR="00A432D8" w:rsidRPr="00A432D8" w:rsidRDefault="00A432D8" w:rsidP="00836881">
            <w:pPr>
              <w:spacing w:after="0" w:line="276" w:lineRule="auto"/>
              <w:jc w:val="right"/>
              <w:rPr>
                <w:rFonts w:eastAsia="Times New Roman" w:cs="Times New Roman"/>
                <w:color w:val="000000"/>
                <w:szCs w:val="24"/>
              </w:rPr>
            </w:pPr>
            <w:r w:rsidRPr="00A432D8">
              <w:rPr>
                <w:rFonts w:eastAsia="Times New Roman" w:cs="Times New Roman"/>
                <w:color w:val="000000"/>
                <w:szCs w:val="24"/>
              </w:rPr>
              <w:t>-410.54</w:t>
            </w:r>
          </w:p>
        </w:tc>
      </w:tr>
      <w:tr w:rsidR="00A432D8" w:rsidRPr="00A432D8" w14:paraId="7BE6816E" w14:textId="77777777" w:rsidTr="00836881">
        <w:trPr>
          <w:trHeight w:val="312"/>
        </w:trPr>
        <w:tc>
          <w:tcPr>
            <w:tcW w:w="54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8C761" w14:textId="77777777" w:rsidR="00A432D8" w:rsidRPr="00A432D8" w:rsidRDefault="00A432D8" w:rsidP="00836881">
            <w:pPr>
              <w:spacing w:after="0" w:line="276" w:lineRule="auto"/>
              <w:jc w:val="right"/>
              <w:rPr>
                <w:rFonts w:eastAsia="Times New Roman" w:cs="Times New Roman"/>
                <w:i/>
                <w:iCs/>
                <w:color w:val="000000"/>
                <w:szCs w:val="24"/>
              </w:rPr>
            </w:pPr>
            <w:r w:rsidRPr="00A432D8">
              <w:rPr>
                <w:rFonts w:eastAsia="Times New Roman" w:cs="Times New Roman"/>
                <w:i/>
                <w:iCs/>
                <w:color w:val="000000"/>
                <w:szCs w:val="24"/>
              </w:rPr>
              <w:t>NPV</w:t>
            </w:r>
          </w:p>
        </w:tc>
        <w:tc>
          <w:tcPr>
            <w:tcW w:w="2080" w:type="dxa"/>
            <w:tcBorders>
              <w:top w:val="nil"/>
              <w:left w:val="nil"/>
              <w:bottom w:val="single" w:sz="4" w:space="0" w:color="auto"/>
              <w:right w:val="single" w:sz="4" w:space="0" w:color="auto"/>
            </w:tcBorders>
            <w:shd w:val="clear" w:color="auto" w:fill="auto"/>
            <w:vAlign w:val="center"/>
            <w:hideMark/>
          </w:tcPr>
          <w:p w14:paraId="3045AC0F" w14:textId="77777777" w:rsidR="00A432D8" w:rsidRPr="00A432D8" w:rsidRDefault="00A432D8" w:rsidP="00836881">
            <w:pPr>
              <w:spacing w:after="0" w:line="276" w:lineRule="auto"/>
              <w:jc w:val="right"/>
              <w:rPr>
                <w:rFonts w:eastAsia="Times New Roman" w:cs="Times New Roman"/>
                <w:b/>
                <w:bCs/>
                <w:i/>
                <w:iCs/>
                <w:color w:val="000000"/>
                <w:szCs w:val="24"/>
              </w:rPr>
            </w:pPr>
            <w:r w:rsidRPr="00A432D8">
              <w:rPr>
                <w:rFonts w:eastAsia="Times New Roman" w:cs="Times New Roman"/>
                <w:b/>
                <w:bCs/>
                <w:i/>
                <w:iCs/>
                <w:color w:val="000000"/>
                <w:szCs w:val="24"/>
              </w:rPr>
              <w:t>1596.11</w:t>
            </w:r>
          </w:p>
        </w:tc>
      </w:tr>
    </w:tbl>
    <w:p w14:paraId="55004BD3" w14:textId="1AC7F423" w:rsidR="00A432D8" w:rsidRDefault="00A432D8" w:rsidP="00A75AAE">
      <w:pPr>
        <w:pStyle w:val="Caption"/>
        <w:jc w:val="center"/>
        <w:rPr>
          <w:rFonts w:ascii="Calibri" w:eastAsia="Times New Roman" w:hAnsi="Calibri" w:cs="Calibri"/>
          <w:sz w:val="24"/>
          <w:szCs w:val="24"/>
        </w:rPr>
      </w:pPr>
      <w:bookmarkStart w:id="42" w:name="_Toc164386824"/>
      <w:r>
        <w:t xml:space="preserve">Table </w:t>
      </w:r>
      <w:fldSimple w:instr=" SEQ Table \* ARABIC ">
        <w:r w:rsidR="00A75AAE">
          <w:rPr>
            <w:noProof/>
          </w:rPr>
          <w:t>14</w:t>
        </w:r>
      </w:fldSimple>
      <w:r>
        <w:t xml:space="preserve"> Adjusted NPV of Project B</w:t>
      </w:r>
      <w:bookmarkEnd w:id="42"/>
    </w:p>
    <w:p w14:paraId="0769C907" w14:textId="77777777" w:rsidR="00A432D8" w:rsidRPr="00264FA5" w:rsidRDefault="00A432D8" w:rsidP="00DD7479">
      <w:r w:rsidRPr="00264FA5">
        <w:t>The net present value of Projects A and B is significantly affected by the adjustment of increasing initial investments by 10% and reducing all cash flows by 10%.  The initial expenditure adjustment for Project A, which was made from -5,000 to -5,500, lowers the project's economic condition and ends in a negative net present value of -999.49 million. This is only made worse by the decreasing cash flows, which decrease by 10% yearly. This modification reflects a more negative view of the project's financial achievement. The greater the initial investment the negative effect on the project's overall value even though the cash flows are less. As a result, the project appears to be sustainable, indicating that the greater expenses and lesser cash flows do not support its profitability. Project B, on the other hand, maintains its positive net present value despite the changed initial investment and cash flows</w:t>
      </w:r>
      <w:r w:rsidRPr="00E90C36">
        <w:t xml:space="preserve"> (Samsudin, 2017)</w:t>
      </w:r>
      <w:r w:rsidRPr="00264FA5">
        <w:t>. The project's net present value, or NPV, is still favourable at 1596.11 million even with the 10% decrease in cash flows. This indicates that despite the modifications, Project B is still useful. The project's viability is demonstrated by the positive net present value, demonstrating that the advantages still exceed expenditures.</w:t>
      </w:r>
    </w:p>
    <w:p w14:paraId="0051D030" w14:textId="77777777" w:rsidR="00A432D8" w:rsidRDefault="00A432D8" w:rsidP="00DD7479">
      <w:pPr>
        <w:rPr>
          <w:rFonts w:cstheme="minorHAnsi"/>
        </w:rPr>
      </w:pPr>
      <w:r w:rsidRPr="00264FA5">
        <w:rPr>
          <w:rFonts w:cstheme="minorHAnsi"/>
        </w:rPr>
        <w:t>The changes demonstrate how susceptible NPV is to changes in initial investments and cash flows. Project B maintains its positive NPV, demonstrating opposition to the changes, while Project A's negative NPV renders it economically unviable. Since small modifications can have significant impacts on the project's financial viability and feasibility, this analysis highlights the importance of thorough examination and sensitivity analysis in making investment choices.</w:t>
      </w:r>
    </w:p>
    <w:p w14:paraId="5DAC6F38" w14:textId="77777777" w:rsidR="00A432D8" w:rsidRDefault="00A432D8" w:rsidP="00E011FA">
      <w:pPr>
        <w:pStyle w:val="Heading2"/>
        <w:rPr>
          <w:rFonts w:eastAsia="Times New Roman"/>
        </w:rPr>
      </w:pPr>
      <w:bookmarkStart w:id="43" w:name="_Toc164387963"/>
      <w:r>
        <w:rPr>
          <w:rFonts w:eastAsia="Times New Roman"/>
        </w:rPr>
        <w:t>Advantages and shortcomings of PBP, ARR and NPV</w:t>
      </w:r>
      <w:bookmarkEnd w:id="43"/>
    </w:p>
    <w:p w14:paraId="3B339083" w14:textId="58C75DF7" w:rsidR="00A432D8" w:rsidRPr="00A432D8" w:rsidRDefault="00A432D8" w:rsidP="00DD7479">
      <w:pPr>
        <w:rPr>
          <w:rFonts w:cs="Times New Roman"/>
        </w:rPr>
      </w:pPr>
      <w:r w:rsidRPr="00A432D8">
        <w:rPr>
          <w:rFonts w:cs="Times New Roman"/>
        </w:rPr>
        <w:t xml:space="preserve">The Payback Period is an excellent instrument for quick evaluations since it is </w:t>
      </w:r>
      <w:r>
        <w:rPr>
          <w:rFonts w:cs="Times New Roman"/>
        </w:rPr>
        <w:t>straightforward</w:t>
      </w:r>
      <w:r w:rsidRPr="00A432D8">
        <w:rPr>
          <w:rFonts w:cs="Times New Roman"/>
        </w:rPr>
        <w:t xml:space="preserve"> to understand. Managers who value liquidity and risk aversion will find it attractive due to its focus on the time needed for recovering initial investments. PBP, on the other hand, excludes cash flows that take place after the payback period, hence ignoring the project's overall </w:t>
      </w:r>
      <w:r w:rsidRPr="00A432D8">
        <w:rPr>
          <w:rFonts w:cs="Times New Roman"/>
        </w:rPr>
        <w:lastRenderedPageBreak/>
        <w:t>profitability as well as the value of money. Due to this restriction, projects with unfavourable</w:t>
      </w:r>
      <w:r w:rsidR="004C3F7D">
        <w:rPr>
          <w:rFonts w:cs="Times New Roman"/>
        </w:rPr>
        <w:t xml:space="preserve"> </w:t>
      </w:r>
      <w:r w:rsidRPr="00A432D8">
        <w:rPr>
          <w:rFonts w:cs="Times New Roman"/>
        </w:rPr>
        <w:t>prospects may be permitted</w:t>
      </w:r>
      <w:r w:rsidR="000629FE">
        <w:rPr>
          <w:rFonts w:cs="Times New Roman"/>
        </w:rPr>
        <w:t xml:space="preserve"> </w:t>
      </w:r>
      <w:r w:rsidR="000629FE" w:rsidRPr="000629FE">
        <w:rPr>
          <w:rFonts w:cs="Times New Roman"/>
        </w:rPr>
        <w:t>(Yasrebi, Hezarkhani and Afzal, 2017)</w:t>
      </w:r>
      <w:r w:rsidRPr="00A432D8">
        <w:rPr>
          <w:rFonts w:cs="Times New Roman"/>
        </w:rPr>
        <w:t xml:space="preserve">. </w:t>
      </w:r>
    </w:p>
    <w:p w14:paraId="443BB94C" w14:textId="53A494E3" w:rsidR="00A432D8" w:rsidRPr="00A432D8" w:rsidRDefault="00A432D8" w:rsidP="00DD7479">
      <w:pPr>
        <w:rPr>
          <w:rFonts w:cs="Times New Roman"/>
        </w:rPr>
      </w:pPr>
      <w:r w:rsidRPr="00A432D8">
        <w:rPr>
          <w:rFonts w:cs="Times New Roman"/>
        </w:rPr>
        <w:t xml:space="preserve">Accounting Rate of Return facilitates comparison to accounting data by providing a simple way to evaluate </w:t>
      </w:r>
      <w:r w:rsidR="004C3F7D">
        <w:rPr>
          <w:rFonts w:cs="Times New Roman"/>
        </w:rPr>
        <w:t xml:space="preserve">the </w:t>
      </w:r>
      <w:r w:rsidRPr="00A432D8">
        <w:rPr>
          <w:rFonts w:cs="Times New Roman"/>
        </w:rPr>
        <w:t xml:space="preserve">profitability </w:t>
      </w:r>
      <w:r w:rsidR="004F0304">
        <w:rPr>
          <w:rFonts w:cs="Times New Roman"/>
        </w:rPr>
        <w:t>of</w:t>
      </w:r>
      <w:r w:rsidRPr="00A432D8">
        <w:rPr>
          <w:rFonts w:cs="Times New Roman"/>
        </w:rPr>
        <w:t xml:space="preserve"> the initial expenditures. It is available to non-financial stakeholders due to its simplicity in computation and comprehension. The viability of a project may be compromised by ARR's emphasis on accounting profits rather than cash flows, especially when depreciation techniques vary</w:t>
      </w:r>
      <w:r w:rsidR="006B4B63">
        <w:rPr>
          <w:rFonts w:cs="Times New Roman"/>
        </w:rPr>
        <w:t xml:space="preserve"> </w:t>
      </w:r>
      <w:r w:rsidR="006B4B63" w:rsidRPr="006B4B63">
        <w:rPr>
          <w:rFonts w:cs="Times New Roman"/>
        </w:rPr>
        <w:t>(Savvides, 2020)</w:t>
      </w:r>
      <w:r w:rsidRPr="00A432D8">
        <w:rPr>
          <w:rFonts w:cs="Times New Roman"/>
        </w:rPr>
        <w:t>. ARR additionally disregards cash flow timing and the time value of money, resulting in incorrect investment assessments. Future cash flows are reduced to present value for calculating Net Present Value, which incorporates the time value of money. It offers a thorough assessment of project profitability by taking into account all pertinent cash flows. NPV provides clear guidelines for decision-making and is consistent with increasing the wealth of shareholders. However, NPV necessitates accurate cash flow forecasts and an established discount rate, both of which are prone to partiality and inaccurate information. Additionally, due to discounting, NPV could underestimate longer-term efforts, potentially favouring short-term endeavours</w:t>
      </w:r>
      <w:r w:rsidR="001726A7">
        <w:rPr>
          <w:rFonts w:cs="Times New Roman"/>
        </w:rPr>
        <w:t xml:space="preserve"> </w:t>
      </w:r>
      <w:r w:rsidR="001726A7" w:rsidRPr="001726A7">
        <w:rPr>
          <w:rFonts w:cs="Times New Roman"/>
        </w:rPr>
        <w:t>(Kuik and Nijkamp, 2020)</w:t>
      </w:r>
      <w:r w:rsidRPr="00A432D8">
        <w:rPr>
          <w:rFonts w:cs="Times New Roman"/>
        </w:rPr>
        <w:t>.</w:t>
      </w:r>
    </w:p>
    <w:p w14:paraId="42406BEE" w14:textId="77777777" w:rsidR="00A432D8" w:rsidRPr="00A432D8" w:rsidRDefault="00A432D8" w:rsidP="00A432D8">
      <w:pPr>
        <w:pStyle w:val="Heading2"/>
        <w:rPr>
          <w:rFonts w:eastAsia="Times New Roman"/>
        </w:rPr>
      </w:pPr>
      <w:bookmarkStart w:id="44" w:name="_Toc162752549"/>
      <w:bookmarkStart w:id="45" w:name="_Toc164387964"/>
      <w:r w:rsidRPr="00A432D8">
        <w:rPr>
          <w:rFonts w:eastAsia="Times New Roman"/>
        </w:rPr>
        <w:t>Non-financial factors</w:t>
      </w:r>
      <w:bookmarkEnd w:id="44"/>
      <w:bookmarkEnd w:id="45"/>
    </w:p>
    <w:p w14:paraId="3C7962B3" w14:textId="77777777" w:rsidR="00A432D8" w:rsidRPr="00A432D8" w:rsidRDefault="00A432D8" w:rsidP="00DD7479">
      <w:r w:rsidRPr="00A432D8">
        <w:t>There are many non-financial factors that the management needs to understand while making investment decisions because they assist financial aspects in a way that encourages comprehensive and long-term success for the company. These variables cover an extensive variety of aspects, such as organizational capacity, interactions with stakeholders, industry standards, regulatory compliance, and strategic planning.</w:t>
      </w:r>
    </w:p>
    <w:p w14:paraId="17CC53AF" w14:textId="77777777" w:rsidR="00A432D8" w:rsidRPr="00A432D8" w:rsidRDefault="00A432D8" w:rsidP="00DD7479">
      <w:r w:rsidRPr="00A432D8">
        <w:t>Setting priorities for staff development and morale through investments creates an enjoyable workplace that increases employee satisfaction, productivity, and retention rates. Organizations may develop a skilled and engaged workforce, which is a critical component of long-term company success, by making investments in training, career development, and well-being for staff members (Khawsaad, 2014).</w:t>
      </w:r>
    </w:p>
    <w:p w14:paraId="14B30E35" w14:textId="0A554217" w:rsidR="00A432D8" w:rsidRPr="00A432D8" w:rsidRDefault="00A432D8" w:rsidP="00DD7479">
      <w:r w:rsidRPr="00A432D8">
        <w:t xml:space="preserve">Sustaining and developing a business requires strong relationships with suppliers and customers. Strengthening supplier relationships through investments improves the resilience, efficiency, and reliability of the supply chain. In the same way, </w:t>
      </w:r>
      <w:r w:rsidR="004C3F7D">
        <w:t>evaluations</w:t>
      </w:r>
      <w:r w:rsidRPr="00A432D8">
        <w:t xml:space="preserve"> aimed at increasing customer satisfaction, engagement, and loyalty fuel rises in revenue and market share.</w:t>
      </w:r>
    </w:p>
    <w:p w14:paraId="3434D27C" w14:textId="41593210" w:rsidR="00A432D8" w:rsidRPr="00A432D8" w:rsidRDefault="00A432D8" w:rsidP="00DD7479">
      <w:r w:rsidRPr="00A432D8">
        <w:lastRenderedPageBreak/>
        <w:t>Sustaining legal compliance and complying with ethical principles requires complying with regulatory standards and industry standards. Businesses minimize regulatory risks while enhancing their reputation as ethical companies by complying with current and upcoming regulations</w:t>
      </w:r>
      <w:r w:rsidR="007933D2">
        <w:t xml:space="preserve"> </w:t>
      </w:r>
      <w:r w:rsidR="007933D2" w:rsidRPr="007933D2">
        <w:t>(Klein, Crawford and Alchian, 2020)</w:t>
      </w:r>
      <w:r w:rsidRPr="00A432D8">
        <w:t xml:space="preserve">. </w:t>
      </w:r>
    </w:p>
    <w:p w14:paraId="697BA09B" w14:textId="77777777" w:rsidR="00A432D8" w:rsidRPr="00A432D8" w:rsidRDefault="00A432D8" w:rsidP="00DD7479">
      <w:r w:rsidRPr="00A432D8">
        <w:t>Establishing an excellent corporate image and developing connections with the community are essential non-financial factors. Investments in sustainable development, involvement in the community, and corporate social responsibility initiatives increase stakeholder trust, improve a brand's reputation, and generate goodwill in the neighbourhood.</w:t>
      </w:r>
    </w:p>
    <w:p w14:paraId="46CD580A" w14:textId="74CDE954" w:rsidR="00A432D8" w:rsidRPr="00A432D8" w:rsidRDefault="00A432D8" w:rsidP="00DD7479">
      <w:r w:rsidRPr="00A432D8">
        <w:t>Long-term profitability is dependent on anticipating and reducing potential dangers, such as safeguarding intellectual property (IP) from potential competitors. Businesses can proactively identify and handle new challenges by putting money into protection, innovation, and strategic foresight, enabling them to preserve their competitive edge and market position</w:t>
      </w:r>
      <w:r w:rsidR="009F559E">
        <w:t xml:space="preserve"> </w:t>
      </w:r>
      <w:r w:rsidR="009F559E" w:rsidRPr="009F559E">
        <w:t>(Bliznets, 2022)</w:t>
      </w:r>
      <w:r w:rsidR="007933D2">
        <w:t xml:space="preserve">. </w:t>
      </w:r>
      <w:r w:rsidRPr="00A432D8">
        <w:t xml:space="preserve"> </w:t>
      </w:r>
    </w:p>
    <w:p w14:paraId="4EB74987" w14:textId="3E57957F" w:rsidR="001A4EFA" w:rsidRDefault="00A432D8" w:rsidP="00DD7479">
      <w:r w:rsidRPr="00A432D8">
        <w:t>Gaining managerial skills is essential for maximizing the potential of growth opportunities and adapting to changing market dynamics. Innovation, agility, and effectiveness in operations are increased by investments in process improvement, technology adoption, and talent development. Efficient decision-making, risk management, and resilience in an organization can be guaranteed by strengthening management systems and governance structures</w:t>
      </w:r>
      <w:r w:rsidR="00C1611A">
        <w:t xml:space="preserve"> </w:t>
      </w:r>
      <w:r w:rsidR="00C1611A" w:rsidRPr="00C1611A">
        <w:t>(Karwanto, 2016)</w:t>
      </w:r>
      <w:r w:rsidRPr="00A432D8">
        <w:t>.</w:t>
      </w:r>
    </w:p>
    <w:p w14:paraId="410EEF0C" w14:textId="77777777" w:rsidR="001A4EFA" w:rsidRDefault="001A4EFA">
      <w:pPr>
        <w:spacing w:line="259" w:lineRule="auto"/>
        <w:jc w:val="left"/>
      </w:pPr>
      <w:r>
        <w:br w:type="page"/>
      </w:r>
    </w:p>
    <w:p w14:paraId="4AF03636" w14:textId="77777777" w:rsidR="001A4EFA" w:rsidRPr="001A4EFA" w:rsidRDefault="001A4EFA" w:rsidP="001A4EFA">
      <w:pPr>
        <w:pStyle w:val="Heading1"/>
        <w:rPr>
          <w:rFonts w:eastAsia="Times New Roman"/>
          <w:lang w:eastAsia="en-IN"/>
        </w:rPr>
      </w:pPr>
      <w:bookmarkStart w:id="46" w:name="_Toc164387965"/>
      <w:r w:rsidRPr="001A4EFA">
        <w:rPr>
          <w:rFonts w:eastAsia="Times New Roman"/>
          <w:lang w:eastAsia="en-IN"/>
        </w:rPr>
        <w:lastRenderedPageBreak/>
        <w:t>Reference list</w:t>
      </w:r>
      <w:bookmarkEnd w:id="46"/>
    </w:p>
    <w:p w14:paraId="7C5C7FA5"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Altman, E.I. (2020). FINANCIAL RATIOS, DISCRIMINANT ANALYSIS AND THE PREDICTION OF CORPORATE BANKRUPTCY. </w:t>
      </w:r>
      <w:r w:rsidRPr="001A4EFA">
        <w:rPr>
          <w:rFonts w:eastAsia="Times New Roman" w:cs="Times New Roman"/>
          <w:i/>
          <w:iCs/>
          <w:kern w:val="0"/>
          <w:szCs w:val="24"/>
          <w:lang w:eastAsia="en-IN"/>
          <w14:ligatures w14:val="none"/>
        </w:rPr>
        <w:t>The Journal of Finance</w:t>
      </w:r>
      <w:r w:rsidRPr="001A4EFA">
        <w:rPr>
          <w:rFonts w:eastAsia="Times New Roman" w:cs="Times New Roman"/>
          <w:kern w:val="0"/>
          <w:szCs w:val="24"/>
          <w:lang w:eastAsia="en-IN"/>
          <w14:ligatures w14:val="none"/>
        </w:rPr>
        <w:t>, 23(4), pp.589–609. doi:https://doi.org/10.1111/j.1540-6261.1968.tb00843.x.</w:t>
      </w:r>
    </w:p>
    <w:p w14:paraId="0399C878"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BAT (2022). </w:t>
      </w:r>
      <w:r w:rsidRPr="001A4EFA">
        <w:rPr>
          <w:rFonts w:eastAsia="Times New Roman" w:cs="Times New Roman"/>
          <w:i/>
          <w:iCs/>
          <w:kern w:val="0"/>
          <w:szCs w:val="24"/>
          <w:lang w:eastAsia="en-IN"/>
          <w14:ligatures w14:val="none"/>
        </w:rPr>
        <w:t>British American Tobacco - British American Tobacco</w:t>
      </w:r>
      <w:r w:rsidRPr="001A4EFA">
        <w:rPr>
          <w:rFonts w:eastAsia="Times New Roman" w:cs="Times New Roman"/>
          <w:kern w:val="0"/>
          <w:szCs w:val="24"/>
          <w:lang w:eastAsia="en-IN"/>
          <w14:ligatures w14:val="none"/>
        </w:rPr>
        <w:t>. [online] Bat.com. Available at: https://www.bat.com/.</w:t>
      </w:r>
    </w:p>
    <w:p w14:paraId="3DAC49E2"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Benur, A.M. and Bramwell, B. (2015). Tourism product development and product diversification in destinations. </w:t>
      </w:r>
      <w:r w:rsidRPr="001A4EFA">
        <w:rPr>
          <w:rFonts w:eastAsia="Times New Roman" w:cs="Times New Roman"/>
          <w:i/>
          <w:iCs/>
          <w:kern w:val="0"/>
          <w:szCs w:val="24"/>
          <w:lang w:eastAsia="en-IN"/>
          <w14:ligatures w14:val="none"/>
        </w:rPr>
        <w:t>Tourism Management</w:t>
      </w:r>
      <w:r w:rsidRPr="001A4EFA">
        <w:rPr>
          <w:rFonts w:eastAsia="Times New Roman" w:cs="Times New Roman"/>
          <w:kern w:val="0"/>
          <w:szCs w:val="24"/>
          <w:lang w:eastAsia="en-IN"/>
          <w14:ligatures w14:val="none"/>
        </w:rPr>
        <w:t>, 50, pp.213–224. doi:https://doi.org/10.1016/j.tourman.2015.02.005.</w:t>
      </w:r>
    </w:p>
    <w:p w14:paraId="159B35FA"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Bharadwaj, A.S. (2020). A Resource-Based Perspective on Information Technology Capability and Firm Performance: An Empirical Investigation. </w:t>
      </w:r>
      <w:r w:rsidRPr="001A4EFA">
        <w:rPr>
          <w:rFonts w:eastAsia="Times New Roman" w:cs="Times New Roman"/>
          <w:i/>
          <w:iCs/>
          <w:kern w:val="0"/>
          <w:szCs w:val="24"/>
          <w:lang w:eastAsia="en-IN"/>
          <w14:ligatures w14:val="none"/>
        </w:rPr>
        <w:t>MIS Quarterly</w:t>
      </w:r>
      <w:r w:rsidRPr="001A4EFA">
        <w:rPr>
          <w:rFonts w:eastAsia="Times New Roman" w:cs="Times New Roman"/>
          <w:kern w:val="0"/>
          <w:szCs w:val="24"/>
          <w:lang w:eastAsia="en-IN"/>
          <w14:ligatures w14:val="none"/>
        </w:rPr>
        <w:t>, 24(1), p.169. doi:https://doi.org/10.2307/3250983.</w:t>
      </w:r>
    </w:p>
    <w:p w14:paraId="7E72673F"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Bliznets, I. (2022). The Role of Intellectual Property in Business Law. </w:t>
      </w:r>
      <w:r w:rsidRPr="001A4EFA">
        <w:rPr>
          <w:rFonts w:eastAsia="Times New Roman" w:cs="Times New Roman"/>
          <w:i/>
          <w:iCs/>
          <w:kern w:val="0"/>
          <w:szCs w:val="24"/>
          <w:lang w:eastAsia="en-IN"/>
          <w14:ligatures w14:val="none"/>
        </w:rPr>
        <w:t>Intllectus</w:t>
      </w:r>
      <w:r w:rsidRPr="001A4EFA">
        <w:rPr>
          <w:rFonts w:eastAsia="Times New Roman" w:cs="Times New Roman"/>
          <w:kern w:val="0"/>
          <w:szCs w:val="24"/>
          <w:lang w:eastAsia="en-IN"/>
          <w14:ligatures w14:val="none"/>
        </w:rPr>
        <w:t>, (1), pp.72–78. doi:https://doi.org/10.56329/1810-7087.22.1.07.</w:t>
      </w:r>
    </w:p>
    <w:p w14:paraId="05EFDB45"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Bowen, H.P. and Sleuwaegen, L. (2017). Are International and Product Diversification Substitutes or Complements? Theoretical and Empirical Perspectives. </w:t>
      </w:r>
      <w:r w:rsidRPr="001A4EFA">
        <w:rPr>
          <w:rFonts w:eastAsia="Times New Roman" w:cs="Times New Roman"/>
          <w:i/>
          <w:iCs/>
          <w:kern w:val="0"/>
          <w:szCs w:val="24"/>
          <w:lang w:eastAsia="en-IN"/>
          <w14:ligatures w14:val="none"/>
        </w:rPr>
        <w:t>Global Strategy Journal</w:t>
      </w:r>
      <w:r w:rsidRPr="001A4EFA">
        <w:rPr>
          <w:rFonts w:eastAsia="Times New Roman" w:cs="Times New Roman"/>
          <w:kern w:val="0"/>
          <w:szCs w:val="24"/>
          <w:lang w:eastAsia="en-IN"/>
          <w14:ligatures w14:val="none"/>
        </w:rPr>
        <w:t>, 7(3), pp.241–256. doi:https://doi.org/10.1002/gsj.1163.</w:t>
      </w:r>
    </w:p>
    <w:p w14:paraId="5DBB9173"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Corbo, C., Lamastra, L. and Capri, E. (2014). From Environmental to Sustainability Programs: A Review of Sustainability Initiatives in the Italian Wine Sector. </w:t>
      </w:r>
      <w:r w:rsidRPr="001A4EFA">
        <w:rPr>
          <w:rFonts w:eastAsia="Times New Roman" w:cs="Times New Roman"/>
          <w:i/>
          <w:iCs/>
          <w:kern w:val="0"/>
          <w:szCs w:val="24"/>
          <w:lang w:eastAsia="en-IN"/>
          <w14:ligatures w14:val="none"/>
        </w:rPr>
        <w:t>Sustainability</w:t>
      </w:r>
      <w:r w:rsidRPr="001A4EFA">
        <w:rPr>
          <w:rFonts w:eastAsia="Times New Roman" w:cs="Times New Roman"/>
          <w:kern w:val="0"/>
          <w:szCs w:val="24"/>
          <w:lang w:eastAsia="en-IN"/>
          <w14:ligatures w14:val="none"/>
        </w:rPr>
        <w:t>, 6(4), pp.2133–2159. doi:https://doi.org/10.3390/su6042133.</w:t>
      </w:r>
    </w:p>
    <w:p w14:paraId="7FC7C922"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Crosbie, E., Defrank, V., Egbe, C., Ayo-Yusuf, O. and Bialous, S. (2021). Tobacco supply and demand strategies used in African countries. </w:t>
      </w:r>
      <w:r w:rsidRPr="001A4EFA">
        <w:rPr>
          <w:rFonts w:eastAsia="Times New Roman" w:cs="Times New Roman"/>
          <w:i/>
          <w:iCs/>
          <w:kern w:val="0"/>
          <w:szCs w:val="24"/>
          <w:lang w:eastAsia="en-IN"/>
          <w14:ligatures w14:val="none"/>
        </w:rPr>
        <w:t>Bulletin of the World Health Organization</w:t>
      </w:r>
      <w:r w:rsidRPr="001A4EFA">
        <w:rPr>
          <w:rFonts w:eastAsia="Times New Roman" w:cs="Times New Roman"/>
          <w:kern w:val="0"/>
          <w:szCs w:val="24"/>
          <w:lang w:eastAsia="en-IN"/>
          <w14:ligatures w14:val="none"/>
        </w:rPr>
        <w:t>, 99(7), pp.539–540. doi:https://doi.org/10.2471/blt.20.266932.</w:t>
      </w:r>
    </w:p>
    <w:p w14:paraId="2E7C0DD2"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Distinguin, I., Mahdavi-Ardekani, A. and Tarazi, A. (2016). Do Banks Differently Set Their Liquidity Ratios Based on Their Network Characteristics? </w:t>
      </w:r>
      <w:r w:rsidRPr="001A4EFA">
        <w:rPr>
          <w:rFonts w:eastAsia="Times New Roman" w:cs="Times New Roman"/>
          <w:i/>
          <w:iCs/>
          <w:kern w:val="0"/>
          <w:szCs w:val="24"/>
          <w:lang w:eastAsia="en-IN"/>
          <w14:ligatures w14:val="none"/>
        </w:rPr>
        <w:t>SSRN Electronic Journal</w:t>
      </w:r>
      <w:r w:rsidRPr="001A4EFA">
        <w:rPr>
          <w:rFonts w:eastAsia="Times New Roman" w:cs="Times New Roman"/>
          <w:kern w:val="0"/>
          <w:szCs w:val="24"/>
          <w:lang w:eastAsia="en-IN"/>
          <w14:ligatures w14:val="none"/>
        </w:rPr>
        <w:t>. doi:https://doi.org/10.2139/ssrn.2799823.</w:t>
      </w:r>
    </w:p>
    <w:p w14:paraId="682AFD7D"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lastRenderedPageBreak/>
        <w:t xml:space="preserve">Du, B. (2017). How Useful Is Basel III’s Liquidity Coverage Ratio? Evidence From US Bank Holding Companies. </w:t>
      </w:r>
      <w:r w:rsidRPr="001A4EFA">
        <w:rPr>
          <w:rFonts w:eastAsia="Times New Roman" w:cs="Times New Roman"/>
          <w:i/>
          <w:iCs/>
          <w:kern w:val="0"/>
          <w:szCs w:val="24"/>
          <w:lang w:eastAsia="en-IN"/>
          <w14:ligatures w14:val="none"/>
        </w:rPr>
        <w:t>European Financial Management</w:t>
      </w:r>
      <w:r w:rsidRPr="001A4EFA">
        <w:rPr>
          <w:rFonts w:eastAsia="Times New Roman" w:cs="Times New Roman"/>
          <w:kern w:val="0"/>
          <w:szCs w:val="24"/>
          <w:lang w:eastAsia="en-IN"/>
          <w14:ligatures w14:val="none"/>
        </w:rPr>
        <w:t>, 23(5), pp.902–919. doi:https://doi.org/10.1111/eufm.12116.</w:t>
      </w:r>
    </w:p>
    <w:p w14:paraId="544B9A32"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Fitri, R.R. and Hosen, M.N. (2018). Return On Assets, Debt To Equity Ratio, Asset Growth Dan Dividend Payout Ratio Tahun Ssebelumnya Studi Pada Perusahaan Di Jakarta Islamic Index. </w:t>
      </w:r>
      <w:r w:rsidRPr="001A4EFA">
        <w:rPr>
          <w:rFonts w:eastAsia="Times New Roman" w:cs="Times New Roman"/>
          <w:i/>
          <w:iCs/>
          <w:kern w:val="0"/>
          <w:szCs w:val="24"/>
          <w:lang w:eastAsia="en-IN"/>
          <w14:ligatures w14:val="none"/>
        </w:rPr>
        <w:t>Liquidity</w:t>
      </w:r>
      <w:r w:rsidRPr="001A4EFA">
        <w:rPr>
          <w:rFonts w:eastAsia="Times New Roman" w:cs="Times New Roman"/>
          <w:kern w:val="0"/>
          <w:szCs w:val="24"/>
          <w:lang w:eastAsia="en-IN"/>
          <w14:ligatures w14:val="none"/>
        </w:rPr>
        <w:t>, 4(2), pp.96–105. doi:https://doi.org/10.32546/lq.v4i2.70.</w:t>
      </w:r>
    </w:p>
    <w:p w14:paraId="73675EAE"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Frangopol, D.M., Dong, Y. and Sabatino, S. (2017). Bridge life-cycle performance and cost: analysis, prediction, optimisation and decision-making. </w:t>
      </w:r>
      <w:r w:rsidRPr="001A4EFA">
        <w:rPr>
          <w:rFonts w:eastAsia="Times New Roman" w:cs="Times New Roman"/>
          <w:i/>
          <w:iCs/>
          <w:kern w:val="0"/>
          <w:szCs w:val="24"/>
          <w:lang w:eastAsia="en-IN"/>
          <w14:ligatures w14:val="none"/>
        </w:rPr>
        <w:t>Structure and Infrastructure Engineering</w:t>
      </w:r>
      <w:r w:rsidRPr="001A4EFA">
        <w:rPr>
          <w:rFonts w:eastAsia="Times New Roman" w:cs="Times New Roman"/>
          <w:kern w:val="0"/>
          <w:szCs w:val="24"/>
          <w:lang w:eastAsia="en-IN"/>
          <w14:ligatures w14:val="none"/>
        </w:rPr>
        <w:t>, 13(10), pp.1239–1257. doi:https://doi.org/10.1080/15732479.2016.1267772.</w:t>
      </w:r>
    </w:p>
    <w:p w14:paraId="5FA83657"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Ita, A. (2017). How Do Banks Adapt Their Asset Holdings to Binding Leverage Ratio and Liquidity Requirements under Basel III? </w:t>
      </w:r>
      <w:r w:rsidRPr="001A4EFA">
        <w:rPr>
          <w:rFonts w:eastAsia="Times New Roman" w:cs="Times New Roman"/>
          <w:i/>
          <w:iCs/>
          <w:kern w:val="0"/>
          <w:szCs w:val="24"/>
          <w:lang w:eastAsia="en-IN"/>
          <w14:ligatures w14:val="none"/>
        </w:rPr>
        <w:t>SSRN Electronic Journal</w:t>
      </w:r>
      <w:r w:rsidRPr="001A4EFA">
        <w:rPr>
          <w:rFonts w:eastAsia="Times New Roman" w:cs="Times New Roman"/>
          <w:kern w:val="0"/>
          <w:szCs w:val="24"/>
          <w:lang w:eastAsia="en-IN"/>
          <w14:ligatures w14:val="none"/>
        </w:rPr>
        <w:t>. doi:https://doi.org/10.2139/ssrn.2884961.</w:t>
      </w:r>
    </w:p>
    <w:p w14:paraId="53398EA2"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Karwanto (2016). MANAGERIAL SKILL IN IMPROVING THE EXCELLENCE OF LEARNING. </w:t>
      </w:r>
      <w:r w:rsidRPr="001A4EFA">
        <w:rPr>
          <w:rFonts w:eastAsia="Times New Roman" w:cs="Times New Roman"/>
          <w:i/>
          <w:iCs/>
          <w:kern w:val="0"/>
          <w:szCs w:val="24"/>
          <w:lang w:eastAsia="en-IN"/>
          <w14:ligatures w14:val="none"/>
        </w:rPr>
        <w:t>Edusentris</w:t>
      </w:r>
      <w:r w:rsidRPr="001A4EFA">
        <w:rPr>
          <w:rFonts w:eastAsia="Times New Roman" w:cs="Times New Roman"/>
          <w:kern w:val="0"/>
          <w:szCs w:val="24"/>
          <w:lang w:eastAsia="en-IN"/>
          <w14:ligatures w14:val="none"/>
        </w:rPr>
        <w:t>, 3(1), p.57. doi:https://doi.org/10.17509/edusentris.v3i1.206.</w:t>
      </w:r>
    </w:p>
    <w:p w14:paraId="6221AD53"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Klein, B., Crawford, R.G. and Alchian, A.A. (2020). Vertical Integration, Appropriable Rents, and the Competitive Contracting Process. </w:t>
      </w:r>
      <w:r w:rsidRPr="001A4EFA">
        <w:rPr>
          <w:rFonts w:eastAsia="Times New Roman" w:cs="Times New Roman"/>
          <w:i/>
          <w:iCs/>
          <w:kern w:val="0"/>
          <w:szCs w:val="24"/>
          <w:lang w:eastAsia="en-IN"/>
          <w14:ligatures w14:val="none"/>
        </w:rPr>
        <w:t>The Journal of Law and Economics</w:t>
      </w:r>
      <w:r w:rsidRPr="001A4EFA">
        <w:rPr>
          <w:rFonts w:eastAsia="Times New Roman" w:cs="Times New Roman"/>
          <w:kern w:val="0"/>
          <w:szCs w:val="24"/>
          <w:lang w:eastAsia="en-IN"/>
          <w14:ligatures w14:val="none"/>
        </w:rPr>
        <w:t>, 21(2), pp.297–326.</w:t>
      </w:r>
    </w:p>
    <w:p w14:paraId="41032623"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Kuik, F. and Nijkamp, P. (2020). Relevance of pay-back effects in public investment appraisal. </w:t>
      </w:r>
      <w:r w:rsidRPr="001A4EFA">
        <w:rPr>
          <w:rFonts w:eastAsia="Times New Roman" w:cs="Times New Roman"/>
          <w:i/>
          <w:iCs/>
          <w:kern w:val="0"/>
          <w:szCs w:val="24"/>
          <w:lang w:eastAsia="en-IN"/>
          <w14:ligatures w14:val="none"/>
        </w:rPr>
        <w:t>Project Appraisal</w:t>
      </w:r>
      <w:r w:rsidRPr="001A4EFA">
        <w:rPr>
          <w:rFonts w:eastAsia="Times New Roman" w:cs="Times New Roman"/>
          <w:kern w:val="0"/>
          <w:szCs w:val="24"/>
          <w:lang w:eastAsia="en-IN"/>
          <w14:ligatures w14:val="none"/>
        </w:rPr>
        <w:t>, 2(3), pp.153–156. doi:https://doi.org/10.1080/02688867.1987.9726621.</w:t>
      </w:r>
    </w:p>
    <w:p w14:paraId="30DAF684"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Lite, L. (2019). ANALISIS OPERATIONAL EFFICIENCY RATIO DAN COST EFFICIENCY RATIO TERHADAP NET PROFIT MARGIN BANK MANDIRI TBK. </w:t>
      </w:r>
      <w:r w:rsidRPr="001A4EFA">
        <w:rPr>
          <w:rFonts w:eastAsia="Times New Roman" w:cs="Times New Roman"/>
          <w:i/>
          <w:iCs/>
          <w:kern w:val="0"/>
          <w:szCs w:val="24"/>
          <w:lang w:eastAsia="en-IN"/>
          <w14:ligatures w14:val="none"/>
        </w:rPr>
        <w:t>Al-KALAM JURNAL KOMUNIKASI, BISNIS DAN MANAJEMEN</w:t>
      </w:r>
      <w:r w:rsidRPr="001A4EFA">
        <w:rPr>
          <w:rFonts w:eastAsia="Times New Roman" w:cs="Times New Roman"/>
          <w:kern w:val="0"/>
          <w:szCs w:val="24"/>
          <w:lang w:eastAsia="en-IN"/>
          <w14:ligatures w14:val="none"/>
        </w:rPr>
        <w:t>, 5(2), p.114. doi:https://doi.org/10.31602/al-kalam.v5i2.1726.</w:t>
      </w:r>
    </w:p>
    <w:p w14:paraId="5B2FEBB6"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Octavia, E. and Aidina, E.N. (2020). The Effect of Profitability Ratio, Liquidity, Ratio and Leverage Ratio to Financial Distress (Studies at Textile and Garment Companies Listed on the Indonesia Stock Exchange 2012-2016). </w:t>
      </w:r>
      <w:r w:rsidRPr="001A4EFA">
        <w:rPr>
          <w:rFonts w:eastAsia="Times New Roman" w:cs="Times New Roman"/>
          <w:i/>
          <w:iCs/>
          <w:kern w:val="0"/>
          <w:szCs w:val="24"/>
          <w:lang w:eastAsia="en-IN"/>
          <w14:ligatures w14:val="none"/>
        </w:rPr>
        <w:t>International Journal of Psychosocial Rehabilitation</w:t>
      </w:r>
      <w:r w:rsidRPr="001A4EFA">
        <w:rPr>
          <w:rFonts w:eastAsia="Times New Roman" w:cs="Times New Roman"/>
          <w:kern w:val="0"/>
          <w:szCs w:val="24"/>
          <w:lang w:eastAsia="en-IN"/>
          <w14:ligatures w14:val="none"/>
        </w:rPr>
        <w:t>, 24(02), pp.3012–3018. doi:https://doi.org/10.37200/ijpr/v24i2/pr200602.</w:t>
      </w:r>
    </w:p>
    <w:p w14:paraId="58728313"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lastRenderedPageBreak/>
        <w:t xml:space="preserve">Prayitno, Y.H. and Roespinoedji, D. (2020). The Effect of Activity Ratio on Profitability in Automotive Companies and Components Registered on the IDX. </w:t>
      </w:r>
      <w:r w:rsidRPr="001A4EFA">
        <w:rPr>
          <w:rFonts w:eastAsia="Times New Roman" w:cs="Times New Roman"/>
          <w:i/>
          <w:iCs/>
          <w:kern w:val="0"/>
          <w:szCs w:val="24"/>
          <w:lang w:eastAsia="en-IN"/>
          <w14:ligatures w14:val="none"/>
        </w:rPr>
        <w:t>International Journal of Psychosocial Rehabilitation</w:t>
      </w:r>
      <w:r w:rsidRPr="001A4EFA">
        <w:rPr>
          <w:rFonts w:eastAsia="Times New Roman" w:cs="Times New Roman"/>
          <w:kern w:val="0"/>
          <w:szCs w:val="24"/>
          <w:lang w:eastAsia="en-IN"/>
          <w14:ligatures w14:val="none"/>
        </w:rPr>
        <w:t>, 24(02), pp.3327–3333. doi:https://doi.org/10.37200/ijpr/v24i2/pr200645.</w:t>
      </w:r>
    </w:p>
    <w:p w14:paraId="3C1B6790"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Rizal, F. (2016). Pengaruh Capital Adequacy Ratio, Non Performing Finance Dan Operational Efficiency Ratio Terhadap Profitabilitas Bank Pembiayaan Rakyat Syariah. </w:t>
      </w:r>
      <w:r w:rsidRPr="001A4EFA">
        <w:rPr>
          <w:rFonts w:eastAsia="Times New Roman" w:cs="Times New Roman"/>
          <w:i/>
          <w:iCs/>
          <w:kern w:val="0"/>
          <w:szCs w:val="24"/>
          <w:lang w:eastAsia="en-IN"/>
          <w14:ligatures w14:val="none"/>
        </w:rPr>
        <w:t>Muslim Heritage</w:t>
      </w:r>
      <w:r w:rsidRPr="001A4EFA">
        <w:rPr>
          <w:rFonts w:eastAsia="Times New Roman" w:cs="Times New Roman"/>
          <w:kern w:val="0"/>
          <w:szCs w:val="24"/>
          <w:lang w:eastAsia="en-IN"/>
          <w14:ligatures w14:val="none"/>
        </w:rPr>
        <w:t>, 1(1), p.179. doi:https://doi.org/10.21154/muslimheritage.v1i1.501.</w:t>
      </w:r>
    </w:p>
    <w:p w14:paraId="0260DC3A"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Savvides, S. (2020). Risk analysis in investment appraisal. </w:t>
      </w:r>
      <w:r w:rsidRPr="001A4EFA">
        <w:rPr>
          <w:rFonts w:eastAsia="Times New Roman" w:cs="Times New Roman"/>
          <w:i/>
          <w:iCs/>
          <w:kern w:val="0"/>
          <w:szCs w:val="24"/>
          <w:lang w:eastAsia="en-IN"/>
          <w14:ligatures w14:val="none"/>
        </w:rPr>
        <w:t>Project Appraisal</w:t>
      </w:r>
      <w:r w:rsidRPr="001A4EFA">
        <w:rPr>
          <w:rFonts w:eastAsia="Times New Roman" w:cs="Times New Roman"/>
          <w:kern w:val="0"/>
          <w:szCs w:val="24"/>
          <w:lang w:eastAsia="en-IN"/>
          <w14:ligatures w14:val="none"/>
        </w:rPr>
        <w:t>, 9(1), pp.3–18.</w:t>
      </w:r>
    </w:p>
    <w:p w14:paraId="58ED5989"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Situm, M. (2014). Inability of Gearing-Ratio as Predictor for Early Warning Systems. </w:t>
      </w:r>
      <w:r w:rsidRPr="001A4EFA">
        <w:rPr>
          <w:rFonts w:eastAsia="Times New Roman" w:cs="Times New Roman"/>
          <w:i/>
          <w:iCs/>
          <w:kern w:val="0"/>
          <w:szCs w:val="24"/>
          <w:lang w:eastAsia="en-IN"/>
          <w14:ligatures w14:val="none"/>
        </w:rPr>
        <w:t>Business Systems Research Journal</w:t>
      </w:r>
      <w:r w:rsidRPr="001A4EFA">
        <w:rPr>
          <w:rFonts w:eastAsia="Times New Roman" w:cs="Times New Roman"/>
          <w:kern w:val="0"/>
          <w:szCs w:val="24"/>
          <w:lang w:eastAsia="en-IN"/>
          <w14:ligatures w14:val="none"/>
        </w:rPr>
        <w:t>, [online] 5(2), pp.23–45. doi:https://doi.org/10.2478/bsrj-2014-0008.</w:t>
      </w:r>
    </w:p>
    <w:p w14:paraId="2490CD04"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Supriyanto, J. and Darmawan, A. (2018). THE EFFECT OF FINANCIAL RATIO ON FINANCIAL DISTRESS IN PREDICTING BANKRUPTCY. </w:t>
      </w:r>
      <w:r w:rsidRPr="001A4EFA">
        <w:rPr>
          <w:rFonts w:eastAsia="Times New Roman" w:cs="Times New Roman"/>
          <w:i/>
          <w:iCs/>
          <w:kern w:val="0"/>
          <w:szCs w:val="24"/>
          <w:lang w:eastAsia="en-IN"/>
          <w14:ligatures w14:val="none"/>
        </w:rPr>
        <w:t>JOURNAL OF APPLIED MANAGERIAL ACCOUNTING</w:t>
      </w:r>
      <w:r w:rsidRPr="001A4EFA">
        <w:rPr>
          <w:rFonts w:eastAsia="Times New Roman" w:cs="Times New Roman"/>
          <w:kern w:val="0"/>
          <w:szCs w:val="24"/>
          <w:lang w:eastAsia="en-IN"/>
          <w14:ligatures w14:val="none"/>
        </w:rPr>
        <w:t>, 2(1), pp.110–120. doi:https://doi.org/10.30871/jama.v2i1.727.</w:t>
      </w:r>
    </w:p>
    <w:p w14:paraId="6215E0AD" w14:textId="77777777" w:rsidR="001A4EFA" w:rsidRPr="001A4EFA" w:rsidRDefault="001A4EFA" w:rsidP="001A4EFA">
      <w:pPr>
        <w:spacing w:after="240"/>
        <w:jc w:val="left"/>
        <w:rPr>
          <w:rFonts w:eastAsia="Times New Roman" w:cs="Times New Roman"/>
          <w:kern w:val="0"/>
          <w:szCs w:val="24"/>
          <w:lang w:eastAsia="en-IN"/>
          <w14:ligatures w14:val="none"/>
        </w:rPr>
      </w:pPr>
      <w:r w:rsidRPr="001A4EFA">
        <w:rPr>
          <w:rFonts w:eastAsia="Times New Roman" w:cs="Times New Roman"/>
          <w:kern w:val="0"/>
          <w:szCs w:val="24"/>
          <w:lang w:eastAsia="en-IN"/>
          <w14:ligatures w14:val="none"/>
        </w:rPr>
        <w:t xml:space="preserve">www.macrotrends.net. (n.d.). </w:t>
      </w:r>
      <w:r w:rsidRPr="001A4EFA">
        <w:rPr>
          <w:rFonts w:eastAsia="Times New Roman" w:cs="Times New Roman"/>
          <w:i/>
          <w:iCs/>
          <w:kern w:val="0"/>
          <w:szCs w:val="24"/>
          <w:lang w:eastAsia="en-IN"/>
          <w14:ligatures w14:val="none"/>
        </w:rPr>
        <w:t>Imperial Tobacco Group Financial Ratios for Analysis 2009-2024 | IMBBY</w:t>
      </w:r>
      <w:r w:rsidRPr="001A4EFA">
        <w:rPr>
          <w:rFonts w:eastAsia="Times New Roman" w:cs="Times New Roman"/>
          <w:kern w:val="0"/>
          <w:szCs w:val="24"/>
          <w:lang w:eastAsia="en-IN"/>
          <w14:ligatures w14:val="none"/>
        </w:rPr>
        <w:t>. [online] Available at: https://www.macrotrends.net/stocks/charts/IMBBY/imperial-tobacco-group/financial-ratios [Accessed 18 Apr. 2024].</w:t>
      </w:r>
    </w:p>
    <w:p w14:paraId="1D60801A" w14:textId="2E433DBA" w:rsidR="00DD7479" w:rsidRDefault="001A4EFA" w:rsidP="0004543A">
      <w:pPr>
        <w:spacing w:after="240"/>
        <w:jc w:val="left"/>
      </w:pPr>
      <w:r w:rsidRPr="001A4EFA">
        <w:rPr>
          <w:rFonts w:eastAsia="Times New Roman" w:cs="Times New Roman"/>
          <w:kern w:val="0"/>
          <w:szCs w:val="24"/>
          <w:lang w:eastAsia="en-IN"/>
          <w14:ligatures w14:val="none"/>
        </w:rPr>
        <w:t xml:space="preserve">Yasrebi, A.B., Hezarkhani, A. and Afzal, P. (2017). Application of Present Value-Volume (PV-V) and NPV-Cumulative Total Ore (NPV-CTO) fractal modelling for mining strategy selection. </w:t>
      </w:r>
      <w:r w:rsidRPr="001A4EFA">
        <w:rPr>
          <w:rFonts w:eastAsia="Times New Roman" w:cs="Times New Roman"/>
          <w:i/>
          <w:iCs/>
          <w:kern w:val="0"/>
          <w:szCs w:val="24"/>
          <w:lang w:eastAsia="en-IN"/>
          <w14:ligatures w14:val="none"/>
        </w:rPr>
        <w:t>Resources Policy</w:t>
      </w:r>
      <w:r w:rsidRPr="001A4EFA">
        <w:rPr>
          <w:rFonts w:eastAsia="Times New Roman" w:cs="Times New Roman"/>
          <w:kern w:val="0"/>
          <w:szCs w:val="24"/>
          <w:lang w:eastAsia="en-IN"/>
          <w14:ligatures w14:val="none"/>
        </w:rPr>
        <w:t>, 53, pp.384–393. doi:https://doi.org/10.1016/j.resourpol.2017.07.011.</w:t>
      </w:r>
    </w:p>
    <w:sectPr w:rsidR="00DD7479" w:rsidSect="00F46A0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AC5E3E" w14:textId="77777777" w:rsidR="00BE5995" w:rsidRDefault="00BE5995" w:rsidP="00066D79">
      <w:pPr>
        <w:spacing w:after="0" w:line="240" w:lineRule="auto"/>
      </w:pPr>
      <w:r>
        <w:separator/>
      </w:r>
    </w:p>
  </w:endnote>
  <w:endnote w:type="continuationSeparator" w:id="0">
    <w:p w14:paraId="4FCC3CDC" w14:textId="77777777" w:rsidR="00BE5995" w:rsidRDefault="00BE5995" w:rsidP="0006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B48B18" w14:textId="77777777" w:rsidR="00BE5995" w:rsidRDefault="00BE5995" w:rsidP="00066D79">
      <w:pPr>
        <w:spacing w:after="0" w:line="240" w:lineRule="auto"/>
      </w:pPr>
      <w:r>
        <w:separator/>
      </w:r>
    </w:p>
  </w:footnote>
  <w:footnote w:type="continuationSeparator" w:id="0">
    <w:p w14:paraId="03AC7293" w14:textId="77777777" w:rsidR="00BE5995" w:rsidRDefault="00BE5995" w:rsidP="00066D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E2C62"/>
    <w:multiLevelType w:val="hybridMultilevel"/>
    <w:tmpl w:val="7B7824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B776E"/>
    <w:multiLevelType w:val="hybridMultilevel"/>
    <w:tmpl w:val="CB62F62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43223CC2"/>
    <w:multiLevelType w:val="hybridMultilevel"/>
    <w:tmpl w:val="617A0D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650123E7"/>
    <w:multiLevelType w:val="hybridMultilevel"/>
    <w:tmpl w:val="DEF642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2C4"/>
    <w:rsid w:val="000012F8"/>
    <w:rsid w:val="0004543A"/>
    <w:rsid w:val="00055879"/>
    <w:rsid w:val="0005685C"/>
    <w:rsid w:val="000629FE"/>
    <w:rsid w:val="00066D79"/>
    <w:rsid w:val="00077899"/>
    <w:rsid w:val="00082E6F"/>
    <w:rsid w:val="000A511E"/>
    <w:rsid w:val="000C2683"/>
    <w:rsid w:val="000E4368"/>
    <w:rsid w:val="000F0543"/>
    <w:rsid w:val="000F1051"/>
    <w:rsid w:val="000F68DD"/>
    <w:rsid w:val="00102316"/>
    <w:rsid w:val="00127ACE"/>
    <w:rsid w:val="00137550"/>
    <w:rsid w:val="001726A7"/>
    <w:rsid w:val="001A06EB"/>
    <w:rsid w:val="001A4EFA"/>
    <w:rsid w:val="001C44DC"/>
    <w:rsid w:val="0020544D"/>
    <w:rsid w:val="00231554"/>
    <w:rsid w:val="00252C22"/>
    <w:rsid w:val="00262021"/>
    <w:rsid w:val="00290EDF"/>
    <w:rsid w:val="002B6D6B"/>
    <w:rsid w:val="002D1784"/>
    <w:rsid w:val="002E2F98"/>
    <w:rsid w:val="002F013D"/>
    <w:rsid w:val="002F705C"/>
    <w:rsid w:val="00356C2E"/>
    <w:rsid w:val="00365D54"/>
    <w:rsid w:val="00387770"/>
    <w:rsid w:val="00397301"/>
    <w:rsid w:val="003A5A8D"/>
    <w:rsid w:val="003C5B89"/>
    <w:rsid w:val="0042427F"/>
    <w:rsid w:val="00433E6F"/>
    <w:rsid w:val="00434832"/>
    <w:rsid w:val="00447D15"/>
    <w:rsid w:val="00457849"/>
    <w:rsid w:val="004B5630"/>
    <w:rsid w:val="004B7941"/>
    <w:rsid w:val="004C3F7D"/>
    <w:rsid w:val="004E0C4D"/>
    <w:rsid w:val="004E2003"/>
    <w:rsid w:val="004F0304"/>
    <w:rsid w:val="00514C56"/>
    <w:rsid w:val="00531971"/>
    <w:rsid w:val="0053243A"/>
    <w:rsid w:val="00550113"/>
    <w:rsid w:val="005504DA"/>
    <w:rsid w:val="005711A6"/>
    <w:rsid w:val="005779FD"/>
    <w:rsid w:val="0059776B"/>
    <w:rsid w:val="005B3539"/>
    <w:rsid w:val="005D28C6"/>
    <w:rsid w:val="005D6691"/>
    <w:rsid w:val="005E11C2"/>
    <w:rsid w:val="005E22E8"/>
    <w:rsid w:val="005F4FFA"/>
    <w:rsid w:val="0061605D"/>
    <w:rsid w:val="00627E6E"/>
    <w:rsid w:val="006474E7"/>
    <w:rsid w:val="006859B6"/>
    <w:rsid w:val="00694CC0"/>
    <w:rsid w:val="006B4B63"/>
    <w:rsid w:val="006E3F4E"/>
    <w:rsid w:val="0071008F"/>
    <w:rsid w:val="00710D86"/>
    <w:rsid w:val="0071703E"/>
    <w:rsid w:val="00724959"/>
    <w:rsid w:val="00733FBF"/>
    <w:rsid w:val="00746F78"/>
    <w:rsid w:val="007524AB"/>
    <w:rsid w:val="0076529F"/>
    <w:rsid w:val="00772CEB"/>
    <w:rsid w:val="007933D2"/>
    <w:rsid w:val="007B6166"/>
    <w:rsid w:val="007B7EA9"/>
    <w:rsid w:val="00820347"/>
    <w:rsid w:val="00840DBF"/>
    <w:rsid w:val="0085397E"/>
    <w:rsid w:val="00874891"/>
    <w:rsid w:val="00876E1E"/>
    <w:rsid w:val="008A362A"/>
    <w:rsid w:val="008A6A97"/>
    <w:rsid w:val="008D0719"/>
    <w:rsid w:val="008D0E29"/>
    <w:rsid w:val="00934BDC"/>
    <w:rsid w:val="0094009C"/>
    <w:rsid w:val="009615B7"/>
    <w:rsid w:val="009940E3"/>
    <w:rsid w:val="009A7EB6"/>
    <w:rsid w:val="009B0245"/>
    <w:rsid w:val="009E13E0"/>
    <w:rsid w:val="009E3D40"/>
    <w:rsid w:val="009E6AC0"/>
    <w:rsid w:val="009F43B2"/>
    <w:rsid w:val="009F559E"/>
    <w:rsid w:val="00A048DB"/>
    <w:rsid w:val="00A41B46"/>
    <w:rsid w:val="00A432D8"/>
    <w:rsid w:val="00A73F4F"/>
    <w:rsid w:val="00A75AAE"/>
    <w:rsid w:val="00AA780D"/>
    <w:rsid w:val="00AC4D21"/>
    <w:rsid w:val="00AD0C18"/>
    <w:rsid w:val="00B06AA3"/>
    <w:rsid w:val="00B56227"/>
    <w:rsid w:val="00B60C55"/>
    <w:rsid w:val="00B8050D"/>
    <w:rsid w:val="00B91085"/>
    <w:rsid w:val="00B910BB"/>
    <w:rsid w:val="00B95C2D"/>
    <w:rsid w:val="00BC447F"/>
    <w:rsid w:val="00BC58B7"/>
    <w:rsid w:val="00BD0F4E"/>
    <w:rsid w:val="00BE05D0"/>
    <w:rsid w:val="00BE3E08"/>
    <w:rsid w:val="00BE5995"/>
    <w:rsid w:val="00C10717"/>
    <w:rsid w:val="00C1611A"/>
    <w:rsid w:val="00C23E60"/>
    <w:rsid w:val="00C3349C"/>
    <w:rsid w:val="00C462AB"/>
    <w:rsid w:val="00CB4C3E"/>
    <w:rsid w:val="00D3430E"/>
    <w:rsid w:val="00D46C2E"/>
    <w:rsid w:val="00D53471"/>
    <w:rsid w:val="00D65175"/>
    <w:rsid w:val="00D84ACB"/>
    <w:rsid w:val="00DD7479"/>
    <w:rsid w:val="00DF7C95"/>
    <w:rsid w:val="00E011FA"/>
    <w:rsid w:val="00E035F7"/>
    <w:rsid w:val="00E03F21"/>
    <w:rsid w:val="00E10253"/>
    <w:rsid w:val="00E11D1F"/>
    <w:rsid w:val="00E21CA9"/>
    <w:rsid w:val="00E302C4"/>
    <w:rsid w:val="00E554A4"/>
    <w:rsid w:val="00E74922"/>
    <w:rsid w:val="00E80A3D"/>
    <w:rsid w:val="00E9527D"/>
    <w:rsid w:val="00EA29C1"/>
    <w:rsid w:val="00EA55DE"/>
    <w:rsid w:val="00EA7462"/>
    <w:rsid w:val="00EB047C"/>
    <w:rsid w:val="00EC75D1"/>
    <w:rsid w:val="00EF70E2"/>
    <w:rsid w:val="00F215F5"/>
    <w:rsid w:val="00F46A0B"/>
    <w:rsid w:val="00F62A3B"/>
    <w:rsid w:val="00F76021"/>
    <w:rsid w:val="00F80C04"/>
    <w:rsid w:val="00F93819"/>
    <w:rsid w:val="00F9458E"/>
    <w:rsid w:val="00FB17BE"/>
    <w:rsid w:val="00FE0D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E20E5"/>
  <w15:chartTrackingRefBased/>
  <w15:docId w15:val="{755EC30D-7723-478C-AF3D-D9CE05E46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kern w:val="2"/>
        <w:sz w:val="24"/>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BDC"/>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B4C3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56C2E"/>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C3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56C2E"/>
    <w:rPr>
      <w:rFonts w:ascii="Times New Roman" w:eastAsiaTheme="majorEastAsia" w:hAnsi="Times New Roman" w:cstheme="majorBidi"/>
      <w:b/>
      <w:sz w:val="28"/>
      <w:szCs w:val="26"/>
    </w:rPr>
  </w:style>
  <w:style w:type="table" w:styleId="TableGrid">
    <w:name w:val="Table Grid"/>
    <w:basedOn w:val="TableNormal"/>
    <w:uiPriority w:val="39"/>
    <w:rsid w:val="00597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9776B"/>
    <w:pPr>
      <w:spacing w:after="200" w:line="240" w:lineRule="auto"/>
    </w:pPr>
    <w:rPr>
      <w:i/>
      <w:iCs/>
      <w:color w:val="44546A" w:themeColor="text2"/>
      <w:sz w:val="18"/>
      <w:szCs w:val="18"/>
    </w:rPr>
  </w:style>
  <w:style w:type="paragraph" w:styleId="ListParagraph">
    <w:name w:val="List Paragraph"/>
    <w:basedOn w:val="Normal"/>
    <w:uiPriority w:val="34"/>
    <w:qFormat/>
    <w:rsid w:val="00D3430E"/>
    <w:pPr>
      <w:ind w:left="720"/>
      <w:contextualSpacing/>
    </w:pPr>
  </w:style>
  <w:style w:type="paragraph" w:styleId="TOCHeading">
    <w:name w:val="TOC Heading"/>
    <w:basedOn w:val="Heading1"/>
    <w:next w:val="Normal"/>
    <w:uiPriority w:val="39"/>
    <w:unhideWhenUsed/>
    <w:qFormat/>
    <w:rsid w:val="000F0543"/>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0F0543"/>
    <w:pPr>
      <w:spacing w:after="100"/>
    </w:pPr>
  </w:style>
  <w:style w:type="paragraph" w:styleId="TOC2">
    <w:name w:val="toc 2"/>
    <w:basedOn w:val="Normal"/>
    <w:next w:val="Normal"/>
    <w:autoRedefine/>
    <w:uiPriority w:val="39"/>
    <w:unhideWhenUsed/>
    <w:rsid w:val="000F0543"/>
    <w:pPr>
      <w:spacing w:after="100"/>
      <w:ind w:left="240"/>
    </w:pPr>
  </w:style>
  <w:style w:type="character" w:styleId="Hyperlink">
    <w:name w:val="Hyperlink"/>
    <w:basedOn w:val="DefaultParagraphFont"/>
    <w:uiPriority w:val="99"/>
    <w:unhideWhenUsed/>
    <w:rsid w:val="000F0543"/>
    <w:rPr>
      <w:color w:val="0563C1" w:themeColor="hyperlink"/>
      <w:u w:val="single"/>
    </w:rPr>
  </w:style>
  <w:style w:type="paragraph" w:styleId="TableofFigures">
    <w:name w:val="table of figures"/>
    <w:basedOn w:val="Normal"/>
    <w:next w:val="Normal"/>
    <w:uiPriority w:val="99"/>
    <w:unhideWhenUsed/>
    <w:rsid w:val="00C23E60"/>
    <w:pPr>
      <w:spacing w:after="0"/>
    </w:pPr>
  </w:style>
  <w:style w:type="paragraph" w:styleId="Header">
    <w:name w:val="header"/>
    <w:basedOn w:val="Normal"/>
    <w:link w:val="HeaderChar"/>
    <w:uiPriority w:val="99"/>
    <w:unhideWhenUsed/>
    <w:rsid w:val="00066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D79"/>
    <w:rPr>
      <w:rFonts w:ascii="Times New Roman" w:hAnsi="Times New Roman"/>
    </w:rPr>
  </w:style>
  <w:style w:type="paragraph" w:styleId="Footer">
    <w:name w:val="footer"/>
    <w:basedOn w:val="Normal"/>
    <w:link w:val="FooterChar"/>
    <w:uiPriority w:val="99"/>
    <w:unhideWhenUsed/>
    <w:rsid w:val="00066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D79"/>
    <w:rPr>
      <w:rFonts w:ascii="Times New Roman" w:hAnsi="Times New Roman"/>
    </w:rPr>
  </w:style>
  <w:style w:type="paragraph" w:styleId="NoSpacing">
    <w:name w:val="No Spacing"/>
    <w:link w:val="NoSpacingChar"/>
    <w:uiPriority w:val="1"/>
    <w:qFormat/>
    <w:rsid w:val="00066D79"/>
    <w:pPr>
      <w:spacing w:after="0" w:line="240" w:lineRule="auto"/>
    </w:pPr>
    <w:rPr>
      <w:rFonts w:asciiTheme="minorHAnsi" w:eastAsiaTheme="minorEastAsia" w:hAnsiTheme="minorHAnsi" w:cstheme="minorBidi"/>
      <w:kern w:val="0"/>
      <w:sz w:val="22"/>
      <w:lang w:val="en-US"/>
      <w14:ligatures w14:val="none"/>
    </w:rPr>
  </w:style>
  <w:style w:type="character" w:customStyle="1" w:styleId="NoSpacingChar">
    <w:name w:val="No Spacing Char"/>
    <w:basedOn w:val="DefaultParagraphFont"/>
    <w:link w:val="NoSpacing"/>
    <w:uiPriority w:val="1"/>
    <w:rsid w:val="00066D79"/>
    <w:rPr>
      <w:rFonts w:asciiTheme="minorHAnsi" w:eastAsiaTheme="minorEastAsia" w:hAnsiTheme="minorHAnsi" w:cstheme="minorBidi"/>
      <w:kern w:val="0"/>
      <w:sz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519312">
      <w:bodyDiv w:val="1"/>
      <w:marLeft w:val="0"/>
      <w:marRight w:val="0"/>
      <w:marTop w:val="0"/>
      <w:marBottom w:val="0"/>
      <w:divBdr>
        <w:top w:val="none" w:sz="0" w:space="0" w:color="auto"/>
        <w:left w:val="none" w:sz="0" w:space="0" w:color="auto"/>
        <w:bottom w:val="none" w:sz="0" w:space="0" w:color="auto"/>
        <w:right w:val="none" w:sz="0" w:space="0" w:color="auto"/>
      </w:divBdr>
      <w:divsChild>
        <w:div w:id="419984907">
          <w:marLeft w:val="0"/>
          <w:marRight w:val="0"/>
          <w:marTop w:val="0"/>
          <w:marBottom w:val="0"/>
          <w:divBdr>
            <w:top w:val="none" w:sz="0" w:space="0" w:color="auto"/>
            <w:left w:val="none" w:sz="0" w:space="0" w:color="auto"/>
            <w:bottom w:val="none" w:sz="0" w:space="0" w:color="auto"/>
            <w:right w:val="none" w:sz="0" w:space="0" w:color="auto"/>
          </w:divBdr>
        </w:div>
      </w:divsChild>
    </w:div>
    <w:div w:id="853149732">
      <w:bodyDiv w:val="1"/>
      <w:marLeft w:val="0"/>
      <w:marRight w:val="0"/>
      <w:marTop w:val="0"/>
      <w:marBottom w:val="0"/>
      <w:divBdr>
        <w:top w:val="none" w:sz="0" w:space="0" w:color="auto"/>
        <w:left w:val="none" w:sz="0" w:space="0" w:color="auto"/>
        <w:bottom w:val="none" w:sz="0" w:space="0" w:color="auto"/>
        <w:right w:val="none" w:sz="0" w:space="0" w:color="auto"/>
      </w:divBdr>
    </w:div>
    <w:div w:id="1012027509">
      <w:bodyDiv w:val="1"/>
      <w:marLeft w:val="0"/>
      <w:marRight w:val="0"/>
      <w:marTop w:val="0"/>
      <w:marBottom w:val="0"/>
      <w:divBdr>
        <w:top w:val="none" w:sz="0" w:space="0" w:color="auto"/>
        <w:left w:val="none" w:sz="0" w:space="0" w:color="auto"/>
        <w:bottom w:val="none" w:sz="0" w:space="0" w:color="auto"/>
        <w:right w:val="none" w:sz="0" w:space="0" w:color="auto"/>
      </w:divBdr>
      <w:divsChild>
        <w:div w:id="2130316957">
          <w:marLeft w:val="0"/>
          <w:marRight w:val="0"/>
          <w:marTop w:val="0"/>
          <w:marBottom w:val="0"/>
          <w:divBdr>
            <w:top w:val="none" w:sz="0" w:space="0" w:color="auto"/>
            <w:left w:val="none" w:sz="0" w:space="0" w:color="auto"/>
            <w:bottom w:val="none" w:sz="0" w:space="0" w:color="auto"/>
            <w:right w:val="none" w:sz="0" w:space="0" w:color="auto"/>
          </w:divBdr>
        </w:div>
      </w:divsChild>
    </w:div>
    <w:div w:id="1429739585">
      <w:bodyDiv w:val="1"/>
      <w:marLeft w:val="0"/>
      <w:marRight w:val="0"/>
      <w:marTop w:val="0"/>
      <w:marBottom w:val="0"/>
      <w:divBdr>
        <w:top w:val="none" w:sz="0" w:space="0" w:color="auto"/>
        <w:left w:val="none" w:sz="0" w:space="0" w:color="auto"/>
        <w:bottom w:val="none" w:sz="0" w:space="0" w:color="auto"/>
        <w:right w:val="none" w:sz="0" w:space="0" w:color="auto"/>
      </w:divBdr>
      <w:divsChild>
        <w:div w:id="508910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Net Profit Margin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2019</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Sheet1!$A$2</c:f>
              <c:strCache>
                <c:ptCount val="1"/>
                <c:pt idx="0">
                  <c:v>Net Profit Margin (%)</c:v>
                </c:pt>
              </c:strCache>
            </c:strRef>
          </c:cat>
          <c:val>
            <c:numRef>
              <c:f>Sheet1!$B$2</c:f>
              <c:numCache>
                <c:formatCode>General</c:formatCode>
                <c:ptCount val="1"/>
                <c:pt idx="0">
                  <c:v>22.6</c:v>
                </c:pt>
              </c:numCache>
            </c:numRef>
          </c:val>
          <c:extLst xmlns:c16r2="http://schemas.microsoft.com/office/drawing/2015/06/chart">
            <c:ext xmlns:c16="http://schemas.microsoft.com/office/drawing/2014/chart" uri="{C3380CC4-5D6E-409C-BE32-E72D297353CC}">
              <c16:uniqueId val="{00000000-E618-4F76-AFE9-E13CD09C59AA}"/>
            </c:ext>
          </c:extLst>
        </c:ser>
        <c:ser>
          <c:idx val="1"/>
          <c:order val="1"/>
          <c:tx>
            <c:strRef>
              <c:f>Sheet1!$C$1</c:f>
              <c:strCache>
                <c:ptCount val="1"/>
                <c:pt idx="0">
                  <c:v>2020</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strRef>
              <c:f>Sheet1!$A$2</c:f>
              <c:strCache>
                <c:ptCount val="1"/>
                <c:pt idx="0">
                  <c:v>Net Profit Margin (%)</c:v>
                </c:pt>
              </c:strCache>
            </c:strRef>
          </c:cat>
          <c:val>
            <c:numRef>
              <c:f>Sheet1!$C$2</c:f>
              <c:numCache>
                <c:formatCode>General</c:formatCode>
                <c:ptCount val="1"/>
                <c:pt idx="0">
                  <c:v>25.46</c:v>
                </c:pt>
              </c:numCache>
            </c:numRef>
          </c:val>
          <c:extLst xmlns:c16r2="http://schemas.microsoft.com/office/drawing/2015/06/chart">
            <c:ext xmlns:c16="http://schemas.microsoft.com/office/drawing/2014/chart" uri="{C3380CC4-5D6E-409C-BE32-E72D297353CC}">
              <c16:uniqueId val="{00000001-E618-4F76-AFE9-E13CD09C59AA}"/>
            </c:ext>
          </c:extLst>
        </c:ser>
        <c:ser>
          <c:idx val="2"/>
          <c:order val="2"/>
          <c:tx>
            <c:strRef>
              <c:f>Sheet1!$D$1</c:f>
              <c:strCache>
                <c:ptCount val="1"/>
                <c:pt idx="0">
                  <c:v>2021</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cat>
            <c:strRef>
              <c:f>Sheet1!$A$2</c:f>
              <c:strCache>
                <c:ptCount val="1"/>
                <c:pt idx="0">
                  <c:v>Net Profit Margin (%)</c:v>
                </c:pt>
              </c:strCache>
            </c:strRef>
          </c:cat>
          <c:val>
            <c:numRef>
              <c:f>Sheet1!$D$2</c:f>
              <c:numCache>
                <c:formatCode>General</c:formatCode>
                <c:ptCount val="1"/>
                <c:pt idx="0">
                  <c:v>27.15</c:v>
                </c:pt>
              </c:numCache>
            </c:numRef>
          </c:val>
          <c:extLst xmlns:c16r2="http://schemas.microsoft.com/office/drawing/2015/06/chart">
            <c:ext xmlns:c16="http://schemas.microsoft.com/office/drawing/2014/chart" uri="{C3380CC4-5D6E-409C-BE32-E72D297353CC}">
              <c16:uniqueId val="{00000002-E618-4F76-AFE9-E13CD09C59AA}"/>
            </c:ext>
          </c:extLst>
        </c:ser>
        <c:ser>
          <c:idx val="3"/>
          <c:order val="3"/>
          <c:tx>
            <c:strRef>
              <c:f>Sheet1!$E$1</c:f>
              <c:strCache>
                <c:ptCount val="1"/>
                <c:pt idx="0">
                  <c:v>2022</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cat>
            <c:strRef>
              <c:f>Sheet1!$A$2</c:f>
              <c:strCache>
                <c:ptCount val="1"/>
                <c:pt idx="0">
                  <c:v>Net Profit Margin (%)</c:v>
                </c:pt>
              </c:strCache>
            </c:strRef>
          </c:cat>
          <c:val>
            <c:numRef>
              <c:f>Sheet1!$E$2</c:f>
              <c:numCache>
                <c:formatCode>General</c:formatCode>
                <c:ptCount val="1"/>
                <c:pt idx="0">
                  <c:v>24.75</c:v>
                </c:pt>
              </c:numCache>
            </c:numRef>
          </c:val>
          <c:extLst xmlns:c16r2="http://schemas.microsoft.com/office/drawing/2015/06/chart">
            <c:ext xmlns:c16="http://schemas.microsoft.com/office/drawing/2014/chart" uri="{C3380CC4-5D6E-409C-BE32-E72D297353CC}">
              <c16:uniqueId val="{00000003-E618-4F76-AFE9-E13CD09C59AA}"/>
            </c:ext>
          </c:extLst>
        </c:ser>
        <c:ser>
          <c:idx val="4"/>
          <c:order val="4"/>
          <c:tx>
            <c:strRef>
              <c:f>Sheet1!$F$1</c:f>
              <c:strCache>
                <c:ptCount val="1"/>
                <c:pt idx="0">
                  <c:v>2023</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cat>
            <c:strRef>
              <c:f>Sheet1!$A$2</c:f>
              <c:strCache>
                <c:ptCount val="1"/>
                <c:pt idx="0">
                  <c:v>Net Profit Margin (%)</c:v>
                </c:pt>
              </c:strCache>
            </c:strRef>
          </c:cat>
          <c:val>
            <c:numRef>
              <c:f>Sheet1!$F$2</c:f>
              <c:numCache>
                <c:formatCode>General</c:formatCode>
                <c:ptCount val="1"/>
                <c:pt idx="0">
                  <c:v>52.02</c:v>
                </c:pt>
              </c:numCache>
            </c:numRef>
          </c:val>
          <c:extLst xmlns:c16r2="http://schemas.microsoft.com/office/drawing/2015/06/chart">
            <c:ext xmlns:c16="http://schemas.microsoft.com/office/drawing/2014/chart" uri="{C3380CC4-5D6E-409C-BE32-E72D297353CC}">
              <c16:uniqueId val="{00000004-E618-4F76-AFE9-E13CD09C59AA}"/>
            </c:ext>
          </c:extLst>
        </c:ser>
        <c:dLbls>
          <c:showLegendKey val="0"/>
          <c:showVal val="0"/>
          <c:showCatName val="0"/>
          <c:showSerName val="0"/>
          <c:showPercent val="0"/>
          <c:showBubbleSize val="0"/>
        </c:dLbls>
        <c:gapWidth val="65"/>
        <c:shape val="box"/>
        <c:axId val="-963242160"/>
        <c:axId val="-963241072"/>
        <c:axId val="0"/>
      </c:bar3DChart>
      <c:catAx>
        <c:axId val="-9632421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63241072"/>
        <c:crosses val="autoZero"/>
        <c:auto val="1"/>
        <c:lblAlgn val="ctr"/>
        <c:lblOffset val="100"/>
        <c:noMultiLvlLbl val="0"/>
      </c:catAx>
      <c:valAx>
        <c:axId val="-9632410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632421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CASH RATIO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2019</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Sheet1!$A$2</c:f>
              <c:strCache>
                <c:ptCount val="1"/>
                <c:pt idx="0">
                  <c:v>Cash Ratio</c:v>
                </c:pt>
              </c:strCache>
            </c:strRef>
          </c:cat>
          <c:val>
            <c:numRef>
              <c:f>Sheet1!$B$2</c:f>
              <c:numCache>
                <c:formatCode>General</c:formatCode>
                <c:ptCount val="1"/>
                <c:pt idx="0">
                  <c:v>0.13</c:v>
                </c:pt>
              </c:numCache>
            </c:numRef>
          </c:val>
          <c:extLst xmlns:c16r2="http://schemas.microsoft.com/office/drawing/2015/06/chart">
            <c:ext xmlns:c16="http://schemas.microsoft.com/office/drawing/2014/chart" uri="{C3380CC4-5D6E-409C-BE32-E72D297353CC}">
              <c16:uniqueId val="{00000000-0611-44A9-AA10-CB98DC972E93}"/>
            </c:ext>
          </c:extLst>
        </c:ser>
        <c:ser>
          <c:idx val="1"/>
          <c:order val="1"/>
          <c:tx>
            <c:strRef>
              <c:f>Sheet1!$C$1</c:f>
              <c:strCache>
                <c:ptCount val="1"/>
                <c:pt idx="0">
                  <c:v>2020</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strRef>
              <c:f>Sheet1!$A$2</c:f>
              <c:strCache>
                <c:ptCount val="1"/>
                <c:pt idx="0">
                  <c:v>Cash Ratio</c:v>
                </c:pt>
              </c:strCache>
            </c:strRef>
          </c:cat>
          <c:val>
            <c:numRef>
              <c:f>Sheet1!$C$2</c:f>
              <c:numCache>
                <c:formatCode>General</c:formatCode>
                <c:ptCount val="1"/>
                <c:pt idx="0">
                  <c:v>0.2</c:v>
                </c:pt>
              </c:numCache>
            </c:numRef>
          </c:val>
          <c:extLst xmlns:c16r2="http://schemas.microsoft.com/office/drawing/2015/06/chart">
            <c:ext xmlns:c16="http://schemas.microsoft.com/office/drawing/2014/chart" uri="{C3380CC4-5D6E-409C-BE32-E72D297353CC}">
              <c16:uniqueId val="{00000001-0611-44A9-AA10-CB98DC972E93}"/>
            </c:ext>
          </c:extLst>
        </c:ser>
        <c:ser>
          <c:idx val="2"/>
          <c:order val="2"/>
          <c:tx>
            <c:strRef>
              <c:f>Sheet1!$D$1</c:f>
              <c:strCache>
                <c:ptCount val="1"/>
                <c:pt idx="0">
                  <c:v>2021</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cat>
            <c:strRef>
              <c:f>Sheet1!$A$2</c:f>
              <c:strCache>
                <c:ptCount val="1"/>
                <c:pt idx="0">
                  <c:v>Cash Ratio</c:v>
                </c:pt>
              </c:strCache>
            </c:strRef>
          </c:cat>
          <c:val>
            <c:numRef>
              <c:f>Sheet1!$D$2</c:f>
              <c:numCache>
                <c:formatCode>General</c:formatCode>
                <c:ptCount val="1"/>
                <c:pt idx="0">
                  <c:v>0.18</c:v>
                </c:pt>
              </c:numCache>
            </c:numRef>
          </c:val>
          <c:extLst xmlns:c16r2="http://schemas.microsoft.com/office/drawing/2015/06/chart">
            <c:ext xmlns:c16="http://schemas.microsoft.com/office/drawing/2014/chart" uri="{C3380CC4-5D6E-409C-BE32-E72D297353CC}">
              <c16:uniqueId val="{00000002-0611-44A9-AA10-CB98DC972E93}"/>
            </c:ext>
          </c:extLst>
        </c:ser>
        <c:ser>
          <c:idx val="3"/>
          <c:order val="3"/>
          <c:tx>
            <c:strRef>
              <c:f>Sheet1!$E$1</c:f>
              <c:strCache>
                <c:ptCount val="1"/>
                <c:pt idx="0">
                  <c:v>2022</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cat>
            <c:strRef>
              <c:f>Sheet1!$A$2</c:f>
              <c:strCache>
                <c:ptCount val="1"/>
                <c:pt idx="0">
                  <c:v>Cash Ratio</c:v>
                </c:pt>
              </c:strCache>
            </c:strRef>
          </c:cat>
          <c:val>
            <c:numRef>
              <c:f>Sheet1!$E$2</c:f>
              <c:numCache>
                <c:formatCode>General</c:formatCode>
                <c:ptCount val="1"/>
                <c:pt idx="0">
                  <c:v>0.19</c:v>
                </c:pt>
              </c:numCache>
            </c:numRef>
          </c:val>
          <c:extLst xmlns:c16r2="http://schemas.microsoft.com/office/drawing/2015/06/chart">
            <c:ext xmlns:c16="http://schemas.microsoft.com/office/drawing/2014/chart" uri="{C3380CC4-5D6E-409C-BE32-E72D297353CC}">
              <c16:uniqueId val="{00000003-0611-44A9-AA10-CB98DC972E93}"/>
            </c:ext>
          </c:extLst>
        </c:ser>
        <c:ser>
          <c:idx val="4"/>
          <c:order val="4"/>
          <c:tx>
            <c:strRef>
              <c:f>Sheet1!$F$1</c:f>
              <c:strCache>
                <c:ptCount val="1"/>
                <c:pt idx="0">
                  <c:v>2023</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cat>
            <c:strRef>
              <c:f>Sheet1!$A$2</c:f>
              <c:strCache>
                <c:ptCount val="1"/>
                <c:pt idx="0">
                  <c:v>Cash Ratio</c:v>
                </c:pt>
              </c:strCache>
            </c:strRef>
          </c:cat>
          <c:val>
            <c:numRef>
              <c:f>Sheet1!$F$2</c:f>
              <c:numCache>
                <c:formatCode>General</c:formatCode>
                <c:ptCount val="1"/>
                <c:pt idx="0">
                  <c:v>0.28999999999999998</c:v>
                </c:pt>
              </c:numCache>
            </c:numRef>
          </c:val>
          <c:extLst xmlns:c16r2="http://schemas.microsoft.com/office/drawing/2015/06/chart">
            <c:ext xmlns:c16="http://schemas.microsoft.com/office/drawing/2014/chart" uri="{C3380CC4-5D6E-409C-BE32-E72D297353CC}">
              <c16:uniqueId val="{00000004-0611-44A9-AA10-CB98DC972E93}"/>
            </c:ext>
          </c:extLst>
        </c:ser>
        <c:dLbls>
          <c:showLegendKey val="0"/>
          <c:showVal val="0"/>
          <c:showCatName val="0"/>
          <c:showSerName val="0"/>
          <c:showPercent val="0"/>
          <c:showBubbleSize val="0"/>
        </c:dLbls>
        <c:gapWidth val="65"/>
        <c:shape val="box"/>
        <c:axId val="-963238352"/>
        <c:axId val="-1139701968"/>
        <c:axId val="0"/>
      </c:bar3DChart>
      <c:catAx>
        <c:axId val="-96323835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39701968"/>
        <c:crosses val="autoZero"/>
        <c:auto val="1"/>
        <c:lblAlgn val="ctr"/>
        <c:lblOffset val="100"/>
        <c:noMultiLvlLbl val="0"/>
      </c:catAx>
      <c:valAx>
        <c:axId val="-11397019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6323835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DEBT-TO-EQUITY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2019</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Sheet1!$A$2</c:f>
              <c:strCache>
                <c:ptCount val="1"/>
                <c:pt idx="0">
                  <c:v>Debt-to-Equity Ratio</c:v>
                </c:pt>
              </c:strCache>
            </c:strRef>
          </c:cat>
          <c:val>
            <c:numRef>
              <c:f>Sheet1!$B$2</c:f>
              <c:numCache>
                <c:formatCode>General</c:formatCode>
                <c:ptCount val="1"/>
                <c:pt idx="0">
                  <c:v>1.19</c:v>
                </c:pt>
              </c:numCache>
            </c:numRef>
          </c:val>
          <c:extLst xmlns:c16r2="http://schemas.microsoft.com/office/drawing/2015/06/chart">
            <c:ext xmlns:c16="http://schemas.microsoft.com/office/drawing/2014/chart" uri="{C3380CC4-5D6E-409C-BE32-E72D297353CC}">
              <c16:uniqueId val="{00000000-5632-419F-8D47-171FC7A6257A}"/>
            </c:ext>
          </c:extLst>
        </c:ser>
        <c:ser>
          <c:idx val="1"/>
          <c:order val="1"/>
          <c:tx>
            <c:strRef>
              <c:f>Sheet1!$C$1</c:f>
              <c:strCache>
                <c:ptCount val="1"/>
                <c:pt idx="0">
                  <c:v>2020</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strRef>
              <c:f>Sheet1!$A$2</c:f>
              <c:strCache>
                <c:ptCount val="1"/>
                <c:pt idx="0">
                  <c:v>Debt-to-Equity Ratio</c:v>
                </c:pt>
              </c:strCache>
            </c:strRef>
          </c:cat>
          <c:val>
            <c:numRef>
              <c:f>Sheet1!$C$2</c:f>
              <c:numCache>
                <c:formatCode>General</c:formatCode>
                <c:ptCount val="1"/>
                <c:pt idx="0">
                  <c:v>1.18</c:v>
                </c:pt>
              </c:numCache>
            </c:numRef>
          </c:val>
          <c:extLst xmlns:c16r2="http://schemas.microsoft.com/office/drawing/2015/06/chart">
            <c:ext xmlns:c16="http://schemas.microsoft.com/office/drawing/2014/chart" uri="{C3380CC4-5D6E-409C-BE32-E72D297353CC}">
              <c16:uniqueId val="{00000001-5632-419F-8D47-171FC7A6257A}"/>
            </c:ext>
          </c:extLst>
        </c:ser>
        <c:ser>
          <c:idx val="2"/>
          <c:order val="2"/>
          <c:tx>
            <c:strRef>
              <c:f>Sheet1!$D$1</c:f>
              <c:strCache>
                <c:ptCount val="1"/>
                <c:pt idx="0">
                  <c:v>2021</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cat>
            <c:strRef>
              <c:f>Sheet1!$A$2</c:f>
              <c:strCache>
                <c:ptCount val="1"/>
                <c:pt idx="0">
                  <c:v>Debt-to-Equity Ratio</c:v>
                </c:pt>
              </c:strCache>
            </c:strRef>
          </c:cat>
          <c:val>
            <c:numRef>
              <c:f>Sheet1!$D$2</c:f>
              <c:numCache>
                <c:formatCode>General</c:formatCode>
                <c:ptCount val="1"/>
                <c:pt idx="0">
                  <c:v>1.03</c:v>
                </c:pt>
              </c:numCache>
            </c:numRef>
          </c:val>
          <c:extLst xmlns:c16r2="http://schemas.microsoft.com/office/drawing/2015/06/chart">
            <c:ext xmlns:c16="http://schemas.microsoft.com/office/drawing/2014/chart" uri="{C3380CC4-5D6E-409C-BE32-E72D297353CC}">
              <c16:uniqueId val="{00000002-5632-419F-8D47-171FC7A6257A}"/>
            </c:ext>
          </c:extLst>
        </c:ser>
        <c:ser>
          <c:idx val="3"/>
          <c:order val="3"/>
          <c:tx>
            <c:strRef>
              <c:f>Sheet1!$E$1</c:f>
              <c:strCache>
                <c:ptCount val="1"/>
                <c:pt idx="0">
                  <c:v>2022</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cat>
            <c:strRef>
              <c:f>Sheet1!$A$2</c:f>
              <c:strCache>
                <c:ptCount val="1"/>
                <c:pt idx="0">
                  <c:v>Debt-to-Equity Ratio</c:v>
                </c:pt>
              </c:strCache>
            </c:strRef>
          </c:cat>
          <c:val>
            <c:numRef>
              <c:f>Sheet1!$E$2</c:f>
              <c:numCache>
                <c:formatCode>General</c:formatCode>
                <c:ptCount val="1"/>
                <c:pt idx="0">
                  <c:v>1.02</c:v>
                </c:pt>
              </c:numCache>
            </c:numRef>
          </c:val>
          <c:extLst xmlns:c16r2="http://schemas.microsoft.com/office/drawing/2015/06/chart">
            <c:ext xmlns:c16="http://schemas.microsoft.com/office/drawing/2014/chart" uri="{C3380CC4-5D6E-409C-BE32-E72D297353CC}">
              <c16:uniqueId val="{00000003-5632-419F-8D47-171FC7A6257A}"/>
            </c:ext>
          </c:extLst>
        </c:ser>
        <c:ser>
          <c:idx val="4"/>
          <c:order val="4"/>
          <c:tx>
            <c:strRef>
              <c:f>Sheet1!$F$1</c:f>
              <c:strCache>
                <c:ptCount val="1"/>
                <c:pt idx="0">
                  <c:v>2023</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cat>
            <c:strRef>
              <c:f>Sheet1!$A$2</c:f>
              <c:strCache>
                <c:ptCount val="1"/>
                <c:pt idx="0">
                  <c:v>Debt-to-Equity Ratio</c:v>
                </c:pt>
              </c:strCache>
            </c:strRef>
          </c:cat>
          <c:val>
            <c:numRef>
              <c:f>Sheet1!$F$2</c:f>
              <c:numCache>
                <c:formatCode>General</c:formatCode>
                <c:ptCount val="1"/>
                <c:pt idx="0">
                  <c:v>1.24</c:v>
                </c:pt>
              </c:numCache>
            </c:numRef>
          </c:val>
          <c:extLst xmlns:c16r2="http://schemas.microsoft.com/office/drawing/2015/06/chart">
            <c:ext xmlns:c16="http://schemas.microsoft.com/office/drawing/2014/chart" uri="{C3380CC4-5D6E-409C-BE32-E72D297353CC}">
              <c16:uniqueId val="{00000004-5632-419F-8D47-171FC7A6257A}"/>
            </c:ext>
          </c:extLst>
        </c:ser>
        <c:dLbls>
          <c:showLegendKey val="0"/>
          <c:showVal val="0"/>
          <c:showCatName val="0"/>
          <c:showSerName val="0"/>
          <c:showPercent val="0"/>
          <c:showBubbleSize val="0"/>
        </c:dLbls>
        <c:gapWidth val="65"/>
        <c:shape val="box"/>
        <c:axId val="-1139703600"/>
        <c:axId val="-1139700880"/>
        <c:axId val="0"/>
      </c:bar3DChart>
      <c:catAx>
        <c:axId val="-11397036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39700880"/>
        <c:crosses val="autoZero"/>
        <c:auto val="1"/>
        <c:lblAlgn val="ctr"/>
        <c:lblOffset val="100"/>
        <c:noMultiLvlLbl val="0"/>
      </c:catAx>
      <c:valAx>
        <c:axId val="-11397008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13970360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ASSET TURNOVER RATIO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2019</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Sheet1!$A$2</c:f>
              <c:strCache>
                <c:ptCount val="1"/>
                <c:pt idx="0">
                  <c:v>Asset Turnover Ratio</c:v>
                </c:pt>
              </c:strCache>
            </c:strRef>
          </c:cat>
          <c:val>
            <c:numRef>
              <c:f>Sheet1!$B$2</c:f>
              <c:numCache>
                <c:formatCode>General</c:formatCode>
                <c:ptCount val="1"/>
                <c:pt idx="0">
                  <c:v>0.18</c:v>
                </c:pt>
              </c:numCache>
            </c:numRef>
          </c:val>
          <c:extLst xmlns:c16r2="http://schemas.microsoft.com/office/drawing/2015/06/chart">
            <c:ext xmlns:c16="http://schemas.microsoft.com/office/drawing/2014/chart" uri="{C3380CC4-5D6E-409C-BE32-E72D297353CC}">
              <c16:uniqueId val="{00000000-DB0F-4F72-9DCD-9935F26C130A}"/>
            </c:ext>
          </c:extLst>
        </c:ser>
        <c:ser>
          <c:idx val="1"/>
          <c:order val="1"/>
          <c:tx>
            <c:strRef>
              <c:f>Sheet1!$C$1</c:f>
              <c:strCache>
                <c:ptCount val="1"/>
                <c:pt idx="0">
                  <c:v>2020</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strRef>
              <c:f>Sheet1!$A$2</c:f>
              <c:strCache>
                <c:ptCount val="1"/>
                <c:pt idx="0">
                  <c:v>Asset Turnover Ratio</c:v>
                </c:pt>
              </c:strCache>
            </c:strRef>
          </c:cat>
          <c:val>
            <c:numRef>
              <c:f>Sheet1!$C$2</c:f>
              <c:numCache>
                <c:formatCode>General</c:formatCode>
                <c:ptCount val="1"/>
                <c:pt idx="0">
                  <c:v>0.18</c:v>
                </c:pt>
              </c:numCache>
            </c:numRef>
          </c:val>
          <c:extLst xmlns:c16r2="http://schemas.microsoft.com/office/drawing/2015/06/chart">
            <c:ext xmlns:c16="http://schemas.microsoft.com/office/drawing/2014/chart" uri="{C3380CC4-5D6E-409C-BE32-E72D297353CC}">
              <c16:uniqueId val="{00000001-DB0F-4F72-9DCD-9935F26C130A}"/>
            </c:ext>
          </c:extLst>
        </c:ser>
        <c:ser>
          <c:idx val="2"/>
          <c:order val="2"/>
          <c:tx>
            <c:strRef>
              <c:f>Sheet1!$D$1</c:f>
              <c:strCache>
                <c:ptCount val="1"/>
                <c:pt idx="0">
                  <c:v>2021</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cat>
            <c:strRef>
              <c:f>Sheet1!$A$2</c:f>
              <c:strCache>
                <c:ptCount val="1"/>
                <c:pt idx="0">
                  <c:v>Asset Turnover Ratio</c:v>
                </c:pt>
              </c:strCache>
            </c:strRef>
          </c:cat>
          <c:val>
            <c:numRef>
              <c:f>Sheet1!$D$2</c:f>
              <c:numCache>
                <c:formatCode>General</c:formatCode>
                <c:ptCount val="1"/>
                <c:pt idx="0">
                  <c:v>0.18</c:v>
                </c:pt>
              </c:numCache>
            </c:numRef>
          </c:val>
          <c:extLst xmlns:c16r2="http://schemas.microsoft.com/office/drawing/2015/06/chart">
            <c:ext xmlns:c16="http://schemas.microsoft.com/office/drawing/2014/chart" uri="{C3380CC4-5D6E-409C-BE32-E72D297353CC}">
              <c16:uniqueId val="{00000002-DB0F-4F72-9DCD-9935F26C130A}"/>
            </c:ext>
          </c:extLst>
        </c:ser>
        <c:ser>
          <c:idx val="3"/>
          <c:order val="3"/>
          <c:tx>
            <c:strRef>
              <c:f>Sheet1!$E$1</c:f>
              <c:strCache>
                <c:ptCount val="1"/>
                <c:pt idx="0">
                  <c:v>2022</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cat>
            <c:strRef>
              <c:f>Sheet1!$A$2</c:f>
              <c:strCache>
                <c:ptCount val="1"/>
                <c:pt idx="0">
                  <c:v>Asset Turnover Ratio</c:v>
                </c:pt>
              </c:strCache>
            </c:strRef>
          </c:cat>
          <c:val>
            <c:numRef>
              <c:f>Sheet1!$E$2</c:f>
              <c:numCache>
                <c:formatCode>General</c:formatCode>
                <c:ptCount val="1"/>
                <c:pt idx="0">
                  <c:v>0.18</c:v>
                </c:pt>
              </c:numCache>
            </c:numRef>
          </c:val>
          <c:extLst xmlns:c16r2="http://schemas.microsoft.com/office/drawing/2015/06/chart">
            <c:ext xmlns:c16="http://schemas.microsoft.com/office/drawing/2014/chart" uri="{C3380CC4-5D6E-409C-BE32-E72D297353CC}">
              <c16:uniqueId val="{00000003-DB0F-4F72-9DCD-9935F26C130A}"/>
            </c:ext>
          </c:extLst>
        </c:ser>
        <c:ser>
          <c:idx val="4"/>
          <c:order val="4"/>
          <c:tx>
            <c:strRef>
              <c:f>Sheet1!$F$1</c:f>
              <c:strCache>
                <c:ptCount val="1"/>
                <c:pt idx="0">
                  <c:v>2023</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cat>
            <c:strRef>
              <c:f>Sheet1!$A$2</c:f>
              <c:strCache>
                <c:ptCount val="1"/>
                <c:pt idx="0">
                  <c:v>Asset Turnover Ratio</c:v>
                </c:pt>
              </c:strCache>
            </c:strRef>
          </c:cat>
          <c:val>
            <c:numRef>
              <c:f>Sheet1!$F$2</c:f>
              <c:numCache>
                <c:formatCode>General</c:formatCode>
                <c:ptCount val="1"/>
                <c:pt idx="0">
                  <c:v>0.22</c:v>
                </c:pt>
              </c:numCache>
            </c:numRef>
          </c:val>
          <c:extLst xmlns:c16r2="http://schemas.microsoft.com/office/drawing/2015/06/chart">
            <c:ext xmlns:c16="http://schemas.microsoft.com/office/drawing/2014/chart" uri="{C3380CC4-5D6E-409C-BE32-E72D297353CC}">
              <c16:uniqueId val="{00000004-DB0F-4F72-9DCD-9935F26C130A}"/>
            </c:ext>
          </c:extLst>
        </c:ser>
        <c:dLbls>
          <c:showLegendKey val="0"/>
          <c:showVal val="0"/>
          <c:showCatName val="0"/>
          <c:showSerName val="0"/>
          <c:showPercent val="0"/>
          <c:showBubbleSize val="0"/>
        </c:dLbls>
        <c:gapWidth val="65"/>
        <c:shape val="box"/>
        <c:axId val="-963723280"/>
        <c:axId val="-963734160"/>
        <c:axId val="0"/>
      </c:bar3DChart>
      <c:catAx>
        <c:axId val="-9637232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63734160"/>
        <c:crosses val="autoZero"/>
        <c:auto val="1"/>
        <c:lblAlgn val="ctr"/>
        <c:lblOffset val="100"/>
        <c:noMultiLvlLbl val="0"/>
      </c:catAx>
      <c:valAx>
        <c:axId val="-96373416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6372328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BAT</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numRef>
              <c:f>Sheet1!$A$2:$A$6</c:f>
              <c:numCache>
                <c:formatCode>General</c:formatCode>
                <c:ptCount val="5"/>
                <c:pt idx="0">
                  <c:v>2019</c:v>
                </c:pt>
                <c:pt idx="1">
                  <c:v>2020</c:v>
                </c:pt>
                <c:pt idx="2">
                  <c:v>2021</c:v>
                </c:pt>
                <c:pt idx="3">
                  <c:v>2022</c:v>
                </c:pt>
                <c:pt idx="4">
                  <c:v>2023</c:v>
                </c:pt>
              </c:numCache>
            </c:numRef>
          </c:cat>
          <c:val>
            <c:numRef>
              <c:f>Sheet1!$B$2:$B$6</c:f>
              <c:numCache>
                <c:formatCode>General</c:formatCode>
                <c:ptCount val="5"/>
                <c:pt idx="0">
                  <c:v>22.6</c:v>
                </c:pt>
                <c:pt idx="1">
                  <c:v>25.46</c:v>
                </c:pt>
                <c:pt idx="2">
                  <c:v>27.15</c:v>
                </c:pt>
                <c:pt idx="3">
                  <c:v>24.75</c:v>
                </c:pt>
                <c:pt idx="4">
                  <c:v>52.02</c:v>
                </c:pt>
              </c:numCache>
            </c:numRef>
          </c:val>
          <c:extLst xmlns:c16r2="http://schemas.microsoft.com/office/drawing/2015/06/chart">
            <c:ext xmlns:c16="http://schemas.microsoft.com/office/drawing/2014/chart" uri="{C3380CC4-5D6E-409C-BE32-E72D297353CC}">
              <c16:uniqueId val="{00000000-66DD-4653-8C80-9EC4CB9FD5F5}"/>
            </c:ext>
          </c:extLst>
        </c:ser>
        <c:ser>
          <c:idx val="1"/>
          <c:order val="1"/>
          <c:tx>
            <c:strRef>
              <c:f>Sheet1!$C$1</c:f>
              <c:strCache>
                <c:ptCount val="1"/>
                <c:pt idx="0">
                  <c:v>Imperial Brands</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numRef>
              <c:f>Sheet1!$A$2:$A$6</c:f>
              <c:numCache>
                <c:formatCode>General</c:formatCode>
                <c:ptCount val="5"/>
                <c:pt idx="0">
                  <c:v>2019</c:v>
                </c:pt>
                <c:pt idx="1">
                  <c:v>2020</c:v>
                </c:pt>
                <c:pt idx="2">
                  <c:v>2021</c:v>
                </c:pt>
                <c:pt idx="3">
                  <c:v>2022</c:v>
                </c:pt>
                <c:pt idx="4">
                  <c:v>2023</c:v>
                </c:pt>
              </c:numCache>
            </c:numRef>
          </c:cat>
          <c:val>
            <c:numRef>
              <c:f>Sheet1!$C$2:$C$6</c:f>
              <c:numCache>
                <c:formatCode>General</c:formatCode>
                <c:ptCount val="5"/>
                <c:pt idx="0">
                  <c:v>4.59</c:v>
                </c:pt>
                <c:pt idx="1">
                  <c:v>8.65</c:v>
                </c:pt>
                <c:pt idx="2">
                  <c:v>4.82</c:v>
                </c:pt>
                <c:pt idx="3">
                  <c:v>7.17</c:v>
                </c:pt>
                <c:pt idx="4">
                  <c:v>7.17</c:v>
                </c:pt>
              </c:numCache>
            </c:numRef>
          </c:val>
          <c:extLst xmlns:c16r2="http://schemas.microsoft.com/office/drawing/2015/06/chart">
            <c:ext xmlns:c16="http://schemas.microsoft.com/office/drawing/2014/chart" uri="{C3380CC4-5D6E-409C-BE32-E72D297353CC}">
              <c16:uniqueId val="{00000001-66DD-4653-8C80-9EC4CB9FD5F5}"/>
            </c:ext>
          </c:extLst>
        </c:ser>
        <c:dLbls>
          <c:showLegendKey val="0"/>
          <c:showVal val="0"/>
          <c:showCatName val="0"/>
          <c:showSerName val="0"/>
          <c:showPercent val="0"/>
          <c:showBubbleSize val="0"/>
        </c:dLbls>
        <c:gapWidth val="65"/>
        <c:shape val="box"/>
        <c:axId val="-1291534128"/>
        <c:axId val="-1290807904"/>
        <c:axId val="0"/>
      </c:bar3DChart>
      <c:catAx>
        <c:axId val="-12915341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90807904"/>
        <c:crosses val="autoZero"/>
        <c:auto val="1"/>
        <c:lblAlgn val="ctr"/>
        <c:lblOffset val="100"/>
        <c:noMultiLvlLbl val="0"/>
      </c:catAx>
      <c:valAx>
        <c:axId val="-129080790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29153412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BAT</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numRef>
              <c:f>Sheet1!$A$2:$A$6</c:f>
              <c:numCache>
                <c:formatCode>General</c:formatCode>
                <c:ptCount val="5"/>
                <c:pt idx="0">
                  <c:v>2019</c:v>
                </c:pt>
                <c:pt idx="1">
                  <c:v>2020</c:v>
                </c:pt>
                <c:pt idx="2">
                  <c:v>2021</c:v>
                </c:pt>
                <c:pt idx="3">
                  <c:v>2022</c:v>
                </c:pt>
                <c:pt idx="4">
                  <c:v>2023</c:v>
                </c:pt>
              </c:numCache>
            </c:numRef>
          </c:cat>
          <c:val>
            <c:numRef>
              <c:f>Sheet1!$B$2:$B$6</c:f>
              <c:numCache>
                <c:formatCode>General</c:formatCode>
                <c:ptCount val="5"/>
                <c:pt idx="0">
                  <c:v>0.13</c:v>
                </c:pt>
                <c:pt idx="1">
                  <c:v>0.2</c:v>
                </c:pt>
                <c:pt idx="2">
                  <c:v>0.18</c:v>
                </c:pt>
                <c:pt idx="3">
                  <c:v>0.19</c:v>
                </c:pt>
                <c:pt idx="4">
                  <c:v>0.28999999999999998</c:v>
                </c:pt>
              </c:numCache>
            </c:numRef>
          </c:val>
          <c:extLst xmlns:c16r2="http://schemas.microsoft.com/office/drawing/2015/06/chart">
            <c:ext xmlns:c16="http://schemas.microsoft.com/office/drawing/2014/chart" uri="{C3380CC4-5D6E-409C-BE32-E72D297353CC}">
              <c16:uniqueId val="{00000000-6DDF-41C7-9FB8-E0ECF84E1BBB}"/>
            </c:ext>
          </c:extLst>
        </c:ser>
        <c:ser>
          <c:idx val="1"/>
          <c:order val="1"/>
          <c:tx>
            <c:strRef>
              <c:f>Sheet1!$C$1</c:f>
              <c:strCache>
                <c:ptCount val="1"/>
                <c:pt idx="0">
                  <c:v>Imperial Brands</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numRef>
              <c:f>Sheet1!$A$2:$A$6</c:f>
              <c:numCache>
                <c:formatCode>General</c:formatCode>
                <c:ptCount val="5"/>
                <c:pt idx="0">
                  <c:v>2019</c:v>
                </c:pt>
                <c:pt idx="1">
                  <c:v>2020</c:v>
                </c:pt>
                <c:pt idx="2">
                  <c:v>2021</c:v>
                </c:pt>
                <c:pt idx="3">
                  <c:v>2022</c:v>
                </c:pt>
                <c:pt idx="4">
                  <c:v>2023</c:v>
                </c:pt>
              </c:numCache>
            </c:numRef>
          </c:cat>
          <c:val>
            <c:numRef>
              <c:f>Sheet1!$C$2:$C$6</c:f>
              <c:numCache>
                <c:formatCode>General</c:formatCode>
                <c:ptCount val="5"/>
                <c:pt idx="0">
                  <c:v>0.22</c:v>
                </c:pt>
                <c:pt idx="1">
                  <c:v>0.32</c:v>
                </c:pt>
                <c:pt idx="2">
                  <c:v>0.34</c:v>
                </c:pt>
                <c:pt idx="3">
                  <c:v>0.34</c:v>
                </c:pt>
                <c:pt idx="4">
                  <c:v>0.32</c:v>
                </c:pt>
              </c:numCache>
            </c:numRef>
          </c:val>
          <c:extLst xmlns:c16r2="http://schemas.microsoft.com/office/drawing/2015/06/chart">
            <c:ext xmlns:c16="http://schemas.microsoft.com/office/drawing/2014/chart" uri="{C3380CC4-5D6E-409C-BE32-E72D297353CC}">
              <c16:uniqueId val="{00000001-6DDF-41C7-9FB8-E0ECF84E1BBB}"/>
            </c:ext>
          </c:extLst>
        </c:ser>
        <c:dLbls>
          <c:showLegendKey val="0"/>
          <c:showVal val="0"/>
          <c:showCatName val="0"/>
          <c:showSerName val="0"/>
          <c:showPercent val="0"/>
          <c:showBubbleSize val="0"/>
        </c:dLbls>
        <c:gapWidth val="65"/>
        <c:shape val="box"/>
        <c:axId val="-963528464"/>
        <c:axId val="-963525744"/>
        <c:axId val="0"/>
      </c:bar3DChart>
      <c:catAx>
        <c:axId val="-9635284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63525744"/>
        <c:crosses val="autoZero"/>
        <c:auto val="1"/>
        <c:lblAlgn val="ctr"/>
        <c:lblOffset val="100"/>
        <c:noMultiLvlLbl val="0"/>
      </c:catAx>
      <c:valAx>
        <c:axId val="-9635257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635284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BAT</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numRef>
              <c:f>Sheet1!$A$2:$A$6</c:f>
              <c:numCache>
                <c:formatCode>General</c:formatCode>
                <c:ptCount val="5"/>
                <c:pt idx="0">
                  <c:v>2019</c:v>
                </c:pt>
                <c:pt idx="1">
                  <c:v>2020</c:v>
                </c:pt>
                <c:pt idx="2">
                  <c:v>2021</c:v>
                </c:pt>
                <c:pt idx="3">
                  <c:v>2022</c:v>
                </c:pt>
                <c:pt idx="4">
                  <c:v>2023</c:v>
                </c:pt>
              </c:numCache>
            </c:numRef>
          </c:cat>
          <c:val>
            <c:numRef>
              <c:f>Sheet1!$B$2:$B$6</c:f>
              <c:numCache>
                <c:formatCode>General</c:formatCode>
                <c:ptCount val="5"/>
                <c:pt idx="0">
                  <c:v>1.19</c:v>
                </c:pt>
                <c:pt idx="1">
                  <c:v>1.18</c:v>
                </c:pt>
                <c:pt idx="2">
                  <c:v>1.03</c:v>
                </c:pt>
                <c:pt idx="3">
                  <c:v>1.02</c:v>
                </c:pt>
                <c:pt idx="4">
                  <c:v>1.24</c:v>
                </c:pt>
              </c:numCache>
            </c:numRef>
          </c:val>
          <c:extLst xmlns:c16r2="http://schemas.microsoft.com/office/drawing/2015/06/chart">
            <c:ext xmlns:c16="http://schemas.microsoft.com/office/drawing/2014/chart" uri="{C3380CC4-5D6E-409C-BE32-E72D297353CC}">
              <c16:uniqueId val="{00000000-DF1B-43D5-B356-944E3A6E1652}"/>
            </c:ext>
          </c:extLst>
        </c:ser>
        <c:ser>
          <c:idx val="1"/>
          <c:order val="1"/>
          <c:tx>
            <c:strRef>
              <c:f>Sheet1!$C$1</c:f>
              <c:strCache>
                <c:ptCount val="1"/>
                <c:pt idx="0">
                  <c:v>Imperial Brands</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numRef>
              <c:f>Sheet1!$A$2:$A$6</c:f>
              <c:numCache>
                <c:formatCode>General</c:formatCode>
                <c:ptCount val="5"/>
                <c:pt idx="0">
                  <c:v>2019</c:v>
                </c:pt>
                <c:pt idx="1">
                  <c:v>2020</c:v>
                </c:pt>
                <c:pt idx="2">
                  <c:v>2021</c:v>
                </c:pt>
                <c:pt idx="3">
                  <c:v>2022</c:v>
                </c:pt>
                <c:pt idx="4">
                  <c:v>2023</c:v>
                </c:pt>
              </c:numCache>
            </c:numRef>
          </c:cat>
          <c:val>
            <c:numRef>
              <c:f>Sheet1!$C$2:$C$6</c:f>
              <c:numCache>
                <c:formatCode>General</c:formatCode>
                <c:ptCount val="5"/>
                <c:pt idx="0">
                  <c:v>0.51</c:v>
                </c:pt>
                <c:pt idx="1">
                  <c:v>0.72</c:v>
                </c:pt>
                <c:pt idx="2">
                  <c:v>0.72</c:v>
                </c:pt>
                <c:pt idx="3">
                  <c:v>0.74</c:v>
                </c:pt>
                <c:pt idx="4">
                  <c:v>0.74</c:v>
                </c:pt>
              </c:numCache>
            </c:numRef>
          </c:val>
          <c:extLst xmlns:c16r2="http://schemas.microsoft.com/office/drawing/2015/06/chart">
            <c:ext xmlns:c16="http://schemas.microsoft.com/office/drawing/2014/chart" uri="{C3380CC4-5D6E-409C-BE32-E72D297353CC}">
              <c16:uniqueId val="{00000001-DF1B-43D5-B356-944E3A6E1652}"/>
            </c:ext>
          </c:extLst>
        </c:ser>
        <c:dLbls>
          <c:showLegendKey val="0"/>
          <c:showVal val="0"/>
          <c:showCatName val="0"/>
          <c:showSerName val="0"/>
          <c:showPercent val="0"/>
          <c:showBubbleSize val="0"/>
        </c:dLbls>
        <c:gapWidth val="65"/>
        <c:shape val="box"/>
        <c:axId val="-963546416"/>
        <c:axId val="-963546960"/>
        <c:axId val="0"/>
      </c:bar3DChart>
      <c:catAx>
        <c:axId val="-9635464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63546960"/>
        <c:crosses val="autoZero"/>
        <c:auto val="1"/>
        <c:lblAlgn val="ctr"/>
        <c:lblOffset val="100"/>
        <c:noMultiLvlLbl val="0"/>
      </c:catAx>
      <c:valAx>
        <c:axId val="-96354696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635464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BAT</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numRef>
              <c:f>Sheet1!$A$2:$A$6</c:f>
              <c:numCache>
                <c:formatCode>General</c:formatCode>
                <c:ptCount val="5"/>
                <c:pt idx="0">
                  <c:v>2019</c:v>
                </c:pt>
                <c:pt idx="1">
                  <c:v>2020</c:v>
                </c:pt>
                <c:pt idx="2">
                  <c:v>2021</c:v>
                </c:pt>
                <c:pt idx="3">
                  <c:v>2022</c:v>
                </c:pt>
                <c:pt idx="4">
                  <c:v>2023</c:v>
                </c:pt>
              </c:numCache>
            </c:numRef>
          </c:cat>
          <c:val>
            <c:numRef>
              <c:f>Sheet1!$B$2:$B$6</c:f>
              <c:numCache>
                <c:formatCode>General</c:formatCode>
                <c:ptCount val="5"/>
                <c:pt idx="0">
                  <c:v>0.18</c:v>
                </c:pt>
                <c:pt idx="1">
                  <c:v>0.18</c:v>
                </c:pt>
                <c:pt idx="2">
                  <c:v>0.18</c:v>
                </c:pt>
                <c:pt idx="3">
                  <c:v>0.18</c:v>
                </c:pt>
                <c:pt idx="4">
                  <c:v>0.22</c:v>
                </c:pt>
              </c:numCache>
            </c:numRef>
          </c:val>
          <c:extLst xmlns:c16r2="http://schemas.microsoft.com/office/drawing/2015/06/chart">
            <c:ext xmlns:c16="http://schemas.microsoft.com/office/drawing/2014/chart" uri="{C3380CC4-5D6E-409C-BE32-E72D297353CC}">
              <c16:uniqueId val="{00000000-3B29-4800-A932-0ABD9D71E65F}"/>
            </c:ext>
          </c:extLst>
        </c:ser>
        <c:ser>
          <c:idx val="1"/>
          <c:order val="1"/>
          <c:tx>
            <c:strRef>
              <c:f>Sheet1!$C$1</c:f>
              <c:strCache>
                <c:ptCount val="1"/>
                <c:pt idx="0">
                  <c:v>Imperial Brands</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numRef>
              <c:f>Sheet1!$A$2:$A$6</c:f>
              <c:numCache>
                <c:formatCode>General</c:formatCode>
                <c:ptCount val="5"/>
                <c:pt idx="0">
                  <c:v>2019</c:v>
                </c:pt>
                <c:pt idx="1">
                  <c:v>2020</c:v>
                </c:pt>
                <c:pt idx="2">
                  <c:v>2021</c:v>
                </c:pt>
                <c:pt idx="3">
                  <c:v>2022</c:v>
                </c:pt>
                <c:pt idx="4">
                  <c:v>2023</c:v>
                </c:pt>
              </c:numCache>
            </c:numRef>
          </c:cat>
          <c:val>
            <c:numRef>
              <c:f>Sheet1!$C$2:$C$6</c:f>
              <c:numCache>
                <c:formatCode>General</c:formatCode>
                <c:ptCount val="5"/>
                <c:pt idx="0">
                  <c:v>0.17</c:v>
                </c:pt>
                <c:pt idx="1">
                  <c:v>0.21</c:v>
                </c:pt>
                <c:pt idx="2">
                  <c:v>0.21</c:v>
                </c:pt>
                <c:pt idx="3">
                  <c:v>0.21</c:v>
                </c:pt>
                <c:pt idx="4">
                  <c:v>0.21</c:v>
                </c:pt>
              </c:numCache>
            </c:numRef>
          </c:val>
          <c:extLst xmlns:c16r2="http://schemas.microsoft.com/office/drawing/2015/06/chart">
            <c:ext xmlns:c16="http://schemas.microsoft.com/office/drawing/2014/chart" uri="{C3380CC4-5D6E-409C-BE32-E72D297353CC}">
              <c16:uniqueId val="{00000001-3B29-4800-A932-0ABD9D71E65F}"/>
            </c:ext>
          </c:extLst>
        </c:ser>
        <c:dLbls>
          <c:showLegendKey val="0"/>
          <c:showVal val="0"/>
          <c:showCatName val="0"/>
          <c:showSerName val="0"/>
          <c:showPercent val="0"/>
          <c:showBubbleSize val="0"/>
        </c:dLbls>
        <c:gapWidth val="65"/>
        <c:shape val="box"/>
        <c:axId val="-963519216"/>
        <c:axId val="-963515408"/>
        <c:axId val="0"/>
      </c:bar3DChart>
      <c:catAx>
        <c:axId val="-9635192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63515408"/>
        <c:crosses val="autoZero"/>
        <c:auto val="1"/>
        <c:lblAlgn val="ctr"/>
        <c:lblOffset val="100"/>
        <c:noMultiLvlLbl val="0"/>
      </c:catAx>
      <c:valAx>
        <c:axId val="-9635154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635192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087D3-FAC6-4875-811A-9C94779F3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5922</Words>
  <Characters>33761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jaseem Ali</dc:creator>
  <cp:keywords/>
  <dc:description/>
  <cp:lastModifiedBy>Microsoft account</cp:lastModifiedBy>
  <cp:revision>2</cp:revision>
  <dcterms:created xsi:type="dcterms:W3CDTF">2024-04-19T22:39:00Z</dcterms:created>
  <dcterms:modified xsi:type="dcterms:W3CDTF">2024-04-19T22:39:00Z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a6a15a1fc7ab6c96a63e29d0a0692ece34fc39dc7846bd1d13c86a0fb8c8a9dc</vt:lpwstr>
  </property>
</Properties>
</file>