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F49D6BC" w14:textId="77777777" w:rsidR="00300E67" w:rsidRDefault="00300E67" w:rsidP="00300E67">
      <w:pPr>
        <w:pStyle w:val="NormalWeb"/>
        <w:jc w:val="center"/>
        <w:rPr>
          <w:rFonts w:asciiTheme="majorHAnsi" w:hAnsiTheme="majorHAnsi"/>
          <w:sz w:val="28"/>
          <w:szCs w:val="28"/>
        </w:rPr>
      </w:pPr>
      <w:r w:rsidRPr="00300E67">
        <w:rPr>
          <w:rFonts w:asciiTheme="majorHAnsi" w:hAnsiTheme="majorHAnsi"/>
          <w:sz w:val="28"/>
          <w:szCs w:val="28"/>
        </w:rPr>
        <w:t>This is the module reading list.  To accompany this list there are a number of journal artic</w:t>
      </w:r>
      <w:r>
        <w:rPr>
          <w:rFonts w:asciiTheme="majorHAnsi" w:hAnsiTheme="majorHAnsi"/>
          <w:sz w:val="28"/>
          <w:szCs w:val="28"/>
        </w:rPr>
        <w:t>les included on the module page</w:t>
      </w:r>
    </w:p>
    <w:p w14:paraId="1EBF9A1A" w14:textId="77777777" w:rsidR="00E5316F" w:rsidRPr="00F50C69" w:rsidRDefault="00E5316F" w:rsidP="00E5316F">
      <w:pPr>
        <w:pStyle w:val="NormalWeb"/>
        <w:rPr>
          <w:rFonts w:asciiTheme="majorHAnsi" w:hAnsiTheme="majorHAnsi"/>
          <w:sz w:val="28"/>
          <w:szCs w:val="28"/>
          <w:u w:val="single"/>
        </w:rPr>
      </w:pPr>
      <w:r w:rsidRPr="00F50C69">
        <w:rPr>
          <w:rFonts w:asciiTheme="majorHAnsi" w:hAnsiTheme="majorHAnsi"/>
          <w:sz w:val="28"/>
          <w:szCs w:val="28"/>
          <w:u w:val="single"/>
        </w:rPr>
        <w:t>Essential</w:t>
      </w:r>
    </w:p>
    <w:p w14:paraId="3787ACF0" w14:textId="77777777" w:rsidR="004B1D2A" w:rsidRPr="004B1D2A" w:rsidRDefault="004B1D2A" w:rsidP="004B1D2A">
      <w:pPr>
        <w:rPr>
          <w:rFonts w:asciiTheme="majorHAnsi" w:eastAsia="Times New Roman" w:hAnsiTheme="majorHAnsi" w:cs="Times New Roman"/>
          <w:lang w:val="en-GB"/>
        </w:rPr>
      </w:pPr>
      <w:r w:rsidRPr="004B1D2A">
        <w:rPr>
          <w:rFonts w:asciiTheme="majorHAnsi" w:eastAsia="Times New Roman" w:hAnsiTheme="majorHAnsi" w:cs="Times New Roman"/>
          <w:lang w:val="en-GB"/>
        </w:rPr>
        <w:t>Armstrong, M</w:t>
      </w:r>
      <w:r>
        <w:rPr>
          <w:rFonts w:asciiTheme="majorHAnsi" w:eastAsia="Times New Roman" w:hAnsiTheme="majorHAnsi" w:cs="Times New Roman"/>
          <w:lang w:val="en-GB"/>
        </w:rPr>
        <w:t>.</w:t>
      </w:r>
      <w:r w:rsidRPr="004B1D2A">
        <w:rPr>
          <w:rFonts w:asciiTheme="majorHAnsi" w:eastAsia="Times New Roman" w:hAnsiTheme="majorHAnsi" w:cs="Times New Roman"/>
          <w:lang w:val="en-GB"/>
        </w:rPr>
        <w:t xml:space="preserve"> (2012) </w:t>
      </w:r>
      <w:r w:rsidRPr="004B1D2A">
        <w:rPr>
          <w:rFonts w:asciiTheme="majorHAnsi" w:eastAsia="Times New Roman" w:hAnsiTheme="majorHAnsi" w:cs="Times New Roman"/>
          <w:u w:val="single"/>
          <w:lang w:val="en-GB"/>
        </w:rPr>
        <w:t>Armstrong’s Handbook of Management and Leadership</w:t>
      </w:r>
      <w:r w:rsidRPr="004B1D2A">
        <w:rPr>
          <w:rFonts w:asciiTheme="majorHAnsi" w:eastAsia="Times New Roman" w:hAnsiTheme="majorHAnsi" w:cs="Times New Roman"/>
          <w:lang w:val="en-GB"/>
        </w:rPr>
        <w:t>, (3</w:t>
      </w:r>
      <w:r w:rsidRPr="004B1D2A">
        <w:rPr>
          <w:rFonts w:asciiTheme="majorHAnsi" w:eastAsia="Times New Roman" w:hAnsiTheme="majorHAnsi" w:cs="Times New Roman"/>
          <w:vertAlign w:val="superscript"/>
          <w:lang w:val="en-GB"/>
        </w:rPr>
        <w:t>rd</w:t>
      </w:r>
      <w:r w:rsidRPr="004B1D2A">
        <w:rPr>
          <w:rFonts w:asciiTheme="majorHAnsi" w:eastAsia="Times New Roman" w:hAnsiTheme="majorHAnsi" w:cs="Times New Roman"/>
          <w:lang w:val="en-GB"/>
        </w:rPr>
        <w:t xml:space="preserve"> ed), London: Kogan Page</w:t>
      </w:r>
    </w:p>
    <w:p w14:paraId="6B0256B1" w14:textId="77777777" w:rsidR="004B1D2A" w:rsidRDefault="004B1D2A" w:rsidP="004B1D2A">
      <w:pPr>
        <w:rPr>
          <w:rFonts w:ascii="Helvetica" w:eastAsia="Times New Roman" w:hAnsi="Helvetica" w:cs="Times New Roman"/>
          <w:sz w:val="25"/>
          <w:szCs w:val="25"/>
          <w:lang w:val="en-GB"/>
        </w:rPr>
      </w:pPr>
    </w:p>
    <w:p w14:paraId="53C4A688" w14:textId="77777777" w:rsidR="004B1D2A" w:rsidRPr="004B1D2A" w:rsidRDefault="004B1D2A" w:rsidP="004B1D2A">
      <w:pPr>
        <w:rPr>
          <w:rFonts w:asciiTheme="majorHAnsi" w:eastAsia="Times New Roman" w:hAnsiTheme="majorHAnsi" w:cs="Times New Roman"/>
          <w:lang w:val="en-GB"/>
        </w:rPr>
      </w:pPr>
      <w:r w:rsidRPr="004B1D2A">
        <w:rPr>
          <w:rFonts w:asciiTheme="majorHAnsi" w:eastAsia="Times New Roman" w:hAnsiTheme="majorHAnsi" w:cs="Times New Roman"/>
          <w:lang w:val="en-GB"/>
        </w:rPr>
        <w:t xml:space="preserve">Atrill, P. and McLaney, E. (2009) </w:t>
      </w:r>
      <w:r w:rsidRPr="004B1D2A">
        <w:rPr>
          <w:rFonts w:asciiTheme="majorHAnsi" w:eastAsia="Times New Roman" w:hAnsiTheme="majorHAnsi" w:cs="Times New Roman"/>
          <w:u w:val="single"/>
          <w:lang w:val="en-GB"/>
        </w:rPr>
        <w:t>Management Accounting for Decision Makers</w:t>
      </w:r>
      <w:r w:rsidRPr="004B1D2A">
        <w:rPr>
          <w:rFonts w:asciiTheme="majorHAnsi" w:eastAsia="Times New Roman" w:hAnsiTheme="majorHAnsi" w:cs="Times New Roman"/>
          <w:lang w:val="en-GB"/>
        </w:rPr>
        <w:t>, FT Prentice Hall</w:t>
      </w:r>
    </w:p>
    <w:p w14:paraId="3A358E57" w14:textId="77777777" w:rsidR="00E5316F" w:rsidRPr="00E5316F" w:rsidRDefault="00E5316F" w:rsidP="00E5316F">
      <w:pPr>
        <w:pStyle w:val="NormalWeb"/>
        <w:rPr>
          <w:rFonts w:asciiTheme="majorHAnsi" w:hAnsiTheme="majorHAnsi"/>
          <w:sz w:val="24"/>
          <w:szCs w:val="24"/>
        </w:rPr>
      </w:pPr>
      <w:r w:rsidRPr="00E5316F">
        <w:rPr>
          <w:rFonts w:asciiTheme="majorHAnsi" w:hAnsiTheme="majorHAnsi"/>
          <w:sz w:val="24"/>
          <w:szCs w:val="24"/>
        </w:rPr>
        <w:t>Krietner</w:t>
      </w:r>
      <w:r w:rsidR="00F50C69">
        <w:rPr>
          <w:rFonts w:asciiTheme="majorHAnsi" w:hAnsiTheme="majorHAnsi"/>
          <w:sz w:val="24"/>
          <w:szCs w:val="24"/>
        </w:rPr>
        <w:t>,</w:t>
      </w:r>
      <w:r>
        <w:rPr>
          <w:rFonts w:asciiTheme="majorHAnsi" w:hAnsiTheme="majorHAnsi"/>
          <w:sz w:val="24"/>
          <w:szCs w:val="24"/>
        </w:rPr>
        <w:t xml:space="preserve"> R</w:t>
      </w:r>
      <w:r w:rsidR="00F50C69">
        <w:rPr>
          <w:rFonts w:asciiTheme="majorHAnsi" w:hAnsiTheme="majorHAnsi"/>
          <w:sz w:val="24"/>
          <w:szCs w:val="24"/>
        </w:rPr>
        <w:t>.</w:t>
      </w:r>
      <w:r w:rsidRPr="00E5316F">
        <w:rPr>
          <w:rFonts w:asciiTheme="majorHAnsi" w:hAnsiTheme="majorHAnsi"/>
          <w:sz w:val="24"/>
          <w:szCs w:val="24"/>
        </w:rPr>
        <w:t xml:space="preserve"> </w:t>
      </w:r>
      <w:r w:rsidR="00F50C69">
        <w:rPr>
          <w:rFonts w:asciiTheme="majorHAnsi" w:hAnsiTheme="majorHAnsi"/>
          <w:sz w:val="24"/>
          <w:szCs w:val="24"/>
        </w:rPr>
        <w:t>(2012),</w:t>
      </w:r>
      <w:r w:rsidRPr="00E5316F">
        <w:rPr>
          <w:rFonts w:asciiTheme="majorHAnsi" w:hAnsiTheme="majorHAnsi"/>
          <w:sz w:val="24"/>
          <w:szCs w:val="24"/>
          <w:u w:val="single"/>
        </w:rPr>
        <w:t>Principles of Management</w:t>
      </w:r>
      <w:r w:rsidRPr="00E5316F">
        <w:rPr>
          <w:rFonts w:asciiTheme="majorHAnsi" w:hAnsiTheme="majorHAnsi"/>
          <w:sz w:val="24"/>
          <w:szCs w:val="24"/>
        </w:rPr>
        <w:t xml:space="preserve"> (12th Ed), UK: South Western College </w:t>
      </w:r>
    </w:p>
    <w:p w14:paraId="33A27EC4" w14:textId="77777777" w:rsidR="00E5316F" w:rsidRPr="00E5316F" w:rsidRDefault="00E5316F" w:rsidP="00E5316F">
      <w:pPr>
        <w:pStyle w:val="NormalWeb"/>
        <w:rPr>
          <w:rFonts w:asciiTheme="majorHAnsi" w:hAnsiTheme="majorHAnsi"/>
          <w:sz w:val="24"/>
          <w:szCs w:val="24"/>
        </w:rPr>
      </w:pPr>
      <w:r w:rsidRPr="00E5316F">
        <w:rPr>
          <w:rFonts w:asciiTheme="majorHAnsi" w:hAnsiTheme="majorHAnsi"/>
          <w:sz w:val="24"/>
          <w:szCs w:val="24"/>
        </w:rPr>
        <w:t>Maylor</w:t>
      </w:r>
      <w:r>
        <w:rPr>
          <w:rFonts w:asciiTheme="majorHAnsi" w:hAnsiTheme="majorHAnsi"/>
          <w:sz w:val="24"/>
          <w:szCs w:val="24"/>
        </w:rPr>
        <w:t>, H.</w:t>
      </w:r>
      <w:r w:rsidRPr="00E5316F">
        <w:rPr>
          <w:rFonts w:asciiTheme="majorHAnsi" w:hAnsiTheme="majorHAnsi"/>
          <w:sz w:val="24"/>
          <w:szCs w:val="24"/>
        </w:rPr>
        <w:t xml:space="preserve"> </w:t>
      </w:r>
      <w:r w:rsidR="002C4A4A">
        <w:rPr>
          <w:rFonts w:asciiTheme="majorHAnsi" w:hAnsiTheme="majorHAnsi"/>
          <w:sz w:val="24"/>
          <w:szCs w:val="24"/>
        </w:rPr>
        <w:t xml:space="preserve">(2010), </w:t>
      </w:r>
      <w:r w:rsidRPr="00E5316F">
        <w:rPr>
          <w:rFonts w:asciiTheme="majorHAnsi" w:hAnsiTheme="majorHAnsi"/>
          <w:sz w:val="24"/>
          <w:szCs w:val="24"/>
          <w:u w:val="single"/>
        </w:rPr>
        <w:t>Project Management</w:t>
      </w:r>
      <w:r w:rsidRPr="00E5316F">
        <w:rPr>
          <w:rFonts w:asciiTheme="majorHAnsi" w:hAnsiTheme="majorHAnsi"/>
          <w:sz w:val="24"/>
          <w:szCs w:val="24"/>
        </w:rPr>
        <w:t xml:space="preserve"> (4th Ed), UK: FT Prentice Hall </w:t>
      </w:r>
    </w:p>
    <w:p w14:paraId="7BE5F2E7" w14:textId="77777777" w:rsidR="00E5316F" w:rsidRPr="00F50C69" w:rsidRDefault="00E5316F" w:rsidP="00E5316F">
      <w:pPr>
        <w:pStyle w:val="NormalWeb"/>
        <w:rPr>
          <w:rFonts w:asciiTheme="majorHAnsi" w:hAnsiTheme="majorHAnsi"/>
          <w:sz w:val="28"/>
          <w:szCs w:val="28"/>
          <w:u w:val="single"/>
        </w:rPr>
      </w:pPr>
      <w:r w:rsidRPr="00F50C69">
        <w:rPr>
          <w:rFonts w:asciiTheme="majorHAnsi" w:hAnsiTheme="majorHAnsi"/>
          <w:sz w:val="28"/>
          <w:szCs w:val="28"/>
          <w:u w:val="single"/>
        </w:rPr>
        <w:t xml:space="preserve">Background </w:t>
      </w:r>
    </w:p>
    <w:p w14:paraId="3FA46F9E" w14:textId="77777777" w:rsidR="004B1D2A" w:rsidRPr="00432CD4" w:rsidRDefault="004B1D2A" w:rsidP="00432CD4">
      <w:pPr>
        <w:rPr>
          <w:rFonts w:ascii="Helvetica" w:eastAsia="Times New Roman" w:hAnsi="Helvetica" w:cs="Times New Roman"/>
          <w:sz w:val="25"/>
          <w:szCs w:val="25"/>
          <w:lang w:val="en-GB"/>
        </w:rPr>
      </w:pPr>
      <w:r w:rsidRPr="004B1D2A">
        <w:rPr>
          <w:rFonts w:ascii="Helvetica" w:eastAsia="Times New Roman" w:hAnsi="Helvetica" w:cs="Times New Roman"/>
          <w:sz w:val="25"/>
          <w:szCs w:val="25"/>
          <w:lang w:val="en-GB"/>
        </w:rPr>
        <w:t>Bhimani</w:t>
      </w:r>
      <w:r>
        <w:rPr>
          <w:rFonts w:ascii="Helvetica" w:eastAsia="Times New Roman" w:hAnsi="Helvetica" w:cs="Times New Roman"/>
          <w:sz w:val="25"/>
          <w:szCs w:val="25"/>
          <w:lang w:val="en-GB"/>
        </w:rPr>
        <w:t>, A.</w:t>
      </w:r>
      <w:r w:rsidRPr="004B1D2A">
        <w:rPr>
          <w:rFonts w:ascii="Helvetica" w:eastAsia="Times New Roman" w:hAnsi="Helvetica" w:cs="Times New Roman"/>
          <w:sz w:val="25"/>
          <w:szCs w:val="25"/>
          <w:lang w:val="en-GB"/>
        </w:rPr>
        <w:t xml:space="preserve"> (Ed) (2006) </w:t>
      </w:r>
      <w:r w:rsidRPr="004B1D2A">
        <w:rPr>
          <w:rFonts w:ascii="Helvetica" w:eastAsia="Times New Roman" w:hAnsi="Helvetica" w:cs="Times New Roman"/>
          <w:sz w:val="25"/>
          <w:szCs w:val="25"/>
          <w:u w:val="single"/>
          <w:lang w:val="en-GB"/>
        </w:rPr>
        <w:t>Contemporary Issues in Management Accounting</w:t>
      </w:r>
      <w:r>
        <w:rPr>
          <w:rFonts w:ascii="Helvetica" w:eastAsia="Times New Roman" w:hAnsi="Helvetica" w:cs="Times New Roman"/>
          <w:sz w:val="25"/>
          <w:szCs w:val="25"/>
          <w:lang w:val="en-GB"/>
        </w:rPr>
        <w:t xml:space="preserve">, </w:t>
      </w:r>
      <w:r w:rsidRPr="004B1D2A">
        <w:rPr>
          <w:rFonts w:ascii="Helvetica" w:eastAsia="Times New Roman" w:hAnsi="Helvetica" w:cs="Times New Roman"/>
          <w:sz w:val="25"/>
          <w:szCs w:val="25"/>
          <w:lang w:val="en-GB"/>
        </w:rPr>
        <w:t>Oxford</w:t>
      </w:r>
      <w:r>
        <w:rPr>
          <w:rFonts w:ascii="Helvetica" w:eastAsia="Times New Roman" w:hAnsi="Helvetica" w:cs="Times New Roman"/>
          <w:sz w:val="25"/>
          <w:szCs w:val="25"/>
          <w:lang w:val="en-GB"/>
        </w:rPr>
        <w:t>:</w:t>
      </w:r>
      <w:bookmarkStart w:id="0" w:name="_GoBack"/>
      <w:bookmarkEnd w:id="0"/>
    </w:p>
    <w:p w14:paraId="225AE93A" w14:textId="77777777" w:rsidR="004B1D2A" w:rsidRDefault="004B1D2A" w:rsidP="004B1D2A">
      <w:pPr>
        <w:rPr>
          <w:rFonts w:asciiTheme="majorHAnsi" w:eastAsia="Times New Roman" w:hAnsiTheme="majorHAnsi" w:cs="Times New Roman"/>
          <w:lang w:val="en-GB"/>
        </w:rPr>
      </w:pPr>
    </w:p>
    <w:p w14:paraId="14B20DF8" w14:textId="77777777" w:rsidR="004B1D2A" w:rsidRPr="004B1D2A" w:rsidRDefault="004B1D2A" w:rsidP="004B1D2A">
      <w:pPr>
        <w:rPr>
          <w:rFonts w:asciiTheme="majorHAnsi" w:eastAsia="Times New Roman" w:hAnsiTheme="majorHAnsi" w:cs="Times New Roman"/>
          <w:u w:val="single"/>
          <w:lang w:val="en-GB"/>
        </w:rPr>
      </w:pPr>
      <w:r w:rsidRPr="004B1D2A">
        <w:rPr>
          <w:rFonts w:asciiTheme="majorHAnsi" w:eastAsia="Times New Roman" w:hAnsiTheme="majorHAnsi" w:cs="Times New Roman"/>
          <w:lang w:val="en-GB"/>
        </w:rPr>
        <w:t xml:space="preserve">Crane, A. &amp; Matten, D (2012) </w:t>
      </w:r>
      <w:r w:rsidRPr="004B1D2A">
        <w:rPr>
          <w:rFonts w:asciiTheme="majorHAnsi" w:eastAsia="Times New Roman" w:hAnsiTheme="majorHAnsi" w:cs="Times New Roman"/>
          <w:u w:val="single"/>
          <w:lang w:val="en-GB"/>
        </w:rPr>
        <w:t>Business Ethics: Managing Corporate Citizenship and Sustainability in the Age of Globalization</w:t>
      </w:r>
      <w:r w:rsidRPr="004B1D2A">
        <w:rPr>
          <w:rFonts w:asciiTheme="majorHAnsi" w:eastAsia="Times New Roman" w:hAnsiTheme="majorHAnsi" w:cs="Times New Roman"/>
          <w:lang w:val="en-GB"/>
        </w:rPr>
        <w:t>, Oxford: Oxford University Press</w:t>
      </w:r>
    </w:p>
    <w:p w14:paraId="0DCEA9E8" w14:textId="77777777" w:rsidR="004B1D2A" w:rsidRDefault="004B1D2A" w:rsidP="004B1D2A">
      <w:pPr>
        <w:rPr>
          <w:rFonts w:ascii="Helvetica" w:eastAsia="Times New Roman" w:hAnsi="Helvetica" w:cs="Times New Roman"/>
          <w:sz w:val="30"/>
          <w:szCs w:val="30"/>
          <w:lang w:val="en-GB"/>
        </w:rPr>
      </w:pPr>
    </w:p>
    <w:p w14:paraId="4C58CF58" w14:textId="77777777" w:rsidR="004B1D2A" w:rsidRPr="004B1D2A" w:rsidRDefault="004B1D2A" w:rsidP="004B1D2A">
      <w:pPr>
        <w:rPr>
          <w:rFonts w:asciiTheme="majorHAnsi" w:eastAsia="Times New Roman" w:hAnsiTheme="majorHAnsi" w:cs="Times New Roman"/>
          <w:lang w:val="en-GB"/>
        </w:rPr>
      </w:pPr>
      <w:r w:rsidRPr="004B1D2A">
        <w:rPr>
          <w:rFonts w:asciiTheme="majorHAnsi" w:eastAsia="Times New Roman" w:hAnsiTheme="majorHAnsi" w:cs="Times New Roman"/>
          <w:lang w:val="en-GB"/>
        </w:rPr>
        <w:t xml:space="preserve">Francke, A (2013) </w:t>
      </w:r>
      <w:r w:rsidRPr="004B1D2A">
        <w:rPr>
          <w:rFonts w:asciiTheme="majorHAnsi" w:eastAsia="Times New Roman" w:hAnsiTheme="majorHAnsi" w:cs="Times New Roman"/>
          <w:u w:val="single"/>
          <w:lang w:val="en-GB"/>
        </w:rPr>
        <w:t>FT Guide to Management</w:t>
      </w:r>
      <w:r w:rsidRPr="004B1D2A">
        <w:rPr>
          <w:rFonts w:asciiTheme="majorHAnsi" w:eastAsia="Times New Roman" w:hAnsiTheme="majorHAnsi" w:cs="Times New Roman"/>
          <w:lang w:val="en-GB"/>
        </w:rPr>
        <w:t>, Harlow: Pearson</w:t>
      </w:r>
    </w:p>
    <w:p w14:paraId="0617474D" w14:textId="77777777" w:rsidR="00F50C69" w:rsidRPr="00F50C69" w:rsidRDefault="00F50C69" w:rsidP="00E5316F">
      <w:pPr>
        <w:pStyle w:val="NormalWeb"/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/>
          <w:sz w:val="24"/>
          <w:szCs w:val="24"/>
        </w:rPr>
        <w:t xml:space="preserve">Hopkins, M. (2016), </w:t>
      </w:r>
      <w:r>
        <w:rPr>
          <w:rFonts w:asciiTheme="majorHAnsi" w:hAnsiTheme="majorHAnsi"/>
          <w:sz w:val="24"/>
          <w:szCs w:val="24"/>
          <w:u w:val="single"/>
        </w:rPr>
        <w:t>CSR and Sustainability: From the Margins to the Mainstream</w:t>
      </w:r>
      <w:r>
        <w:rPr>
          <w:rFonts w:asciiTheme="majorHAnsi" w:hAnsiTheme="majorHAnsi"/>
          <w:sz w:val="24"/>
          <w:szCs w:val="24"/>
        </w:rPr>
        <w:t>, UK: Routledge</w:t>
      </w:r>
    </w:p>
    <w:p w14:paraId="461710C4" w14:textId="77777777" w:rsidR="00E5316F" w:rsidRPr="00E5316F" w:rsidRDefault="00E5316F" w:rsidP="00E5316F">
      <w:pPr>
        <w:pStyle w:val="NormalWeb"/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/>
          <w:sz w:val="24"/>
          <w:szCs w:val="24"/>
        </w:rPr>
        <w:t xml:space="preserve">Kotler, P. and Armstrong, G. (2017), </w:t>
      </w:r>
      <w:r w:rsidRPr="00E5316F">
        <w:rPr>
          <w:rFonts w:asciiTheme="majorHAnsi" w:hAnsiTheme="majorHAnsi"/>
          <w:sz w:val="24"/>
          <w:szCs w:val="24"/>
          <w:u w:val="single"/>
        </w:rPr>
        <w:t>Principles of Marketing</w:t>
      </w:r>
      <w:r>
        <w:rPr>
          <w:rFonts w:asciiTheme="majorHAnsi" w:hAnsiTheme="majorHAnsi"/>
          <w:sz w:val="24"/>
          <w:szCs w:val="24"/>
        </w:rPr>
        <w:t>, (17</w:t>
      </w:r>
      <w:r w:rsidRPr="00E5316F">
        <w:rPr>
          <w:rFonts w:asciiTheme="majorHAnsi" w:hAnsiTheme="majorHAnsi"/>
          <w:sz w:val="24"/>
          <w:szCs w:val="24"/>
          <w:vertAlign w:val="superscript"/>
        </w:rPr>
        <w:t>th</w:t>
      </w:r>
      <w:r>
        <w:rPr>
          <w:rFonts w:asciiTheme="majorHAnsi" w:hAnsiTheme="majorHAnsi"/>
          <w:sz w:val="24"/>
          <w:szCs w:val="24"/>
        </w:rPr>
        <w:t xml:space="preserve"> Ed), UK: Pearson</w:t>
      </w:r>
    </w:p>
    <w:p w14:paraId="7DEB0717" w14:textId="77777777" w:rsidR="00E5316F" w:rsidRDefault="00E5316F" w:rsidP="00E5316F">
      <w:pPr>
        <w:pStyle w:val="NormalWeb"/>
        <w:rPr>
          <w:rFonts w:asciiTheme="majorHAnsi" w:hAnsiTheme="majorHAnsi"/>
          <w:sz w:val="24"/>
          <w:szCs w:val="24"/>
        </w:rPr>
      </w:pPr>
      <w:r w:rsidRPr="00E5316F">
        <w:rPr>
          <w:rFonts w:asciiTheme="majorHAnsi" w:hAnsiTheme="majorHAnsi"/>
          <w:sz w:val="24"/>
          <w:szCs w:val="24"/>
        </w:rPr>
        <w:t>Dyson</w:t>
      </w:r>
      <w:r>
        <w:rPr>
          <w:rFonts w:asciiTheme="majorHAnsi" w:hAnsiTheme="majorHAnsi"/>
          <w:sz w:val="24"/>
          <w:szCs w:val="24"/>
        </w:rPr>
        <w:t>, J. (2017)</w:t>
      </w:r>
      <w:r w:rsidRPr="00E5316F">
        <w:rPr>
          <w:rFonts w:asciiTheme="majorHAnsi" w:hAnsiTheme="majorHAnsi"/>
          <w:sz w:val="24"/>
          <w:szCs w:val="24"/>
        </w:rPr>
        <w:t xml:space="preserve"> </w:t>
      </w:r>
      <w:r w:rsidRPr="00E5316F">
        <w:rPr>
          <w:rFonts w:asciiTheme="majorHAnsi" w:hAnsiTheme="majorHAnsi"/>
          <w:sz w:val="24"/>
          <w:szCs w:val="24"/>
          <w:u w:val="single"/>
        </w:rPr>
        <w:t>Accounting – for non-accounting students</w:t>
      </w:r>
      <w:r>
        <w:rPr>
          <w:rFonts w:asciiTheme="majorHAnsi" w:hAnsiTheme="majorHAnsi"/>
          <w:sz w:val="24"/>
          <w:szCs w:val="24"/>
          <w:u w:val="single"/>
        </w:rPr>
        <w:t>,</w:t>
      </w:r>
      <w:r w:rsidRPr="00E5316F">
        <w:rPr>
          <w:rFonts w:asciiTheme="majorHAnsi" w:hAnsiTheme="majorHAnsi"/>
          <w:sz w:val="24"/>
          <w:szCs w:val="24"/>
        </w:rPr>
        <w:t xml:space="preserve"> </w:t>
      </w:r>
      <w:r>
        <w:rPr>
          <w:rFonts w:asciiTheme="majorHAnsi" w:hAnsiTheme="majorHAnsi"/>
          <w:sz w:val="24"/>
          <w:szCs w:val="24"/>
        </w:rPr>
        <w:t>(9</w:t>
      </w:r>
      <w:r w:rsidRPr="00E5316F">
        <w:rPr>
          <w:rFonts w:asciiTheme="majorHAnsi" w:hAnsiTheme="majorHAnsi"/>
          <w:sz w:val="24"/>
          <w:szCs w:val="24"/>
        </w:rPr>
        <w:t>th Ed</w:t>
      </w:r>
      <w:r>
        <w:rPr>
          <w:rFonts w:asciiTheme="majorHAnsi" w:hAnsiTheme="majorHAnsi"/>
          <w:sz w:val="24"/>
          <w:szCs w:val="24"/>
        </w:rPr>
        <w:t>)</w:t>
      </w:r>
      <w:r w:rsidRPr="00E5316F">
        <w:rPr>
          <w:rFonts w:asciiTheme="majorHAnsi" w:hAnsiTheme="majorHAnsi"/>
          <w:sz w:val="24"/>
          <w:szCs w:val="24"/>
        </w:rPr>
        <w:t xml:space="preserve">, </w:t>
      </w:r>
      <w:r>
        <w:rPr>
          <w:rFonts w:asciiTheme="majorHAnsi" w:hAnsiTheme="majorHAnsi"/>
          <w:sz w:val="24"/>
          <w:szCs w:val="24"/>
        </w:rPr>
        <w:t xml:space="preserve">UK: </w:t>
      </w:r>
      <w:r w:rsidRPr="00E5316F">
        <w:rPr>
          <w:rFonts w:asciiTheme="majorHAnsi" w:hAnsiTheme="majorHAnsi"/>
          <w:sz w:val="24"/>
          <w:szCs w:val="24"/>
        </w:rPr>
        <w:t xml:space="preserve">FT Prentice Hall </w:t>
      </w:r>
    </w:p>
    <w:p w14:paraId="3C7C0008" w14:textId="77777777" w:rsidR="00F50C69" w:rsidRPr="00E5316F" w:rsidRDefault="00F50C69" w:rsidP="00E5316F">
      <w:pPr>
        <w:pStyle w:val="NormalWeb"/>
        <w:rPr>
          <w:rFonts w:asciiTheme="majorHAnsi" w:hAnsiTheme="majorHAnsi"/>
          <w:sz w:val="24"/>
          <w:szCs w:val="24"/>
        </w:rPr>
      </w:pPr>
      <w:r w:rsidRPr="00E5316F">
        <w:rPr>
          <w:rFonts w:asciiTheme="majorHAnsi" w:hAnsiTheme="majorHAnsi"/>
          <w:sz w:val="24"/>
          <w:szCs w:val="24"/>
        </w:rPr>
        <w:t>Masterman</w:t>
      </w:r>
      <w:r>
        <w:rPr>
          <w:rFonts w:asciiTheme="majorHAnsi" w:hAnsiTheme="majorHAnsi"/>
          <w:sz w:val="24"/>
          <w:szCs w:val="24"/>
        </w:rPr>
        <w:t>, G.</w:t>
      </w:r>
      <w:r w:rsidR="00300E67">
        <w:rPr>
          <w:rFonts w:asciiTheme="majorHAnsi" w:hAnsiTheme="majorHAnsi"/>
          <w:sz w:val="24"/>
          <w:szCs w:val="24"/>
        </w:rPr>
        <w:t xml:space="preserve"> (2007),</w:t>
      </w:r>
      <w:r w:rsidRPr="00E5316F">
        <w:rPr>
          <w:rFonts w:asciiTheme="majorHAnsi" w:hAnsiTheme="majorHAnsi"/>
          <w:sz w:val="24"/>
          <w:szCs w:val="24"/>
        </w:rPr>
        <w:t xml:space="preserve"> </w:t>
      </w:r>
      <w:r w:rsidRPr="00E5316F">
        <w:rPr>
          <w:rFonts w:asciiTheme="majorHAnsi" w:hAnsiTheme="majorHAnsi"/>
          <w:sz w:val="24"/>
          <w:szCs w:val="24"/>
          <w:u w:val="single"/>
        </w:rPr>
        <w:t>Sponsorship – for a return on investment</w:t>
      </w:r>
      <w:r w:rsidRPr="00E5316F">
        <w:rPr>
          <w:rFonts w:asciiTheme="majorHAnsi" w:hAnsiTheme="majorHAnsi"/>
          <w:sz w:val="24"/>
          <w:szCs w:val="24"/>
        </w:rPr>
        <w:t xml:space="preserve">, </w:t>
      </w:r>
      <w:r>
        <w:rPr>
          <w:rFonts w:asciiTheme="majorHAnsi" w:hAnsiTheme="majorHAnsi"/>
          <w:sz w:val="24"/>
          <w:szCs w:val="24"/>
        </w:rPr>
        <w:t xml:space="preserve">UK: </w:t>
      </w:r>
      <w:r w:rsidRPr="00E5316F">
        <w:rPr>
          <w:rFonts w:asciiTheme="majorHAnsi" w:hAnsiTheme="majorHAnsi"/>
          <w:sz w:val="24"/>
          <w:szCs w:val="24"/>
        </w:rPr>
        <w:t xml:space="preserve">Butterworth Heinemenn </w:t>
      </w:r>
    </w:p>
    <w:p w14:paraId="7C1A045A" w14:textId="77777777" w:rsidR="00145CCA" w:rsidRDefault="00E5316F">
      <w:r>
        <w:t xml:space="preserve">Mullins, L.J. (2016), </w:t>
      </w:r>
      <w:r>
        <w:rPr>
          <w:u w:val="single"/>
        </w:rPr>
        <w:t>Management and Organisational Behaviour</w:t>
      </w:r>
      <w:r>
        <w:t>, (</w:t>
      </w:r>
      <w:r w:rsidR="00F50C69">
        <w:t>11</w:t>
      </w:r>
      <w:r w:rsidR="00F50C69" w:rsidRPr="00F50C69">
        <w:rPr>
          <w:vertAlign w:val="superscript"/>
        </w:rPr>
        <w:t>th</w:t>
      </w:r>
      <w:r w:rsidR="00F50C69">
        <w:t xml:space="preserve"> Ed), UK: Pearson</w:t>
      </w:r>
    </w:p>
    <w:p w14:paraId="0D25DB8C" w14:textId="77777777" w:rsidR="00F50C69" w:rsidRDefault="00F50C69"/>
    <w:p w14:paraId="00643E3D" w14:textId="77777777" w:rsidR="00F50C69" w:rsidRPr="00E5316F" w:rsidRDefault="00F50C69" w:rsidP="00F50C69">
      <w:pPr>
        <w:pStyle w:val="NormalWeb"/>
        <w:rPr>
          <w:rFonts w:asciiTheme="majorHAnsi" w:hAnsiTheme="majorHAnsi"/>
          <w:sz w:val="24"/>
          <w:szCs w:val="24"/>
        </w:rPr>
      </w:pPr>
      <w:r w:rsidRPr="00E5316F">
        <w:rPr>
          <w:rFonts w:asciiTheme="majorHAnsi" w:hAnsiTheme="majorHAnsi"/>
          <w:sz w:val="24"/>
          <w:szCs w:val="24"/>
        </w:rPr>
        <w:t>Seppala</w:t>
      </w:r>
      <w:r>
        <w:rPr>
          <w:rFonts w:asciiTheme="majorHAnsi" w:hAnsiTheme="majorHAnsi"/>
          <w:sz w:val="24"/>
          <w:szCs w:val="24"/>
        </w:rPr>
        <w:t>, N.</w:t>
      </w:r>
      <w:r w:rsidRPr="00E5316F">
        <w:rPr>
          <w:rFonts w:asciiTheme="majorHAnsi" w:hAnsiTheme="majorHAnsi"/>
          <w:sz w:val="24"/>
          <w:szCs w:val="24"/>
        </w:rPr>
        <w:t xml:space="preserve"> </w:t>
      </w:r>
      <w:r w:rsidR="00300E67">
        <w:rPr>
          <w:rFonts w:asciiTheme="majorHAnsi" w:hAnsiTheme="majorHAnsi"/>
          <w:sz w:val="24"/>
          <w:szCs w:val="24"/>
        </w:rPr>
        <w:t xml:space="preserve">and Griseri, P. (2010), </w:t>
      </w:r>
      <w:r w:rsidRPr="00E5316F">
        <w:rPr>
          <w:rFonts w:asciiTheme="majorHAnsi" w:hAnsiTheme="majorHAnsi"/>
          <w:sz w:val="24"/>
          <w:szCs w:val="24"/>
          <w:u w:val="single"/>
        </w:rPr>
        <w:t>Business Ethics and Corporate Social Responsibility</w:t>
      </w:r>
      <w:r w:rsidRPr="00E5316F">
        <w:rPr>
          <w:rFonts w:asciiTheme="majorHAnsi" w:hAnsiTheme="majorHAnsi"/>
          <w:sz w:val="24"/>
          <w:szCs w:val="24"/>
        </w:rPr>
        <w:t xml:space="preserve">, </w:t>
      </w:r>
      <w:r>
        <w:rPr>
          <w:rFonts w:asciiTheme="majorHAnsi" w:hAnsiTheme="majorHAnsi"/>
          <w:sz w:val="24"/>
          <w:szCs w:val="24"/>
        </w:rPr>
        <w:t xml:space="preserve">UK: </w:t>
      </w:r>
      <w:r w:rsidRPr="00E5316F">
        <w:rPr>
          <w:rFonts w:asciiTheme="majorHAnsi" w:hAnsiTheme="majorHAnsi"/>
          <w:sz w:val="24"/>
          <w:szCs w:val="24"/>
        </w:rPr>
        <w:t xml:space="preserve">Cengage Learning </w:t>
      </w:r>
    </w:p>
    <w:p w14:paraId="20B45C5D" w14:textId="77777777" w:rsidR="00F50C69" w:rsidRPr="00E5316F" w:rsidRDefault="00F50C69"/>
    <w:sectPr w:rsidR="00F50C69" w:rsidRPr="00E5316F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5316F"/>
    <w:rsid w:val="00145CCA"/>
    <w:rsid w:val="002C4A4A"/>
    <w:rsid w:val="00300E67"/>
    <w:rsid w:val="00432CD4"/>
    <w:rsid w:val="004B1D2A"/>
    <w:rsid w:val="004E5F94"/>
    <w:rsid w:val="00E5316F"/>
    <w:rsid w:val="00F50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5836F1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5316F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5316F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8808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036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90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293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58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260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364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517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926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359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180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738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68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864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11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511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29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597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201</Words>
  <Characters>1149</Characters>
  <Application>Microsoft Macintosh Word</Application>
  <DocSecurity>0</DocSecurity>
  <Lines>9</Lines>
  <Paragraphs>2</Paragraphs>
  <ScaleCrop>false</ScaleCrop>
  <Company/>
  <LinksUpToDate>false</LinksUpToDate>
  <CharactersWithSpaces>1348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S P</cp:lastModifiedBy>
  <cp:revision>3</cp:revision>
  <dcterms:created xsi:type="dcterms:W3CDTF">2018-03-18T16:22:00Z</dcterms:created>
  <dcterms:modified xsi:type="dcterms:W3CDTF">2018-03-18T16:30:00Z</dcterms:modified>
</cp:coreProperties>
</file>