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sz w:val="24"/>
          <w:szCs w:val="24"/>
          <w:lang w:val="en-GB"/>
        </w:rPr>
        <w:id w:val="1135136056"/>
        <w:docPartObj>
          <w:docPartGallery w:val="Cover Pages"/>
          <w:docPartUnique/>
        </w:docPartObj>
      </w:sdtPr>
      <w:sdtEndPr>
        <w:rPr>
          <w:b/>
          <w:bCs/>
          <w:sz w:val="40"/>
          <w:szCs w:val="40"/>
        </w:rPr>
      </w:sdtEndPr>
      <w:sdtContent>
        <w:p w14:paraId="1647CB4C" w14:textId="06BE21A6" w:rsidR="00114D9B" w:rsidRDefault="00114D9B">
          <w:pPr>
            <w:pStyle w:val="NoSpacing"/>
          </w:pPr>
          <w:r>
            <w:rPr>
              <w:noProof/>
            </w:rPr>
            <mc:AlternateContent>
              <mc:Choice Requires="wpg">
                <w:drawing>
                  <wp:anchor distT="0" distB="0" distL="114300" distR="114300" simplePos="0" relativeHeight="251659264" behindDoc="1" locked="0" layoutInCell="1" allowOverlap="1" wp14:anchorId="3F2A15C0" wp14:editId="314031A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675" cy="10148570"/>
                    <wp:effectExtent l="0" t="0" r="0" b="0"/>
                    <wp:wrapNone/>
                    <wp:docPr id="167491480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675" cy="10148570"/>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E9A9BEE" w14:textId="0CA3D01A" w:rsidR="00114D9B" w:rsidRDefault="00114D9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F2A15C0" id="Group 5" o:spid="_x0000_s1026" style="position:absolute;margin-left:0;margin-top:0;width:195.25pt;height:799.1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E9A9BEE" w14:textId="0CA3D01A" w:rsidR="00114D9B" w:rsidRDefault="00114D9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1E43003" wp14:editId="3819FB0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330" cy="558165"/>
                    <wp:effectExtent l="0" t="0" r="0" b="0"/>
                    <wp:wrapNone/>
                    <wp:docPr id="209814307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558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5CC8E2" w14:textId="0366DD82" w:rsidR="00114D9B" w:rsidRPr="00114D9B" w:rsidRDefault="00B914E8">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14D9B" w:rsidRPr="00114D9B">
                                      <w:rPr>
                                        <w:color w:val="4472C4" w:themeColor="accent1"/>
                                        <w:sz w:val="40"/>
                                        <w:szCs w:val="40"/>
                                      </w:rPr>
                                      <w:t>Varun</w:t>
                                    </w:r>
                                    <w:r w:rsidR="00114D9B">
                                      <w:rPr>
                                        <w:color w:val="4472C4" w:themeColor="accent1"/>
                                        <w:sz w:val="40"/>
                                        <w:szCs w:val="40"/>
                                      </w:rPr>
                                      <w:t xml:space="preserve"> Chekuri</w:t>
                                    </w:r>
                                  </w:sdtContent>
                                </w:sdt>
                              </w:p>
                              <w:p w14:paraId="1E9374A0" w14:textId="174D0904" w:rsidR="00114D9B" w:rsidRPr="00114D9B" w:rsidRDefault="00B914E8">
                                <w:pPr>
                                  <w:pStyle w:val="NoSpacing"/>
                                  <w:rPr>
                                    <w:color w:val="595959" w:themeColor="text1" w:themeTint="A6"/>
                                    <w:sz w:val="32"/>
                                    <w:szCs w:val="32"/>
                                  </w:rPr>
                                </w:pPr>
                                <w:sdt>
                                  <w:sdtPr>
                                    <w:rPr>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14D9B" w:rsidRPr="00114D9B">
                                      <w:rPr>
                                        <w:caps/>
                                        <w:color w:val="595959" w:themeColor="text1" w:themeTint="A6"/>
                                        <w:sz w:val="32"/>
                                        <w:szCs w:val="32"/>
                                      </w:rPr>
                                      <w:t>2424040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1E43003" id="_x0000_t202" coordsize="21600,21600" o:spt="202" path="m,l,21600r21600,l21600,xe">
                    <v:stroke joinstyle="miter"/>
                    <v:path gradientshapeok="t" o:connecttype="rect"/>
                  </v:shapetype>
                  <v:shape id="Text Box 3" o:spid="_x0000_s1055" type="#_x0000_t202" style="position:absolute;margin-left:0;margin-top:0;width:267.9pt;height:43.9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" filled="f" stroked="f" strokeweight=".5pt">
                    <v:textbox style="mso-fit-shape-to-text:t" inset="0,0,0,0">
                      <w:txbxContent>
                        <w:p w14:paraId="4C5CC8E2" w14:textId="0366DD82" w:rsidR="00114D9B" w:rsidRPr="00114D9B" w:rsidRDefault="00B914E8">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14D9B" w:rsidRPr="00114D9B">
                                <w:rPr>
                                  <w:color w:val="4472C4" w:themeColor="accent1"/>
                                  <w:sz w:val="40"/>
                                  <w:szCs w:val="40"/>
                                </w:rPr>
                                <w:t>Varun</w:t>
                              </w:r>
                              <w:r w:rsidR="00114D9B">
                                <w:rPr>
                                  <w:color w:val="4472C4" w:themeColor="accent1"/>
                                  <w:sz w:val="40"/>
                                  <w:szCs w:val="40"/>
                                </w:rPr>
                                <w:t xml:space="preserve"> Chekuri</w:t>
                              </w:r>
                            </w:sdtContent>
                          </w:sdt>
                        </w:p>
                        <w:p w14:paraId="1E9374A0" w14:textId="174D0904" w:rsidR="00114D9B" w:rsidRPr="00114D9B" w:rsidRDefault="00B914E8">
                          <w:pPr>
                            <w:pStyle w:val="NoSpacing"/>
                            <w:rPr>
                              <w:color w:val="595959" w:themeColor="text1" w:themeTint="A6"/>
                              <w:sz w:val="32"/>
                              <w:szCs w:val="32"/>
                            </w:rPr>
                          </w:pPr>
                          <w:sdt>
                            <w:sdtPr>
                              <w:rPr>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14D9B" w:rsidRPr="00114D9B">
                                <w:rPr>
                                  <w:caps/>
                                  <w:color w:val="595959" w:themeColor="text1" w:themeTint="A6"/>
                                  <w:sz w:val="32"/>
                                  <w:szCs w:val="32"/>
                                </w:rPr>
                                <w:t>2424040</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0EAB33F" wp14:editId="1386498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02330" cy="2221230"/>
                    <wp:effectExtent l="0" t="0" r="0" b="0"/>
                    <wp:wrapNone/>
                    <wp:docPr id="3327290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22212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EDCE88" w14:textId="32301015" w:rsidR="00114D9B" w:rsidRDefault="00B914E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14D9B">
                                      <w:rPr>
                                        <w:rFonts w:asciiTheme="majorHAnsi" w:eastAsiaTheme="majorEastAsia" w:hAnsiTheme="majorHAnsi" w:cstheme="majorBidi"/>
                                        <w:color w:val="262626" w:themeColor="text1" w:themeTint="D9"/>
                                        <w:sz w:val="72"/>
                                        <w:szCs w:val="72"/>
                                      </w:rPr>
                                      <w:t>Finance For Business Managers</w:t>
                                    </w:r>
                                  </w:sdtContent>
                                </w:sdt>
                              </w:p>
                              <w:p w14:paraId="5318F7EB" w14:textId="3CDA4826" w:rsidR="00114D9B" w:rsidRDefault="00B914E8">
                                <w:pP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14D9B" w:rsidRPr="00114D9B">
                                      <w:rPr>
                                        <w:color w:val="404040" w:themeColor="text1" w:themeTint="BF"/>
                                        <w:sz w:val="36"/>
                                        <w:szCs w:val="36"/>
                                      </w:rPr>
                                      <w:t>BMMB7005D</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0EAB33F" id="Text Box 1" o:spid="_x0000_s1056" type="#_x0000_t202" style="position:absolute;margin-left:0;margin-top:0;width:267.9pt;height:174.9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" filled="f" stroked="f" strokeweight=".5pt">
                    <v:textbox style="mso-fit-shape-to-text:t" inset="0,0,0,0">
                      <w:txbxContent>
                        <w:p w14:paraId="19EDCE88" w14:textId="32301015" w:rsidR="00114D9B" w:rsidRDefault="00B914E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14D9B">
                                <w:rPr>
                                  <w:rFonts w:asciiTheme="majorHAnsi" w:eastAsiaTheme="majorEastAsia" w:hAnsiTheme="majorHAnsi" w:cstheme="majorBidi"/>
                                  <w:color w:val="262626" w:themeColor="text1" w:themeTint="D9"/>
                                  <w:sz w:val="72"/>
                                  <w:szCs w:val="72"/>
                                </w:rPr>
                                <w:t>Finance For Business Managers</w:t>
                              </w:r>
                            </w:sdtContent>
                          </w:sdt>
                        </w:p>
                        <w:p w14:paraId="5318F7EB" w14:textId="3CDA4826" w:rsidR="00114D9B" w:rsidRDefault="00B914E8">
                          <w:pP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14D9B" w:rsidRPr="00114D9B">
                                <w:rPr>
                                  <w:color w:val="404040" w:themeColor="text1" w:themeTint="BF"/>
                                  <w:sz w:val="36"/>
                                  <w:szCs w:val="36"/>
                                </w:rPr>
                                <w:t>BMMB7005D</w:t>
                              </w:r>
                            </w:sdtContent>
                          </w:sdt>
                        </w:p>
                      </w:txbxContent>
                    </v:textbox>
                    <w10:wrap anchorx="page" anchory="page"/>
                  </v:shape>
                </w:pict>
              </mc:Fallback>
            </mc:AlternateContent>
          </w:r>
        </w:p>
        <w:p w14:paraId="22EAA17D" w14:textId="1CE6DDD4" w:rsidR="00114D9B" w:rsidRDefault="00114D9B">
          <w:pPr>
            <w:rPr>
              <w:b/>
              <w:bCs/>
              <w:sz w:val="40"/>
              <w:szCs w:val="40"/>
            </w:rPr>
          </w:pPr>
          <w:r>
            <w:rPr>
              <w:b/>
              <w:bCs/>
              <w:sz w:val="40"/>
              <w:szCs w:val="40"/>
            </w:rPr>
            <w:br w:type="page"/>
          </w:r>
        </w:p>
      </w:sdtContent>
    </w:sdt>
    <w:p w14:paraId="6A0F4DD1" w14:textId="5E141705" w:rsidR="00925654" w:rsidRPr="00071D0F" w:rsidRDefault="00925654">
      <w:pPr>
        <w:rPr>
          <w:b/>
          <w:bCs/>
          <w:sz w:val="40"/>
          <w:szCs w:val="40"/>
        </w:rPr>
      </w:pPr>
    </w:p>
    <w:sdt>
      <w:sdtPr>
        <w:rPr>
          <w:rFonts w:ascii="Times New Roman" w:eastAsiaTheme="minorHAnsi" w:hAnsi="Times New Roman" w:cs="Times New Roman"/>
          <w:color w:val="auto"/>
          <w:sz w:val="24"/>
          <w:szCs w:val="24"/>
          <w:lang w:val="en-GB"/>
        </w:rPr>
        <w:id w:val="1696117485"/>
        <w:docPartObj>
          <w:docPartGallery w:val="Table of Contents"/>
          <w:docPartUnique/>
        </w:docPartObj>
      </w:sdtPr>
      <w:sdtEndPr>
        <w:rPr>
          <w:b/>
          <w:bCs/>
          <w:noProof/>
        </w:rPr>
      </w:sdtEndPr>
      <w:sdtContent>
        <w:p w14:paraId="68292BCE" w14:textId="77777777" w:rsidR="008015E4" w:rsidRDefault="008015E4">
          <w:pPr>
            <w:pStyle w:val="TOCHeading"/>
          </w:pPr>
          <w:r>
            <w:t>Table of Contents</w:t>
          </w:r>
        </w:p>
        <w:p w14:paraId="0E8278B9" w14:textId="77777777" w:rsidR="008015E4" w:rsidRDefault="0017166B">
          <w:pPr>
            <w:pStyle w:val="TOC1"/>
            <w:tabs>
              <w:tab w:val="right" w:leader="dot" w:pos="9016"/>
            </w:tabs>
            <w:rPr>
              <w:noProof/>
            </w:rPr>
          </w:pPr>
          <w:r>
            <w:fldChar w:fldCharType="begin"/>
          </w:r>
          <w:r w:rsidR="008015E4">
            <w:instrText xml:space="preserve"> TOC \o "1-3" \h \z \u </w:instrText>
          </w:r>
          <w:r>
            <w:fldChar w:fldCharType="separate"/>
          </w:r>
          <w:hyperlink w:anchor="_Toc203668410" w:history="1">
            <w:r w:rsidR="008015E4" w:rsidRPr="00F42863">
              <w:rPr>
                <w:rStyle w:val="Hyperlink"/>
                <w:noProof/>
              </w:rPr>
              <w:t>Part 1</w:t>
            </w:r>
            <w:r w:rsidR="008015E4">
              <w:rPr>
                <w:noProof/>
                <w:webHidden/>
              </w:rPr>
              <w:tab/>
            </w:r>
            <w:r>
              <w:rPr>
                <w:noProof/>
                <w:webHidden/>
              </w:rPr>
              <w:fldChar w:fldCharType="begin"/>
            </w:r>
            <w:r w:rsidR="008015E4">
              <w:rPr>
                <w:noProof/>
                <w:webHidden/>
              </w:rPr>
              <w:instrText xml:space="preserve"> PAGEREF _Toc203668410 \h </w:instrText>
            </w:r>
            <w:r>
              <w:rPr>
                <w:noProof/>
                <w:webHidden/>
              </w:rPr>
            </w:r>
            <w:r>
              <w:rPr>
                <w:noProof/>
                <w:webHidden/>
              </w:rPr>
              <w:fldChar w:fldCharType="separate"/>
            </w:r>
            <w:r w:rsidR="008015E4">
              <w:rPr>
                <w:noProof/>
                <w:webHidden/>
              </w:rPr>
              <w:t>3</w:t>
            </w:r>
            <w:r>
              <w:rPr>
                <w:noProof/>
                <w:webHidden/>
              </w:rPr>
              <w:fldChar w:fldCharType="end"/>
            </w:r>
          </w:hyperlink>
        </w:p>
        <w:p w14:paraId="3E5E007D" w14:textId="77777777" w:rsidR="008015E4" w:rsidRDefault="008015E4">
          <w:pPr>
            <w:pStyle w:val="TOC2"/>
            <w:tabs>
              <w:tab w:val="right" w:leader="dot" w:pos="9016"/>
            </w:tabs>
            <w:rPr>
              <w:noProof/>
            </w:rPr>
          </w:pPr>
          <w:hyperlink w:anchor="_Toc203668411" w:history="1">
            <w:r w:rsidRPr="00F42863">
              <w:rPr>
                <w:rStyle w:val="Hyperlink"/>
                <w:noProof/>
              </w:rPr>
              <w:t>Introduction</w:t>
            </w:r>
            <w:r>
              <w:rPr>
                <w:noProof/>
                <w:webHidden/>
              </w:rPr>
              <w:tab/>
            </w:r>
            <w:r w:rsidR="0017166B">
              <w:rPr>
                <w:noProof/>
                <w:webHidden/>
              </w:rPr>
              <w:fldChar w:fldCharType="begin"/>
            </w:r>
            <w:r>
              <w:rPr>
                <w:noProof/>
                <w:webHidden/>
              </w:rPr>
              <w:instrText xml:space="preserve"> PAGEREF _Toc203668411 \h </w:instrText>
            </w:r>
            <w:r w:rsidR="0017166B">
              <w:rPr>
                <w:noProof/>
                <w:webHidden/>
              </w:rPr>
            </w:r>
            <w:r w:rsidR="0017166B">
              <w:rPr>
                <w:noProof/>
                <w:webHidden/>
              </w:rPr>
              <w:fldChar w:fldCharType="separate"/>
            </w:r>
            <w:r>
              <w:rPr>
                <w:noProof/>
                <w:webHidden/>
              </w:rPr>
              <w:t>3</w:t>
            </w:r>
            <w:r w:rsidR="0017166B">
              <w:rPr>
                <w:noProof/>
                <w:webHidden/>
              </w:rPr>
              <w:fldChar w:fldCharType="end"/>
            </w:r>
          </w:hyperlink>
        </w:p>
        <w:p w14:paraId="3745867D" w14:textId="77777777" w:rsidR="008015E4" w:rsidRDefault="008015E4">
          <w:pPr>
            <w:pStyle w:val="TOC2"/>
            <w:tabs>
              <w:tab w:val="right" w:leader="dot" w:pos="9016"/>
            </w:tabs>
            <w:rPr>
              <w:noProof/>
            </w:rPr>
          </w:pPr>
          <w:hyperlink w:anchor="_Toc203668412" w:history="1">
            <w:r w:rsidRPr="00F42863">
              <w:rPr>
                <w:rStyle w:val="Hyperlink"/>
                <w:noProof/>
              </w:rPr>
              <w:t>Profitability analysis</w:t>
            </w:r>
            <w:r>
              <w:rPr>
                <w:noProof/>
                <w:webHidden/>
              </w:rPr>
              <w:tab/>
            </w:r>
            <w:r w:rsidR="0017166B">
              <w:rPr>
                <w:noProof/>
                <w:webHidden/>
              </w:rPr>
              <w:fldChar w:fldCharType="begin"/>
            </w:r>
            <w:r>
              <w:rPr>
                <w:noProof/>
                <w:webHidden/>
              </w:rPr>
              <w:instrText xml:space="preserve"> PAGEREF _Toc203668412 \h </w:instrText>
            </w:r>
            <w:r w:rsidR="0017166B">
              <w:rPr>
                <w:noProof/>
                <w:webHidden/>
              </w:rPr>
            </w:r>
            <w:r w:rsidR="0017166B">
              <w:rPr>
                <w:noProof/>
                <w:webHidden/>
              </w:rPr>
              <w:fldChar w:fldCharType="separate"/>
            </w:r>
            <w:r>
              <w:rPr>
                <w:noProof/>
                <w:webHidden/>
              </w:rPr>
              <w:t>3</w:t>
            </w:r>
            <w:r w:rsidR="0017166B">
              <w:rPr>
                <w:noProof/>
                <w:webHidden/>
              </w:rPr>
              <w:fldChar w:fldCharType="end"/>
            </w:r>
          </w:hyperlink>
        </w:p>
        <w:p w14:paraId="01454367" w14:textId="77777777" w:rsidR="008015E4" w:rsidRDefault="008015E4">
          <w:pPr>
            <w:pStyle w:val="TOC2"/>
            <w:tabs>
              <w:tab w:val="right" w:leader="dot" w:pos="9016"/>
            </w:tabs>
            <w:rPr>
              <w:noProof/>
            </w:rPr>
          </w:pPr>
          <w:hyperlink w:anchor="_Toc203668413" w:history="1">
            <w:r w:rsidRPr="00F42863">
              <w:rPr>
                <w:rStyle w:val="Hyperlink"/>
                <w:noProof/>
              </w:rPr>
              <w:t>Liquidity Analysis</w:t>
            </w:r>
            <w:r>
              <w:rPr>
                <w:noProof/>
                <w:webHidden/>
              </w:rPr>
              <w:tab/>
            </w:r>
            <w:r w:rsidR="0017166B">
              <w:rPr>
                <w:noProof/>
                <w:webHidden/>
              </w:rPr>
              <w:fldChar w:fldCharType="begin"/>
            </w:r>
            <w:r>
              <w:rPr>
                <w:noProof/>
                <w:webHidden/>
              </w:rPr>
              <w:instrText xml:space="preserve"> PAGEREF _Toc203668413 \h </w:instrText>
            </w:r>
            <w:r w:rsidR="0017166B">
              <w:rPr>
                <w:noProof/>
                <w:webHidden/>
              </w:rPr>
            </w:r>
            <w:r w:rsidR="0017166B">
              <w:rPr>
                <w:noProof/>
                <w:webHidden/>
              </w:rPr>
              <w:fldChar w:fldCharType="separate"/>
            </w:r>
            <w:r>
              <w:rPr>
                <w:noProof/>
                <w:webHidden/>
              </w:rPr>
              <w:t>6</w:t>
            </w:r>
            <w:r w:rsidR="0017166B">
              <w:rPr>
                <w:noProof/>
                <w:webHidden/>
              </w:rPr>
              <w:fldChar w:fldCharType="end"/>
            </w:r>
          </w:hyperlink>
        </w:p>
        <w:p w14:paraId="59377FA9" w14:textId="77777777" w:rsidR="008015E4" w:rsidRDefault="008015E4">
          <w:pPr>
            <w:pStyle w:val="TOC2"/>
            <w:tabs>
              <w:tab w:val="right" w:leader="dot" w:pos="9016"/>
            </w:tabs>
            <w:rPr>
              <w:noProof/>
            </w:rPr>
          </w:pPr>
          <w:hyperlink w:anchor="_Toc203668414" w:history="1">
            <w:r w:rsidRPr="00F42863">
              <w:rPr>
                <w:rStyle w:val="Hyperlink"/>
                <w:noProof/>
              </w:rPr>
              <w:t>Gearing Analysis</w:t>
            </w:r>
            <w:r>
              <w:rPr>
                <w:noProof/>
                <w:webHidden/>
              </w:rPr>
              <w:tab/>
            </w:r>
            <w:r w:rsidR="0017166B">
              <w:rPr>
                <w:noProof/>
                <w:webHidden/>
              </w:rPr>
              <w:fldChar w:fldCharType="begin"/>
            </w:r>
            <w:r>
              <w:rPr>
                <w:noProof/>
                <w:webHidden/>
              </w:rPr>
              <w:instrText xml:space="preserve"> PAGEREF _Toc203668414 \h </w:instrText>
            </w:r>
            <w:r w:rsidR="0017166B">
              <w:rPr>
                <w:noProof/>
                <w:webHidden/>
              </w:rPr>
            </w:r>
            <w:r w:rsidR="0017166B">
              <w:rPr>
                <w:noProof/>
                <w:webHidden/>
              </w:rPr>
              <w:fldChar w:fldCharType="separate"/>
            </w:r>
            <w:r>
              <w:rPr>
                <w:noProof/>
                <w:webHidden/>
              </w:rPr>
              <w:t>7</w:t>
            </w:r>
            <w:r w:rsidR="0017166B">
              <w:rPr>
                <w:noProof/>
                <w:webHidden/>
              </w:rPr>
              <w:fldChar w:fldCharType="end"/>
            </w:r>
          </w:hyperlink>
        </w:p>
        <w:p w14:paraId="41296DE8" w14:textId="77777777" w:rsidR="008015E4" w:rsidRDefault="008015E4">
          <w:pPr>
            <w:pStyle w:val="TOC2"/>
            <w:tabs>
              <w:tab w:val="right" w:leader="dot" w:pos="9016"/>
            </w:tabs>
            <w:rPr>
              <w:noProof/>
            </w:rPr>
          </w:pPr>
          <w:hyperlink w:anchor="_Toc203668415" w:history="1">
            <w:r w:rsidRPr="00F42863">
              <w:rPr>
                <w:rStyle w:val="Hyperlink"/>
                <w:noProof/>
              </w:rPr>
              <w:t>Investor Analysis</w:t>
            </w:r>
            <w:r>
              <w:rPr>
                <w:noProof/>
                <w:webHidden/>
              </w:rPr>
              <w:tab/>
            </w:r>
            <w:r w:rsidR="0017166B">
              <w:rPr>
                <w:noProof/>
                <w:webHidden/>
              </w:rPr>
              <w:fldChar w:fldCharType="begin"/>
            </w:r>
            <w:r>
              <w:rPr>
                <w:noProof/>
                <w:webHidden/>
              </w:rPr>
              <w:instrText xml:space="preserve"> PAGEREF _Toc203668415 \h </w:instrText>
            </w:r>
            <w:r w:rsidR="0017166B">
              <w:rPr>
                <w:noProof/>
                <w:webHidden/>
              </w:rPr>
            </w:r>
            <w:r w:rsidR="0017166B">
              <w:rPr>
                <w:noProof/>
                <w:webHidden/>
              </w:rPr>
              <w:fldChar w:fldCharType="separate"/>
            </w:r>
            <w:r>
              <w:rPr>
                <w:noProof/>
                <w:webHidden/>
              </w:rPr>
              <w:t>8</w:t>
            </w:r>
            <w:r w:rsidR="0017166B">
              <w:rPr>
                <w:noProof/>
                <w:webHidden/>
              </w:rPr>
              <w:fldChar w:fldCharType="end"/>
            </w:r>
          </w:hyperlink>
        </w:p>
        <w:p w14:paraId="6D6A37B8" w14:textId="77777777" w:rsidR="008015E4" w:rsidRDefault="008015E4">
          <w:pPr>
            <w:pStyle w:val="TOC2"/>
            <w:tabs>
              <w:tab w:val="right" w:leader="dot" w:pos="9016"/>
            </w:tabs>
            <w:rPr>
              <w:noProof/>
            </w:rPr>
          </w:pPr>
          <w:hyperlink w:anchor="_Toc203668416" w:history="1">
            <w:r w:rsidRPr="00F42863">
              <w:rPr>
                <w:rStyle w:val="Hyperlink"/>
                <w:noProof/>
              </w:rPr>
              <w:t>Conclusion</w:t>
            </w:r>
            <w:r>
              <w:rPr>
                <w:noProof/>
                <w:webHidden/>
              </w:rPr>
              <w:tab/>
            </w:r>
            <w:r w:rsidR="0017166B">
              <w:rPr>
                <w:noProof/>
                <w:webHidden/>
              </w:rPr>
              <w:fldChar w:fldCharType="begin"/>
            </w:r>
            <w:r>
              <w:rPr>
                <w:noProof/>
                <w:webHidden/>
              </w:rPr>
              <w:instrText xml:space="preserve"> PAGEREF _Toc203668416 \h </w:instrText>
            </w:r>
            <w:r w:rsidR="0017166B">
              <w:rPr>
                <w:noProof/>
                <w:webHidden/>
              </w:rPr>
            </w:r>
            <w:r w:rsidR="0017166B">
              <w:rPr>
                <w:noProof/>
                <w:webHidden/>
              </w:rPr>
              <w:fldChar w:fldCharType="separate"/>
            </w:r>
            <w:r>
              <w:rPr>
                <w:noProof/>
                <w:webHidden/>
              </w:rPr>
              <w:t>11</w:t>
            </w:r>
            <w:r w:rsidR="0017166B">
              <w:rPr>
                <w:noProof/>
                <w:webHidden/>
              </w:rPr>
              <w:fldChar w:fldCharType="end"/>
            </w:r>
          </w:hyperlink>
        </w:p>
        <w:p w14:paraId="1EE870E7" w14:textId="77777777" w:rsidR="008015E4" w:rsidRDefault="008015E4">
          <w:pPr>
            <w:pStyle w:val="TOC2"/>
            <w:tabs>
              <w:tab w:val="right" w:leader="dot" w:pos="9016"/>
            </w:tabs>
            <w:rPr>
              <w:noProof/>
            </w:rPr>
          </w:pPr>
          <w:hyperlink w:anchor="_Toc203668417" w:history="1">
            <w:r w:rsidRPr="00F42863">
              <w:rPr>
                <w:rStyle w:val="Hyperlink"/>
                <w:noProof/>
              </w:rPr>
              <w:t>References</w:t>
            </w:r>
            <w:r>
              <w:rPr>
                <w:noProof/>
                <w:webHidden/>
              </w:rPr>
              <w:tab/>
            </w:r>
            <w:r w:rsidR="0017166B">
              <w:rPr>
                <w:noProof/>
                <w:webHidden/>
              </w:rPr>
              <w:fldChar w:fldCharType="begin"/>
            </w:r>
            <w:r>
              <w:rPr>
                <w:noProof/>
                <w:webHidden/>
              </w:rPr>
              <w:instrText xml:space="preserve"> PAGEREF _Toc203668417 \h </w:instrText>
            </w:r>
            <w:r w:rsidR="0017166B">
              <w:rPr>
                <w:noProof/>
                <w:webHidden/>
              </w:rPr>
            </w:r>
            <w:r w:rsidR="0017166B">
              <w:rPr>
                <w:noProof/>
                <w:webHidden/>
              </w:rPr>
              <w:fldChar w:fldCharType="separate"/>
            </w:r>
            <w:r>
              <w:rPr>
                <w:noProof/>
                <w:webHidden/>
              </w:rPr>
              <w:t>12</w:t>
            </w:r>
            <w:r w:rsidR="0017166B">
              <w:rPr>
                <w:noProof/>
                <w:webHidden/>
              </w:rPr>
              <w:fldChar w:fldCharType="end"/>
            </w:r>
          </w:hyperlink>
        </w:p>
        <w:p w14:paraId="5640067D" w14:textId="77777777" w:rsidR="008015E4" w:rsidRDefault="008015E4">
          <w:pPr>
            <w:pStyle w:val="TOC2"/>
            <w:tabs>
              <w:tab w:val="right" w:leader="dot" w:pos="9016"/>
            </w:tabs>
            <w:rPr>
              <w:noProof/>
            </w:rPr>
          </w:pPr>
          <w:hyperlink w:anchor="_Toc203668418" w:history="1">
            <w:r w:rsidRPr="00F42863">
              <w:rPr>
                <w:rStyle w:val="Hyperlink"/>
                <w:noProof/>
              </w:rPr>
              <w:t>Appendices</w:t>
            </w:r>
            <w:r>
              <w:rPr>
                <w:noProof/>
                <w:webHidden/>
              </w:rPr>
              <w:tab/>
            </w:r>
            <w:r w:rsidR="0017166B">
              <w:rPr>
                <w:noProof/>
                <w:webHidden/>
              </w:rPr>
              <w:fldChar w:fldCharType="begin"/>
            </w:r>
            <w:r>
              <w:rPr>
                <w:noProof/>
                <w:webHidden/>
              </w:rPr>
              <w:instrText xml:space="preserve"> PAGEREF _Toc203668418 \h </w:instrText>
            </w:r>
            <w:r w:rsidR="0017166B">
              <w:rPr>
                <w:noProof/>
                <w:webHidden/>
              </w:rPr>
            </w:r>
            <w:r w:rsidR="0017166B">
              <w:rPr>
                <w:noProof/>
                <w:webHidden/>
              </w:rPr>
              <w:fldChar w:fldCharType="separate"/>
            </w:r>
            <w:r>
              <w:rPr>
                <w:noProof/>
                <w:webHidden/>
              </w:rPr>
              <w:t>14</w:t>
            </w:r>
            <w:r w:rsidR="0017166B">
              <w:rPr>
                <w:noProof/>
                <w:webHidden/>
              </w:rPr>
              <w:fldChar w:fldCharType="end"/>
            </w:r>
          </w:hyperlink>
        </w:p>
        <w:p w14:paraId="7145C891" w14:textId="77777777" w:rsidR="008015E4" w:rsidRDefault="008015E4">
          <w:pPr>
            <w:pStyle w:val="TOC3"/>
            <w:tabs>
              <w:tab w:val="right" w:leader="dot" w:pos="9016"/>
            </w:tabs>
            <w:rPr>
              <w:noProof/>
            </w:rPr>
          </w:pPr>
          <w:hyperlink w:anchor="_Toc203668419" w:history="1">
            <w:r w:rsidRPr="00F42863">
              <w:rPr>
                <w:rStyle w:val="Hyperlink"/>
                <w:noProof/>
              </w:rPr>
              <w:t>Appendix 1 – Income statement</w:t>
            </w:r>
            <w:r>
              <w:rPr>
                <w:noProof/>
                <w:webHidden/>
              </w:rPr>
              <w:tab/>
            </w:r>
            <w:r w:rsidR="0017166B">
              <w:rPr>
                <w:noProof/>
                <w:webHidden/>
              </w:rPr>
              <w:fldChar w:fldCharType="begin"/>
            </w:r>
            <w:r>
              <w:rPr>
                <w:noProof/>
                <w:webHidden/>
              </w:rPr>
              <w:instrText xml:space="preserve"> PAGEREF _Toc203668419 \h </w:instrText>
            </w:r>
            <w:r w:rsidR="0017166B">
              <w:rPr>
                <w:noProof/>
                <w:webHidden/>
              </w:rPr>
            </w:r>
            <w:r w:rsidR="0017166B">
              <w:rPr>
                <w:noProof/>
                <w:webHidden/>
              </w:rPr>
              <w:fldChar w:fldCharType="separate"/>
            </w:r>
            <w:r>
              <w:rPr>
                <w:noProof/>
                <w:webHidden/>
              </w:rPr>
              <w:t>14</w:t>
            </w:r>
            <w:r w:rsidR="0017166B">
              <w:rPr>
                <w:noProof/>
                <w:webHidden/>
              </w:rPr>
              <w:fldChar w:fldCharType="end"/>
            </w:r>
          </w:hyperlink>
        </w:p>
        <w:p w14:paraId="1D2C56BE" w14:textId="77777777" w:rsidR="008015E4" w:rsidRDefault="008015E4">
          <w:pPr>
            <w:pStyle w:val="TOC3"/>
            <w:tabs>
              <w:tab w:val="right" w:leader="dot" w:pos="9016"/>
            </w:tabs>
            <w:rPr>
              <w:noProof/>
            </w:rPr>
          </w:pPr>
          <w:hyperlink w:anchor="_Toc203668420" w:history="1">
            <w:r w:rsidRPr="00F42863">
              <w:rPr>
                <w:rStyle w:val="Hyperlink"/>
                <w:noProof/>
              </w:rPr>
              <w:t>Appendix 2 – Balance Sheet</w:t>
            </w:r>
            <w:r>
              <w:rPr>
                <w:noProof/>
                <w:webHidden/>
              </w:rPr>
              <w:tab/>
            </w:r>
            <w:r w:rsidR="0017166B">
              <w:rPr>
                <w:noProof/>
                <w:webHidden/>
              </w:rPr>
              <w:fldChar w:fldCharType="begin"/>
            </w:r>
            <w:r>
              <w:rPr>
                <w:noProof/>
                <w:webHidden/>
              </w:rPr>
              <w:instrText xml:space="preserve"> PAGEREF _Toc203668420 \h </w:instrText>
            </w:r>
            <w:r w:rsidR="0017166B">
              <w:rPr>
                <w:noProof/>
                <w:webHidden/>
              </w:rPr>
            </w:r>
            <w:r w:rsidR="0017166B">
              <w:rPr>
                <w:noProof/>
                <w:webHidden/>
              </w:rPr>
              <w:fldChar w:fldCharType="separate"/>
            </w:r>
            <w:r>
              <w:rPr>
                <w:noProof/>
                <w:webHidden/>
              </w:rPr>
              <w:t>15</w:t>
            </w:r>
            <w:r w:rsidR="0017166B">
              <w:rPr>
                <w:noProof/>
                <w:webHidden/>
              </w:rPr>
              <w:fldChar w:fldCharType="end"/>
            </w:r>
          </w:hyperlink>
        </w:p>
        <w:p w14:paraId="49087870" w14:textId="77777777" w:rsidR="008015E4" w:rsidRDefault="008015E4">
          <w:pPr>
            <w:pStyle w:val="TOC3"/>
            <w:tabs>
              <w:tab w:val="right" w:leader="dot" w:pos="9016"/>
            </w:tabs>
            <w:rPr>
              <w:noProof/>
            </w:rPr>
          </w:pPr>
          <w:hyperlink w:anchor="_Toc203668421" w:history="1">
            <w:r w:rsidRPr="00F42863">
              <w:rPr>
                <w:rStyle w:val="Hyperlink"/>
                <w:noProof/>
              </w:rPr>
              <w:t>Appendix 3 – Cash flow statement</w:t>
            </w:r>
            <w:r>
              <w:rPr>
                <w:noProof/>
                <w:webHidden/>
              </w:rPr>
              <w:tab/>
            </w:r>
            <w:r w:rsidR="0017166B">
              <w:rPr>
                <w:noProof/>
                <w:webHidden/>
              </w:rPr>
              <w:fldChar w:fldCharType="begin"/>
            </w:r>
            <w:r>
              <w:rPr>
                <w:noProof/>
                <w:webHidden/>
              </w:rPr>
              <w:instrText xml:space="preserve"> PAGEREF _Toc203668421 \h </w:instrText>
            </w:r>
            <w:r w:rsidR="0017166B">
              <w:rPr>
                <w:noProof/>
                <w:webHidden/>
              </w:rPr>
            </w:r>
            <w:r w:rsidR="0017166B">
              <w:rPr>
                <w:noProof/>
                <w:webHidden/>
              </w:rPr>
              <w:fldChar w:fldCharType="separate"/>
            </w:r>
            <w:r>
              <w:rPr>
                <w:noProof/>
                <w:webHidden/>
              </w:rPr>
              <w:t>16</w:t>
            </w:r>
            <w:r w:rsidR="0017166B">
              <w:rPr>
                <w:noProof/>
                <w:webHidden/>
              </w:rPr>
              <w:fldChar w:fldCharType="end"/>
            </w:r>
          </w:hyperlink>
        </w:p>
        <w:p w14:paraId="65012A1E" w14:textId="77777777" w:rsidR="008015E4" w:rsidRDefault="008015E4">
          <w:pPr>
            <w:pStyle w:val="TOC1"/>
            <w:tabs>
              <w:tab w:val="right" w:leader="dot" w:pos="9016"/>
            </w:tabs>
            <w:rPr>
              <w:noProof/>
            </w:rPr>
          </w:pPr>
          <w:hyperlink w:anchor="_Toc203668422" w:history="1">
            <w:r w:rsidRPr="00F42863">
              <w:rPr>
                <w:rStyle w:val="Hyperlink"/>
                <w:noProof/>
              </w:rPr>
              <w:t>Part 2</w:t>
            </w:r>
            <w:r>
              <w:rPr>
                <w:noProof/>
                <w:webHidden/>
              </w:rPr>
              <w:tab/>
            </w:r>
            <w:r w:rsidR="0017166B">
              <w:rPr>
                <w:noProof/>
                <w:webHidden/>
              </w:rPr>
              <w:fldChar w:fldCharType="begin"/>
            </w:r>
            <w:r>
              <w:rPr>
                <w:noProof/>
                <w:webHidden/>
              </w:rPr>
              <w:instrText xml:space="preserve"> PAGEREF _Toc203668422 \h </w:instrText>
            </w:r>
            <w:r w:rsidR="0017166B">
              <w:rPr>
                <w:noProof/>
                <w:webHidden/>
              </w:rPr>
            </w:r>
            <w:r w:rsidR="0017166B">
              <w:rPr>
                <w:noProof/>
                <w:webHidden/>
              </w:rPr>
              <w:fldChar w:fldCharType="separate"/>
            </w:r>
            <w:r>
              <w:rPr>
                <w:noProof/>
                <w:webHidden/>
              </w:rPr>
              <w:t>17</w:t>
            </w:r>
            <w:r w:rsidR="0017166B">
              <w:rPr>
                <w:noProof/>
                <w:webHidden/>
              </w:rPr>
              <w:fldChar w:fldCharType="end"/>
            </w:r>
          </w:hyperlink>
        </w:p>
        <w:p w14:paraId="78B99B09" w14:textId="77777777" w:rsidR="008015E4" w:rsidRDefault="008015E4">
          <w:pPr>
            <w:pStyle w:val="TOC2"/>
            <w:tabs>
              <w:tab w:val="right" w:leader="dot" w:pos="9016"/>
            </w:tabs>
            <w:rPr>
              <w:noProof/>
            </w:rPr>
          </w:pPr>
          <w:hyperlink w:anchor="_Toc203668423" w:history="1">
            <w:r w:rsidRPr="00F42863">
              <w:rPr>
                <w:rStyle w:val="Hyperlink"/>
                <w:noProof/>
              </w:rPr>
              <w:t>Introduction</w:t>
            </w:r>
            <w:r>
              <w:rPr>
                <w:noProof/>
                <w:webHidden/>
              </w:rPr>
              <w:tab/>
            </w:r>
            <w:r w:rsidR="0017166B">
              <w:rPr>
                <w:noProof/>
                <w:webHidden/>
              </w:rPr>
              <w:fldChar w:fldCharType="begin"/>
            </w:r>
            <w:r>
              <w:rPr>
                <w:noProof/>
                <w:webHidden/>
              </w:rPr>
              <w:instrText xml:space="preserve"> PAGEREF _Toc203668423 \h </w:instrText>
            </w:r>
            <w:r w:rsidR="0017166B">
              <w:rPr>
                <w:noProof/>
                <w:webHidden/>
              </w:rPr>
            </w:r>
            <w:r w:rsidR="0017166B">
              <w:rPr>
                <w:noProof/>
                <w:webHidden/>
              </w:rPr>
              <w:fldChar w:fldCharType="separate"/>
            </w:r>
            <w:r>
              <w:rPr>
                <w:noProof/>
                <w:webHidden/>
              </w:rPr>
              <w:t>17</w:t>
            </w:r>
            <w:r w:rsidR="0017166B">
              <w:rPr>
                <w:noProof/>
                <w:webHidden/>
              </w:rPr>
              <w:fldChar w:fldCharType="end"/>
            </w:r>
          </w:hyperlink>
        </w:p>
        <w:p w14:paraId="037D95D2" w14:textId="77777777" w:rsidR="008015E4" w:rsidRDefault="008015E4">
          <w:pPr>
            <w:pStyle w:val="TOC2"/>
            <w:tabs>
              <w:tab w:val="right" w:leader="dot" w:pos="9016"/>
            </w:tabs>
            <w:rPr>
              <w:noProof/>
            </w:rPr>
          </w:pPr>
          <w:hyperlink w:anchor="_Toc203668424" w:history="1">
            <w:r w:rsidRPr="00F42863">
              <w:rPr>
                <w:rStyle w:val="Hyperlink"/>
                <w:noProof/>
              </w:rPr>
              <w:t>Net Present Value</w:t>
            </w:r>
            <w:r>
              <w:rPr>
                <w:noProof/>
                <w:webHidden/>
              </w:rPr>
              <w:tab/>
            </w:r>
            <w:r w:rsidR="0017166B">
              <w:rPr>
                <w:noProof/>
                <w:webHidden/>
              </w:rPr>
              <w:fldChar w:fldCharType="begin"/>
            </w:r>
            <w:r>
              <w:rPr>
                <w:noProof/>
                <w:webHidden/>
              </w:rPr>
              <w:instrText xml:space="preserve"> PAGEREF _Toc203668424 \h </w:instrText>
            </w:r>
            <w:r w:rsidR="0017166B">
              <w:rPr>
                <w:noProof/>
                <w:webHidden/>
              </w:rPr>
            </w:r>
            <w:r w:rsidR="0017166B">
              <w:rPr>
                <w:noProof/>
                <w:webHidden/>
              </w:rPr>
              <w:fldChar w:fldCharType="separate"/>
            </w:r>
            <w:r>
              <w:rPr>
                <w:noProof/>
                <w:webHidden/>
              </w:rPr>
              <w:t>17</w:t>
            </w:r>
            <w:r w:rsidR="0017166B">
              <w:rPr>
                <w:noProof/>
                <w:webHidden/>
              </w:rPr>
              <w:fldChar w:fldCharType="end"/>
            </w:r>
          </w:hyperlink>
        </w:p>
        <w:p w14:paraId="03E93BFC" w14:textId="77777777" w:rsidR="008015E4" w:rsidRDefault="008015E4">
          <w:pPr>
            <w:pStyle w:val="TOC2"/>
            <w:tabs>
              <w:tab w:val="right" w:leader="dot" w:pos="9016"/>
            </w:tabs>
            <w:rPr>
              <w:noProof/>
            </w:rPr>
          </w:pPr>
          <w:hyperlink w:anchor="_Toc203668425" w:history="1">
            <w:r w:rsidRPr="00F42863">
              <w:rPr>
                <w:rStyle w:val="Hyperlink"/>
                <w:noProof/>
              </w:rPr>
              <w:t>Internal rate of return (IRR)</w:t>
            </w:r>
            <w:r>
              <w:rPr>
                <w:noProof/>
                <w:webHidden/>
              </w:rPr>
              <w:tab/>
            </w:r>
            <w:r w:rsidR="0017166B">
              <w:rPr>
                <w:noProof/>
                <w:webHidden/>
              </w:rPr>
              <w:fldChar w:fldCharType="begin"/>
            </w:r>
            <w:r>
              <w:rPr>
                <w:noProof/>
                <w:webHidden/>
              </w:rPr>
              <w:instrText xml:space="preserve"> PAGEREF _Toc203668425 \h </w:instrText>
            </w:r>
            <w:r w:rsidR="0017166B">
              <w:rPr>
                <w:noProof/>
                <w:webHidden/>
              </w:rPr>
            </w:r>
            <w:r w:rsidR="0017166B">
              <w:rPr>
                <w:noProof/>
                <w:webHidden/>
              </w:rPr>
              <w:fldChar w:fldCharType="separate"/>
            </w:r>
            <w:r>
              <w:rPr>
                <w:noProof/>
                <w:webHidden/>
              </w:rPr>
              <w:t>18</w:t>
            </w:r>
            <w:r w:rsidR="0017166B">
              <w:rPr>
                <w:noProof/>
                <w:webHidden/>
              </w:rPr>
              <w:fldChar w:fldCharType="end"/>
            </w:r>
          </w:hyperlink>
        </w:p>
        <w:p w14:paraId="25AEE9D9" w14:textId="77777777" w:rsidR="008015E4" w:rsidRDefault="008015E4">
          <w:pPr>
            <w:pStyle w:val="TOC2"/>
            <w:tabs>
              <w:tab w:val="right" w:leader="dot" w:pos="9016"/>
            </w:tabs>
            <w:rPr>
              <w:noProof/>
            </w:rPr>
          </w:pPr>
          <w:hyperlink w:anchor="_Toc203668426" w:history="1">
            <w:r w:rsidRPr="00F42863">
              <w:rPr>
                <w:rStyle w:val="Hyperlink"/>
                <w:noProof/>
              </w:rPr>
              <w:t>Investment appraisal techniques</w:t>
            </w:r>
            <w:r>
              <w:rPr>
                <w:noProof/>
                <w:webHidden/>
              </w:rPr>
              <w:tab/>
            </w:r>
            <w:r w:rsidR="0017166B">
              <w:rPr>
                <w:noProof/>
                <w:webHidden/>
              </w:rPr>
              <w:fldChar w:fldCharType="begin"/>
            </w:r>
            <w:r>
              <w:rPr>
                <w:noProof/>
                <w:webHidden/>
              </w:rPr>
              <w:instrText xml:space="preserve"> PAGEREF _Toc203668426 \h </w:instrText>
            </w:r>
            <w:r w:rsidR="0017166B">
              <w:rPr>
                <w:noProof/>
                <w:webHidden/>
              </w:rPr>
            </w:r>
            <w:r w:rsidR="0017166B">
              <w:rPr>
                <w:noProof/>
                <w:webHidden/>
              </w:rPr>
              <w:fldChar w:fldCharType="separate"/>
            </w:r>
            <w:r>
              <w:rPr>
                <w:noProof/>
                <w:webHidden/>
              </w:rPr>
              <w:t>19</w:t>
            </w:r>
            <w:r w:rsidR="0017166B">
              <w:rPr>
                <w:noProof/>
                <w:webHidden/>
              </w:rPr>
              <w:fldChar w:fldCharType="end"/>
            </w:r>
          </w:hyperlink>
        </w:p>
        <w:p w14:paraId="424DDF42" w14:textId="77777777" w:rsidR="008015E4" w:rsidRDefault="008015E4">
          <w:pPr>
            <w:pStyle w:val="TOC2"/>
            <w:tabs>
              <w:tab w:val="right" w:leader="dot" w:pos="9016"/>
            </w:tabs>
            <w:rPr>
              <w:noProof/>
            </w:rPr>
          </w:pPr>
          <w:hyperlink w:anchor="_Toc203668427" w:history="1">
            <w:r w:rsidRPr="00F42863">
              <w:rPr>
                <w:rStyle w:val="Hyperlink"/>
                <w:noProof/>
              </w:rPr>
              <w:t>Non-discounting methods of investment appraisal</w:t>
            </w:r>
            <w:r>
              <w:rPr>
                <w:noProof/>
                <w:webHidden/>
              </w:rPr>
              <w:tab/>
            </w:r>
            <w:r w:rsidR="0017166B">
              <w:rPr>
                <w:noProof/>
                <w:webHidden/>
              </w:rPr>
              <w:fldChar w:fldCharType="begin"/>
            </w:r>
            <w:r>
              <w:rPr>
                <w:noProof/>
                <w:webHidden/>
              </w:rPr>
              <w:instrText xml:space="preserve"> PAGEREF _Toc203668427 \h </w:instrText>
            </w:r>
            <w:r w:rsidR="0017166B">
              <w:rPr>
                <w:noProof/>
                <w:webHidden/>
              </w:rPr>
            </w:r>
            <w:r w:rsidR="0017166B">
              <w:rPr>
                <w:noProof/>
                <w:webHidden/>
              </w:rPr>
              <w:fldChar w:fldCharType="separate"/>
            </w:r>
            <w:r>
              <w:rPr>
                <w:noProof/>
                <w:webHidden/>
              </w:rPr>
              <w:t>20</w:t>
            </w:r>
            <w:r w:rsidR="0017166B">
              <w:rPr>
                <w:noProof/>
                <w:webHidden/>
              </w:rPr>
              <w:fldChar w:fldCharType="end"/>
            </w:r>
          </w:hyperlink>
        </w:p>
        <w:p w14:paraId="407AAE02" w14:textId="77777777" w:rsidR="008015E4" w:rsidRDefault="008015E4">
          <w:pPr>
            <w:pStyle w:val="TOC2"/>
            <w:tabs>
              <w:tab w:val="right" w:leader="dot" w:pos="9016"/>
            </w:tabs>
            <w:rPr>
              <w:noProof/>
            </w:rPr>
          </w:pPr>
          <w:hyperlink w:anchor="_Toc203668428" w:history="1">
            <w:r w:rsidRPr="00F42863">
              <w:rPr>
                <w:rStyle w:val="Hyperlink"/>
                <w:noProof/>
              </w:rPr>
              <w:t>Other factors in investment decision</w:t>
            </w:r>
            <w:r>
              <w:rPr>
                <w:noProof/>
                <w:webHidden/>
              </w:rPr>
              <w:tab/>
            </w:r>
            <w:r w:rsidR="0017166B">
              <w:rPr>
                <w:noProof/>
                <w:webHidden/>
              </w:rPr>
              <w:fldChar w:fldCharType="begin"/>
            </w:r>
            <w:r>
              <w:rPr>
                <w:noProof/>
                <w:webHidden/>
              </w:rPr>
              <w:instrText xml:space="preserve"> PAGEREF _Toc203668428 \h </w:instrText>
            </w:r>
            <w:r w:rsidR="0017166B">
              <w:rPr>
                <w:noProof/>
                <w:webHidden/>
              </w:rPr>
            </w:r>
            <w:r w:rsidR="0017166B">
              <w:rPr>
                <w:noProof/>
                <w:webHidden/>
              </w:rPr>
              <w:fldChar w:fldCharType="separate"/>
            </w:r>
            <w:r>
              <w:rPr>
                <w:noProof/>
                <w:webHidden/>
              </w:rPr>
              <w:t>20</w:t>
            </w:r>
            <w:r w:rsidR="0017166B">
              <w:rPr>
                <w:noProof/>
                <w:webHidden/>
              </w:rPr>
              <w:fldChar w:fldCharType="end"/>
            </w:r>
          </w:hyperlink>
        </w:p>
        <w:p w14:paraId="3D72640F" w14:textId="77777777" w:rsidR="008015E4" w:rsidRDefault="008015E4">
          <w:pPr>
            <w:pStyle w:val="TOC2"/>
            <w:tabs>
              <w:tab w:val="right" w:leader="dot" w:pos="9016"/>
            </w:tabs>
            <w:rPr>
              <w:noProof/>
            </w:rPr>
          </w:pPr>
          <w:hyperlink w:anchor="_Toc203668429" w:history="1">
            <w:r w:rsidRPr="00F42863">
              <w:rPr>
                <w:rStyle w:val="Hyperlink"/>
                <w:noProof/>
              </w:rPr>
              <w:t>Optimal investment policy</w:t>
            </w:r>
            <w:r>
              <w:rPr>
                <w:noProof/>
                <w:webHidden/>
              </w:rPr>
              <w:tab/>
            </w:r>
            <w:r w:rsidR="0017166B">
              <w:rPr>
                <w:noProof/>
                <w:webHidden/>
              </w:rPr>
              <w:fldChar w:fldCharType="begin"/>
            </w:r>
            <w:r>
              <w:rPr>
                <w:noProof/>
                <w:webHidden/>
              </w:rPr>
              <w:instrText xml:space="preserve"> PAGEREF _Toc203668429 \h </w:instrText>
            </w:r>
            <w:r w:rsidR="0017166B">
              <w:rPr>
                <w:noProof/>
                <w:webHidden/>
              </w:rPr>
            </w:r>
            <w:r w:rsidR="0017166B">
              <w:rPr>
                <w:noProof/>
                <w:webHidden/>
              </w:rPr>
              <w:fldChar w:fldCharType="separate"/>
            </w:r>
            <w:r>
              <w:rPr>
                <w:noProof/>
                <w:webHidden/>
              </w:rPr>
              <w:t>21</w:t>
            </w:r>
            <w:r w:rsidR="0017166B">
              <w:rPr>
                <w:noProof/>
                <w:webHidden/>
              </w:rPr>
              <w:fldChar w:fldCharType="end"/>
            </w:r>
          </w:hyperlink>
        </w:p>
        <w:p w14:paraId="68756B6A" w14:textId="77777777" w:rsidR="008015E4" w:rsidRDefault="008015E4">
          <w:pPr>
            <w:pStyle w:val="TOC2"/>
            <w:tabs>
              <w:tab w:val="right" w:leader="dot" w:pos="9016"/>
            </w:tabs>
            <w:rPr>
              <w:noProof/>
            </w:rPr>
          </w:pPr>
          <w:hyperlink w:anchor="_Toc203668430" w:history="1">
            <w:r w:rsidRPr="00F42863">
              <w:rPr>
                <w:rStyle w:val="Hyperlink"/>
                <w:noProof/>
              </w:rPr>
              <w:t>Sources of finance</w:t>
            </w:r>
            <w:r>
              <w:rPr>
                <w:noProof/>
                <w:webHidden/>
              </w:rPr>
              <w:tab/>
            </w:r>
            <w:r w:rsidR="0017166B">
              <w:rPr>
                <w:noProof/>
                <w:webHidden/>
              </w:rPr>
              <w:fldChar w:fldCharType="begin"/>
            </w:r>
            <w:r>
              <w:rPr>
                <w:noProof/>
                <w:webHidden/>
              </w:rPr>
              <w:instrText xml:space="preserve"> PAGEREF _Toc203668430 \h </w:instrText>
            </w:r>
            <w:r w:rsidR="0017166B">
              <w:rPr>
                <w:noProof/>
                <w:webHidden/>
              </w:rPr>
            </w:r>
            <w:r w:rsidR="0017166B">
              <w:rPr>
                <w:noProof/>
                <w:webHidden/>
              </w:rPr>
              <w:fldChar w:fldCharType="separate"/>
            </w:r>
            <w:r>
              <w:rPr>
                <w:noProof/>
                <w:webHidden/>
              </w:rPr>
              <w:t>22</w:t>
            </w:r>
            <w:r w:rsidR="0017166B">
              <w:rPr>
                <w:noProof/>
                <w:webHidden/>
              </w:rPr>
              <w:fldChar w:fldCharType="end"/>
            </w:r>
          </w:hyperlink>
        </w:p>
        <w:p w14:paraId="7BA6A4C9" w14:textId="77777777" w:rsidR="008015E4" w:rsidRDefault="008015E4">
          <w:pPr>
            <w:pStyle w:val="TOC2"/>
            <w:tabs>
              <w:tab w:val="right" w:leader="dot" w:pos="9016"/>
            </w:tabs>
            <w:rPr>
              <w:noProof/>
            </w:rPr>
          </w:pPr>
          <w:hyperlink w:anchor="_Toc203668431" w:history="1">
            <w:r w:rsidRPr="00F42863">
              <w:rPr>
                <w:rStyle w:val="Hyperlink"/>
                <w:noProof/>
              </w:rPr>
              <w:t>Conclusion</w:t>
            </w:r>
            <w:r>
              <w:rPr>
                <w:noProof/>
                <w:webHidden/>
              </w:rPr>
              <w:tab/>
            </w:r>
            <w:r w:rsidR="0017166B">
              <w:rPr>
                <w:noProof/>
                <w:webHidden/>
              </w:rPr>
              <w:fldChar w:fldCharType="begin"/>
            </w:r>
            <w:r>
              <w:rPr>
                <w:noProof/>
                <w:webHidden/>
              </w:rPr>
              <w:instrText xml:space="preserve"> PAGEREF _Toc203668431 \h </w:instrText>
            </w:r>
            <w:r w:rsidR="0017166B">
              <w:rPr>
                <w:noProof/>
                <w:webHidden/>
              </w:rPr>
            </w:r>
            <w:r w:rsidR="0017166B">
              <w:rPr>
                <w:noProof/>
                <w:webHidden/>
              </w:rPr>
              <w:fldChar w:fldCharType="separate"/>
            </w:r>
            <w:r>
              <w:rPr>
                <w:noProof/>
                <w:webHidden/>
              </w:rPr>
              <w:t>25</w:t>
            </w:r>
            <w:r w:rsidR="0017166B">
              <w:rPr>
                <w:noProof/>
                <w:webHidden/>
              </w:rPr>
              <w:fldChar w:fldCharType="end"/>
            </w:r>
          </w:hyperlink>
        </w:p>
        <w:p w14:paraId="430CA6B5" w14:textId="2344561B" w:rsidR="008015E4" w:rsidRDefault="009821C9">
          <w:pPr>
            <w:pStyle w:val="TOC1"/>
            <w:tabs>
              <w:tab w:val="right" w:leader="dot" w:pos="9016"/>
            </w:tabs>
            <w:rPr>
              <w:noProof/>
            </w:rPr>
          </w:pPr>
          <w:r>
            <w:t xml:space="preserve">    </w:t>
          </w:r>
          <w:hyperlink w:anchor="_Toc203668432" w:history="1">
            <w:r w:rsidR="008015E4" w:rsidRPr="00F42863">
              <w:rPr>
                <w:rStyle w:val="Hyperlink"/>
                <w:noProof/>
              </w:rPr>
              <w:t>References</w:t>
            </w:r>
            <w:r w:rsidR="008015E4">
              <w:rPr>
                <w:noProof/>
                <w:webHidden/>
              </w:rPr>
              <w:tab/>
            </w:r>
            <w:r w:rsidR="0017166B">
              <w:rPr>
                <w:noProof/>
                <w:webHidden/>
              </w:rPr>
              <w:fldChar w:fldCharType="begin"/>
            </w:r>
            <w:r w:rsidR="008015E4">
              <w:rPr>
                <w:noProof/>
                <w:webHidden/>
              </w:rPr>
              <w:instrText xml:space="preserve"> PAGEREF _Toc203668432 \h </w:instrText>
            </w:r>
            <w:r w:rsidR="0017166B">
              <w:rPr>
                <w:noProof/>
                <w:webHidden/>
              </w:rPr>
            </w:r>
            <w:r w:rsidR="0017166B">
              <w:rPr>
                <w:noProof/>
                <w:webHidden/>
              </w:rPr>
              <w:fldChar w:fldCharType="separate"/>
            </w:r>
            <w:r w:rsidR="008015E4">
              <w:rPr>
                <w:noProof/>
                <w:webHidden/>
              </w:rPr>
              <w:t>27</w:t>
            </w:r>
            <w:r w:rsidR="0017166B">
              <w:rPr>
                <w:noProof/>
                <w:webHidden/>
              </w:rPr>
              <w:fldChar w:fldCharType="end"/>
            </w:r>
          </w:hyperlink>
        </w:p>
        <w:p w14:paraId="576458FA" w14:textId="77777777" w:rsidR="008015E4" w:rsidRDefault="0017166B">
          <w:r>
            <w:rPr>
              <w:b/>
              <w:bCs/>
              <w:noProof/>
            </w:rPr>
            <w:lastRenderedPageBreak/>
            <w:fldChar w:fldCharType="end"/>
          </w:r>
        </w:p>
      </w:sdtContent>
    </w:sdt>
    <w:p w14:paraId="4EA3F1DA" w14:textId="187D08FA" w:rsidR="00B75BB8" w:rsidRPr="00253C2C" w:rsidRDefault="00925654" w:rsidP="009821C9">
      <w:pPr>
        <w:rPr>
          <w:b/>
          <w:bCs/>
          <w:sz w:val="32"/>
          <w:szCs w:val="32"/>
        </w:rPr>
      </w:pPr>
      <w:bookmarkStart w:id="0" w:name="_Toc203668410"/>
      <w:r w:rsidRPr="00253C2C">
        <w:rPr>
          <w:b/>
          <w:bCs/>
          <w:sz w:val="32"/>
          <w:szCs w:val="32"/>
        </w:rPr>
        <w:t>Part 1</w:t>
      </w:r>
      <w:bookmarkEnd w:id="0"/>
    </w:p>
    <w:p w14:paraId="0282109D" w14:textId="77777777" w:rsidR="00925654" w:rsidRPr="00071D0F" w:rsidRDefault="008234C3" w:rsidP="008234C3">
      <w:pPr>
        <w:pStyle w:val="Heading2"/>
      </w:pPr>
      <w:bookmarkStart w:id="1" w:name="_Toc203668411"/>
      <w:r w:rsidRPr="00071D0F">
        <w:t>Introduction</w:t>
      </w:r>
      <w:bookmarkEnd w:id="1"/>
    </w:p>
    <w:p w14:paraId="52C41766" w14:textId="77777777" w:rsidR="008234C3" w:rsidRPr="00071D0F" w:rsidRDefault="006468FA" w:rsidP="008234C3">
      <w:r w:rsidRPr="00071D0F">
        <w:t>The present report comprehensively assesses the company’s financial performance through four different avenues: profitability, liquidity, gearing, and investor ratios. Profitability measures considered consist of net profit margin, operating margin, ROCE, and asset turnover, with the primary concern being the efficiency with which sales and assets ultimately translate into earnings. Liquidity measures looked at are current ratio and a firm’s ability to meet short-term obligations without incurring distress. Gearing looks at the balance between debt and equity financing to underline solvency risk and funding risk. Investor ratios include EPS, dividend cover and yield, interest cover, ROE, and P/E, and show returns to shareholders and market views on future growth. By juxtaposing 2023 figures with 2024 numbers, we derive trends, expose root causes for the changes observed, and bring to light any exposed weaknesses. Therefore, the introduction paves the way for interpreting operating changes from one year to another, diagnosing imbalances and weaknesses stemming from operations and financials, and thereby framing the recommendations with the view to improving financial health and strategic positioning of a company.</w:t>
      </w:r>
    </w:p>
    <w:p w14:paraId="47C27F05" w14:textId="77777777" w:rsidR="008234C3" w:rsidRPr="00071D0F" w:rsidRDefault="008234C3" w:rsidP="008234C3">
      <w:pPr>
        <w:pStyle w:val="Heading2"/>
      </w:pPr>
      <w:bookmarkStart w:id="2" w:name="_Toc203668412"/>
      <w:r w:rsidRPr="00071D0F">
        <w:t>Profitability analysis</w:t>
      </w:r>
      <w:bookmarkEnd w:id="2"/>
    </w:p>
    <w:p w14:paraId="0B8FC0EE" w14:textId="77777777" w:rsidR="00FC5606" w:rsidRPr="00071D0F" w:rsidRDefault="006468FA" w:rsidP="00FC5606">
      <w:r w:rsidRPr="00071D0F">
        <w:t>Profitability ratios show how well a firm utilizes its resources or revenues into profit. They measure income generation capability, control over costs, operating effectiveness, pricing force, and a firm's ability to generate value for the shareholders for support to future growth or financing needs (Paramasivan and Subramanian, 2009).</w:t>
      </w:r>
    </w:p>
    <w:p w14:paraId="24E92355" w14:textId="77777777" w:rsidR="00FC5606" w:rsidRPr="00071D0F" w:rsidRDefault="00FC5606" w:rsidP="00FC5606">
      <w:r w:rsidRPr="00071D0F">
        <w:t>Below is the calculation of profitability ratios of Llyod Plc:</w:t>
      </w:r>
    </w:p>
    <w:tbl>
      <w:tblPr>
        <w:tblW w:w="8200" w:type="dxa"/>
        <w:tblLook w:val="04A0" w:firstRow="1" w:lastRow="0" w:firstColumn="1" w:lastColumn="0" w:noHBand="0" w:noVBand="1"/>
      </w:tblPr>
      <w:tblGrid>
        <w:gridCol w:w="3325"/>
        <w:gridCol w:w="2477"/>
        <w:gridCol w:w="2398"/>
      </w:tblGrid>
      <w:tr w:rsidR="00FC5606" w:rsidRPr="00071D0F" w14:paraId="75D50670" w14:textId="77777777" w:rsidTr="00FC5606">
        <w:trPr>
          <w:trHeight w:val="312"/>
        </w:trPr>
        <w:tc>
          <w:tcPr>
            <w:tcW w:w="8200" w:type="dxa"/>
            <w:gridSpan w:val="3"/>
            <w:tcBorders>
              <w:top w:val="nil"/>
              <w:left w:val="nil"/>
              <w:bottom w:val="nil"/>
              <w:right w:val="nil"/>
            </w:tcBorders>
            <w:shd w:val="clear" w:color="auto" w:fill="auto"/>
            <w:noWrap/>
            <w:vAlign w:val="bottom"/>
            <w:hideMark/>
          </w:tcPr>
          <w:p w14:paraId="1EFD488D"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Net Profit Margin</w:t>
            </w:r>
          </w:p>
        </w:tc>
      </w:tr>
      <w:tr w:rsidR="00FC5606" w:rsidRPr="00071D0F" w14:paraId="20EDE235" w14:textId="77777777" w:rsidTr="00FC5606">
        <w:trPr>
          <w:trHeight w:val="312"/>
        </w:trPr>
        <w:tc>
          <w:tcPr>
            <w:tcW w:w="8200" w:type="dxa"/>
            <w:gridSpan w:val="3"/>
            <w:tcBorders>
              <w:top w:val="nil"/>
              <w:left w:val="nil"/>
              <w:bottom w:val="nil"/>
              <w:right w:val="nil"/>
            </w:tcBorders>
            <w:shd w:val="clear" w:color="auto" w:fill="auto"/>
            <w:noWrap/>
            <w:vAlign w:val="bottom"/>
            <w:hideMark/>
          </w:tcPr>
          <w:p w14:paraId="0864DFE4"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Formula = Net Profit / Sales x 100</w:t>
            </w:r>
          </w:p>
        </w:tc>
      </w:tr>
      <w:tr w:rsidR="00FC5606" w:rsidRPr="00071D0F" w14:paraId="2879B9CF" w14:textId="77777777" w:rsidTr="00FC5606">
        <w:trPr>
          <w:trHeight w:val="312"/>
        </w:trPr>
        <w:tc>
          <w:tcPr>
            <w:tcW w:w="3325" w:type="dxa"/>
            <w:tcBorders>
              <w:top w:val="nil"/>
              <w:left w:val="nil"/>
              <w:bottom w:val="nil"/>
              <w:right w:val="nil"/>
            </w:tcBorders>
            <w:shd w:val="clear" w:color="auto" w:fill="auto"/>
            <w:noWrap/>
            <w:vAlign w:val="bottom"/>
            <w:hideMark/>
          </w:tcPr>
          <w:p w14:paraId="610BBD74" w14:textId="77777777" w:rsidR="00FC5606" w:rsidRPr="00071D0F" w:rsidRDefault="00FC5606" w:rsidP="00FC5606">
            <w:pPr>
              <w:spacing w:before="0" w:after="0" w:line="240" w:lineRule="auto"/>
              <w:jc w:val="left"/>
              <w:rPr>
                <w:rFonts w:eastAsia="Times New Roman"/>
                <w:color w:val="000000"/>
                <w:lang w:bidi="hi-IN"/>
              </w:rPr>
            </w:pPr>
          </w:p>
        </w:tc>
        <w:tc>
          <w:tcPr>
            <w:tcW w:w="2477" w:type="dxa"/>
            <w:tcBorders>
              <w:top w:val="nil"/>
              <w:left w:val="nil"/>
              <w:bottom w:val="nil"/>
              <w:right w:val="nil"/>
            </w:tcBorders>
            <w:shd w:val="clear" w:color="auto" w:fill="auto"/>
            <w:noWrap/>
            <w:vAlign w:val="bottom"/>
            <w:hideMark/>
          </w:tcPr>
          <w:p w14:paraId="1A6FFFCE" w14:textId="77777777" w:rsidR="00FC5606" w:rsidRPr="00071D0F" w:rsidRDefault="00FC5606" w:rsidP="00FC5606">
            <w:pPr>
              <w:spacing w:before="0" w:after="0" w:line="240" w:lineRule="auto"/>
              <w:jc w:val="left"/>
              <w:rPr>
                <w:rFonts w:eastAsia="Times New Roman"/>
                <w:sz w:val="20"/>
                <w:szCs w:val="20"/>
                <w:lang w:bidi="hi-IN"/>
              </w:rPr>
            </w:pPr>
          </w:p>
        </w:tc>
        <w:tc>
          <w:tcPr>
            <w:tcW w:w="2398" w:type="dxa"/>
            <w:tcBorders>
              <w:top w:val="nil"/>
              <w:left w:val="nil"/>
              <w:bottom w:val="nil"/>
              <w:right w:val="nil"/>
            </w:tcBorders>
            <w:shd w:val="clear" w:color="auto" w:fill="auto"/>
            <w:noWrap/>
            <w:vAlign w:val="bottom"/>
            <w:hideMark/>
          </w:tcPr>
          <w:p w14:paraId="55B5548E" w14:textId="77777777" w:rsidR="00FC5606" w:rsidRPr="00071D0F" w:rsidRDefault="00FC5606" w:rsidP="00FC5606">
            <w:pPr>
              <w:spacing w:before="0" w:after="0" w:line="240" w:lineRule="auto"/>
              <w:jc w:val="left"/>
              <w:rPr>
                <w:rFonts w:eastAsia="Times New Roman"/>
                <w:sz w:val="20"/>
                <w:szCs w:val="20"/>
                <w:lang w:bidi="hi-IN"/>
              </w:rPr>
            </w:pPr>
          </w:p>
        </w:tc>
      </w:tr>
      <w:tr w:rsidR="00FC5606" w:rsidRPr="00071D0F" w14:paraId="44380C0E" w14:textId="77777777" w:rsidTr="00FC5606">
        <w:trPr>
          <w:trHeight w:val="312"/>
        </w:trPr>
        <w:tc>
          <w:tcPr>
            <w:tcW w:w="33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D9F517"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w:t>
            </w:r>
          </w:p>
        </w:tc>
        <w:tc>
          <w:tcPr>
            <w:tcW w:w="2477" w:type="dxa"/>
            <w:tcBorders>
              <w:top w:val="single" w:sz="4" w:space="0" w:color="auto"/>
              <w:left w:val="nil"/>
              <w:bottom w:val="single" w:sz="4" w:space="0" w:color="auto"/>
              <w:right w:val="single" w:sz="4" w:space="0" w:color="auto"/>
            </w:tcBorders>
            <w:shd w:val="clear" w:color="auto" w:fill="auto"/>
            <w:noWrap/>
            <w:vAlign w:val="bottom"/>
            <w:hideMark/>
          </w:tcPr>
          <w:p w14:paraId="249C6AB8" w14:textId="77777777" w:rsidR="00FC5606" w:rsidRPr="00071D0F" w:rsidRDefault="00FC5606" w:rsidP="00FC5606">
            <w:pPr>
              <w:spacing w:before="0" w:after="0" w:line="240" w:lineRule="auto"/>
              <w:jc w:val="center"/>
              <w:rPr>
                <w:rFonts w:eastAsia="Times New Roman"/>
                <w:b/>
                <w:bCs/>
                <w:color w:val="000000"/>
                <w:lang w:bidi="hi-IN"/>
              </w:rPr>
            </w:pPr>
            <w:r w:rsidRPr="00071D0F">
              <w:rPr>
                <w:rFonts w:eastAsia="Times New Roman"/>
                <w:b/>
                <w:bCs/>
                <w:color w:val="000000"/>
                <w:lang w:bidi="hi-IN"/>
              </w:rPr>
              <w:t>2023</w:t>
            </w:r>
          </w:p>
        </w:tc>
        <w:tc>
          <w:tcPr>
            <w:tcW w:w="2398" w:type="dxa"/>
            <w:tcBorders>
              <w:top w:val="single" w:sz="4" w:space="0" w:color="auto"/>
              <w:left w:val="nil"/>
              <w:bottom w:val="single" w:sz="4" w:space="0" w:color="auto"/>
              <w:right w:val="single" w:sz="4" w:space="0" w:color="auto"/>
            </w:tcBorders>
            <w:shd w:val="clear" w:color="auto" w:fill="auto"/>
            <w:noWrap/>
            <w:vAlign w:val="bottom"/>
            <w:hideMark/>
          </w:tcPr>
          <w:p w14:paraId="1FB6D5E2" w14:textId="77777777" w:rsidR="00FC5606" w:rsidRPr="00071D0F" w:rsidRDefault="00FC5606" w:rsidP="00FC5606">
            <w:pPr>
              <w:spacing w:before="0" w:after="0" w:line="240" w:lineRule="auto"/>
              <w:jc w:val="center"/>
              <w:rPr>
                <w:rFonts w:eastAsia="Times New Roman"/>
                <w:b/>
                <w:bCs/>
                <w:color w:val="000000"/>
                <w:lang w:bidi="hi-IN"/>
              </w:rPr>
            </w:pPr>
            <w:r w:rsidRPr="00071D0F">
              <w:rPr>
                <w:rFonts w:eastAsia="Times New Roman"/>
                <w:b/>
                <w:bCs/>
                <w:color w:val="000000"/>
                <w:lang w:bidi="hi-IN"/>
              </w:rPr>
              <w:t>2024</w:t>
            </w:r>
          </w:p>
        </w:tc>
      </w:tr>
      <w:tr w:rsidR="00FC5606" w:rsidRPr="00071D0F" w14:paraId="1EB8EEFD"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35333D78"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Net Profit</w:t>
            </w:r>
          </w:p>
        </w:tc>
        <w:tc>
          <w:tcPr>
            <w:tcW w:w="2477" w:type="dxa"/>
            <w:tcBorders>
              <w:top w:val="nil"/>
              <w:left w:val="nil"/>
              <w:bottom w:val="single" w:sz="4" w:space="0" w:color="auto"/>
              <w:right w:val="single" w:sz="4" w:space="0" w:color="auto"/>
            </w:tcBorders>
            <w:shd w:val="clear" w:color="auto" w:fill="auto"/>
            <w:noWrap/>
            <w:vAlign w:val="bottom"/>
            <w:hideMark/>
          </w:tcPr>
          <w:p w14:paraId="09C9E9E8"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5,518 </w:t>
            </w:r>
          </w:p>
        </w:tc>
        <w:tc>
          <w:tcPr>
            <w:tcW w:w="2398" w:type="dxa"/>
            <w:tcBorders>
              <w:top w:val="nil"/>
              <w:left w:val="nil"/>
              <w:bottom w:val="single" w:sz="4" w:space="0" w:color="auto"/>
              <w:right w:val="single" w:sz="4" w:space="0" w:color="auto"/>
            </w:tcBorders>
            <w:shd w:val="clear" w:color="auto" w:fill="auto"/>
            <w:noWrap/>
            <w:vAlign w:val="bottom"/>
            <w:hideMark/>
          </w:tcPr>
          <w:p w14:paraId="221F1D6F"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4,477 </w:t>
            </w:r>
          </w:p>
        </w:tc>
      </w:tr>
      <w:tr w:rsidR="00FC5606" w:rsidRPr="00071D0F" w14:paraId="26BC66C4"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37B51436"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Sales</w:t>
            </w:r>
          </w:p>
        </w:tc>
        <w:tc>
          <w:tcPr>
            <w:tcW w:w="2477" w:type="dxa"/>
            <w:tcBorders>
              <w:top w:val="nil"/>
              <w:left w:val="nil"/>
              <w:bottom w:val="single" w:sz="4" w:space="0" w:color="auto"/>
              <w:right w:val="single" w:sz="4" w:space="0" w:color="auto"/>
            </w:tcBorders>
            <w:shd w:val="clear" w:color="auto" w:fill="auto"/>
            <w:noWrap/>
            <w:vAlign w:val="bottom"/>
            <w:hideMark/>
          </w:tcPr>
          <w:p w14:paraId="38D52D37"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35,405 </w:t>
            </w:r>
          </w:p>
        </w:tc>
        <w:tc>
          <w:tcPr>
            <w:tcW w:w="2398" w:type="dxa"/>
            <w:tcBorders>
              <w:top w:val="nil"/>
              <w:left w:val="nil"/>
              <w:bottom w:val="single" w:sz="4" w:space="0" w:color="auto"/>
              <w:right w:val="single" w:sz="4" w:space="0" w:color="auto"/>
            </w:tcBorders>
            <w:shd w:val="clear" w:color="auto" w:fill="auto"/>
            <w:noWrap/>
            <w:vAlign w:val="bottom"/>
            <w:hideMark/>
          </w:tcPr>
          <w:p w14:paraId="65346966"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34,281 </w:t>
            </w:r>
          </w:p>
        </w:tc>
      </w:tr>
      <w:tr w:rsidR="00FC5606" w:rsidRPr="00071D0F" w14:paraId="12F2BFAF"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24BF3895" w14:textId="77777777" w:rsidR="00FC5606" w:rsidRPr="00071D0F" w:rsidRDefault="00FC5606" w:rsidP="00FC5606">
            <w:pPr>
              <w:spacing w:before="0" w:after="0" w:line="240" w:lineRule="auto"/>
              <w:jc w:val="left"/>
              <w:rPr>
                <w:rFonts w:eastAsia="Times New Roman"/>
                <w:b/>
                <w:bCs/>
                <w:color w:val="000000"/>
                <w:lang w:bidi="hi-IN"/>
              </w:rPr>
            </w:pPr>
            <w:r w:rsidRPr="00071D0F">
              <w:rPr>
                <w:rFonts w:eastAsia="Times New Roman"/>
                <w:b/>
                <w:bCs/>
                <w:color w:val="000000"/>
                <w:lang w:bidi="hi-IN"/>
              </w:rPr>
              <w:t>Net Profit Margin</w:t>
            </w:r>
          </w:p>
        </w:tc>
        <w:tc>
          <w:tcPr>
            <w:tcW w:w="2477" w:type="dxa"/>
            <w:tcBorders>
              <w:top w:val="nil"/>
              <w:left w:val="nil"/>
              <w:bottom w:val="single" w:sz="4" w:space="0" w:color="auto"/>
              <w:right w:val="single" w:sz="4" w:space="0" w:color="auto"/>
            </w:tcBorders>
            <w:shd w:val="clear" w:color="auto" w:fill="auto"/>
            <w:noWrap/>
            <w:vAlign w:val="bottom"/>
            <w:hideMark/>
          </w:tcPr>
          <w:p w14:paraId="56EA7BA0" w14:textId="77777777" w:rsidR="00FC5606" w:rsidRPr="00071D0F" w:rsidRDefault="00FC5606" w:rsidP="00FC5606">
            <w:pPr>
              <w:spacing w:before="0" w:after="0" w:line="240" w:lineRule="auto"/>
              <w:jc w:val="right"/>
              <w:rPr>
                <w:rFonts w:eastAsia="Times New Roman"/>
                <w:b/>
                <w:bCs/>
                <w:color w:val="000000"/>
                <w:lang w:bidi="hi-IN"/>
              </w:rPr>
            </w:pPr>
            <w:r w:rsidRPr="00071D0F">
              <w:rPr>
                <w:rFonts w:eastAsia="Times New Roman"/>
                <w:b/>
                <w:bCs/>
                <w:color w:val="000000"/>
                <w:lang w:bidi="hi-IN"/>
              </w:rPr>
              <w:t>15.59%</w:t>
            </w:r>
          </w:p>
        </w:tc>
        <w:tc>
          <w:tcPr>
            <w:tcW w:w="2398" w:type="dxa"/>
            <w:tcBorders>
              <w:top w:val="nil"/>
              <w:left w:val="nil"/>
              <w:bottom w:val="single" w:sz="4" w:space="0" w:color="auto"/>
              <w:right w:val="single" w:sz="4" w:space="0" w:color="auto"/>
            </w:tcBorders>
            <w:shd w:val="clear" w:color="auto" w:fill="auto"/>
            <w:noWrap/>
            <w:vAlign w:val="bottom"/>
            <w:hideMark/>
          </w:tcPr>
          <w:p w14:paraId="7C959E9C" w14:textId="77777777" w:rsidR="00FC5606" w:rsidRPr="00071D0F" w:rsidRDefault="00FC5606" w:rsidP="00FC5606">
            <w:pPr>
              <w:spacing w:before="0" w:after="0" w:line="240" w:lineRule="auto"/>
              <w:jc w:val="right"/>
              <w:rPr>
                <w:rFonts w:eastAsia="Times New Roman"/>
                <w:b/>
                <w:bCs/>
                <w:color w:val="000000"/>
                <w:lang w:bidi="hi-IN"/>
              </w:rPr>
            </w:pPr>
            <w:r w:rsidRPr="00071D0F">
              <w:rPr>
                <w:rFonts w:eastAsia="Times New Roman"/>
                <w:b/>
                <w:bCs/>
                <w:color w:val="000000"/>
                <w:lang w:bidi="hi-IN"/>
              </w:rPr>
              <w:t>13.06%</w:t>
            </w:r>
          </w:p>
        </w:tc>
      </w:tr>
      <w:tr w:rsidR="00FC5606" w:rsidRPr="00071D0F" w14:paraId="1988585B" w14:textId="77777777" w:rsidTr="00FC5606">
        <w:trPr>
          <w:trHeight w:val="312"/>
        </w:trPr>
        <w:tc>
          <w:tcPr>
            <w:tcW w:w="3325" w:type="dxa"/>
            <w:tcBorders>
              <w:top w:val="nil"/>
              <w:left w:val="nil"/>
              <w:bottom w:val="nil"/>
              <w:right w:val="nil"/>
            </w:tcBorders>
            <w:shd w:val="clear" w:color="auto" w:fill="auto"/>
            <w:noWrap/>
            <w:vAlign w:val="bottom"/>
            <w:hideMark/>
          </w:tcPr>
          <w:p w14:paraId="05B05D8A" w14:textId="77777777" w:rsidR="00FC5606" w:rsidRPr="00071D0F" w:rsidRDefault="00FC5606" w:rsidP="00FC5606">
            <w:pPr>
              <w:spacing w:before="0" w:after="0" w:line="240" w:lineRule="auto"/>
              <w:jc w:val="right"/>
              <w:rPr>
                <w:rFonts w:eastAsia="Times New Roman"/>
                <w:b/>
                <w:bCs/>
                <w:color w:val="000000"/>
                <w:lang w:bidi="hi-IN"/>
              </w:rPr>
            </w:pPr>
          </w:p>
        </w:tc>
        <w:tc>
          <w:tcPr>
            <w:tcW w:w="2477" w:type="dxa"/>
            <w:tcBorders>
              <w:top w:val="nil"/>
              <w:left w:val="nil"/>
              <w:bottom w:val="nil"/>
              <w:right w:val="nil"/>
            </w:tcBorders>
            <w:shd w:val="clear" w:color="auto" w:fill="auto"/>
            <w:noWrap/>
            <w:vAlign w:val="bottom"/>
            <w:hideMark/>
          </w:tcPr>
          <w:p w14:paraId="5A013D1D" w14:textId="77777777" w:rsidR="00FC5606" w:rsidRPr="00071D0F" w:rsidRDefault="00FC5606" w:rsidP="00FC5606">
            <w:pPr>
              <w:spacing w:before="0" w:after="0" w:line="240" w:lineRule="auto"/>
              <w:jc w:val="left"/>
              <w:rPr>
                <w:rFonts w:eastAsia="Times New Roman"/>
                <w:sz w:val="20"/>
                <w:szCs w:val="20"/>
                <w:lang w:bidi="hi-IN"/>
              </w:rPr>
            </w:pPr>
          </w:p>
        </w:tc>
        <w:tc>
          <w:tcPr>
            <w:tcW w:w="2398" w:type="dxa"/>
            <w:tcBorders>
              <w:top w:val="nil"/>
              <w:left w:val="nil"/>
              <w:bottom w:val="nil"/>
              <w:right w:val="nil"/>
            </w:tcBorders>
            <w:shd w:val="clear" w:color="auto" w:fill="auto"/>
            <w:noWrap/>
            <w:vAlign w:val="bottom"/>
            <w:hideMark/>
          </w:tcPr>
          <w:p w14:paraId="7C927466" w14:textId="77777777" w:rsidR="00FC5606" w:rsidRPr="00071D0F" w:rsidRDefault="00FC5606" w:rsidP="00FC5606">
            <w:pPr>
              <w:spacing w:before="0" w:after="0" w:line="240" w:lineRule="auto"/>
              <w:jc w:val="left"/>
              <w:rPr>
                <w:rFonts w:eastAsia="Times New Roman"/>
                <w:sz w:val="20"/>
                <w:szCs w:val="20"/>
                <w:lang w:bidi="hi-IN"/>
              </w:rPr>
            </w:pPr>
          </w:p>
        </w:tc>
      </w:tr>
      <w:tr w:rsidR="00FC5606" w:rsidRPr="00071D0F" w14:paraId="3A1CA833" w14:textId="77777777" w:rsidTr="00FC5606">
        <w:trPr>
          <w:trHeight w:val="312"/>
        </w:trPr>
        <w:tc>
          <w:tcPr>
            <w:tcW w:w="8200" w:type="dxa"/>
            <w:gridSpan w:val="3"/>
            <w:tcBorders>
              <w:top w:val="nil"/>
              <w:left w:val="nil"/>
              <w:bottom w:val="nil"/>
              <w:right w:val="nil"/>
            </w:tcBorders>
            <w:shd w:val="clear" w:color="auto" w:fill="auto"/>
            <w:noWrap/>
            <w:vAlign w:val="bottom"/>
            <w:hideMark/>
          </w:tcPr>
          <w:p w14:paraId="1EB252BC"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Operating profit margin</w:t>
            </w:r>
          </w:p>
        </w:tc>
      </w:tr>
      <w:tr w:rsidR="00FC5606" w:rsidRPr="00071D0F" w14:paraId="1CA057A2" w14:textId="77777777" w:rsidTr="00FC5606">
        <w:trPr>
          <w:trHeight w:val="312"/>
        </w:trPr>
        <w:tc>
          <w:tcPr>
            <w:tcW w:w="8200" w:type="dxa"/>
            <w:gridSpan w:val="3"/>
            <w:tcBorders>
              <w:top w:val="nil"/>
              <w:left w:val="nil"/>
              <w:bottom w:val="nil"/>
              <w:right w:val="nil"/>
            </w:tcBorders>
            <w:shd w:val="clear" w:color="auto" w:fill="auto"/>
            <w:noWrap/>
            <w:vAlign w:val="bottom"/>
            <w:hideMark/>
          </w:tcPr>
          <w:p w14:paraId="786D8550"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Formula = Operating profit / Sales Revenue x 100</w:t>
            </w:r>
          </w:p>
        </w:tc>
      </w:tr>
      <w:tr w:rsidR="00FC5606" w:rsidRPr="00071D0F" w14:paraId="05BAB957" w14:textId="77777777" w:rsidTr="00FC5606">
        <w:trPr>
          <w:trHeight w:val="312"/>
        </w:trPr>
        <w:tc>
          <w:tcPr>
            <w:tcW w:w="3325" w:type="dxa"/>
            <w:tcBorders>
              <w:top w:val="nil"/>
              <w:left w:val="nil"/>
              <w:bottom w:val="nil"/>
              <w:right w:val="nil"/>
            </w:tcBorders>
            <w:shd w:val="clear" w:color="auto" w:fill="auto"/>
            <w:noWrap/>
            <w:vAlign w:val="bottom"/>
            <w:hideMark/>
          </w:tcPr>
          <w:p w14:paraId="4E4EA835" w14:textId="77777777" w:rsidR="00FC5606" w:rsidRPr="00071D0F" w:rsidRDefault="00FC5606" w:rsidP="00FC5606">
            <w:pPr>
              <w:spacing w:before="0" w:after="0" w:line="240" w:lineRule="auto"/>
              <w:jc w:val="left"/>
              <w:rPr>
                <w:rFonts w:eastAsia="Times New Roman"/>
                <w:color w:val="000000"/>
                <w:lang w:bidi="hi-IN"/>
              </w:rPr>
            </w:pPr>
          </w:p>
        </w:tc>
        <w:tc>
          <w:tcPr>
            <w:tcW w:w="2477" w:type="dxa"/>
            <w:tcBorders>
              <w:top w:val="nil"/>
              <w:left w:val="nil"/>
              <w:bottom w:val="nil"/>
              <w:right w:val="nil"/>
            </w:tcBorders>
            <w:shd w:val="clear" w:color="auto" w:fill="auto"/>
            <w:noWrap/>
            <w:vAlign w:val="bottom"/>
            <w:hideMark/>
          </w:tcPr>
          <w:p w14:paraId="3A97E899" w14:textId="77777777" w:rsidR="00FC5606" w:rsidRPr="00071D0F" w:rsidRDefault="00FC5606" w:rsidP="00FC5606">
            <w:pPr>
              <w:spacing w:before="0" w:after="0" w:line="240" w:lineRule="auto"/>
              <w:jc w:val="left"/>
              <w:rPr>
                <w:rFonts w:eastAsia="Times New Roman"/>
                <w:sz w:val="20"/>
                <w:szCs w:val="20"/>
                <w:lang w:bidi="hi-IN"/>
              </w:rPr>
            </w:pPr>
          </w:p>
        </w:tc>
        <w:tc>
          <w:tcPr>
            <w:tcW w:w="2398" w:type="dxa"/>
            <w:tcBorders>
              <w:top w:val="nil"/>
              <w:left w:val="nil"/>
              <w:bottom w:val="nil"/>
              <w:right w:val="nil"/>
            </w:tcBorders>
            <w:shd w:val="clear" w:color="auto" w:fill="auto"/>
            <w:noWrap/>
            <w:vAlign w:val="bottom"/>
            <w:hideMark/>
          </w:tcPr>
          <w:p w14:paraId="70C30C45" w14:textId="77777777" w:rsidR="00FC5606" w:rsidRPr="00071D0F" w:rsidRDefault="00FC5606" w:rsidP="00FC5606">
            <w:pPr>
              <w:spacing w:before="0" w:after="0" w:line="240" w:lineRule="auto"/>
              <w:jc w:val="left"/>
              <w:rPr>
                <w:rFonts w:eastAsia="Times New Roman"/>
                <w:sz w:val="20"/>
                <w:szCs w:val="20"/>
                <w:lang w:bidi="hi-IN"/>
              </w:rPr>
            </w:pPr>
          </w:p>
        </w:tc>
      </w:tr>
      <w:tr w:rsidR="00FC5606" w:rsidRPr="00071D0F" w14:paraId="07E591EC" w14:textId="77777777" w:rsidTr="00FC5606">
        <w:trPr>
          <w:trHeight w:val="312"/>
        </w:trPr>
        <w:tc>
          <w:tcPr>
            <w:tcW w:w="33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650543"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w:t>
            </w:r>
          </w:p>
        </w:tc>
        <w:tc>
          <w:tcPr>
            <w:tcW w:w="2477" w:type="dxa"/>
            <w:tcBorders>
              <w:top w:val="single" w:sz="4" w:space="0" w:color="auto"/>
              <w:left w:val="nil"/>
              <w:bottom w:val="single" w:sz="4" w:space="0" w:color="auto"/>
              <w:right w:val="single" w:sz="4" w:space="0" w:color="auto"/>
            </w:tcBorders>
            <w:shd w:val="clear" w:color="auto" w:fill="auto"/>
            <w:noWrap/>
            <w:vAlign w:val="bottom"/>
            <w:hideMark/>
          </w:tcPr>
          <w:p w14:paraId="2987C032" w14:textId="77777777" w:rsidR="00FC5606" w:rsidRPr="00071D0F" w:rsidRDefault="00FC5606" w:rsidP="00FC5606">
            <w:pPr>
              <w:spacing w:before="0" w:after="0" w:line="240" w:lineRule="auto"/>
              <w:jc w:val="center"/>
              <w:rPr>
                <w:rFonts w:eastAsia="Times New Roman"/>
                <w:b/>
                <w:bCs/>
                <w:color w:val="000000"/>
                <w:lang w:bidi="hi-IN"/>
              </w:rPr>
            </w:pPr>
            <w:r w:rsidRPr="00071D0F">
              <w:rPr>
                <w:rFonts w:eastAsia="Times New Roman"/>
                <w:b/>
                <w:bCs/>
                <w:color w:val="000000"/>
                <w:lang w:bidi="hi-IN"/>
              </w:rPr>
              <w:t>2023</w:t>
            </w:r>
          </w:p>
        </w:tc>
        <w:tc>
          <w:tcPr>
            <w:tcW w:w="2398" w:type="dxa"/>
            <w:tcBorders>
              <w:top w:val="single" w:sz="4" w:space="0" w:color="auto"/>
              <w:left w:val="nil"/>
              <w:bottom w:val="single" w:sz="4" w:space="0" w:color="auto"/>
              <w:right w:val="single" w:sz="4" w:space="0" w:color="auto"/>
            </w:tcBorders>
            <w:shd w:val="clear" w:color="auto" w:fill="auto"/>
            <w:noWrap/>
            <w:vAlign w:val="bottom"/>
            <w:hideMark/>
          </w:tcPr>
          <w:p w14:paraId="57E5045F" w14:textId="77777777" w:rsidR="00FC5606" w:rsidRPr="00071D0F" w:rsidRDefault="00FC5606" w:rsidP="00FC5606">
            <w:pPr>
              <w:spacing w:before="0" w:after="0" w:line="240" w:lineRule="auto"/>
              <w:jc w:val="center"/>
              <w:rPr>
                <w:rFonts w:eastAsia="Times New Roman"/>
                <w:b/>
                <w:bCs/>
                <w:color w:val="000000"/>
                <w:lang w:bidi="hi-IN"/>
              </w:rPr>
            </w:pPr>
            <w:r w:rsidRPr="00071D0F">
              <w:rPr>
                <w:rFonts w:eastAsia="Times New Roman"/>
                <w:b/>
                <w:bCs/>
                <w:color w:val="000000"/>
                <w:lang w:bidi="hi-IN"/>
              </w:rPr>
              <w:t>2024</w:t>
            </w:r>
          </w:p>
        </w:tc>
      </w:tr>
      <w:tr w:rsidR="00FC5606" w:rsidRPr="00071D0F" w14:paraId="73197084"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0D1BC34F"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Operating profit</w:t>
            </w:r>
          </w:p>
        </w:tc>
        <w:tc>
          <w:tcPr>
            <w:tcW w:w="2477" w:type="dxa"/>
            <w:tcBorders>
              <w:top w:val="nil"/>
              <w:left w:val="nil"/>
              <w:bottom w:val="single" w:sz="4" w:space="0" w:color="auto"/>
              <w:right w:val="single" w:sz="4" w:space="0" w:color="auto"/>
            </w:tcBorders>
            <w:shd w:val="clear" w:color="auto" w:fill="auto"/>
            <w:noWrap/>
            <w:vAlign w:val="bottom"/>
            <w:hideMark/>
          </w:tcPr>
          <w:p w14:paraId="7D20667E"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24,279 </w:t>
            </w:r>
          </w:p>
        </w:tc>
        <w:tc>
          <w:tcPr>
            <w:tcW w:w="2398" w:type="dxa"/>
            <w:tcBorders>
              <w:top w:val="nil"/>
              <w:left w:val="nil"/>
              <w:bottom w:val="single" w:sz="4" w:space="0" w:color="auto"/>
              <w:right w:val="single" w:sz="4" w:space="0" w:color="auto"/>
            </w:tcBorders>
            <w:shd w:val="clear" w:color="auto" w:fill="auto"/>
            <w:noWrap/>
            <w:vAlign w:val="bottom"/>
            <w:hideMark/>
          </w:tcPr>
          <w:p w14:paraId="5F08E3D6"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22,249 </w:t>
            </w:r>
          </w:p>
        </w:tc>
      </w:tr>
      <w:tr w:rsidR="00FC5606" w:rsidRPr="00071D0F" w14:paraId="34B437FA"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31FE67BF"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Sales Revenue</w:t>
            </w:r>
          </w:p>
        </w:tc>
        <w:tc>
          <w:tcPr>
            <w:tcW w:w="2477" w:type="dxa"/>
            <w:tcBorders>
              <w:top w:val="nil"/>
              <w:left w:val="nil"/>
              <w:bottom w:val="single" w:sz="4" w:space="0" w:color="auto"/>
              <w:right w:val="single" w:sz="4" w:space="0" w:color="auto"/>
            </w:tcBorders>
            <w:shd w:val="clear" w:color="auto" w:fill="auto"/>
            <w:noWrap/>
            <w:vAlign w:val="bottom"/>
            <w:hideMark/>
          </w:tcPr>
          <w:p w14:paraId="07DEE487"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35,405 </w:t>
            </w:r>
          </w:p>
        </w:tc>
        <w:tc>
          <w:tcPr>
            <w:tcW w:w="2398" w:type="dxa"/>
            <w:tcBorders>
              <w:top w:val="nil"/>
              <w:left w:val="nil"/>
              <w:bottom w:val="single" w:sz="4" w:space="0" w:color="auto"/>
              <w:right w:val="single" w:sz="4" w:space="0" w:color="auto"/>
            </w:tcBorders>
            <w:shd w:val="clear" w:color="auto" w:fill="auto"/>
            <w:noWrap/>
            <w:vAlign w:val="bottom"/>
            <w:hideMark/>
          </w:tcPr>
          <w:p w14:paraId="0CF1D63A"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34,281 </w:t>
            </w:r>
          </w:p>
        </w:tc>
      </w:tr>
      <w:tr w:rsidR="00FC5606" w:rsidRPr="00071D0F" w14:paraId="407B7DFE"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00D4418C" w14:textId="77777777" w:rsidR="00FC5606" w:rsidRPr="00071D0F" w:rsidRDefault="00FC5606" w:rsidP="00FC5606">
            <w:pPr>
              <w:spacing w:before="0" w:after="0" w:line="240" w:lineRule="auto"/>
              <w:jc w:val="left"/>
              <w:rPr>
                <w:rFonts w:eastAsia="Times New Roman"/>
                <w:b/>
                <w:bCs/>
                <w:color w:val="000000"/>
                <w:lang w:bidi="hi-IN"/>
              </w:rPr>
            </w:pPr>
            <w:r w:rsidRPr="00071D0F">
              <w:rPr>
                <w:rFonts w:eastAsia="Times New Roman"/>
                <w:b/>
                <w:bCs/>
                <w:color w:val="000000"/>
                <w:lang w:bidi="hi-IN"/>
              </w:rPr>
              <w:t>Operating profit margin</w:t>
            </w:r>
          </w:p>
        </w:tc>
        <w:tc>
          <w:tcPr>
            <w:tcW w:w="2477" w:type="dxa"/>
            <w:tcBorders>
              <w:top w:val="nil"/>
              <w:left w:val="nil"/>
              <w:bottom w:val="single" w:sz="4" w:space="0" w:color="auto"/>
              <w:right w:val="single" w:sz="4" w:space="0" w:color="auto"/>
            </w:tcBorders>
            <w:shd w:val="clear" w:color="auto" w:fill="auto"/>
            <w:noWrap/>
            <w:vAlign w:val="bottom"/>
            <w:hideMark/>
          </w:tcPr>
          <w:p w14:paraId="69E35586" w14:textId="77777777" w:rsidR="00FC5606" w:rsidRPr="00071D0F" w:rsidRDefault="00FC5606" w:rsidP="00FC5606">
            <w:pPr>
              <w:spacing w:before="0" w:after="0" w:line="240" w:lineRule="auto"/>
              <w:jc w:val="right"/>
              <w:rPr>
                <w:rFonts w:eastAsia="Times New Roman"/>
                <w:b/>
                <w:bCs/>
                <w:color w:val="000000"/>
                <w:lang w:bidi="hi-IN"/>
              </w:rPr>
            </w:pPr>
            <w:r w:rsidRPr="00071D0F">
              <w:rPr>
                <w:rFonts w:eastAsia="Times New Roman"/>
                <w:b/>
                <w:bCs/>
                <w:color w:val="000000"/>
                <w:lang w:bidi="hi-IN"/>
              </w:rPr>
              <w:t>68.58%</w:t>
            </w:r>
          </w:p>
        </w:tc>
        <w:tc>
          <w:tcPr>
            <w:tcW w:w="2398" w:type="dxa"/>
            <w:tcBorders>
              <w:top w:val="nil"/>
              <w:left w:val="nil"/>
              <w:bottom w:val="single" w:sz="4" w:space="0" w:color="auto"/>
              <w:right w:val="single" w:sz="4" w:space="0" w:color="auto"/>
            </w:tcBorders>
            <w:shd w:val="clear" w:color="auto" w:fill="auto"/>
            <w:noWrap/>
            <w:vAlign w:val="bottom"/>
            <w:hideMark/>
          </w:tcPr>
          <w:p w14:paraId="5154E253" w14:textId="77777777" w:rsidR="00FC5606" w:rsidRPr="00071D0F" w:rsidRDefault="00FC5606" w:rsidP="00FC5606">
            <w:pPr>
              <w:spacing w:before="0" w:after="0" w:line="240" w:lineRule="auto"/>
              <w:jc w:val="right"/>
              <w:rPr>
                <w:rFonts w:eastAsia="Times New Roman"/>
                <w:b/>
                <w:bCs/>
                <w:color w:val="000000"/>
                <w:lang w:bidi="hi-IN"/>
              </w:rPr>
            </w:pPr>
            <w:r w:rsidRPr="00071D0F">
              <w:rPr>
                <w:rFonts w:eastAsia="Times New Roman"/>
                <w:b/>
                <w:bCs/>
                <w:color w:val="000000"/>
                <w:lang w:bidi="hi-IN"/>
              </w:rPr>
              <w:t>64.90%</w:t>
            </w:r>
          </w:p>
        </w:tc>
      </w:tr>
      <w:tr w:rsidR="00FC5606" w:rsidRPr="00071D0F" w14:paraId="3510101C" w14:textId="77777777" w:rsidTr="00FC5606">
        <w:trPr>
          <w:trHeight w:val="312"/>
        </w:trPr>
        <w:tc>
          <w:tcPr>
            <w:tcW w:w="3325" w:type="dxa"/>
            <w:tcBorders>
              <w:top w:val="nil"/>
              <w:left w:val="nil"/>
              <w:bottom w:val="nil"/>
              <w:right w:val="nil"/>
            </w:tcBorders>
            <w:shd w:val="clear" w:color="auto" w:fill="auto"/>
            <w:noWrap/>
            <w:vAlign w:val="bottom"/>
            <w:hideMark/>
          </w:tcPr>
          <w:p w14:paraId="5C9D4C11" w14:textId="77777777" w:rsidR="00FC5606" w:rsidRPr="00071D0F" w:rsidRDefault="00FC5606" w:rsidP="00FC5606">
            <w:pPr>
              <w:spacing w:before="0" w:after="0" w:line="240" w:lineRule="auto"/>
              <w:jc w:val="right"/>
              <w:rPr>
                <w:rFonts w:eastAsia="Times New Roman"/>
                <w:b/>
                <w:bCs/>
                <w:color w:val="000000"/>
                <w:lang w:bidi="hi-IN"/>
              </w:rPr>
            </w:pPr>
          </w:p>
        </w:tc>
        <w:tc>
          <w:tcPr>
            <w:tcW w:w="2477" w:type="dxa"/>
            <w:tcBorders>
              <w:top w:val="nil"/>
              <w:left w:val="nil"/>
              <w:bottom w:val="nil"/>
              <w:right w:val="nil"/>
            </w:tcBorders>
            <w:shd w:val="clear" w:color="auto" w:fill="auto"/>
            <w:noWrap/>
            <w:vAlign w:val="bottom"/>
            <w:hideMark/>
          </w:tcPr>
          <w:p w14:paraId="197C1D5E" w14:textId="77777777" w:rsidR="00FC5606" w:rsidRPr="00071D0F" w:rsidRDefault="00FC5606" w:rsidP="00FC5606">
            <w:pPr>
              <w:spacing w:before="0" w:after="0" w:line="240" w:lineRule="auto"/>
              <w:jc w:val="left"/>
              <w:rPr>
                <w:rFonts w:eastAsia="Times New Roman"/>
                <w:sz w:val="20"/>
                <w:szCs w:val="20"/>
                <w:lang w:bidi="hi-IN"/>
              </w:rPr>
            </w:pPr>
          </w:p>
        </w:tc>
        <w:tc>
          <w:tcPr>
            <w:tcW w:w="2398" w:type="dxa"/>
            <w:tcBorders>
              <w:top w:val="nil"/>
              <w:left w:val="nil"/>
              <w:bottom w:val="nil"/>
              <w:right w:val="nil"/>
            </w:tcBorders>
            <w:shd w:val="clear" w:color="auto" w:fill="auto"/>
            <w:noWrap/>
            <w:vAlign w:val="bottom"/>
            <w:hideMark/>
          </w:tcPr>
          <w:p w14:paraId="497F55EC" w14:textId="77777777" w:rsidR="00FC5606" w:rsidRPr="00071D0F" w:rsidRDefault="00FC5606" w:rsidP="00FC5606">
            <w:pPr>
              <w:spacing w:before="0" w:after="0" w:line="240" w:lineRule="auto"/>
              <w:jc w:val="left"/>
              <w:rPr>
                <w:rFonts w:eastAsia="Times New Roman"/>
                <w:sz w:val="20"/>
                <w:szCs w:val="20"/>
                <w:lang w:bidi="hi-IN"/>
              </w:rPr>
            </w:pPr>
          </w:p>
        </w:tc>
      </w:tr>
      <w:tr w:rsidR="00FC5606" w:rsidRPr="00071D0F" w14:paraId="6934A1A5" w14:textId="77777777" w:rsidTr="00FC5606">
        <w:trPr>
          <w:trHeight w:val="312"/>
        </w:trPr>
        <w:tc>
          <w:tcPr>
            <w:tcW w:w="8200" w:type="dxa"/>
            <w:gridSpan w:val="3"/>
            <w:tcBorders>
              <w:top w:val="nil"/>
              <w:left w:val="nil"/>
              <w:bottom w:val="nil"/>
              <w:right w:val="nil"/>
            </w:tcBorders>
            <w:shd w:val="clear" w:color="auto" w:fill="auto"/>
            <w:noWrap/>
            <w:vAlign w:val="bottom"/>
            <w:hideMark/>
          </w:tcPr>
          <w:p w14:paraId="4446BFB0"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Return on capital employed (ROCE)</w:t>
            </w:r>
          </w:p>
        </w:tc>
      </w:tr>
      <w:tr w:rsidR="00FC5606" w:rsidRPr="00071D0F" w14:paraId="233C7304" w14:textId="77777777" w:rsidTr="00FC5606">
        <w:trPr>
          <w:trHeight w:val="312"/>
        </w:trPr>
        <w:tc>
          <w:tcPr>
            <w:tcW w:w="8200" w:type="dxa"/>
            <w:gridSpan w:val="3"/>
            <w:tcBorders>
              <w:top w:val="nil"/>
              <w:left w:val="nil"/>
              <w:bottom w:val="nil"/>
              <w:right w:val="nil"/>
            </w:tcBorders>
            <w:shd w:val="clear" w:color="auto" w:fill="auto"/>
            <w:noWrap/>
            <w:vAlign w:val="bottom"/>
            <w:hideMark/>
          </w:tcPr>
          <w:p w14:paraId="232A2790"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Formula = Operating profit / (Total Assets - Current Liabilities) x 100</w:t>
            </w:r>
          </w:p>
        </w:tc>
      </w:tr>
      <w:tr w:rsidR="00FC5606" w:rsidRPr="00071D0F" w14:paraId="78FFD1B8" w14:textId="77777777" w:rsidTr="00FC5606">
        <w:trPr>
          <w:trHeight w:val="312"/>
        </w:trPr>
        <w:tc>
          <w:tcPr>
            <w:tcW w:w="3325" w:type="dxa"/>
            <w:tcBorders>
              <w:top w:val="nil"/>
              <w:left w:val="nil"/>
              <w:bottom w:val="nil"/>
              <w:right w:val="nil"/>
            </w:tcBorders>
            <w:shd w:val="clear" w:color="auto" w:fill="auto"/>
            <w:noWrap/>
            <w:vAlign w:val="bottom"/>
            <w:hideMark/>
          </w:tcPr>
          <w:p w14:paraId="611520AA" w14:textId="77777777" w:rsidR="00FC5606" w:rsidRPr="00071D0F" w:rsidRDefault="00FC5606" w:rsidP="00FC5606">
            <w:pPr>
              <w:spacing w:before="0" w:after="0" w:line="240" w:lineRule="auto"/>
              <w:jc w:val="left"/>
              <w:rPr>
                <w:rFonts w:eastAsia="Times New Roman"/>
                <w:color w:val="000000"/>
                <w:lang w:bidi="hi-IN"/>
              </w:rPr>
            </w:pPr>
          </w:p>
        </w:tc>
        <w:tc>
          <w:tcPr>
            <w:tcW w:w="2477" w:type="dxa"/>
            <w:tcBorders>
              <w:top w:val="nil"/>
              <w:left w:val="nil"/>
              <w:bottom w:val="nil"/>
              <w:right w:val="nil"/>
            </w:tcBorders>
            <w:shd w:val="clear" w:color="auto" w:fill="auto"/>
            <w:noWrap/>
            <w:vAlign w:val="bottom"/>
            <w:hideMark/>
          </w:tcPr>
          <w:p w14:paraId="02930D27" w14:textId="77777777" w:rsidR="00FC5606" w:rsidRPr="00071D0F" w:rsidRDefault="00FC5606" w:rsidP="00FC5606">
            <w:pPr>
              <w:spacing w:before="0" w:after="0" w:line="240" w:lineRule="auto"/>
              <w:jc w:val="left"/>
              <w:rPr>
                <w:rFonts w:eastAsia="Times New Roman"/>
                <w:sz w:val="20"/>
                <w:szCs w:val="20"/>
                <w:lang w:bidi="hi-IN"/>
              </w:rPr>
            </w:pPr>
          </w:p>
        </w:tc>
        <w:tc>
          <w:tcPr>
            <w:tcW w:w="2398" w:type="dxa"/>
            <w:tcBorders>
              <w:top w:val="nil"/>
              <w:left w:val="nil"/>
              <w:bottom w:val="nil"/>
              <w:right w:val="nil"/>
            </w:tcBorders>
            <w:shd w:val="clear" w:color="auto" w:fill="auto"/>
            <w:noWrap/>
            <w:vAlign w:val="bottom"/>
            <w:hideMark/>
          </w:tcPr>
          <w:p w14:paraId="5E6C3A27" w14:textId="77777777" w:rsidR="00FC5606" w:rsidRPr="00071D0F" w:rsidRDefault="00FC5606" w:rsidP="00FC5606">
            <w:pPr>
              <w:spacing w:before="0" w:after="0" w:line="240" w:lineRule="auto"/>
              <w:jc w:val="left"/>
              <w:rPr>
                <w:rFonts w:eastAsia="Times New Roman"/>
                <w:sz w:val="20"/>
                <w:szCs w:val="20"/>
                <w:lang w:bidi="hi-IN"/>
              </w:rPr>
            </w:pPr>
          </w:p>
        </w:tc>
      </w:tr>
      <w:tr w:rsidR="00FC5606" w:rsidRPr="00071D0F" w14:paraId="33BE451B" w14:textId="77777777" w:rsidTr="00FC5606">
        <w:trPr>
          <w:trHeight w:val="312"/>
        </w:trPr>
        <w:tc>
          <w:tcPr>
            <w:tcW w:w="33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1D71BD"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w:t>
            </w:r>
          </w:p>
        </w:tc>
        <w:tc>
          <w:tcPr>
            <w:tcW w:w="2477" w:type="dxa"/>
            <w:tcBorders>
              <w:top w:val="single" w:sz="4" w:space="0" w:color="auto"/>
              <w:left w:val="nil"/>
              <w:bottom w:val="single" w:sz="4" w:space="0" w:color="auto"/>
              <w:right w:val="single" w:sz="4" w:space="0" w:color="auto"/>
            </w:tcBorders>
            <w:shd w:val="clear" w:color="auto" w:fill="auto"/>
            <w:noWrap/>
            <w:vAlign w:val="bottom"/>
            <w:hideMark/>
          </w:tcPr>
          <w:p w14:paraId="49A116BB" w14:textId="77777777" w:rsidR="00FC5606" w:rsidRPr="00071D0F" w:rsidRDefault="00FC5606" w:rsidP="00FC5606">
            <w:pPr>
              <w:spacing w:before="0" w:after="0" w:line="240" w:lineRule="auto"/>
              <w:jc w:val="center"/>
              <w:rPr>
                <w:rFonts w:eastAsia="Times New Roman"/>
                <w:b/>
                <w:bCs/>
                <w:color w:val="000000"/>
                <w:lang w:bidi="hi-IN"/>
              </w:rPr>
            </w:pPr>
            <w:r w:rsidRPr="00071D0F">
              <w:rPr>
                <w:rFonts w:eastAsia="Times New Roman"/>
                <w:b/>
                <w:bCs/>
                <w:color w:val="000000"/>
                <w:lang w:bidi="hi-IN"/>
              </w:rPr>
              <w:t>2023</w:t>
            </w:r>
          </w:p>
        </w:tc>
        <w:tc>
          <w:tcPr>
            <w:tcW w:w="2398" w:type="dxa"/>
            <w:tcBorders>
              <w:top w:val="single" w:sz="4" w:space="0" w:color="auto"/>
              <w:left w:val="nil"/>
              <w:bottom w:val="single" w:sz="4" w:space="0" w:color="auto"/>
              <w:right w:val="single" w:sz="4" w:space="0" w:color="auto"/>
            </w:tcBorders>
            <w:shd w:val="clear" w:color="auto" w:fill="auto"/>
            <w:noWrap/>
            <w:vAlign w:val="bottom"/>
            <w:hideMark/>
          </w:tcPr>
          <w:p w14:paraId="43F1F12E" w14:textId="77777777" w:rsidR="00FC5606" w:rsidRPr="00071D0F" w:rsidRDefault="00FC5606" w:rsidP="00FC5606">
            <w:pPr>
              <w:spacing w:before="0" w:after="0" w:line="240" w:lineRule="auto"/>
              <w:jc w:val="center"/>
              <w:rPr>
                <w:rFonts w:eastAsia="Times New Roman"/>
                <w:b/>
                <w:bCs/>
                <w:color w:val="000000"/>
                <w:lang w:bidi="hi-IN"/>
              </w:rPr>
            </w:pPr>
            <w:r w:rsidRPr="00071D0F">
              <w:rPr>
                <w:rFonts w:eastAsia="Times New Roman"/>
                <w:b/>
                <w:bCs/>
                <w:color w:val="000000"/>
                <w:lang w:bidi="hi-IN"/>
              </w:rPr>
              <w:t>2024</w:t>
            </w:r>
          </w:p>
        </w:tc>
      </w:tr>
      <w:tr w:rsidR="00FC5606" w:rsidRPr="00071D0F" w14:paraId="252D5E14"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256DFD05"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Operating profit</w:t>
            </w:r>
          </w:p>
        </w:tc>
        <w:tc>
          <w:tcPr>
            <w:tcW w:w="2477" w:type="dxa"/>
            <w:tcBorders>
              <w:top w:val="nil"/>
              <w:left w:val="nil"/>
              <w:bottom w:val="single" w:sz="4" w:space="0" w:color="auto"/>
              <w:right w:val="single" w:sz="4" w:space="0" w:color="auto"/>
            </w:tcBorders>
            <w:shd w:val="clear" w:color="auto" w:fill="auto"/>
            <w:noWrap/>
            <w:vAlign w:val="bottom"/>
            <w:hideMark/>
          </w:tcPr>
          <w:p w14:paraId="079064FD"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24,279 </w:t>
            </w:r>
          </w:p>
        </w:tc>
        <w:tc>
          <w:tcPr>
            <w:tcW w:w="2398" w:type="dxa"/>
            <w:tcBorders>
              <w:top w:val="nil"/>
              <w:left w:val="nil"/>
              <w:bottom w:val="single" w:sz="4" w:space="0" w:color="auto"/>
              <w:right w:val="single" w:sz="4" w:space="0" w:color="auto"/>
            </w:tcBorders>
            <w:shd w:val="clear" w:color="auto" w:fill="auto"/>
            <w:noWrap/>
            <w:vAlign w:val="bottom"/>
            <w:hideMark/>
          </w:tcPr>
          <w:p w14:paraId="497EEBEA"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22,249 </w:t>
            </w:r>
          </w:p>
        </w:tc>
      </w:tr>
      <w:tr w:rsidR="00FC5606" w:rsidRPr="00071D0F" w14:paraId="30470D7D"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587EF896"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Total Assets</w:t>
            </w:r>
          </w:p>
        </w:tc>
        <w:tc>
          <w:tcPr>
            <w:tcW w:w="2477" w:type="dxa"/>
            <w:tcBorders>
              <w:top w:val="nil"/>
              <w:left w:val="nil"/>
              <w:bottom w:val="single" w:sz="4" w:space="0" w:color="auto"/>
              <w:right w:val="single" w:sz="4" w:space="0" w:color="auto"/>
            </w:tcBorders>
            <w:shd w:val="clear" w:color="auto" w:fill="auto"/>
            <w:noWrap/>
            <w:vAlign w:val="bottom"/>
            <w:hideMark/>
          </w:tcPr>
          <w:p w14:paraId="1A136BBC"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881,453 </w:t>
            </w:r>
          </w:p>
        </w:tc>
        <w:tc>
          <w:tcPr>
            <w:tcW w:w="2398" w:type="dxa"/>
            <w:tcBorders>
              <w:top w:val="nil"/>
              <w:left w:val="nil"/>
              <w:bottom w:val="single" w:sz="4" w:space="0" w:color="auto"/>
              <w:right w:val="single" w:sz="4" w:space="0" w:color="auto"/>
            </w:tcBorders>
            <w:shd w:val="clear" w:color="auto" w:fill="auto"/>
            <w:noWrap/>
            <w:vAlign w:val="bottom"/>
            <w:hideMark/>
          </w:tcPr>
          <w:p w14:paraId="7618CB95"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906,697 </w:t>
            </w:r>
          </w:p>
        </w:tc>
      </w:tr>
      <w:tr w:rsidR="00FC5606" w:rsidRPr="00071D0F" w14:paraId="2E8CFB84"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30DD3FB7"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Current Liabilities</w:t>
            </w:r>
          </w:p>
        </w:tc>
        <w:tc>
          <w:tcPr>
            <w:tcW w:w="2477" w:type="dxa"/>
            <w:tcBorders>
              <w:top w:val="nil"/>
              <w:left w:val="nil"/>
              <w:bottom w:val="single" w:sz="4" w:space="0" w:color="auto"/>
              <w:right w:val="single" w:sz="4" w:space="0" w:color="auto"/>
            </w:tcBorders>
            <w:shd w:val="clear" w:color="auto" w:fill="auto"/>
            <w:noWrap/>
            <w:vAlign w:val="bottom"/>
            <w:hideMark/>
          </w:tcPr>
          <w:p w14:paraId="32E21803"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39 </w:t>
            </w:r>
          </w:p>
        </w:tc>
        <w:tc>
          <w:tcPr>
            <w:tcW w:w="2398" w:type="dxa"/>
            <w:tcBorders>
              <w:top w:val="nil"/>
              <w:left w:val="nil"/>
              <w:bottom w:val="single" w:sz="4" w:space="0" w:color="auto"/>
              <w:right w:val="single" w:sz="4" w:space="0" w:color="auto"/>
            </w:tcBorders>
            <w:shd w:val="clear" w:color="auto" w:fill="auto"/>
            <w:noWrap/>
            <w:vAlign w:val="bottom"/>
            <w:hideMark/>
          </w:tcPr>
          <w:p w14:paraId="26BFFE56"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45 </w:t>
            </w:r>
          </w:p>
        </w:tc>
      </w:tr>
      <w:tr w:rsidR="00FC5606" w:rsidRPr="00071D0F" w14:paraId="255C4D93"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7199BB5C" w14:textId="77777777" w:rsidR="00FC5606" w:rsidRPr="00071D0F" w:rsidRDefault="00FC5606" w:rsidP="00FC5606">
            <w:pPr>
              <w:spacing w:before="0" w:after="0" w:line="240" w:lineRule="auto"/>
              <w:jc w:val="left"/>
              <w:rPr>
                <w:rFonts w:eastAsia="Times New Roman"/>
                <w:b/>
                <w:bCs/>
                <w:color w:val="000000"/>
                <w:lang w:bidi="hi-IN"/>
              </w:rPr>
            </w:pPr>
            <w:r w:rsidRPr="00071D0F">
              <w:rPr>
                <w:rFonts w:eastAsia="Times New Roman"/>
                <w:b/>
                <w:bCs/>
                <w:color w:val="000000"/>
                <w:lang w:bidi="hi-IN"/>
              </w:rPr>
              <w:t>ROCE</w:t>
            </w:r>
          </w:p>
        </w:tc>
        <w:tc>
          <w:tcPr>
            <w:tcW w:w="2477" w:type="dxa"/>
            <w:tcBorders>
              <w:top w:val="nil"/>
              <w:left w:val="nil"/>
              <w:bottom w:val="single" w:sz="4" w:space="0" w:color="auto"/>
              <w:right w:val="single" w:sz="4" w:space="0" w:color="auto"/>
            </w:tcBorders>
            <w:shd w:val="clear" w:color="auto" w:fill="auto"/>
            <w:noWrap/>
            <w:vAlign w:val="bottom"/>
            <w:hideMark/>
          </w:tcPr>
          <w:p w14:paraId="31B5B268" w14:textId="77777777" w:rsidR="00FC5606" w:rsidRPr="00071D0F" w:rsidRDefault="00FC5606" w:rsidP="00FC5606">
            <w:pPr>
              <w:spacing w:before="0" w:after="0" w:line="240" w:lineRule="auto"/>
              <w:jc w:val="right"/>
              <w:rPr>
                <w:rFonts w:eastAsia="Times New Roman"/>
                <w:b/>
                <w:bCs/>
                <w:color w:val="000000"/>
                <w:lang w:bidi="hi-IN"/>
              </w:rPr>
            </w:pPr>
            <w:r w:rsidRPr="00071D0F">
              <w:rPr>
                <w:rFonts w:eastAsia="Times New Roman"/>
                <w:b/>
                <w:bCs/>
                <w:color w:val="000000"/>
                <w:lang w:bidi="hi-IN"/>
              </w:rPr>
              <w:t>2.75%</w:t>
            </w:r>
          </w:p>
        </w:tc>
        <w:tc>
          <w:tcPr>
            <w:tcW w:w="2398" w:type="dxa"/>
            <w:tcBorders>
              <w:top w:val="nil"/>
              <w:left w:val="nil"/>
              <w:bottom w:val="single" w:sz="4" w:space="0" w:color="auto"/>
              <w:right w:val="single" w:sz="4" w:space="0" w:color="auto"/>
            </w:tcBorders>
            <w:shd w:val="clear" w:color="auto" w:fill="auto"/>
            <w:noWrap/>
            <w:vAlign w:val="bottom"/>
            <w:hideMark/>
          </w:tcPr>
          <w:p w14:paraId="228A0E88" w14:textId="77777777" w:rsidR="00FC5606" w:rsidRPr="00071D0F" w:rsidRDefault="00FC5606" w:rsidP="00FC5606">
            <w:pPr>
              <w:spacing w:before="0" w:after="0" w:line="240" w:lineRule="auto"/>
              <w:jc w:val="right"/>
              <w:rPr>
                <w:rFonts w:eastAsia="Times New Roman"/>
                <w:b/>
                <w:bCs/>
                <w:color w:val="000000"/>
                <w:lang w:bidi="hi-IN"/>
              </w:rPr>
            </w:pPr>
            <w:r w:rsidRPr="00071D0F">
              <w:rPr>
                <w:rFonts w:eastAsia="Times New Roman"/>
                <w:b/>
                <w:bCs/>
                <w:color w:val="000000"/>
                <w:lang w:bidi="hi-IN"/>
              </w:rPr>
              <w:t>2.45%</w:t>
            </w:r>
          </w:p>
        </w:tc>
      </w:tr>
      <w:tr w:rsidR="00FC5606" w:rsidRPr="00071D0F" w14:paraId="2FF9C30D" w14:textId="77777777" w:rsidTr="00FC5606">
        <w:trPr>
          <w:trHeight w:val="312"/>
        </w:trPr>
        <w:tc>
          <w:tcPr>
            <w:tcW w:w="3325" w:type="dxa"/>
            <w:tcBorders>
              <w:top w:val="nil"/>
              <w:left w:val="nil"/>
              <w:bottom w:val="nil"/>
              <w:right w:val="nil"/>
            </w:tcBorders>
            <w:shd w:val="clear" w:color="auto" w:fill="auto"/>
            <w:noWrap/>
            <w:vAlign w:val="bottom"/>
            <w:hideMark/>
          </w:tcPr>
          <w:p w14:paraId="6118D5E5" w14:textId="77777777" w:rsidR="00FC5606" w:rsidRPr="00071D0F" w:rsidRDefault="00FC5606" w:rsidP="00FC5606">
            <w:pPr>
              <w:spacing w:before="0" w:after="0" w:line="240" w:lineRule="auto"/>
              <w:jc w:val="right"/>
              <w:rPr>
                <w:rFonts w:eastAsia="Times New Roman"/>
                <w:b/>
                <w:bCs/>
                <w:color w:val="000000"/>
                <w:lang w:bidi="hi-IN"/>
              </w:rPr>
            </w:pPr>
          </w:p>
        </w:tc>
        <w:tc>
          <w:tcPr>
            <w:tcW w:w="2477" w:type="dxa"/>
            <w:tcBorders>
              <w:top w:val="nil"/>
              <w:left w:val="nil"/>
              <w:bottom w:val="nil"/>
              <w:right w:val="nil"/>
            </w:tcBorders>
            <w:shd w:val="clear" w:color="auto" w:fill="auto"/>
            <w:noWrap/>
            <w:vAlign w:val="bottom"/>
            <w:hideMark/>
          </w:tcPr>
          <w:p w14:paraId="10D295B3" w14:textId="77777777" w:rsidR="00FC5606" w:rsidRPr="00071D0F" w:rsidRDefault="00FC5606" w:rsidP="00FC5606">
            <w:pPr>
              <w:spacing w:before="0" w:after="0" w:line="240" w:lineRule="auto"/>
              <w:jc w:val="left"/>
              <w:rPr>
                <w:rFonts w:eastAsia="Times New Roman"/>
                <w:sz w:val="20"/>
                <w:szCs w:val="20"/>
                <w:lang w:bidi="hi-IN"/>
              </w:rPr>
            </w:pPr>
          </w:p>
        </w:tc>
        <w:tc>
          <w:tcPr>
            <w:tcW w:w="2398" w:type="dxa"/>
            <w:tcBorders>
              <w:top w:val="nil"/>
              <w:left w:val="nil"/>
              <w:bottom w:val="nil"/>
              <w:right w:val="nil"/>
            </w:tcBorders>
            <w:shd w:val="clear" w:color="auto" w:fill="auto"/>
            <w:noWrap/>
            <w:vAlign w:val="bottom"/>
            <w:hideMark/>
          </w:tcPr>
          <w:p w14:paraId="79C5AFE4" w14:textId="77777777" w:rsidR="00FC5606" w:rsidRPr="00071D0F" w:rsidRDefault="00FC5606" w:rsidP="00FC5606">
            <w:pPr>
              <w:spacing w:before="0" w:after="0" w:line="240" w:lineRule="auto"/>
              <w:jc w:val="left"/>
              <w:rPr>
                <w:rFonts w:eastAsia="Times New Roman"/>
                <w:sz w:val="20"/>
                <w:szCs w:val="20"/>
                <w:lang w:bidi="hi-IN"/>
              </w:rPr>
            </w:pPr>
          </w:p>
        </w:tc>
      </w:tr>
      <w:tr w:rsidR="00FC5606" w:rsidRPr="00071D0F" w14:paraId="2EA21F92" w14:textId="77777777" w:rsidTr="00FC5606">
        <w:trPr>
          <w:trHeight w:val="312"/>
        </w:trPr>
        <w:tc>
          <w:tcPr>
            <w:tcW w:w="8200" w:type="dxa"/>
            <w:gridSpan w:val="3"/>
            <w:tcBorders>
              <w:top w:val="nil"/>
              <w:left w:val="nil"/>
              <w:bottom w:val="nil"/>
              <w:right w:val="nil"/>
            </w:tcBorders>
            <w:shd w:val="clear" w:color="auto" w:fill="auto"/>
            <w:noWrap/>
            <w:vAlign w:val="bottom"/>
            <w:hideMark/>
          </w:tcPr>
          <w:p w14:paraId="1BBCA211"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Asset Turnover</w:t>
            </w:r>
          </w:p>
        </w:tc>
      </w:tr>
      <w:tr w:rsidR="00FC5606" w:rsidRPr="00071D0F" w14:paraId="0E5EA95C" w14:textId="77777777" w:rsidTr="00FC5606">
        <w:trPr>
          <w:trHeight w:val="312"/>
        </w:trPr>
        <w:tc>
          <w:tcPr>
            <w:tcW w:w="8200" w:type="dxa"/>
            <w:gridSpan w:val="3"/>
            <w:tcBorders>
              <w:top w:val="nil"/>
              <w:left w:val="nil"/>
              <w:bottom w:val="nil"/>
              <w:right w:val="nil"/>
            </w:tcBorders>
            <w:shd w:val="clear" w:color="auto" w:fill="auto"/>
            <w:noWrap/>
            <w:vAlign w:val="bottom"/>
            <w:hideMark/>
          </w:tcPr>
          <w:p w14:paraId="1CA20320"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Formula = Profit before interest tax / (Total Assets - Current Liabilities) x 100</w:t>
            </w:r>
          </w:p>
        </w:tc>
      </w:tr>
      <w:tr w:rsidR="00FC5606" w:rsidRPr="00071D0F" w14:paraId="51A985C1" w14:textId="77777777" w:rsidTr="00FC5606">
        <w:trPr>
          <w:trHeight w:val="312"/>
        </w:trPr>
        <w:tc>
          <w:tcPr>
            <w:tcW w:w="3325" w:type="dxa"/>
            <w:tcBorders>
              <w:top w:val="nil"/>
              <w:left w:val="nil"/>
              <w:bottom w:val="nil"/>
              <w:right w:val="nil"/>
            </w:tcBorders>
            <w:shd w:val="clear" w:color="auto" w:fill="auto"/>
            <w:noWrap/>
            <w:vAlign w:val="bottom"/>
            <w:hideMark/>
          </w:tcPr>
          <w:p w14:paraId="6093F3E1" w14:textId="77777777" w:rsidR="00FC5606" w:rsidRPr="00071D0F" w:rsidRDefault="00FC5606" w:rsidP="00FC5606">
            <w:pPr>
              <w:spacing w:before="0" w:after="0" w:line="240" w:lineRule="auto"/>
              <w:jc w:val="left"/>
              <w:rPr>
                <w:rFonts w:eastAsia="Times New Roman"/>
                <w:color w:val="000000"/>
                <w:lang w:bidi="hi-IN"/>
              </w:rPr>
            </w:pPr>
          </w:p>
        </w:tc>
        <w:tc>
          <w:tcPr>
            <w:tcW w:w="2477" w:type="dxa"/>
            <w:tcBorders>
              <w:top w:val="nil"/>
              <w:left w:val="nil"/>
              <w:bottom w:val="nil"/>
              <w:right w:val="nil"/>
            </w:tcBorders>
            <w:shd w:val="clear" w:color="auto" w:fill="auto"/>
            <w:noWrap/>
            <w:vAlign w:val="bottom"/>
            <w:hideMark/>
          </w:tcPr>
          <w:p w14:paraId="26FFE731" w14:textId="77777777" w:rsidR="00FC5606" w:rsidRPr="00071D0F" w:rsidRDefault="00FC5606" w:rsidP="00FC5606">
            <w:pPr>
              <w:spacing w:before="0" w:after="0" w:line="240" w:lineRule="auto"/>
              <w:jc w:val="left"/>
              <w:rPr>
                <w:rFonts w:eastAsia="Times New Roman"/>
                <w:sz w:val="20"/>
                <w:szCs w:val="20"/>
                <w:lang w:bidi="hi-IN"/>
              </w:rPr>
            </w:pPr>
          </w:p>
        </w:tc>
        <w:tc>
          <w:tcPr>
            <w:tcW w:w="2398" w:type="dxa"/>
            <w:tcBorders>
              <w:top w:val="nil"/>
              <w:left w:val="nil"/>
              <w:bottom w:val="nil"/>
              <w:right w:val="nil"/>
            </w:tcBorders>
            <w:shd w:val="clear" w:color="auto" w:fill="auto"/>
            <w:noWrap/>
            <w:vAlign w:val="bottom"/>
            <w:hideMark/>
          </w:tcPr>
          <w:p w14:paraId="4254FE38" w14:textId="77777777" w:rsidR="00FC5606" w:rsidRPr="00071D0F" w:rsidRDefault="00FC5606" w:rsidP="00FC5606">
            <w:pPr>
              <w:spacing w:before="0" w:after="0" w:line="240" w:lineRule="auto"/>
              <w:jc w:val="left"/>
              <w:rPr>
                <w:rFonts w:eastAsia="Times New Roman"/>
                <w:sz w:val="20"/>
                <w:szCs w:val="20"/>
                <w:lang w:bidi="hi-IN"/>
              </w:rPr>
            </w:pPr>
          </w:p>
        </w:tc>
      </w:tr>
      <w:tr w:rsidR="00FC5606" w:rsidRPr="00071D0F" w14:paraId="107F8C90" w14:textId="77777777" w:rsidTr="00FC5606">
        <w:trPr>
          <w:trHeight w:val="312"/>
        </w:trPr>
        <w:tc>
          <w:tcPr>
            <w:tcW w:w="33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D2E07" w14:textId="77777777" w:rsidR="00FC5606" w:rsidRPr="00071D0F" w:rsidRDefault="00FC5606" w:rsidP="00FC5606">
            <w:pPr>
              <w:spacing w:before="0" w:after="0" w:line="240" w:lineRule="auto"/>
              <w:jc w:val="left"/>
              <w:rPr>
                <w:rFonts w:eastAsia="Times New Roman"/>
                <w:b/>
                <w:bCs/>
                <w:color w:val="000000"/>
                <w:lang w:bidi="hi-IN"/>
              </w:rPr>
            </w:pPr>
            <w:r w:rsidRPr="00071D0F">
              <w:rPr>
                <w:rFonts w:eastAsia="Times New Roman"/>
                <w:b/>
                <w:bCs/>
                <w:color w:val="000000"/>
                <w:lang w:bidi="hi-IN"/>
              </w:rPr>
              <w:t> </w:t>
            </w:r>
          </w:p>
        </w:tc>
        <w:tc>
          <w:tcPr>
            <w:tcW w:w="2477" w:type="dxa"/>
            <w:tcBorders>
              <w:top w:val="single" w:sz="4" w:space="0" w:color="auto"/>
              <w:left w:val="nil"/>
              <w:bottom w:val="single" w:sz="4" w:space="0" w:color="auto"/>
              <w:right w:val="single" w:sz="4" w:space="0" w:color="auto"/>
            </w:tcBorders>
            <w:shd w:val="clear" w:color="auto" w:fill="auto"/>
            <w:noWrap/>
            <w:vAlign w:val="bottom"/>
            <w:hideMark/>
          </w:tcPr>
          <w:p w14:paraId="305BB87B" w14:textId="77777777" w:rsidR="00FC5606" w:rsidRPr="00071D0F" w:rsidRDefault="00FC5606" w:rsidP="00FC5606">
            <w:pPr>
              <w:spacing w:before="0" w:after="0" w:line="240" w:lineRule="auto"/>
              <w:jc w:val="center"/>
              <w:rPr>
                <w:rFonts w:eastAsia="Times New Roman"/>
                <w:b/>
                <w:bCs/>
                <w:color w:val="000000"/>
                <w:lang w:bidi="hi-IN"/>
              </w:rPr>
            </w:pPr>
            <w:r w:rsidRPr="00071D0F">
              <w:rPr>
                <w:rFonts w:eastAsia="Times New Roman"/>
                <w:b/>
                <w:bCs/>
                <w:color w:val="000000"/>
                <w:lang w:bidi="hi-IN"/>
              </w:rPr>
              <w:t>2023</w:t>
            </w:r>
          </w:p>
        </w:tc>
        <w:tc>
          <w:tcPr>
            <w:tcW w:w="2398" w:type="dxa"/>
            <w:tcBorders>
              <w:top w:val="single" w:sz="4" w:space="0" w:color="auto"/>
              <w:left w:val="nil"/>
              <w:bottom w:val="single" w:sz="4" w:space="0" w:color="auto"/>
              <w:right w:val="single" w:sz="4" w:space="0" w:color="auto"/>
            </w:tcBorders>
            <w:shd w:val="clear" w:color="auto" w:fill="auto"/>
            <w:noWrap/>
            <w:vAlign w:val="bottom"/>
            <w:hideMark/>
          </w:tcPr>
          <w:p w14:paraId="49C11CED" w14:textId="77777777" w:rsidR="00FC5606" w:rsidRPr="00071D0F" w:rsidRDefault="00FC5606" w:rsidP="00FC5606">
            <w:pPr>
              <w:spacing w:before="0" w:after="0" w:line="240" w:lineRule="auto"/>
              <w:jc w:val="center"/>
              <w:rPr>
                <w:rFonts w:eastAsia="Times New Roman"/>
                <w:b/>
                <w:bCs/>
                <w:color w:val="000000"/>
                <w:lang w:bidi="hi-IN"/>
              </w:rPr>
            </w:pPr>
            <w:r w:rsidRPr="00071D0F">
              <w:rPr>
                <w:rFonts w:eastAsia="Times New Roman"/>
                <w:b/>
                <w:bCs/>
                <w:color w:val="000000"/>
                <w:lang w:bidi="hi-IN"/>
              </w:rPr>
              <w:t>2024</w:t>
            </w:r>
          </w:p>
        </w:tc>
      </w:tr>
      <w:tr w:rsidR="00FC5606" w:rsidRPr="00071D0F" w14:paraId="06F0ED8E"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08402956"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Profit before interest tax</w:t>
            </w:r>
          </w:p>
        </w:tc>
        <w:tc>
          <w:tcPr>
            <w:tcW w:w="2477" w:type="dxa"/>
            <w:tcBorders>
              <w:top w:val="nil"/>
              <w:left w:val="nil"/>
              <w:bottom w:val="single" w:sz="4" w:space="0" w:color="auto"/>
              <w:right w:val="single" w:sz="4" w:space="0" w:color="auto"/>
            </w:tcBorders>
            <w:shd w:val="clear" w:color="auto" w:fill="auto"/>
            <w:noWrap/>
            <w:vAlign w:val="bottom"/>
            <w:hideMark/>
          </w:tcPr>
          <w:p w14:paraId="207E847D"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24,279 </w:t>
            </w:r>
          </w:p>
        </w:tc>
        <w:tc>
          <w:tcPr>
            <w:tcW w:w="2398" w:type="dxa"/>
            <w:tcBorders>
              <w:top w:val="nil"/>
              <w:left w:val="nil"/>
              <w:bottom w:val="single" w:sz="4" w:space="0" w:color="auto"/>
              <w:right w:val="single" w:sz="4" w:space="0" w:color="auto"/>
            </w:tcBorders>
            <w:shd w:val="clear" w:color="auto" w:fill="auto"/>
            <w:noWrap/>
            <w:vAlign w:val="bottom"/>
            <w:hideMark/>
          </w:tcPr>
          <w:p w14:paraId="30AD6463"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22,249 </w:t>
            </w:r>
          </w:p>
        </w:tc>
      </w:tr>
      <w:tr w:rsidR="00FC5606" w:rsidRPr="00071D0F" w14:paraId="43C66F49"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63D60DEA"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Total assets</w:t>
            </w:r>
          </w:p>
        </w:tc>
        <w:tc>
          <w:tcPr>
            <w:tcW w:w="2477" w:type="dxa"/>
            <w:tcBorders>
              <w:top w:val="nil"/>
              <w:left w:val="nil"/>
              <w:bottom w:val="single" w:sz="4" w:space="0" w:color="auto"/>
              <w:right w:val="single" w:sz="4" w:space="0" w:color="auto"/>
            </w:tcBorders>
            <w:shd w:val="clear" w:color="auto" w:fill="auto"/>
            <w:noWrap/>
            <w:vAlign w:val="bottom"/>
            <w:hideMark/>
          </w:tcPr>
          <w:p w14:paraId="25E0C617"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881,453 </w:t>
            </w:r>
          </w:p>
        </w:tc>
        <w:tc>
          <w:tcPr>
            <w:tcW w:w="2398" w:type="dxa"/>
            <w:tcBorders>
              <w:top w:val="nil"/>
              <w:left w:val="nil"/>
              <w:bottom w:val="single" w:sz="4" w:space="0" w:color="auto"/>
              <w:right w:val="single" w:sz="4" w:space="0" w:color="auto"/>
            </w:tcBorders>
            <w:shd w:val="clear" w:color="auto" w:fill="auto"/>
            <w:noWrap/>
            <w:vAlign w:val="bottom"/>
            <w:hideMark/>
          </w:tcPr>
          <w:p w14:paraId="3B1C3267"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906,697 </w:t>
            </w:r>
          </w:p>
        </w:tc>
      </w:tr>
      <w:tr w:rsidR="00FC5606" w:rsidRPr="00071D0F" w14:paraId="27AB5F07"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2EA82381"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Current liabilities</w:t>
            </w:r>
          </w:p>
        </w:tc>
        <w:tc>
          <w:tcPr>
            <w:tcW w:w="2477" w:type="dxa"/>
            <w:tcBorders>
              <w:top w:val="nil"/>
              <w:left w:val="nil"/>
              <w:bottom w:val="single" w:sz="4" w:space="0" w:color="auto"/>
              <w:right w:val="single" w:sz="4" w:space="0" w:color="auto"/>
            </w:tcBorders>
            <w:shd w:val="clear" w:color="auto" w:fill="auto"/>
            <w:noWrap/>
            <w:vAlign w:val="bottom"/>
            <w:hideMark/>
          </w:tcPr>
          <w:p w14:paraId="0366D97E"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39 </w:t>
            </w:r>
          </w:p>
        </w:tc>
        <w:tc>
          <w:tcPr>
            <w:tcW w:w="2398" w:type="dxa"/>
            <w:tcBorders>
              <w:top w:val="nil"/>
              <w:left w:val="nil"/>
              <w:bottom w:val="single" w:sz="4" w:space="0" w:color="auto"/>
              <w:right w:val="single" w:sz="4" w:space="0" w:color="auto"/>
            </w:tcBorders>
            <w:shd w:val="clear" w:color="auto" w:fill="auto"/>
            <w:noWrap/>
            <w:vAlign w:val="bottom"/>
            <w:hideMark/>
          </w:tcPr>
          <w:p w14:paraId="1BB27125" w14:textId="77777777" w:rsidR="00FC5606" w:rsidRPr="00071D0F" w:rsidRDefault="00FC5606" w:rsidP="00FC5606">
            <w:pPr>
              <w:spacing w:before="0" w:after="0" w:line="240" w:lineRule="auto"/>
              <w:jc w:val="left"/>
              <w:rPr>
                <w:rFonts w:eastAsia="Times New Roman"/>
                <w:color w:val="000000"/>
                <w:lang w:bidi="hi-IN"/>
              </w:rPr>
            </w:pPr>
            <w:r w:rsidRPr="00071D0F">
              <w:rPr>
                <w:rFonts w:eastAsia="Times New Roman"/>
                <w:color w:val="000000"/>
                <w:lang w:bidi="hi-IN"/>
              </w:rPr>
              <w:t xml:space="preserve">                          45 </w:t>
            </w:r>
          </w:p>
        </w:tc>
      </w:tr>
      <w:tr w:rsidR="00FC5606" w:rsidRPr="00071D0F" w14:paraId="03CF5DA7" w14:textId="77777777" w:rsidTr="00FC5606">
        <w:trPr>
          <w:trHeight w:val="312"/>
        </w:trPr>
        <w:tc>
          <w:tcPr>
            <w:tcW w:w="3325" w:type="dxa"/>
            <w:tcBorders>
              <w:top w:val="nil"/>
              <w:left w:val="single" w:sz="4" w:space="0" w:color="auto"/>
              <w:bottom w:val="single" w:sz="4" w:space="0" w:color="auto"/>
              <w:right w:val="single" w:sz="4" w:space="0" w:color="auto"/>
            </w:tcBorders>
            <w:shd w:val="clear" w:color="auto" w:fill="auto"/>
            <w:noWrap/>
            <w:vAlign w:val="bottom"/>
            <w:hideMark/>
          </w:tcPr>
          <w:p w14:paraId="74694710" w14:textId="77777777" w:rsidR="00FC5606" w:rsidRPr="00071D0F" w:rsidRDefault="00FC5606" w:rsidP="00FC5606">
            <w:pPr>
              <w:spacing w:before="0" w:after="0" w:line="240" w:lineRule="auto"/>
              <w:jc w:val="left"/>
              <w:rPr>
                <w:rFonts w:eastAsia="Times New Roman"/>
                <w:b/>
                <w:bCs/>
                <w:color w:val="000000"/>
                <w:lang w:bidi="hi-IN"/>
              </w:rPr>
            </w:pPr>
            <w:r w:rsidRPr="00071D0F">
              <w:rPr>
                <w:rFonts w:eastAsia="Times New Roman"/>
                <w:b/>
                <w:bCs/>
                <w:color w:val="000000"/>
                <w:lang w:bidi="hi-IN"/>
              </w:rPr>
              <w:t>Asset Turnover Margin</w:t>
            </w:r>
          </w:p>
        </w:tc>
        <w:tc>
          <w:tcPr>
            <w:tcW w:w="2477" w:type="dxa"/>
            <w:tcBorders>
              <w:top w:val="nil"/>
              <w:left w:val="nil"/>
              <w:bottom w:val="single" w:sz="4" w:space="0" w:color="auto"/>
              <w:right w:val="single" w:sz="4" w:space="0" w:color="auto"/>
            </w:tcBorders>
            <w:shd w:val="clear" w:color="auto" w:fill="auto"/>
            <w:noWrap/>
            <w:vAlign w:val="bottom"/>
            <w:hideMark/>
          </w:tcPr>
          <w:p w14:paraId="05D82182" w14:textId="77777777" w:rsidR="00FC5606" w:rsidRPr="00071D0F" w:rsidRDefault="00FC5606" w:rsidP="00FC5606">
            <w:pPr>
              <w:spacing w:before="0" w:after="0" w:line="240" w:lineRule="auto"/>
              <w:jc w:val="right"/>
              <w:rPr>
                <w:rFonts w:eastAsia="Times New Roman"/>
                <w:b/>
                <w:bCs/>
                <w:color w:val="000000"/>
                <w:lang w:bidi="hi-IN"/>
              </w:rPr>
            </w:pPr>
            <w:r w:rsidRPr="00071D0F">
              <w:rPr>
                <w:rFonts w:eastAsia="Times New Roman"/>
                <w:b/>
                <w:bCs/>
                <w:color w:val="000000"/>
                <w:lang w:bidi="hi-IN"/>
              </w:rPr>
              <w:t>2.75%</w:t>
            </w:r>
          </w:p>
        </w:tc>
        <w:tc>
          <w:tcPr>
            <w:tcW w:w="2398" w:type="dxa"/>
            <w:tcBorders>
              <w:top w:val="nil"/>
              <w:left w:val="nil"/>
              <w:bottom w:val="single" w:sz="4" w:space="0" w:color="auto"/>
              <w:right w:val="single" w:sz="4" w:space="0" w:color="auto"/>
            </w:tcBorders>
            <w:shd w:val="clear" w:color="auto" w:fill="auto"/>
            <w:noWrap/>
            <w:vAlign w:val="bottom"/>
            <w:hideMark/>
          </w:tcPr>
          <w:p w14:paraId="4F8A32E5" w14:textId="77777777" w:rsidR="00FC5606" w:rsidRPr="00071D0F" w:rsidRDefault="00FC5606" w:rsidP="00FC5606">
            <w:pPr>
              <w:spacing w:before="0" w:after="0" w:line="240" w:lineRule="auto"/>
              <w:jc w:val="right"/>
              <w:rPr>
                <w:rFonts w:eastAsia="Times New Roman"/>
                <w:b/>
                <w:bCs/>
                <w:color w:val="000000"/>
                <w:lang w:bidi="hi-IN"/>
              </w:rPr>
            </w:pPr>
            <w:r w:rsidRPr="00071D0F">
              <w:rPr>
                <w:rFonts w:eastAsia="Times New Roman"/>
                <w:b/>
                <w:bCs/>
                <w:color w:val="000000"/>
                <w:lang w:bidi="hi-IN"/>
              </w:rPr>
              <w:t>2.45%</w:t>
            </w:r>
          </w:p>
        </w:tc>
      </w:tr>
    </w:tbl>
    <w:p w14:paraId="454876B5" w14:textId="77777777" w:rsidR="008234C3" w:rsidRPr="00071D0F" w:rsidRDefault="008234C3" w:rsidP="008234C3"/>
    <w:p w14:paraId="07FEC996" w14:textId="77777777" w:rsidR="00FC5606" w:rsidRPr="00071D0F" w:rsidRDefault="00FC5606" w:rsidP="00FC5606">
      <w:pPr>
        <w:jc w:val="center"/>
      </w:pPr>
      <w:r w:rsidRPr="00071D0F">
        <w:t>(Source: Appendix 1</w:t>
      </w:r>
      <w:r w:rsidR="00DE773B" w:rsidRPr="00071D0F">
        <w:t xml:space="preserve"> and 2</w:t>
      </w:r>
      <w:r w:rsidRPr="00071D0F">
        <w:t>)</w:t>
      </w:r>
    </w:p>
    <w:p w14:paraId="54882C13" w14:textId="77777777" w:rsidR="00FC5606" w:rsidRPr="00071D0F" w:rsidRDefault="00FC5606" w:rsidP="00FC5606">
      <w:pPr>
        <w:rPr>
          <w:b/>
          <w:bCs/>
        </w:rPr>
      </w:pPr>
      <w:r w:rsidRPr="00071D0F">
        <w:rPr>
          <w:b/>
          <w:bCs/>
        </w:rPr>
        <w:t>Interpretation</w:t>
      </w:r>
    </w:p>
    <w:p w14:paraId="070FB1AB" w14:textId="77777777" w:rsidR="006468FA" w:rsidRPr="00071D0F" w:rsidRDefault="006468FA" w:rsidP="006468FA">
      <w:r w:rsidRPr="00071D0F">
        <w:t>In 2024, all four profitability/efficiency metrics fell compared to 2023, showing modest but universal pressure on the firm's ability to convert revenue and assets to profit. A mixed picture emerges from the companies experiencing weakening revenue, testing cost control, and more significant below-the-line entries on an asset basket that is not yet bringing home capital returns in proportion.</w:t>
      </w:r>
    </w:p>
    <w:p w14:paraId="001F9BA8" w14:textId="77777777" w:rsidR="006468FA" w:rsidRPr="00071D0F" w:rsidRDefault="006468FA" w:rsidP="006468FA">
      <w:r w:rsidRPr="00071D0F">
        <w:rPr>
          <w:i/>
          <w:iCs/>
        </w:rPr>
        <w:t>Net Profit Margin</w:t>
      </w:r>
      <w:r w:rsidRPr="00071D0F">
        <w:t xml:space="preserve"> - Net profit had dropped by 19%, while sales dipped by only 3%, so the bigger fall in actual profits leads to margin compression. Typically, or in the case of profits falling faster than revenue, there may be: (a) heightened finance costs (interest rate rises; increased borrowing), (b) a higher effective tax rate, (c) exceptional/restructuring charges, impairments or write-downs, or (d) dilution from minority interests or discontinued operations. Since operating margin declines, but less so, the greater divergence between operating and net </w:t>
      </w:r>
      <w:r w:rsidRPr="00071D0F">
        <w:lastRenderedPageBreak/>
        <w:t xml:space="preserve">results suggests that additional drag came from non-operating items rather than purely from core operations. Management should dissect the bridge from operating profit to net income to uncover recurring versus on-off causes. </w:t>
      </w:r>
    </w:p>
    <w:p w14:paraId="57A327CA" w14:textId="77777777" w:rsidR="006468FA" w:rsidRPr="00071D0F" w:rsidRDefault="006468FA" w:rsidP="006468FA">
      <w:r w:rsidRPr="00071D0F">
        <w:rPr>
          <w:i/>
          <w:iCs/>
        </w:rPr>
        <w:t>Operating Profit Margin</w:t>
      </w:r>
      <w:r w:rsidRPr="00071D0F">
        <w:t xml:space="preserve"> - Operating profit shrunk 8% while revenue fell 3%, indicating some pressure on the operating cost structure. Some potential explanations: input cost inflation (for materials, labour, and energy) not despite being fully passed through in pricing; an adverse movement in sales mix toward lower-margin products/geographies; heavier operating expenses (marketing to defend share, elevating R&amp;D, regulatory compliance); or the rolling-off of one-offs from the previous year. Not that said and done; the reported level is still remarkably high compared to most industries; this could mean either: (</w:t>
      </w:r>
      <w:proofErr w:type="spellStart"/>
      <w:r w:rsidRPr="00071D0F">
        <w:t>i</w:t>
      </w:r>
      <w:proofErr w:type="spellEnd"/>
      <w:r w:rsidRPr="00071D0F">
        <w:t xml:space="preserve">) legitimately advantaged, high-gross-margin business model (software, licensing, IP royalties) or (ii) a definitional issue - maybe 'operating profit' does not cover significant overhead categories. Make sure to clarify cost allocations before benchmarking peer or making strategic cost decisions. </w:t>
      </w:r>
    </w:p>
    <w:p w14:paraId="293A4D39" w14:textId="77777777" w:rsidR="006468FA" w:rsidRPr="00071D0F" w:rsidRDefault="006468FA" w:rsidP="006468FA">
      <w:r w:rsidRPr="00071D0F">
        <w:rPr>
          <w:i/>
          <w:iCs/>
        </w:rPr>
        <w:t>ROCE</w:t>
      </w:r>
      <w:r w:rsidRPr="00071D0F">
        <w:t xml:space="preserve"> - The decline in ROCE arose as the decrease in operating profit juxtaposed against an expansion of the capital base (Total Assets rose from 881,453 to 906,697; with negligible current liabilities, capital employed approximates to total assets). The fall in ROCE becomes concerning if the firm's WACC is materially higher; beneath-WACC returns destroy value.</w:t>
      </w:r>
    </w:p>
    <w:p w14:paraId="3CB14798" w14:textId="77777777" w:rsidR="00FC5606" w:rsidRPr="00071D0F" w:rsidRDefault="006468FA" w:rsidP="006468FA">
      <w:r w:rsidRPr="00071D0F">
        <w:rPr>
          <w:i/>
          <w:iCs/>
        </w:rPr>
        <w:t>% Asset Turnover</w:t>
      </w:r>
      <w:r w:rsidRPr="00071D0F">
        <w:t xml:space="preserve"> - As calculated, this metric doubles ROCE because it uses the same numerator (profit) and denominator (net assets). Traditionally, asset turnover uses sales as the numerator (Sales ÷ Capital Employed). Using these numbers gives sharper insight; asset turnover had been recorded at 2.75% in 2023 while dropping to 2.45% in 2024. The fall, however slight, confirms that assets grew faster than revenue. Causes could include: steep capital investments still being ramped up, acquisitions awaiting synergy realization, buildup of inventory/receivables (working capital bloat), or elevated intangible balances (goodwill, capitalised development) inflating assets without an immediate bump in revenue.</w:t>
      </w:r>
    </w:p>
    <w:p w14:paraId="78145B6C" w14:textId="77777777" w:rsidR="00595A40" w:rsidRPr="00071D0F" w:rsidRDefault="00FC5606" w:rsidP="00FC5606">
      <w:r w:rsidRPr="00071D0F">
        <w:rPr>
          <w:b/>
          <w:bCs/>
        </w:rPr>
        <w:t>Cross-ratio takeaways</w:t>
      </w:r>
    </w:p>
    <w:p w14:paraId="400429D5" w14:textId="77777777" w:rsidR="00FC5606" w:rsidRPr="00071D0F" w:rsidRDefault="0042355C" w:rsidP="00FC5606">
      <w:r w:rsidRPr="00071D0F">
        <w:t>Very high profitability in operating terms shall be combined with very low efficiency of the capital. This imbalance starts showing when at the very first cheaper increases in the cost projection, the ROCE begins to decline all. Yet another factor that compresses the net margins is the increase in non-operating charges. Sustained value creation will depend less on squeezing another point of operating margin and more on sweating the asset base and containing financing drag.</w:t>
      </w:r>
    </w:p>
    <w:p w14:paraId="7AC5A3EC" w14:textId="77777777" w:rsidR="0042355C" w:rsidRPr="00071D0F" w:rsidRDefault="00FC5606" w:rsidP="0042355C">
      <w:r w:rsidRPr="00071D0F">
        <w:rPr>
          <w:b/>
          <w:bCs/>
        </w:rPr>
        <w:lastRenderedPageBreak/>
        <w:t>Recommendation to improve profitability</w:t>
      </w:r>
    </w:p>
    <w:p w14:paraId="0B2E82E2" w14:textId="77777777" w:rsidR="0042355C" w:rsidRPr="00071D0F" w:rsidRDefault="0042355C" w:rsidP="0042355C">
      <w:pPr>
        <w:pStyle w:val="ListParagraph"/>
        <w:numPr>
          <w:ilvl w:val="0"/>
          <w:numId w:val="3"/>
        </w:numPr>
      </w:pPr>
      <w:r w:rsidRPr="00071D0F">
        <w:rPr>
          <w:i/>
          <w:iCs/>
        </w:rPr>
        <w:t>Analyse the non-operating drag</w:t>
      </w:r>
      <w:r w:rsidRPr="00071D0F">
        <w:t xml:space="preserve"> – Prepare an operating-to-net waterfall by interest, tax, and exceptional items. Where interest cost is dominant, pursue refinancing, interest-rate hedging, or debt reduction through surplus cash or disposal of non-core assets (Sooklal and Hosein, 2023). If taxes are volatile, look at jurisdictional mix and relief usage.</w:t>
      </w:r>
    </w:p>
    <w:p w14:paraId="125FCC2E" w14:textId="77777777" w:rsidR="0042355C" w:rsidRPr="00071D0F" w:rsidRDefault="0042355C" w:rsidP="0042355C">
      <w:pPr>
        <w:pStyle w:val="ListParagraph"/>
        <w:numPr>
          <w:ilvl w:val="0"/>
          <w:numId w:val="3"/>
        </w:numPr>
      </w:pPr>
      <w:r w:rsidRPr="00071D0F">
        <w:rPr>
          <w:i/>
          <w:iCs/>
        </w:rPr>
        <w:t>Strengthen pricing and mix discipline</w:t>
      </w:r>
      <w:r w:rsidRPr="00071D0F">
        <w:t xml:space="preserve"> – Track contribution margins by product/channel. When inflation eats away at margin, selectively reset prices or go for value-engineered offerings; exit chronically low-margin SKUs.</w:t>
      </w:r>
    </w:p>
    <w:p w14:paraId="0028BD68" w14:textId="77777777" w:rsidR="0042355C" w:rsidRPr="00071D0F" w:rsidRDefault="0042355C" w:rsidP="0042355C">
      <w:pPr>
        <w:pStyle w:val="ListParagraph"/>
        <w:numPr>
          <w:ilvl w:val="0"/>
          <w:numId w:val="3"/>
        </w:numPr>
      </w:pPr>
      <w:r w:rsidRPr="00071D0F">
        <w:rPr>
          <w:i/>
          <w:iCs/>
        </w:rPr>
        <w:t>Drive operating cost productivity</w:t>
      </w:r>
      <w:r w:rsidRPr="00071D0F">
        <w:t xml:space="preserve"> – Benchmark procurement, SG&amp;A, and overhead absorption. Shared services, process automation, and digital enablement can slow cost growth without harming strategic spend in R&amp;D or brand (Thomson Reuters, 2024).</w:t>
      </w:r>
    </w:p>
    <w:p w14:paraId="35F6F734" w14:textId="77777777" w:rsidR="00FC5606" w:rsidRPr="00071D0F" w:rsidRDefault="0042355C" w:rsidP="0042355C">
      <w:pPr>
        <w:pStyle w:val="ListParagraph"/>
        <w:numPr>
          <w:ilvl w:val="0"/>
          <w:numId w:val="3"/>
        </w:numPr>
      </w:pPr>
      <w:r w:rsidRPr="00071D0F">
        <w:rPr>
          <w:i/>
          <w:iCs/>
        </w:rPr>
        <w:t>Growth from leveraging existing assets</w:t>
      </w:r>
      <w:r w:rsidRPr="00071D0F">
        <w:t xml:space="preserve"> – Push for the faster scaling revenue streams that are higher margin and asset-light (subscription, services, license). Incremental revenue on a largely fixed asset base will bolster asset turnover and ROCE (Rodriguez, 2024).</w:t>
      </w:r>
    </w:p>
    <w:p w14:paraId="5E76571D" w14:textId="77777777" w:rsidR="008234C3" w:rsidRPr="00071D0F" w:rsidRDefault="008234C3" w:rsidP="008234C3">
      <w:pPr>
        <w:pStyle w:val="Heading2"/>
      </w:pPr>
      <w:bookmarkStart w:id="3" w:name="_Toc203668413"/>
      <w:r w:rsidRPr="00071D0F">
        <w:t>Liquidity Analysis</w:t>
      </w:r>
      <w:bookmarkEnd w:id="3"/>
    </w:p>
    <w:p w14:paraId="7CF8D7DC" w14:textId="77777777" w:rsidR="00EB035B" w:rsidRPr="00071D0F" w:rsidRDefault="0042355C" w:rsidP="00EB035B">
      <w:r w:rsidRPr="00071D0F">
        <w:t>Liquidity ratios measure a company's ability to pay short-term debts with near-cash assets and provide insight into working-capital discipline, cash conversion period, and buffers available to absorb shocks without effecting operation disruptively or forced asset liquidation at a loss (Singh, 2022). Good liquidity ensures prompt payments to the suppliers, protects the credit rating, and stabilizes profitability by avoiding emergency financing costs. Said liquidity is important to key stakeholders: the management and the boards (operational planning), short-term lenders and trade creditors (repayment risk), banks offering credit lines, investors, and equity analysts (signal of solvency), as well as credit-rating agencies and employees and unions concerned about payroll continuity (Kapil, 2011). Regulators also keep an eye on liquidity as a front-line distress warning that might hamper compliance and reporting.</w:t>
      </w:r>
    </w:p>
    <w:p w14:paraId="717E1B70" w14:textId="77777777" w:rsidR="008234C3" w:rsidRPr="00071D0F" w:rsidRDefault="00EB035B" w:rsidP="008234C3">
      <w:r w:rsidRPr="00071D0F">
        <w:t>Calculation of liquidity ratio of Llyod:</w:t>
      </w:r>
    </w:p>
    <w:tbl>
      <w:tblPr>
        <w:tblW w:w="8200" w:type="dxa"/>
        <w:tblLook w:val="04A0" w:firstRow="1" w:lastRow="0" w:firstColumn="1" w:lastColumn="0" w:noHBand="0" w:noVBand="1"/>
      </w:tblPr>
      <w:tblGrid>
        <w:gridCol w:w="2671"/>
        <w:gridCol w:w="2809"/>
        <w:gridCol w:w="2720"/>
      </w:tblGrid>
      <w:tr w:rsidR="00DE773B" w:rsidRPr="00071D0F" w14:paraId="3B5DDAAE" w14:textId="77777777" w:rsidTr="00DE773B">
        <w:trPr>
          <w:trHeight w:val="312"/>
        </w:trPr>
        <w:tc>
          <w:tcPr>
            <w:tcW w:w="8200" w:type="dxa"/>
            <w:gridSpan w:val="3"/>
            <w:tcBorders>
              <w:top w:val="nil"/>
              <w:left w:val="nil"/>
              <w:bottom w:val="nil"/>
              <w:right w:val="nil"/>
            </w:tcBorders>
            <w:shd w:val="clear" w:color="auto" w:fill="auto"/>
            <w:noWrap/>
            <w:vAlign w:val="bottom"/>
            <w:hideMark/>
          </w:tcPr>
          <w:p w14:paraId="0DEF9618" w14:textId="77777777" w:rsidR="00DE773B" w:rsidRPr="00071D0F" w:rsidRDefault="00DE773B" w:rsidP="00DE773B">
            <w:pPr>
              <w:spacing w:before="0" w:after="0" w:line="240" w:lineRule="auto"/>
              <w:jc w:val="left"/>
              <w:rPr>
                <w:rFonts w:eastAsia="Times New Roman"/>
                <w:color w:val="000000"/>
                <w:lang w:bidi="hi-IN"/>
              </w:rPr>
            </w:pPr>
            <w:r w:rsidRPr="00071D0F">
              <w:rPr>
                <w:rFonts w:eastAsia="Times New Roman"/>
                <w:color w:val="000000"/>
                <w:lang w:bidi="hi-IN"/>
              </w:rPr>
              <w:t>Current Ratio</w:t>
            </w:r>
          </w:p>
        </w:tc>
      </w:tr>
      <w:tr w:rsidR="00DE773B" w:rsidRPr="00071D0F" w14:paraId="4A903814" w14:textId="77777777" w:rsidTr="00DE773B">
        <w:trPr>
          <w:trHeight w:val="312"/>
        </w:trPr>
        <w:tc>
          <w:tcPr>
            <w:tcW w:w="8200" w:type="dxa"/>
            <w:gridSpan w:val="3"/>
            <w:tcBorders>
              <w:top w:val="nil"/>
              <w:left w:val="nil"/>
              <w:bottom w:val="nil"/>
              <w:right w:val="nil"/>
            </w:tcBorders>
            <w:shd w:val="clear" w:color="auto" w:fill="auto"/>
            <w:noWrap/>
            <w:vAlign w:val="bottom"/>
            <w:hideMark/>
          </w:tcPr>
          <w:p w14:paraId="1A9B1563" w14:textId="77777777" w:rsidR="00DE773B" w:rsidRPr="00071D0F" w:rsidRDefault="00DE773B" w:rsidP="00DE773B">
            <w:pPr>
              <w:spacing w:before="0" w:after="0" w:line="240" w:lineRule="auto"/>
              <w:jc w:val="left"/>
              <w:rPr>
                <w:rFonts w:eastAsia="Times New Roman"/>
                <w:color w:val="000000"/>
                <w:lang w:bidi="hi-IN"/>
              </w:rPr>
            </w:pPr>
            <w:r w:rsidRPr="00071D0F">
              <w:rPr>
                <w:rFonts w:eastAsia="Times New Roman"/>
                <w:color w:val="000000"/>
                <w:lang w:bidi="hi-IN"/>
              </w:rPr>
              <w:t>Formula = Current assets / Current Liabilities</w:t>
            </w:r>
          </w:p>
        </w:tc>
      </w:tr>
      <w:tr w:rsidR="00DE773B" w:rsidRPr="00071D0F" w14:paraId="5613891C" w14:textId="77777777" w:rsidTr="00DE773B">
        <w:trPr>
          <w:trHeight w:val="312"/>
        </w:trPr>
        <w:tc>
          <w:tcPr>
            <w:tcW w:w="2671" w:type="dxa"/>
            <w:tcBorders>
              <w:top w:val="nil"/>
              <w:left w:val="nil"/>
              <w:bottom w:val="nil"/>
              <w:right w:val="nil"/>
            </w:tcBorders>
            <w:shd w:val="clear" w:color="auto" w:fill="auto"/>
            <w:noWrap/>
            <w:vAlign w:val="bottom"/>
            <w:hideMark/>
          </w:tcPr>
          <w:p w14:paraId="19C42B30" w14:textId="77777777" w:rsidR="00DE773B" w:rsidRPr="00071D0F" w:rsidRDefault="00DE773B" w:rsidP="00DE773B">
            <w:pPr>
              <w:spacing w:before="0" w:after="0" w:line="240" w:lineRule="auto"/>
              <w:jc w:val="left"/>
              <w:rPr>
                <w:rFonts w:eastAsia="Times New Roman"/>
                <w:color w:val="000000"/>
                <w:lang w:bidi="hi-IN"/>
              </w:rPr>
            </w:pPr>
          </w:p>
        </w:tc>
        <w:tc>
          <w:tcPr>
            <w:tcW w:w="2809" w:type="dxa"/>
            <w:tcBorders>
              <w:top w:val="nil"/>
              <w:left w:val="nil"/>
              <w:bottom w:val="nil"/>
              <w:right w:val="nil"/>
            </w:tcBorders>
            <w:shd w:val="clear" w:color="auto" w:fill="auto"/>
            <w:noWrap/>
            <w:vAlign w:val="bottom"/>
            <w:hideMark/>
          </w:tcPr>
          <w:p w14:paraId="15B994B3" w14:textId="77777777" w:rsidR="00DE773B" w:rsidRPr="00071D0F" w:rsidRDefault="00DE773B" w:rsidP="00DE773B">
            <w:pPr>
              <w:spacing w:before="0" w:after="0" w:line="240" w:lineRule="auto"/>
              <w:jc w:val="left"/>
              <w:rPr>
                <w:rFonts w:eastAsia="Times New Roman"/>
                <w:sz w:val="20"/>
                <w:szCs w:val="20"/>
                <w:lang w:bidi="hi-IN"/>
              </w:rPr>
            </w:pPr>
          </w:p>
        </w:tc>
        <w:tc>
          <w:tcPr>
            <w:tcW w:w="2720" w:type="dxa"/>
            <w:tcBorders>
              <w:top w:val="nil"/>
              <w:left w:val="nil"/>
              <w:bottom w:val="nil"/>
              <w:right w:val="nil"/>
            </w:tcBorders>
            <w:shd w:val="clear" w:color="auto" w:fill="auto"/>
            <w:noWrap/>
            <w:vAlign w:val="bottom"/>
            <w:hideMark/>
          </w:tcPr>
          <w:p w14:paraId="0B8A5CB7" w14:textId="77777777" w:rsidR="00DE773B" w:rsidRPr="00071D0F" w:rsidRDefault="00DE773B" w:rsidP="00DE773B">
            <w:pPr>
              <w:spacing w:before="0" w:after="0" w:line="240" w:lineRule="auto"/>
              <w:jc w:val="left"/>
              <w:rPr>
                <w:rFonts w:eastAsia="Times New Roman"/>
                <w:sz w:val="20"/>
                <w:szCs w:val="20"/>
                <w:lang w:bidi="hi-IN"/>
              </w:rPr>
            </w:pPr>
          </w:p>
        </w:tc>
      </w:tr>
      <w:tr w:rsidR="00DE773B" w:rsidRPr="00071D0F" w14:paraId="38D92CB2" w14:textId="77777777" w:rsidTr="00DE773B">
        <w:trPr>
          <w:trHeight w:val="312"/>
        </w:trPr>
        <w:tc>
          <w:tcPr>
            <w:tcW w:w="26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7FCC97" w14:textId="77777777" w:rsidR="00DE773B" w:rsidRPr="00071D0F" w:rsidRDefault="00DE773B" w:rsidP="00DE773B">
            <w:pPr>
              <w:spacing w:before="0" w:after="0" w:line="240" w:lineRule="auto"/>
              <w:jc w:val="left"/>
              <w:rPr>
                <w:rFonts w:eastAsia="Times New Roman"/>
                <w:color w:val="000000"/>
                <w:lang w:bidi="hi-IN"/>
              </w:rPr>
            </w:pPr>
            <w:r w:rsidRPr="00071D0F">
              <w:rPr>
                <w:rFonts w:eastAsia="Times New Roman"/>
                <w:color w:val="000000"/>
                <w:lang w:bidi="hi-IN"/>
              </w:rPr>
              <w:t> </w:t>
            </w:r>
          </w:p>
        </w:tc>
        <w:tc>
          <w:tcPr>
            <w:tcW w:w="2809" w:type="dxa"/>
            <w:tcBorders>
              <w:top w:val="single" w:sz="4" w:space="0" w:color="auto"/>
              <w:left w:val="nil"/>
              <w:bottom w:val="single" w:sz="4" w:space="0" w:color="auto"/>
              <w:right w:val="single" w:sz="4" w:space="0" w:color="auto"/>
            </w:tcBorders>
            <w:shd w:val="clear" w:color="auto" w:fill="auto"/>
            <w:noWrap/>
            <w:vAlign w:val="bottom"/>
            <w:hideMark/>
          </w:tcPr>
          <w:p w14:paraId="2FD89965" w14:textId="77777777" w:rsidR="00DE773B" w:rsidRPr="00071D0F" w:rsidRDefault="00DE773B" w:rsidP="00DE773B">
            <w:pPr>
              <w:spacing w:before="0" w:after="0" w:line="240" w:lineRule="auto"/>
              <w:jc w:val="center"/>
              <w:rPr>
                <w:rFonts w:eastAsia="Times New Roman"/>
                <w:b/>
                <w:bCs/>
                <w:color w:val="000000"/>
                <w:lang w:bidi="hi-IN"/>
              </w:rPr>
            </w:pPr>
            <w:r w:rsidRPr="00071D0F">
              <w:rPr>
                <w:rFonts w:eastAsia="Times New Roman"/>
                <w:b/>
                <w:bCs/>
                <w:color w:val="000000"/>
                <w:lang w:bidi="hi-IN"/>
              </w:rPr>
              <w:t>2023</w:t>
            </w:r>
          </w:p>
        </w:tc>
        <w:tc>
          <w:tcPr>
            <w:tcW w:w="2720" w:type="dxa"/>
            <w:tcBorders>
              <w:top w:val="single" w:sz="4" w:space="0" w:color="auto"/>
              <w:left w:val="nil"/>
              <w:bottom w:val="single" w:sz="4" w:space="0" w:color="auto"/>
              <w:right w:val="single" w:sz="4" w:space="0" w:color="auto"/>
            </w:tcBorders>
            <w:shd w:val="clear" w:color="auto" w:fill="auto"/>
            <w:noWrap/>
            <w:vAlign w:val="bottom"/>
            <w:hideMark/>
          </w:tcPr>
          <w:p w14:paraId="238177AF" w14:textId="77777777" w:rsidR="00DE773B" w:rsidRPr="00071D0F" w:rsidRDefault="00DE773B" w:rsidP="00DE773B">
            <w:pPr>
              <w:spacing w:before="0" w:after="0" w:line="240" w:lineRule="auto"/>
              <w:jc w:val="center"/>
              <w:rPr>
                <w:rFonts w:eastAsia="Times New Roman"/>
                <w:b/>
                <w:bCs/>
                <w:color w:val="000000"/>
                <w:lang w:bidi="hi-IN"/>
              </w:rPr>
            </w:pPr>
            <w:r w:rsidRPr="00071D0F">
              <w:rPr>
                <w:rFonts w:eastAsia="Times New Roman"/>
                <w:b/>
                <w:bCs/>
                <w:color w:val="000000"/>
                <w:lang w:bidi="hi-IN"/>
              </w:rPr>
              <w:t>2024</w:t>
            </w:r>
          </w:p>
        </w:tc>
      </w:tr>
      <w:tr w:rsidR="00DE773B" w:rsidRPr="00071D0F" w14:paraId="43D2450F" w14:textId="77777777" w:rsidTr="00DE773B">
        <w:trPr>
          <w:trHeight w:val="312"/>
        </w:trPr>
        <w:tc>
          <w:tcPr>
            <w:tcW w:w="2671" w:type="dxa"/>
            <w:tcBorders>
              <w:top w:val="nil"/>
              <w:left w:val="single" w:sz="4" w:space="0" w:color="auto"/>
              <w:bottom w:val="single" w:sz="4" w:space="0" w:color="auto"/>
              <w:right w:val="single" w:sz="4" w:space="0" w:color="auto"/>
            </w:tcBorders>
            <w:shd w:val="clear" w:color="auto" w:fill="auto"/>
            <w:noWrap/>
            <w:vAlign w:val="bottom"/>
            <w:hideMark/>
          </w:tcPr>
          <w:p w14:paraId="7E94845F" w14:textId="77777777" w:rsidR="00DE773B" w:rsidRPr="00071D0F" w:rsidRDefault="00DE773B" w:rsidP="00DE773B">
            <w:pPr>
              <w:spacing w:before="0" w:after="0" w:line="240" w:lineRule="auto"/>
              <w:jc w:val="left"/>
              <w:rPr>
                <w:rFonts w:eastAsia="Times New Roman"/>
                <w:color w:val="000000"/>
                <w:lang w:bidi="hi-IN"/>
              </w:rPr>
            </w:pPr>
            <w:r w:rsidRPr="00071D0F">
              <w:rPr>
                <w:rFonts w:eastAsia="Times New Roman"/>
                <w:color w:val="000000"/>
                <w:lang w:bidi="hi-IN"/>
              </w:rPr>
              <w:t>Current Assets</w:t>
            </w:r>
          </w:p>
        </w:tc>
        <w:tc>
          <w:tcPr>
            <w:tcW w:w="2809" w:type="dxa"/>
            <w:tcBorders>
              <w:top w:val="nil"/>
              <w:left w:val="nil"/>
              <w:bottom w:val="single" w:sz="4" w:space="0" w:color="auto"/>
              <w:right w:val="single" w:sz="4" w:space="0" w:color="auto"/>
            </w:tcBorders>
            <w:shd w:val="clear" w:color="auto" w:fill="auto"/>
            <w:noWrap/>
            <w:vAlign w:val="bottom"/>
            <w:hideMark/>
          </w:tcPr>
          <w:p w14:paraId="22A73D4E" w14:textId="77777777" w:rsidR="00DE773B" w:rsidRPr="00071D0F" w:rsidRDefault="00DE773B" w:rsidP="00DE773B">
            <w:pPr>
              <w:spacing w:before="0" w:after="0" w:line="240" w:lineRule="auto"/>
              <w:jc w:val="left"/>
              <w:rPr>
                <w:rFonts w:eastAsia="Times New Roman"/>
                <w:color w:val="000000"/>
                <w:lang w:bidi="hi-IN"/>
              </w:rPr>
            </w:pPr>
            <w:r w:rsidRPr="00071D0F">
              <w:rPr>
                <w:rFonts w:eastAsia="Times New Roman"/>
                <w:color w:val="000000"/>
                <w:lang w:bidi="hi-IN"/>
              </w:rPr>
              <w:t xml:space="preserve">                      1,183 </w:t>
            </w:r>
          </w:p>
        </w:tc>
        <w:tc>
          <w:tcPr>
            <w:tcW w:w="2720" w:type="dxa"/>
            <w:tcBorders>
              <w:top w:val="nil"/>
              <w:left w:val="nil"/>
              <w:bottom w:val="single" w:sz="4" w:space="0" w:color="auto"/>
              <w:right w:val="single" w:sz="4" w:space="0" w:color="auto"/>
            </w:tcBorders>
            <w:shd w:val="clear" w:color="auto" w:fill="auto"/>
            <w:noWrap/>
            <w:vAlign w:val="bottom"/>
            <w:hideMark/>
          </w:tcPr>
          <w:p w14:paraId="04E79881" w14:textId="77777777" w:rsidR="00DE773B" w:rsidRPr="00071D0F" w:rsidRDefault="00DE773B" w:rsidP="00DE773B">
            <w:pPr>
              <w:spacing w:before="0" w:after="0" w:line="240" w:lineRule="auto"/>
              <w:jc w:val="left"/>
              <w:rPr>
                <w:rFonts w:eastAsia="Times New Roman"/>
                <w:color w:val="000000"/>
                <w:lang w:bidi="hi-IN"/>
              </w:rPr>
            </w:pPr>
            <w:r w:rsidRPr="00071D0F">
              <w:rPr>
                <w:rFonts w:eastAsia="Times New Roman"/>
                <w:color w:val="000000"/>
                <w:lang w:bidi="hi-IN"/>
              </w:rPr>
              <w:t xml:space="preserve">                        526 </w:t>
            </w:r>
          </w:p>
        </w:tc>
      </w:tr>
      <w:tr w:rsidR="00DE773B" w:rsidRPr="00071D0F" w14:paraId="16D2D6FA" w14:textId="77777777" w:rsidTr="00DE773B">
        <w:trPr>
          <w:trHeight w:val="312"/>
        </w:trPr>
        <w:tc>
          <w:tcPr>
            <w:tcW w:w="2671" w:type="dxa"/>
            <w:tcBorders>
              <w:top w:val="nil"/>
              <w:left w:val="single" w:sz="4" w:space="0" w:color="auto"/>
              <w:bottom w:val="single" w:sz="4" w:space="0" w:color="auto"/>
              <w:right w:val="single" w:sz="4" w:space="0" w:color="auto"/>
            </w:tcBorders>
            <w:shd w:val="clear" w:color="auto" w:fill="auto"/>
            <w:noWrap/>
            <w:vAlign w:val="bottom"/>
            <w:hideMark/>
          </w:tcPr>
          <w:p w14:paraId="74B03320" w14:textId="77777777" w:rsidR="00DE773B" w:rsidRPr="00071D0F" w:rsidRDefault="00DE773B" w:rsidP="00DE773B">
            <w:pPr>
              <w:spacing w:before="0" w:after="0" w:line="240" w:lineRule="auto"/>
              <w:jc w:val="left"/>
              <w:rPr>
                <w:rFonts w:eastAsia="Times New Roman"/>
                <w:color w:val="000000"/>
                <w:lang w:bidi="hi-IN"/>
              </w:rPr>
            </w:pPr>
            <w:r w:rsidRPr="00071D0F">
              <w:rPr>
                <w:rFonts w:eastAsia="Times New Roman"/>
                <w:color w:val="000000"/>
                <w:lang w:bidi="hi-IN"/>
              </w:rPr>
              <w:lastRenderedPageBreak/>
              <w:t>Current Liabilities</w:t>
            </w:r>
          </w:p>
        </w:tc>
        <w:tc>
          <w:tcPr>
            <w:tcW w:w="2809" w:type="dxa"/>
            <w:tcBorders>
              <w:top w:val="nil"/>
              <w:left w:val="nil"/>
              <w:bottom w:val="single" w:sz="4" w:space="0" w:color="auto"/>
              <w:right w:val="single" w:sz="4" w:space="0" w:color="auto"/>
            </w:tcBorders>
            <w:shd w:val="clear" w:color="auto" w:fill="auto"/>
            <w:noWrap/>
            <w:vAlign w:val="bottom"/>
            <w:hideMark/>
          </w:tcPr>
          <w:p w14:paraId="26A65B4C" w14:textId="77777777" w:rsidR="00DE773B" w:rsidRPr="00071D0F" w:rsidRDefault="00DE773B" w:rsidP="00DE773B">
            <w:pPr>
              <w:spacing w:before="0" w:after="0" w:line="240" w:lineRule="auto"/>
              <w:jc w:val="left"/>
              <w:rPr>
                <w:rFonts w:eastAsia="Times New Roman"/>
                <w:color w:val="000000"/>
                <w:lang w:bidi="hi-IN"/>
              </w:rPr>
            </w:pPr>
            <w:r w:rsidRPr="00071D0F">
              <w:rPr>
                <w:rFonts w:eastAsia="Times New Roman"/>
                <w:color w:val="000000"/>
                <w:lang w:bidi="hi-IN"/>
              </w:rPr>
              <w:t xml:space="preserve">                           39 </w:t>
            </w:r>
          </w:p>
        </w:tc>
        <w:tc>
          <w:tcPr>
            <w:tcW w:w="2720" w:type="dxa"/>
            <w:tcBorders>
              <w:top w:val="nil"/>
              <w:left w:val="nil"/>
              <w:bottom w:val="single" w:sz="4" w:space="0" w:color="auto"/>
              <w:right w:val="single" w:sz="4" w:space="0" w:color="auto"/>
            </w:tcBorders>
            <w:shd w:val="clear" w:color="auto" w:fill="auto"/>
            <w:noWrap/>
            <w:vAlign w:val="bottom"/>
            <w:hideMark/>
          </w:tcPr>
          <w:p w14:paraId="57093213" w14:textId="77777777" w:rsidR="00DE773B" w:rsidRPr="00071D0F" w:rsidRDefault="00DE773B" w:rsidP="00DE773B">
            <w:pPr>
              <w:spacing w:before="0" w:after="0" w:line="240" w:lineRule="auto"/>
              <w:jc w:val="left"/>
              <w:rPr>
                <w:rFonts w:eastAsia="Times New Roman"/>
                <w:color w:val="000000"/>
                <w:lang w:bidi="hi-IN"/>
              </w:rPr>
            </w:pPr>
            <w:r w:rsidRPr="00071D0F">
              <w:rPr>
                <w:rFonts w:eastAsia="Times New Roman"/>
                <w:color w:val="000000"/>
                <w:lang w:bidi="hi-IN"/>
              </w:rPr>
              <w:t xml:space="preserve">                          45 </w:t>
            </w:r>
          </w:p>
        </w:tc>
      </w:tr>
      <w:tr w:rsidR="00DE773B" w:rsidRPr="00071D0F" w14:paraId="61AA3067" w14:textId="77777777" w:rsidTr="00DE773B">
        <w:trPr>
          <w:trHeight w:val="312"/>
        </w:trPr>
        <w:tc>
          <w:tcPr>
            <w:tcW w:w="2671" w:type="dxa"/>
            <w:tcBorders>
              <w:top w:val="nil"/>
              <w:left w:val="single" w:sz="4" w:space="0" w:color="auto"/>
              <w:bottom w:val="single" w:sz="4" w:space="0" w:color="auto"/>
              <w:right w:val="single" w:sz="4" w:space="0" w:color="auto"/>
            </w:tcBorders>
            <w:shd w:val="clear" w:color="auto" w:fill="auto"/>
            <w:noWrap/>
            <w:vAlign w:val="bottom"/>
            <w:hideMark/>
          </w:tcPr>
          <w:p w14:paraId="318DE0A8" w14:textId="77777777" w:rsidR="00DE773B" w:rsidRPr="00071D0F" w:rsidRDefault="00DE773B" w:rsidP="00DE773B">
            <w:pPr>
              <w:spacing w:before="0" w:after="0" w:line="240" w:lineRule="auto"/>
              <w:jc w:val="left"/>
              <w:rPr>
                <w:rFonts w:eastAsia="Times New Roman"/>
                <w:b/>
                <w:bCs/>
                <w:color w:val="000000"/>
                <w:lang w:bidi="hi-IN"/>
              </w:rPr>
            </w:pPr>
            <w:r w:rsidRPr="00071D0F">
              <w:rPr>
                <w:rFonts w:eastAsia="Times New Roman"/>
                <w:b/>
                <w:bCs/>
                <w:color w:val="000000"/>
                <w:lang w:bidi="hi-IN"/>
              </w:rPr>
              <w:t>Current Ratio</w:t>
            </w:r>
          </w:p>
        </w:tc>
        <w:tc>
          <w:tcPr>
            <w:tcW w:w="2809" w:type="dxa"/>
            <w:tcBorders>
              <w:top w:val="nil"/>
              <w:left w:val="nil"/>
              <w:bottom w:val="single" w:sz="4" w:space="0" w:color="auto"/>
              <w:right w:val="single" w:sz="4" w:space="0" w:color="auto"/>
            </w:tcBorders>
            <w:shd w:val="clear" w:color="auto" w:fill="auto"/>
            <w:noWrap/>
            <w:vAlign w:val="bottom"/>
            <w:hideMark/>
          </w:tcPr>
          <w:p w14:paraId="2AF04A79" w14:textId="77777777" w:rsidR="00DE773B" w:rsidRPr="00071D0F" w:rsidRDefault="00DE773B" w:rsidP="00DE773B">
            <w:pPr>
              <w:spacing w:before="0" w:after="0" w:line="240" w:lineRule="auto"/>
              <w:jc w:val="left"/>
              <w:rPr>
                <w:rFonts w:eastAsia="Times New Roman"/>
                <w:b/>
                <w:bCs/>
                <w:color w:val="000000"/>
                <w:lang w:bidi="hi-IN"/>
              </w:rPr>
            </w:pPr>
            <w:r w:rsidRPr="00071D0F">
              <w:rPr>
                <w:rFonts w:eastAsia="Times New Roman"/>
                <w:b/>
                <w:bCs/>
                <w:color w:val="000000"/>
                <w:lang w:bidi="hi-IN"/>
              </w:rPr>
              <w:t xml:space="preserve">                      30.33 </w:t>
            </w:r>
          </w:p>
        </w:tc>
        <w:tc>
          <w:tcPr>
            <w:tcW w:w="2720" w:type="dxa"/>
            <w:tcBorders>
              <w:top w:val="nil"/>
              <w:left w:val="nil"/>
              <w:bottom w:val="single" w:sz="4" w:space="0" w:color="auto"/>
              <w:right w:val="single" w:sz="4" w:space="0" w:color="auto"/>
            </w:tcBorders>
            <w:shd w:val="clear" w:color="auto" w:fill="auto"/>
            <w:noWrap/>
            <w:vAlign w:val="bottom"/>
            <w:hideMark/>
          </w:tcPr>
          <w:p w14:paraId="5F65DBB2" w14:textId="77777777" w:rsidR="00DE773B" w:rsidRPr="00071D0F" w:rsidRDefault="00DE773B" w:rsidP="00DE773B">
            <w:pPr>
              <w:spacing w:before="0" w:after="0" w:line="240" w:lineRule="auto"/>
              <w:jc w:val="left"/>
              <w:rPr>
                <w:rFonts w:eastAsia="Times New Roman"/>
                <w:b/>
                <w:bCs/>
                <w:color w:val="000000"/>
                <w:lang w:bidi="hi-IN"/>
              </w:rPr>
            </w:pPr>
            <w:r w:rsidRPr="00071D0F">
              <w:rPr>
                <w:rFonts w:eastAsia="Times New Roman"/>
                <w:b/>
                <w:bCs/>
                <w:color w:val="000000"/>
                <w:lang w:bidi="hi-IN"/>
              </w:rPr>
              <w:t xml:space="preserve">                     11.69 </w:t>
            </w:r>
          </w:p>
        </w:tc>
      </w:tr>
    </w:tbl>
    <w:p w14:paraId="590FB91B" w14:textId="77777777" w:rsidR="00DE773B" w:rsidRPr="00071D0F" w:rsidRDefault="00DE773B" w:rsidP="00DE773B">
      <w:pPr>
        <w:jc w:val="center"/>
      </w:pPr>
      <w:r w:rsidRPr="00071D0F">
        <w:t>(Source: Appendix 2)</w:t>
      </w:r>
    </w:p>
    <w:p w14:paraId="4B3D2AE8" w14:textId="77777777" w:rsidR="003F3FB8" w:rsidRPr="00071D0F" w:rsidRDefault="003F3FB8" w:rsidP="004F26AC">
      <w:pPr>
        <w:rPr>
          <w:b/>
          <w:bCs/>
        </w:rPr>
      </w:pPr>
      <w:r w:rsidRPr="00071D0F">
        <w:rPr>
          <w:b/>
          <w:bCs/>
        </w:rPr>
        <w:t>Interpretation</w:t>
      </w:r>
    </w:p>
    <w:p w14:paraId="04A3E7EB" w14:textId="77777777" w:rsidR="00933A36" w:rsidRPr="00071D0F" w:rsidRDefault="00933A36" w:rsidP="00933A36">
      <w:r w:rsidRPr="00071D0F">
        <w:t xml:space="preserve">The current ratio sharply moves from 30.33x (2023) to 11.69x (2024), still extremely liquid but well above normal operating ranges (usually ~2x, industry-dependent). This movement occurs primarily due to a drop in current assets (1,183 → 526) and a slight rise in current liabilities (from ₤39 million to ₤45 million). Possible reasoning: cash spend on long-term projects or the pay-down of long-term debt, inventory run-off, tighter collection of receivables, or reclassification of assets. Too much liquidity in 2023 probably hampered returns, while the 2024 movement is indeed healthier from a directional perspective but might still hold idle funds. </w:t>
      </w:r>
    </w:p>
    <w:p w14:paraId="1F04C97C" w14:textId="77777777" w:rsidR="00933A36" w:rsidRPr="00071D0F" w:rsidRDefault="00933A36" w:rsidP="00933A36">
      <w:pPr>
        <w:rPr>
          <w:b/>
          <w:bCs/>
        </w:rPr>
      </w:pPr>
      <w:r w:rsidRPr="00071D0F">
        <w:rPr>
          <w:b/>
          <w:bCs/>
        </w:rPr>
        <w:t>Recommendation</w:t>
      </w:r>
    </w:p>
    <w:p w14:paraId="15B26CD8" w14:textId="77777777" w:rsidR="004F26AC" w:rsidRPr="00071D0F" w:rsidRDefault="00933A36" w:rsidP="00933A36">
      <w:r w:rsidRPr="00071D0F">
        <w:t>It is further recommended that Llyod consider reducing its current ratio for better working capital management purposes. However, since in commercial banking and insurance instances current liabilities are usually minuscule, a 2024 current ratio may be deemed acceptable.</w:t>
      </w:r>
    </w:p>
    <w:p w14:paraId="7906694A" w14:textId="77777777" w:rsidR="008234C3" w:rsidRPr="00071D0F" w:rsidRDefault="008234C3" w:rsidP="008234C3">
      <w:pPr>
        <w:pStyle w:val="Heading2"/>
      </w:pPr>
      <w:bookmarkStart w:id="4" w:name="_Toc203668414"/>
      <w:r w:rsidRPr="00071D0F">
        <w:t>Gearing Analysis</w:t>
      </w:r>
      <w:bookmarkEnd w:id="4"/>
    </w:p>
    <w:p w14:paraId="06023F63" w14:textId="77777777" w:rsidR="00163DE5" w:rsidRPr="00071D0F" w:rsidRDefault="00C3213E" w:rsidP="00163DE5">
      <w:r w:rsidRPr="00071D0F">
        <w:t>Management currently compares gearing to the target leverage range. If gearing is low, one may add cheaper debt to exploit tax shields and to enhance the ROE (Pandey, 2021). If gearing is high, equity is preferably issued, retained earnings are used to reduce it, or assets are sold to de-risk covenants, save credit rating, reduce future financing costs, and enhance valuation (Peterson et al., 2004).</w:t>
      </w:r>
    </w:p>
    <w:p w14:paraId="1F46640D" w14:textId="77777777" w:rsidR="008234C3" w:rsidRPr="00071D0F" w:rsidRDefault="00163DE5" w:rsidP="008234C3">
      <w:r w:rsidRPr="00071D0F">
        <w:t>Calculation of gearing ratio:</w:t>
      </w:r>
    </w:p>
    <w:tbl>
      <w:tblPr>
        <w:tblW w:w="8200" w:type="dxa"/>
        <w:tblLook w:val="04A0" w:firstRow="1" w:lastRow="0" w:firstColumn="1" w:lastColumn="0" w:noHBand="0" w:noVBand="1"/>
      </w:tblPr>
      <w:tblGrid>
        <w:gridCol w:w="3056"/>
        <w:gridCol w:w="2613"/>
        <w:gridCol w:w="2531"/>
      </w:tblGrid>
      <w:tr w:rsidR="00D6095F" w:rsidRPr="00071D0F" w14:paraId="40AFCAD8" w14:textId="77777777" w:rsidTr="00D6095F">
        <w:trPr>
          <w:trHeight w:val="312"/>
        </w:trPr>
        <w:tc>
          <w:tcPr>
            <w:tcW w:w="8200" w:type="dxa"/>
            <w:gridSpan w:val="3"/>
            <w:tcBorders>
              <w:top w:val="nil"/>
              <w:left w:val="nil"/>
              <w:bottom w:val="nil"/>
              <w:right w:val="nil"/>
            </w:tcBorders>
            <w:shd w:val="clear" w:color="auto" w:fill="auto"/>
            <w:noWrap/>
            <w:vAlign w:val="bottom"/>
            <w:hideMark/>
          </w:tcPr>
          <w:p w14:paraId="6A790B34" w14:textId="77777777" w:rsidR="00D6095F" w:rsidRPr="00071D0F" w:rsidRDefault="00D6095F" w:rsidP="00D6095F">
            <w:pPr>
              <w:spacing w:before="0" w:after="0" w:line="240" w:lineRule="auto"/>
              <w:jc w:val="left"/>
              <w:rPr>
                <w:rFonts w:eastAsia="Times New Roman"/>
                <w:color w:val="000000"/>
                <w:lang w:bidi="hi-IN"/>
              </w:rPr>
            </w:pPr>
            <w:r w:rsidRPr="00071D0F">
              <w:rPr>
                <w:rFonts w:eastAsia="Times New Roman"/>
                <w:color w:val="000000"/>
                <w:lang w:bidi="hi-IN"/>
              </w:rPr>
              <w:t>Gearing</w:t>
            </w:r>
          </w:p>
        </w:tc>
      </w:tr>
      <w:tr w:rsidR="00D6095F" w:rsidRPr="00071D0F" w14:paraId="76B6149F" w14:textId="77777777" w:rsidTr="00D6095F">
        <w:trPr>
          <w:trHeight w:val="396"/>
        </w:trPr>
        <w:tc>
          <w:tcPr>
            <w:tcW w:w="8200" w:type="dxa"/>
            <w:gridSpan w:val="3"/>
            <w:tcBorders>
              <w:top w:val="nil"/>
              <w:left w:val="nil"/>
              <w:bottom w:val="nil"/>
              <w:right w:val="nil"/>
            </w:tcBorders>
            <w:shd w:val="clear" w:color="auto" w:fill="auto"/>
            <w:noWrap/>
            <w:vAlign w:val="bottom"/>
            <w:hideMark/>
          </w:tcPr>
          <w:p w14:paraId="33058B19" w14:textId="77777777" w:rsidR="00D6095F" w:rsidRPr="00071D0F" w:rsidRDefault="00D6095F" w:rsidP="00D6095F">
            <w:pPr>
              <w:spacing w:before="0" w:after="0" w:line="240" w:lineRule="auto"/>
              <w:jc w:val="left"/>
              <w:rPr>
                <w:rFonts w:eastAsia="Times New Roman"/>
                <w:color w:val="000000"/>
                <w:lang w:bidi="hi-IN"/>
              </w:rPr>
            </w:pPr>
            <w:r w:rsidRPr="00071D0F">
              <w:rPr>
                <w:rFonts w:eastAsia="Times New Roman"/>
                <w:color w:val="000000"/>
                <w:lang w:bidi="hi-IN"/>
              </w:rPr>
              <w:t>Formula = Long-term borrowings / (Long-term borrowings + Equity) x 100</w:t>
            </w:r>
          </w:p>
        </w:tc>
      </w:tr>
      <w:tr w:rsidR="00D6095F" w:rsidRPr="00071D0F" w14:paraId="1B059A11" w14:textId="77777777" w:rsidTr="00D6095F">
        <w:trPr>
          <w:trHeight w:val="312"/>
        </w:trPr>
        <w:tc>
          <w:tcPr>
            <w:tcW w:w="3056" w:type="dxa"/>
            <w:tcBorders>
              <w:top w:val="nil"/>
              <w:left w:val="nil"/>
              <w:bottom w:val="nil"/>
              <w:right w:val="nil"/>
            </w:tcBorders>
            <w:shd w:val="clear" w:color="auto" w:fill="auto"/>
            <w:noWrap/>
            <w:vAlign w:val="bottom"/>
            <w:hideMark/>
          </w:tcPr>
          <w:p w14:paraId="42421019" w14:textId="77777777" w:rsidR="00D6095F" w:rsidRPr="00071D0F" w:rsidRDefault="00D6095F" w:rsidP="00D6095F">
            <w:pPr>
              <w:spacing w:before="0" w:after="0" w:line="240" w:lineRule="auto"/>
              <w:jc w:val="left"/>
              <w:rPr>
                <w:rFonts w:eastAsia="Times New Roman"/>
                <w:color w:val="000000"/>
                <w:lang w:bidi="hi-IN"/>
              </w:rPr>
            </w:pPr>
          </w:p>
        </w:tc>
        <w:tc>
          <w:tcPr>
            <w:tcW w:w="2613" w:type="dxa"/>
            <w:tcBorders>
              <w:top w:val="nil"/>
              <w:left w:val="nil"/>
              <w:bottom w:val="nil"/>
              <w:right w:val="nil"/>
            </w:tcBorders>
            <w:shd w:val="clear" w:color="auto" w:fill="auto"/>
            <w:noWrap/>
            <w:vAlign w:val="bottom"/>
            <w:hideMark/>
          </w:tcPr>
          <w:p w14:paraId="7B705E21" w14:textId="77777777" w:rsidR="00D6095F" w:rsidRPr="00071D0F" w:rsidRDefault="00D6095F" w:rsidP="00D6095F">
            <w:pPr>
              <w:spacing w:before="0" w:after="0" w:line="240" w:lineRule="auto"/>
              <w:jc w:val="left"/>
              <w:rPr>
                <w:rFonts w:eastAsia="Times New Roman"/>
                <w:sz w:val="20"/>
                <w:szCs w:val="20"/>
                <w:lang w:bidi="hi-IN"/>
              </w:rPr>
            </w:pPr>
          </w:p>
        </w:tc>
        <w:tc>
          <w:tcPr>
            <w:tcW w:w="2531" w:type="dxa"/>
            <w:tcBorders>
              <w:top w:val="nil"/>
              <w:left w:val="nil"/>
              <w:bottom w:val="nil"/>
              <w:right w:val="nil"/>
            </w:tcBorders>
            <w:shd w:val="clear" w:color="auto" w:fill="auto"/>
            <w:noWrap/>
            <w:vAlign w:val="bottom"/>
            <w:hideMark/>
          </w:tcPr>
          <w:p w14:paraId="20D80A08" w14:textId="77777777" w:rsidR="00D6095F" w:rsidRPr="00071D0F" w:rsidRDefault="00D6095F" w:rsidP="00D6095F">
            <w:pPr>
              <w:spacing w:before="0" w:after="0" w:line="240" w:lineRule="auto"/>
              <w:jc w:val="left"/>
              <w:rPr>
                <w:rFonts w:eastAsia="Times New Roman"/>
                <w:sz w:val="20"/>
                <w:szCs w:val="20"/>
                <w:lang w:bidi="hi-IN"/>
              </w:rPr>
            </w:pPr>
          </w:p>
        </w:tc>
      </w:tr>
      <w:tr w:rsidR="00D6095F" w:rsidRPr="00071D0F" w14:paraId="733E9FC9" w14:textId="77777777" w:rsidTr="00D6095F">
        <w:trPr>
          <w:trHeight w:val="312"/>
        </w:trPr>
        <w:tc>
          <w:tcPr>
            <w:tcW w:w="30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F44AC1" w14:textId="77777777" w:rsidR="00D6095F" w:rsidRPr="00071D0F" w:rsidRDefault="00D6095F" w:rsidP="00D6095F">
            <w:pPr>
              <w:spacing w:before="0" w:after="0" w:line="240" w:lineRule="auto"/>
              <w:jc w:val="left"/>
              <w:rPr>
                <w:rFonts w:eastAsia="Times New Roman"/>
                <w:color w:val="000000"/>
                <w:lang w:bidi="hi-IN"/>
              </w:rPr>
            </w:pPr>
            <w:r w:rsidRPr="00071D0F">
              <w:rPr>
                <w:rFonts w:eastAsia="Times New Roman"/>
                <w:color w:val="000000"/>
                <w:lang w:bidi="hi-IN"/>
              </w:rPr>
              <w:t> </w:t>
            </w:r>
          </w:p>
        </w:tc>
        <w:tc>
          <w:tcPr>
            <w:tcW w:w="2613" w:type="dxa"/>
            <w:tcBorders>
              <w:top w:val="single" w:sz="4" w:space="0" w:color="auto"/>
              <w:left w:val="nil"/>
              <w:bottom w:val="single" w:sz="4" w:space="0" w:color="auto"/>
              <w:right w:val="single" w:sz="4" w:space="0" w:color="auto"/>
            </w:tcBorders>
            <w:shd w:val="clear" w:color="auto" w:fill="auto"/>
            <w:noWrap/>
            <w:vAlign w:val="bottom"/>
            <w:hideMark/>
          </w:tcPr>
          <w:p w14:paraId="76E49A03" w14:textId="77777777" w:rsidR="00D6095F" w:rsidRPr="00071D0F" w:rsidRDefault="00D6095F" w:rsidP="00D6095F">
            <w:pPr>
              <w:spacing w:before="0" w:after="0" w:line="240" w:lineRule="auto"/>
              <w:jc w:val="center"/>
              <w:rPr>
                <w:rFonts w:eastAsia="Times New Roman"/>
                <w:b/>
                <w:bCs/>
                <w:color w:val="000000"/>
                <w:lang w:bidi="hi-IN"/>
              </w:rPr>
            </w:pPr>
            <w:r w:rsidRPr="00071D0F">
              <w:rPr>
                <w:rFonts w:eastAsia="Times New Roman"/>
                <w:b/>
                <w:bCs/>
                <w:color w:val="000000"/>
                <w:lang w:bidi="hi-IN"/>
              </w:rPr>
              <w:t>2023</w:t>
            </w:r>
          </w:p>
        </w:tc>
        <w:tc>
          <w:tcPr>
            <w:tcW w:w="2531" w:type="dxa"/>
            <w:tcBorders>
              <w:top w:val="single" w:sz="4" w:space="0" w:color="auto"/>
              <w:left w:val="nil"/>
              <w:bottom w:val="single" w:sz="4" w:space="0" w:color="auto"/>
              <w:right w:val="single" w:sz="4" w:space="0" w:color="auto"/>
            </w:tcBorders>
            <w:shd w:val="clear" w:color="auto" w:fill="auto"/>
            <w:noWrap/>
            <w:vAlign w:val="bottom"/>
            <w:hideMark/>
          </w:tcPr>
          <w:p w14:paraId="3AF5655E" w14:textId="77777777" w:rsidR="00D6095F" w:rsidRPr="00071D0F" w:rsidRDefault="00D6095F" w:rsidP="00D6095F">
            <w:pPr>
              <w:spacing w:before="0" w:after="0" w:line="240" w:lineRule="auto"/>
              <w:jc w:val="center"/>
              <w:rPr>
                <w:rFonts w:eastAsia="Times New Roman"/>
                <w:b/>
                <w:bCs/>
                <w:color w:val="000000"/>
                <w:lang w:bidi="hi-IN"/>
              </w:rPr>
            </w:pPr>
            <w:r w:rsidRPr="00071D0F">
              <w:rPr>
                <w:rFonts w:eastAsia="Times New Roman"/>
                <w:b/>
                <w:bCs/>
                <w:color w:val="000000"/>
                <w:lang w:bidi="hi-IN"/>
              </w:rPr>
              <w:t>2024</w:t>
            </w:r>
          </w:p>
        </w:tc>
      </w:tr>
      <w:tr w:rsidR="00D6095F" w:rsidRPr="00071D0F" w14:paraId="31DAE621" w14:textId="77777777" w:rsidTr="00D6095F">
        <w:trPr>
          <w:trHeight w:val="312"/>
        </w:trPr>
        <w:tc>
          <w:tcPr>
            <w:tcW w:w="3056" w:type="dxa"/>
            <w:tcBorders>
              <w:top w:val="nil"/>
              <w:left w:val="single" w:sz="4" w:space="0" w:color="auto"/>
              <w:bottom w:val="single" w:sz="4" w:space="0" w:color="auto"/>
              <w:right w:val="single" w:sz="4" w:space="0" w:color="auto"/>
            </w:tcBorders>
            <w:shd w:val="clear" w:color="auto" w:fill="auto"/>
            <w:noWrap/>
            <w:vAlign w:val="bottom"/>
            <w:hideMark/>
          </w:tcPr>
          <w:p w14:paraId="4484DDA7" w14:textId="77777777" w:rsidR="00D6095F" w:rsidRPr="00071D0F" w:rsidRDefault="00D6095F" w:rsidP="00D6095F">
            <w:pPr>
              <w:spacing w:before="0" w:after="0" w:line="240" w:lineRule="auto"/>
              <w:jc w:val="left"/>
              <w:rPr>
                <w:rFonts w:eastAsia="Times New Roman"/>
                <w:color w:val="000000"/>
                <w:lang w:bidi="hi-IN"/>
              </w:rPr>
            </w:pPr>
            <w:r w:rsidRPr="00071D0F">
              <w:rPr>
                <w:rFonts w:eastAsia="Times New Roman"/>
                <w:color w:val="000000"/>
                <w:lang w:bidi="hi-IN"/>
              </w:rPr>
              <w:t>Long-term borrowings</w:t>
            </w:r>
          </w:p>
        </w:tc>
        <w:tc>
          <w:tcPr>
            <w:tcW w:w="2613" w:type="dxa"/>
            <w:tcBorders>
              <w:top w:val="nil"/>
              <w:left w:val="nil"/>
              <w:bottom w:val="single" w:sz="4" w:space="0" w:color="auto"/>
              <w:right w:val="single" w:sz="4" w:space="0" w:color="auto"/>
            </w:tcBorders>
            <w:shd w:val="clear" w:color="auto" w:fill="auto"/>
            <w:noWrap/>
            <w:vAlign w:val="bottom"/>
            <w:hideMark/>
          </w:tcPr>
          <w:p w14:paraId="38381E6B" w14:textId="77777777" w:rsidR="00D6095F" w:rsidRPr="00071D0F" w:rsidRDefault="00D6095F" w:rsidP="00D6095F">
            <w:pPr>
              <w:spacing w:before="0" w:after="0" w:line="240" w:lineRule="auto"/>
              <w:jc w:val="left"/>
              <w:rPr>
                <w:rFonts w:eastAsia="Times New Roman"/>
                <w:color w:val="000000"/>
                <w:lang w:bidi="hi-IN"/>
              </w:rPr>
            </w:pPr>
            <w:r w:rsidRPr="00071D0F">
              <w:rPr>
                <w:rFonts w:eastAsia="Times New Roman"/>
                <w:color w:val="000000"/>
                <w:lang w:bidi="hi-IN"/>
              </w:rPr>
              <w:t xml:space="preserve">                    93,668 </w:t>
            </w:r>
          </w:p>
        </w:tc>
        <w:tc>
          <w:tcPr>
            <w:tcW w:w="2531" w:type="dxa"/>
            <w:tcBorders>
              <w:top w:val="nil"/>
              <w:left w:val="nil"/>
              <w:bottom w:val="single" w:sz="4" w:space="0" w:color="auto"/>
              <w:right w:val="single" w:sz="4" w:space="0" w:color="auto"/>
            </w:tcBorders>
            <w:shd w:val="clear" w:color="auto" w:fill="auto"/>
            <w:noWrap/>
            <w:vAlign w:val="bottom"/>
            <w:hideMark/>
          </w:tcPr>
          <w:p w14:paraId="5BF3C50A" w14:textId="77777777" w:rsidR="00D6095F" w:rsidRPr="00071D0F" w:rsidRDefault="00D6095F" w:rsidP="00D6095F">
            <w:pPr>
              <w:spacing w:before="0" w:after="0" w:line="240" w:lineRule="auto"/>
              <w:jc w:val="left"/>
              <w:rPr>
                <w:rFonts w:eastAsia="Times New Roman"/>
                <w:color w:val="000000"/>
                <w:lang w:bidi="hi-IN"/>
              </w:rPr>
            </w:pPr>
            <w:r w:rsidRPr="00071D0F">
              <w:rPr>
                <w:rFonts w:eastAsia="Times New Roman"/>
                <w:color w:val="000000"/>
                <w:lang w:bidi="hi-IN"/>
              </w:rPr>
              <w:t xml:space="preserve">                   88,522 </w:t>
            </w:r>
          </w:p>
        </w:tc>
      </w:tr>
      <w:tr w:rsidR="00D6095F" w:rsidRPr="00071D0F" w14:paraId="4B939F3B" w14:textId="77777777" w:rsidTr="00D6095F">
        <w:trPr>
          <w:trHeight w:val="312"/>
        </w:trPr>
        <w:tc>
          <w:tcPr>
            <w:tcW w:w="3056" w:type="dxa"/>
            <w:tcBorders>
              <w:top w:val="nil"/>
              <w:left w:val="single" w:sz="4" w:space="0" w:color="auto"/>
              <w:bottom w:val="single" w:sz="4" w:space="0" w:color="auto"/>
              <w:right w:val="single" w:sz="4" w:space="0" w:color="auto"/>
            </w:tcBorders>
            <w:shd w:val="clear" w:color="auto" w:fill="auto"/>
            <w:noWrap/>
            <w:vAlign w:val="bottom"/>
            <w:hideMark/>
          </w:tcPr>
          <w:p w14:paraId="35BB3D21" w14:textId="77777777" w:rsidR="00D6095F" w:rsidRPr="00071D0F" w:rsidRDefault="00D6095F" w:rsidP="00D6095F">
            <w:pPr>
              <w:spacing w:before="0" w:after="0" w:line="240" w:lineRule="auto"/>
              <w:jc w:val="left"/>
              <w:rPr>
                <w:rFonts w:eastAsia="Times New Roman"/>
                <w:color w:val="000000"/>
                <w:lang w:bidi="hi-IN"/>
              </w:rPr>
            </w:pPr>
            <w:r w:rsidRPr="00071D0F">
              <w:rPr>
                <w:rFonts w:eastAsia="Times New Roman"/>
                <w:color w:val="000000"/>
                <w:lang w:bidi="hi-IN"/>
              </w:rPr>
              <w:t>Equity</w:t>
            </w:r>
          </w:p>
        </w:tc>
        <w:tc>
          <w:tcPr>
            <w:tcW w:w="2613" w:type="dxa"/>
            <w:tcBorders>
              <w:top w:val="nil"/>
              <w:left w:val="nil"/>
              <w:bottom w:val="single" w:sz="4" w:space="0" w:color="auto"/>
              <w:right w:val="single" w:sz="4" w:space="0" w:color="auto"/>
            </w:tcBorders>
            <w:shd w:val="clear" w:color="auto" w:fill="auto"/>
            <w:noWrap/>
            <w:vAlign w:val="bottom"/>
            <w:hideMark/>
          </w:tcPr>
          <w:p w14:paraId="6B24FD38" w14:textId="77777777" w:rsidR="00D6095F" w:rsidRPr="00071D0F" w:rsidRDefault="00D6095F" w:rsidP="00D6095F">
            <w:pPr>
              <w:spacing w:before="0" w:after="0" w:line="240" w:lineRule="auto"/>
              <w:jc w:val="left"/>
              <w:rPr>
                <w:rFonts w:eastAsia="Times New Roman"/>
                <w:color w:val="000000"/>
                <w:lang w:bidi="hi-IN"/>
              </w:rPr>
            </w:pPr>
            <w:r w:rsidRPr="00071D0F">
              <w:rPr>
                <w:rFonts w:eastAsia="Times New Roman"/>
                <w:color w:val="000000"/>
                <w:lang w:bidi="hi-IN"/>
              </w:rPr>
              <w:t xml:space="preserve">                    47,365 </w:t>
            </w:r>
          </w:p>
        </w:tc>
        <w:tc>
          <w:tcPr>
            <w:tcW w:w="2531" w:type="dxa"/>
            <w:tcBorders>
              <w:top w:val="nil"/>
              <w:left w:val="nil"/>
              <w:bottom w:val="single" w:sz="4" w:space="0" w:color="auto"/>
              <w:right w:val="single" w:sz="4" w:space="0" w:color="auto"/>
            </w:tcBorders>
            <w:shd w:val="clear" w:color="auto" w:fill="auto"/>
            <w:noWrap/>
            <w:vAlign w:val="bottom"/>
            <w:hideMark/>
          </w:tcPr>
          <w:p w14:paraId="05132C35" w14:textId="77777777" w:rsidR="00D6095F" w:rsidRPr="00071D0F" w:rsidRDefault="00D6095F" w:rsidP="00D6095F">
            <w:pPr>
              <w:spacing w:before="0" w:after="0" w:line="240" w:lineRule="auto"/>
              <w:jc w:val="left"/>
              <w:rPr>
                <w:rFonts w:eastAsia="Times New Roman"/>
                <w:color w:val="000000"/>
                <w:lang w:bidi="hi-IN"/>
              </w:rPr>
            </w:pPr>
            <w:r w:rsidRPr="00071D0F">
              <w:rPr>
                <w:rFonts w:eastAsia="Times New Roman"/>
                <w:color w:val="000000"/>
                <w:lang w:bidi="hi-IN"/>
              </w:rPr>
              <w:t xml:space="preserve">                   45,888 </w:t>
            </w:r>
          </w:p>
        </w:tc>
      </w:tr>
      <w:tr w:rsidR="00D6095F" w:rsidRPr="00071D0F" w14:paraId="31D7D0DC" w14:textId="77777777" w:rsidTr="00D6095F">
        <w:trPr>
          <w:trHeight w:val="312"/>
        </w:trPr>
        <w:tc>
          <w:tcPr>
            <w:tcW w:w="3056" w:type="dxa"/>
            <w:tcBorders>
              <w:top w:val="nil"/>
              <w:left w:val="single" w:sz="4" w:space="0" w:color="auto"/>
              <w:bottom w:val="single" w:sz="4" w:space="0" w:color="auto"/>
              <w:right w:val="single" w:sz="4" w:space="0" w:color="auto"/>
            </w:tcBorders>
            <w:shd w:val="clear" w:color="auto" w:fill="auto"/>
            <w:noWrap/>
            <w:vAlign w:val="bottom"/>
            <w:hideMark/>
          </w:tcPr>
          <w:p w14:paraId="79507A30" w14:textId="77777777" w:rsidR="00D6095F" w:rsidRPr="00071D0F" w:rsidRDefault="00D6095F" w:rsidP="00D6095F">
            <w:pPr>
              <w:spacing w:before="0" w:after="0" w:line="240" w:lineRule="auto"/>
              <w:jc w:val="left"/>
              <w:rPr>
                <w:rFonts w:eastAsia="Times New Roman"/>
                <w:b/>
                <w:bCs/>
                <w:color w:val="000000"/>
                <w:lang w:bidi="hi-IN"/>
              </w:rPr>
            </w:pPr>
            <w:r w:rsidRPr="00071D0F">
              <w:rPr>
                <w:rFonts w:eastAsia="Times New Roman"/>
                <w:b/>
                <w:bCs/>
                <w:color w:val="000000"/>
                <w:lang w:bidi="hi-IN"/>
              </w:rPr>
              <w:t>Gearing</w:t>
            </w:r>
          </w:p>
        </w:tc>
        <w:tc>
          <w:tcPr>
            <w:tcW w:w="2613" w:type="dxa"/>
            <w:tcBorders>
              <w:top w:val="nil"/>
              <w:left w:val="nil"/>
              <w:bottom w:val="single" w:sz="4" w:space="0" w:color="auto"/>
              <w:right w:val="single" w:sz="4" w:space="0" w:color="auto"/>
            </w:tcBorders>
            <w:shd w:val="clear" w:color="auto" w:fill="auto"/>
            <w:noWrap/>
            <w:vAlign w:val="bottom"/>
            <w:hideMark/>
          </w:tcPr>
          <w:p w14:paraId="1F6C88E3" w14:textId="77777777" w:rsidR="00D6095F" w:rsidRPr="00071D0F" w:rsidRDefault="00D6095F" w:rsidP="00D6095F">
            <w:pPr>
              <w:spacing w:before="0" w:after="0" w:line="240" w:lineRule="auto"/>
              <w:jc w:val="right"/>
              <w:rPr>
                <w:rFonts w:eastAsia="Times New Roman"/>
                <w:b/>
                <w:bCs/>
                <w:color w:val="000000"/>
                <w:lang w:bidi="hi-IN"/>
              </w:rPr>
            </w:pPr>
            <w:r w:rsidRPr="00071D0F">
              <w:rPr>
                <w:rFonts w:eastAsia="Times New Roman"/>
                <w:b/>
                <w:bCs/>
                <w:color w:val="000000"/>
                <w:lang w:bidi="hi-IN"/>
              </w:rPr>
              <w:t>66.42%</w:t>
            </w:r>
          </w:p>
        </w:tc>
        <w:tc>
          <w:tcPr>
            <w:tcW w:w="2531" w:type="dxa"/>
            <w:tcBorders>
              <w:top w:val="nil"/>
              <w:left w:val="nil"/>
              <w:bottom w:val="single" w:sz="4" w:space="0" w:color="auto"/>
              <w:right w:val="single" w:sz="4" w:space="0" w:color="auto"/>
            </w:tcBorders>
            <w:shd w:val="clear" w:color="auto" w:fill="auto"/>
            <w:noWrap/>
            <w:vAlign w:val="bottom"/>
            <w:hideMark/>
          </w:tcPr>
          <w:p w14:paraId="21CC3346" w14:textId="77777777" w:rsidR="00D6095F" w:rsidRPr="00071D0F" w:rsidRDefault="00D6095F" w:rsidP="00D6095F">
            <w:pPr>
              <w:spacing w:before="0" w:after="0" w:line="240" w:lineRule="auto"/>
              <w:jc w:val="right"/>
              <w:rPr>
                <w:rFonts w:eastAsia="Times New Roman"/>
                <w:b/>
                <w:bCs/>
                <w:color w:val="000000"/>
                <w:lang w:bidi="hi-IN"/>
              </w:rPr>
            </w:pPr>
            <w:r w:rsidRPr="00071D0F">
              <w:rPr>
                <w:rFonts w:eastAsia="Times New Roman"/>
                <w:b/>
                <w:bCs/>
                <w:color w:val="000000"/>
                <w:lang w:bidi="hi-IN"/>
              </w:rPr>
              <w:t>65.86%</w:t>
            </w:r>
          </w:p>
        </w:tc>
      </w:tr>
    </w:tbl>
    <w:p w14:paraId="3F7445E3" w14:textId="77777777" w:rsidR="00163DE5" w:rsidRPr="00071D0F" w:rsidRDefault="00D6095F" w:rsidP="00D6095F">
      <w:pPr>
        <w:jc w:val="center"/>
      </w:pPr>
      <w:r w:rsidRPr="00071D0F">
        <w:t>(Source: Appendix 2)</w:t>
      </w:r>
    </w:p>
    <w:p w14:paraId="6AA9F79E" w14:textId="77777777" w:rsidR="000D295F" w:rsidRPr="00071D0F" w:rsidRDefault="003F3FB8" w:rsidP="000D295F">
      <w:r w:rsidRPr="00071D0F">
        <w:rPr>
          <w:b/>
          <w:bCs/>
        </w:rPr>
        <w:lastRenderedPageBreak/>
        <w:t>Interpretation</w:t>
      </w:r>
      <w:r w:rsidRPr="00071D0F">
        <w:br/>
      </w:r>
      <w:r w:rsidR="000D295F" w:rsidRPr="00071D0F">
        <w:t xml:space="preserve">The gearing ratio has risen just a few points, from 66.4% in 2023 to 65.9% in 2024, implying that around two-thirds of the company's long-term funds still come from debt. This slight decrease came about because of some loan repayments (decreased by 5,146) and an equal effect from the shrinking of equity (decreased by £1,477 million) possibly due to dividends or losses. With borrowing at this level, companies could lose profits to interest charges while lenders could impose stricter terms. If short-term debt is also counted in or lease obligations are added, the actual debt level may be way higher. </w:t>
      </w:r>
    </w:p>
    <w:p w14:paraId="158D66A8" w14:textId="77777777" w:rsidR="000D295F" w:rsidRPr="00071D0F" w:rsidRDefault="000D295F" w:rsidP="000D295F">
      <w:pPr>
        <w:rPr>
          <w:b/>
          <w:bCs/>
        </w:rPr>
      </w:pPr>
      <w:r w:rsidRPr="00071D0F">
        <w:rPr>
          <w:b/>
          <w:bCs/>
        </w:rPr>
        <w:t>Recommendation</w:t>
      </w:r>
    </w:p>
    <w:p w14:paraId="6CA7F0FA" w14:textId="77777777" w:rsidR="00D6095F" w:rsidRPr="00071D0F" w:rsidRDefault="000D295F" w:rsidP="000D295F">
      <w:r w:rsidRPr="00071D0F">
        <w:t>The company can gear down by using some extra cash (say excess working capital) to diminish loans, suspending payouts of non-essential dividends, and either selling off unused assets or partnering for funding of new projects rather than borrowing outright.</w:t>
      </w:r>
    </w:p>
    <w:p w14:paraId="01D49EA3" w14:textId="77777777" w:rsidR="008234C3" w:rsidRPr="00071D0F" w:rsidRDefault="008234C3" w:rsidP="008234C3">
      <w:pPr>
        <w:pStyle w:val="Heading2"/>
      </w:pPr>
      <w:bookmarkStart w:id="5" w:name="_Toc203668415"/>
      <w:r w:rsidRPr="00071D0F">
        <w:t>Investor Analysis</w:t>
      </w:r>
      <w:bookmarkEnd w:id="5"/>
    </w:p>
    <w:p w14:paraId="54D67169" w14:textId="77777777" w:rsidR="00D55AEE" w:rsidRPr="00071D0F" w:rsidRDefault="000D295F" w:rsidP="00D55AEE">
      <w:r w:rsidRPr="00071D0F">
        <w:t>The valuation and returns potential of a stock and its growth over time are measured using investor ratios like P/E, dividend yield, and EPS (Mathur &amp; Rangarajan, 2015). Investor ratios allow for inter-firm or inter-sector comparisons and are considered while deciding whether to buy, hold, or sell and constructing a portfolio. These ratios show how well the firm has been performing, help with strategic planning, risk preparation, capital allocation, and setting up long-term goals (Brigham &amp; Ehrhardt, 2024).</w:t>
      </w:r>
    </w:p>
    <w:p w14:paraId="41C9AAB4" w14:textId="77777777" w:rsidR="00D55AEE" w:rsidRPr="00071D0F" w:rsidRDefault="00D55AEE" w:rsidP="008234C3">
      <w:r w:rsidRPr="00071D0F">
        <w:t>Calculation of Investor ratio:</w:t>
      </w:r>
    </w:p>
    <w:tbl>
      <w:tblPr>
        <w:tblW w:w="8200" w:type="dxa"/>
        <w:tblLook w:val="04A0" w:firstRow="1" w:lastRow="0" w:firstColumn="1" w:lastColumn="0" w:noHBand="0" w:noVBand="1"/>
      </w:tblPr>
      <w:tblGrid>
        <w:gridCol w:w="3799"/>
        <w:gridCol w:w="2236"/>
        <w:gridCol w:w="2165"/>
      </w:tblGrid>
      <w:tr w:rsidR="00D55AEE" w:rsidRPr="00071D0F" w14:paraId="4244A3C5" w14:textId="77777777" w:rsidTr="00D55AEE">
        <w:trPr>
          <w:trHeight w:val="312"/>
        </w:trPr>
        <w:tc>
          <w:tcPr>
            <w:tcW w:w="8200" w:type="dxa"/>
            <w:gridSpan w:val="3"/>
            <w:tcBorders>
              <w:top w:val="nil"/>
              <w:left w:val="nil"/>
              <w:bottom w:val="nil"/>
              <w:right w:val="nil"/>
            </w:tcBorders>
            <w:shd w:val="clear" w:color="auto" w:fill="auto"/>
            <w:noWrap/>
            <w:vAlign w:val="bottom"/>
            <w:hideMark/>
          </w:tcPr>
          <w:p w14:paraId="70A698E6"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Earnings per share (EPS)</w:t>
            </w:r>
          </w:p>
        </w:tc>
      </w:tr>
      <w:tr w:rsidR="00D55AEE" w:rsidRPr="00071D0F" w14:paraId="13437790" w14:textId="77777777" w:rsidTr="00D55AEE">
        <w:trPr>
          <w:trHeight w:val="312"/>
        </w:trPr>
        <w:tc>
          <w:tcPr>
            <w:tcW w:w="8200" w:type="dxa"/>
            <w:gridSpan w:val="3"/>
            <w:tcBorders>
              <w:top w:val="nil"/>
              <w:left w:val="nil"/>
              <w:bottom w:val="nil"/>
              <w:right w:val="nil"/>
            </w:tcBorders>
            <w:shd w:val="clear" w:color="auto" w:fill="auto"/>
            <w:noWrap/>
            <w:vAlign w:val="bottom"/>
            <w:hideMark/>
          </w:tcPr>
          <w:p w14:paraId="5E4B8BEA"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Formula = Profit after interest and tax / No of ordinary shares issued</w:t>
            </w:r>
          </w:p>
        </w:tc>
      </w:tr>
      <w:tr w:rsidR="00D55AEE" w:rsidRPr="00071D0F" w14:paraId="368DFC63" w14:textId="77777777" w:rsidTr="00D55AEE">
        <w:trPr>
          <w:trHeight w:val="312"/>
        </w:trPr>
        <w:tc>
          <w:tcPr>
            <w:tcW w:w="3799" w:type="dxa"/>
            <w:tcBorders>
              <w:top w:val="nil"/>
              <w:left w:val="nil"/>
              <w:bottom w:val="nil"/>
              <w:right w:val="nil"/>
            </w:tcBorders>
            <w:shd w:val="clear" w:color="auto" w:fill="auto"/>
            <w:noWrap/>
            <w:vAlign w:val="bottom"/>
            <w:hideMark/>
          </w:tcPr>
          <w:p w14:paraId="1E4E83D7" w14:textId="77777777" w:rsidR="00D55AEE" w:rsidRPr="00071D0F" w:rsidRDefault="00D55AEE" w:rsidP="00D55AEE">
            <w:pPr>
              <w:spacing w:before="0" w:after="0" w:line="240" w:lineRule="auto"/>
              <w:jc w:val="left"/>
              <w:rPr>
                <w:rFonts w:eastAsia="Times New Roman"/>
                <w:color w:val="000000"/>
                <w:lang w:bidi="hi-IN"/>
              </w:rPr>
            </w:pPr>
          </w:p>
        </w:tc>
        <w:tc>
          <w:tcPr>
            <w:tcW w:w="2236" w:type="dxa"/>
            <w:tcBorders>
              <w:top w:val="nil"/>
              <w:left w:val="nil"/>
              <w:bottom w:val="nil"/>
              <w:right w:val="nil"/>
            </w:tcBorders>
            <w:shd w:val="clear" w:color="auto" w:fill="auto"/>
            <w:noWrap/>
            <w:vAlign w:val="bottom"/>
            <w:hideMark/>
          </w:tcPr>
          <w:p w14:paraId="45248F3E" w14:textId="77777777" w:rsidR="00D55AEE" w:rsidRPr="00071D0F" w:rsidRDefault="00D55AEE" w:rsidP="00D55AEE">
            <w:pPr>
              <w:spacing w:before="0" w:after="0" w:line="240" w:lineRule="auto"/>
              <w:jc w:val="left"/>
              <w:rPr>
                <w:rFonts w:eastAsia="Times New Roman"/>
                <w:sz w:val="20"/>
                <w:szCs w:val="20"/>
                <w:lang w:bidi="hi-IN"/>
              </w:rPr>
            </w:pPr>
          </w:p>
        </w:tc>
        <w:tc>
          <w:tcPr>
            <w:tcW w:w="2165" w:type="dxa"/>
            <w:tcBorders>
              <w:top w:val="nil"/>
              <w:left w:val="nil"/>
              <w:bottom w:val="nil"/>
              <w:right w:val="nil"/>
            </w:tcBorders>
            <w:shd w:val="clear" w:color="auto" w:fill="auto"/>
            <w:noWrap/>
            <w:vAlign w:val="bottom"/>
            <w:hideMark/>
          </w:tcPr>
          <w:p w14:paraId="269829F2"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6A98C089" w14:textId="77777777" w:rsidTr="00D55AEE">
        <w:trPr>
          <w:trHeight w:val="312"/>
        </w:trPr>
        <w:tc>
          <w:tcPr>
            <w:tcW w:w="3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1822C8"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w:t>
            </w:r>
          </w:p>
        </w:tc>
        <w:tc>
          <w:tcPr>
            <w:tcW w:w="2236" w:type="dxa"/>
            <w:tcBorders>
              <w:top w:val="single" w:sz="4" w:space="0" w:color="auto"/>
              <w:left w:val="nil"/>
              <w:bottom w:val="single" w:sz="4" w:space="0" w:color="auto"/>
              <w:right w:val="single" w:sz="4" w:space="0" w:color="auto"/>
            </w:tcBorders>
            <w:shd w:val="clear" w:color="auto" w:fill="auto"/>
            <w:noWrap/>
            <w:vAlign w:val="bottom"/>
            <w:hideMark/>
          </w:tcPr>
          <w:p w14:paraId="38FB0AB4" w14:textId="77777777" w:rsidR="00D55AEE" w:rsidRPr="00071D0F" w:rsidRDefault="00D55AEE" w:rsidP="00D55AEE">
            <w:pPr>
              <w:spacing w:before="0" w:after="0" w:line="240" w:lineRule="auto"/>
              <w:jc w:val="center"/>
              <w:rPr>
                <w:rFonts w:eastAsia="Times New Roman"/>
                <w:b/>
                <w:bCs/>
                <w:color w:val="000000"/>
                <w:lang w:bidi="hi-IN"/>
              </w:rPr>
            </w:pPr>
            <w:r w:rsidRPr="00071D0F">
              <w:rPr>
                <w:rFonts w:eastAsia="Times New Roman"/>
                <w:b/>
                <w:bCs/>
                <w:color w:val="000000"/>
                <w:lang w:bidi="hi-IN"/>
              </w:rPr>
              <w:t>2023</w:t>
            </w:r>
          </w:p>
        </w:tc>
        <w:tc>
          <w:tcPr>
            <w:tcW w:w="2165" w:type="dxa"/>
            <w:tcBorders>
              <w:top w:val="single" w:sz="4" w:space="0" w:color="auto"/>
              <w:left w:val="nil"/>
              <w:bottom w:val="single" w:sz="4" w:space="0" w:color="auto"/>
              <w:right w:val="single" w:sz="4" w:space="0" w:color="auto"/>
            </w:tcBorders>
            <w:shd w:val="clear" w:color="auto" w:fill="auto"/>
            <w:noWrap/>
            <w:vAlign w:val="bottom"/>
            <w:hideMark/>
          </w:tcPr>
          <w:p w14:paraId="11D67024" w14:textId="77777777" w:rsidR="00D55AEE" w:rsidRPr="00071D0F" w:rsidRDefault="00D55AEE" w:rsidP="00D55AEE">
            <w:pPr>
              <w:spacing w:before="0" w:after="0" w:line="240" w:lineRule="auto"/>
              <w:jc w:val="center"/>
              <w:rPr>
                <w:rFonts w:eastAsia="Times New Roman"/>
                <w:b/>
                <w:bCs/>
                <w:color w:val="000000"/>
                <w:lang w:bidi="hi-IN"/>
              </w:rPr>
            </w:pPr>
            <w:r w:rsidRPr="00071D0F">
              <w:rPr>
                <w:rFonts w:eastAsia="Times New Roman"/>
                <w:b/>
                <w:bCs/>
                <w:color w:val="000000"/>
                <w:lang w:bidi="hi-IN"/>
              </w:rPr>
              <w:t>2024</w:t>
            </w:r>
          </w:p>
        </w:tc>
      </w:tr>
      <w:tr w:rsidR="00D55AEE" w:rsidRPr="00071D0F" w14:paraId="034733A7"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011F2F1A"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Profit after interest and tax</w:t>
            </w:r>
          </w:p>
        </w:tc>
        <w:tc>
          <w:tcPr>
            <w:tcW w:w="2236" w:type="dxa"/>
            <w:tcBorders>
              <w:top w:val="nil"/>
              <w:left w:val="nil"/>
              <w:bottom w:val="single" w:sz="4" w:space="0" w:color="auto"/>
              <w:right w:val="single" w:sz="4" w:space="0" w:color="auto"/>
            </w:tcBorders>
            <w:shd w:val="clear" w:color="auto" w:fill="auto"/>
            <w:noWrap/>
            <w:vAlign w:val="bottom"/>
            <w:hideMark/>
          </w:tcPr>
          <w:p w14:paraId="245E9811"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5,518 </w:t>
            </w:r>
          </w:p>
        </w:tc>
        <w:tc>
          <w:tcPr>
            <w:tcW w:w="2165" w:type="dxa"/>
            <w:tcBorders>
              <w:top w:val="nil"/>
              <w:left w:val="nil"/>
              <w:bottom w:val="single" w:sz="4" w:space="0" w:color="auto"/>
              <w:right w:val="single" w:sz="4" w:space="0" w:color="auto"/>
            </w:tcBorders>
            <w:shd w:val="clear" w:color="auto" w:fill="auto"/>
            <w:noWrap/>
            <w:vAlign w:val="bottom"/>
            <w:hideMark/>
          </w:tcPr>
          <w:p w14:paraId="5BFC90AD"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4,477 </w:t>
            </w:r>
          </w:p>
        </w:tc>
      </w:tr>
      <w:tr w:rsidR="00D55AEE" w:rsidRPr="00071D0F" w14:paraId="59201CB2"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5D952D96"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No of ordinary shares issued</w:t>
            </w:r>
          </w:p>
        </w:tc>
        <w:tc>
          <w:tcPr>
            <w:tcW w:w="2236" w:type="dxa"/>
            <w:tcBorders>
              <w:top w:val="nil"/>
              <w:left w:val="nil"/>
              <w:bottom w:val="single" w:sz="4" w:space="0" w:color="auto"/>
              <w:right w:val="single" w:sz="4" w:space="0" w:color="auto"/>
            </w:tcBorders>
            <w:shd w:val="clear" w:color="auto" w:fill="auto"/>
            <w:noWrap/>
            <w:vAlign w:val="bottom"/>
            <w:hideMark/>
          </w:tcPr>
          <w:p w14:paraId="3F02BBDF"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62,413 </w:t>
            </w:r>
          </w:p>
        </w:tc>
        <w:tc>
          <w:tcPr>
            <w:tcW w:w="2165" w:type="dxa"/>
            <w:tcBorders>
              <w:top w:val="nil"/>
              <w:left w:val="nil"/>
              <w:bottom w:val="single" w:sz="4" w:space="0" w:color="auto"/>
              <w:right w:val="single" w:sz="4" w:space="0" w:color="auto"/>
            </w:tcBorders>
            <w:shd w:val="clear" w:color="auto" w:fill="auto"/>
            <w:noWrap/>
            <w:vAlign w:val="bottom"/>
            <w:hideMark/>
          </w:tcPr>
          <w:p w14:paraId="66EE2576"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61,584 </w:t>
            </w:r>
          </w:p>
        </w:tc>
      </w:tr>
      <w:tr w:rsidR="00D55AEE" w:rsidRPr="00071D0F" w14:paraId="616FDFDD"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3FF9CA08"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EPS</w:t>
            </w:r>
          </w:p>
        </w:tc>
        <w:tc>
          <w:tcPr>
            <w:tcW w:w="2236" w:type="dxa"/>
            <w:tcBorders>
              <w:top w:val="nil"/>
              <w:left w:val="nil"/>
              <w:bottom w:val="single" w:sz="4" w:space="0" w:color="auto"/>
              <w:right w:val="single" w:sz="4" w:space="0" w:color="auto"/>
            </w:tcBorders>
            <w:shd w:val="clear" w:color="auto" w:fill="auto"/>
            <w:noWrap/>
            <w:vAlign w:val="bottom"/>
            <w:hideMark/>
          </w:tcPr>
          <w:p w14:paraId="6CC867ED"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 xml:space="preserve">                        0.09 </w:t>
            </w:r>
          </w:p>
        </w:tc>
        <w:tc>
          <w:tcPr>
            <w:tcW w:w="2165" w:type="dxa"/>
            <w:tcBorders>
              <w:top w:val="nil"/>
              <w:left w:val="nil"/>
              <w:bottom w:val="single" w:sz="4" w:space="0" w:color="auto"/>
              <w:right w:val="single" w:sz="4" w:space="0" w:color="auto"/>
            </w:tcBorders>
            <w:shd w:val="clear" w:color="auto" w:fill="auto"/>
            <w:noWrap/>
            <w:vAlign w:val="bottom"/>
            <w:hideMark/>
          </w:tcPr>
          <w:p w14:paraId="5F47D2D3"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 xml:space="preserve">                       0.07 </w:t>
            </w:r>
          </w:p>
        </w:tc>
      </w:tr>
      <w:tr w:rsidR="00D55AEE" w:rsidRPr="00071D0F" w14:paraId="28DC9237" w14:textId="77777777" w:rsidTr="00D55AEE">
        <w:trPr>
          <w:trHeight w:val="312"/>
        </w:trPr>
        <w:tc>
          <w:tcPr>
            <w:tcW w:w="3799" w:type="dxa"/>
            <w:tcBorders>
              <w:top w:val="nil"/>
              <w:left w:val="nil"/>
              <w:bottom w:val="nil"/>
              <w:right w:val="nil"/>
            </w:tcBorders>
            <w:shd w:val="clear" w:color="auto" w:fill="auto"/>
            <w:noWrap/>
            <w:vAlign w:val="bottom"/>
            <w:hideMark/>
          </w:tcPr>
          <w:p w14:paraId="1BEBFAC1" w14:textId="77777777" w:rsidR="00D55AEE" w:rsidRPr="00071D0F" w:rsidRDefault="00D55AEE" w:rsidP="00D55AEE">
            <w:pPr>
              <w:spacing w:before="0" w:after="0" w:line="240" w:lineRule="auto"/>
              <w:jc w:val="left"/>
              <w:rPr>
                <w:rFonts w:eastAsia="Times New Roman"/>
                <w:b/>
                <w:bCs/>
                <w:color w:val="000000"/>
                <w:lang w:bidi="hi-IN"/>
              </w:rPr>
            </w:pPr>
          </w:p>
        </w:tc>
        <w:tc>
          <w:tcPr>
            <w:tcW w:w="2236" w:type="dxa"/>
            <w:tcBorders>
              <w:top w:val="nil"/>
              <w:left w:val="nil"/>
              <w:bottom w:val="nil"/>
              <w:right w:val="nil"/>
            </w:tcBorders>
            <w:shd w:val="clear" w:color="auto" w:fill="auto"/>
            <w:noWrap/>
            <w:vAlign w:val="bottom"/>
            <w:hideMark/>
          </w:tcPr>
          <w:p w14:paraId="46FF6CF2" w14:textId="77777777" w:rsidR="00D55AEE" w:rsidRPr="00071D0F" w:rsidRDefault="00D55AEE" w:rsidP="00D55AEE">
            <w:pPr>
              <w:spacing w:before="0" w:after="0" w:line="240" w:lineRule="auto"/>
              <w:jc w:val="left"/>
              <w:rPr>
                <w:rFonts w:eastAsia="Times New Roman"/>
                <w:sz w:val="20"/>
                <w:szCs w:val="20"/>
                <w:lang w:bidi="hi-IN"/>
              </w:rPr>
            </w:pPr>
          </w:p>
        </w:tc>
        <w:tc>
          <w:tcPr>
            <w:tcW w:w="2165" w:type="dxa"/>
            <w:tcBorders>
              <w:top w:val="nil"/>
              <w:left w:val="nil"/>
              <w:bottom w:val="nil"/>
              <w:right w:val="nil"/>
            </w:tcBorders>
            <w:shd w:val="clear" w:color="auto" w:fill="auto"/>
            <w:noWrap/>
            <w:vAlign w:val="bottom"/>
            <w:hideMark/>
          </w:tcPr>
          <w:p w14:paraId="5003478B"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2F7C466B" w14:textId="77777777" w:rsidTr="00D55AEE">
        <w:trPr>
          <w:trHeight w:val="312"/>
        </w:trPr>
        <w:tc>
          <w:tcPr>
            <w:tcW w:w="3799" w:type="dxa"/>
            <w:tcBorders>
              <w:top w:val="nil"/>
              <w:left w:val="nil"/>
              <w:bottom w:val="nil"/>
              <w:right w:val="nil"/>
            </w:tcBorders>
            <w:shd w:val="clear" w:color="auto" w:fill="auto"/>
            <w:noWrap/>
            <w:vAlign w:val="bottom"/>
            <w:hideMark/>
          </w:tcPr>
          <w:p w14:paraId="30E1FEFB"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Dividend Cover</w:t>
            </w:r>
          </w:p>
        </w:tc>
        <w:tc>
          <w:tcPr>
            <w:tcW w:w="2236" w:type="dxa"/>
            <w:tcBorders>
              <w:top w:val="nil"/>
              <w:left w:val="nil"/>
              <w:bottom w:val="nil"/>
              <w:right w:val="nil"/>
            </w:tcBorders>
            <w:shd w:val="clear" w:color="auto" w:fill="auto"/>
            <w:noWrap/>
            <w:vAlign w:val="bottom"/>
            <w:hideMark/>
          </w:tcPr>
          <w:p w14:paraId="68FFA318" w14:textId="77777777" w:rsidR="00D55AEE" w:rsidRPr="00071D0F" w:rsidRDefault="00D55AEE" w:rsidP="00D55AEE">
            <w:pPr>
              <w:spacing w:before="0" w:after="0" w:line="240" w:lineRule="auto"/>
              <w:jc w:val="left"/>
              <w:rPr>
                <w:rFonts w:eastAsia="Times New Roman"/>
                <w:color w:val="000000"/>
                <w:lang w:bidi="hi-IN"/>
              </w:rPr>
            </w:pPr>
          </w:p>
        </w:tc>
        <w:tc>
          <w:tcPr>
            <w:tcW w:w="2165" w:type="dxa"/>
            <w:tcBorders>
              <w:top w:val="nil"/>
              <w:left w:val="nil"/>
              <w:bottom w:val="nil"/>
              <w:right w:val="nil"/>
            </w:tcBorders>
            <w:shd w:val="clear" w:color="auto" w:fill="auto"/>
            <w:noWrap/>
            <w:vAlign w:val="bottom"/>
            <w:hideMark/>
          </w:tcPr>
          <w:p w14:paraId="3220CD99"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06CBEDEF" w14:textId="77777777" w:rsidTr="00D55AEE">
        <w:trPr>
          <w:trHeight w:val="312"/>
        </w:trPr>
        <w:tc>
          <w:tcPr>
            <w:tcW w:w="6035" w:type="dxa"/>
            <w:gridSpan w:val="2"/>
            <w:tcBorders>
              <w:top w:val="nil"/>
              <w:left w:val="nil"/>
              <w:bottom w:val="nil"/>
              <w:right w:val="nil"/>
            </w:tcBorders>
            <w:shd w:val="clear" w:color="auto" w:fill="auto"/>
            <w:noWrap/>
            <w:vAlign w:val="bottom"/>
            <w:hideMark/>
          </w:tcPr>
          <w:p w14:paraId="4DA6368F"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Formula = Profit after interest and tax / Dividend paid</w:t>
            </w:r>
          </w:p>
        </w:tc>
        <w:tc>
          <w:tcPr>
            <w:tcW w:w="2165" w:type="dxa"/>
            <w:tcBorders>
              <w:top w:val="nil"/>
              <w:left w:val="nil"/>
              <w:bottom w:val="nil"/>
              <w:right w:val="nil"/>
            </w:tcBorders>
            <w:shd w:val="clear" w:color="auto" w:fill="auto"/>
            <w:noWrap/>
            <w:vAlign w:val="bottom"/>
            <w:hideMark/>
          </w:tcPr>
          <w:p w14:paraId="7C87F4EC" w14:textId="77777777" w:rsidR="00D55AEE" w:rsidRPr="00071D0F" w:rsidRDefault="00D55AEE" w:rsidP="00D55AEE">
            <w:pPr>
              <w:spacing w:before="0" w:after="0" w:line="240" w:lineRule="auto"/>
              <w:jc w:val="left"/>
              <w:rPr>
                <w:rFonts w:eastAsia="Times New Roman"/>
                <w:color w:val="000000"/>
                <w:lang w:bidi="hi-IN"/>
              </w:rPr>
            </w:pPr>
          </w:p>
        </w:tc>
      </w:tr>
      <w:tr w:rsidR="00D55AEE" w:rsidRPr="00071D0F" w14:paraId="0DE8D41E" w14:textId="77777777" w:rsidTr="00D55AEE">
        <w:trPr>
          <w:trHeight w:val="312"/>
        </w:trPr>
        <w:tc>
          <w:tcPr>
            <w:tcW w:w="3799" w:type="dxa"/>
            <w:tcBorders>
              <w:top w:val="nil"/>
              <w:left w:val="nil"/>
              <w:bottom w:val="nil"/>
              <w:right w:val="nil"/>
            </w:tcBorders>
            <w:shd w:val="clear" w:color="auto" w:fill="auto"/>
            <w:noWrap/>
            <w:vAlign w:val="bottom"/>
            <w:hideMark/>
          </w:tcPr>
          <w:p w14:paraId="5873A863" w14:textId="77777777" w:rsidR="00D55AEE" w:rsidRPr="00071D0F" w:rsidRDefault="00D55AEE" w:rsidP="00D55AEE">
            <w:pPr>
              <w:spacing w:before="0" w:after="0" w:line="240" w:lineRule="auto"/>
              <w:jc w:val="left"/>
              <w:rPr>
                <w:rFonts w:eastAsia="Times New Roman"/>
                <w:sz w:val="20"/>
                <w:szCs w:val="20"/>
                <w:lang w:bidi="hi-IN"/>
              </w:rPr>
            </w:pPr>
          </w:p>
        </w:tc>
        <w:tc>
          <w:tcPr>
            <w:tcW w:w="2236" w:type="dxa"/>
            <w:tcBorders>
              <w:top w:val="nil"/>
              <w:left w:val="nil"/>
              <w:bottom w:val="nil"/>
              <w:right w:val="nil"/>
            </w:tcBorders>
            <w:shd w:val="clear" w:color="auto" w:fill="auto"/>
            <w:noWrap/>
            <w:vAlign w:val="bottom"/>
            <w:hideMark/>
          </w:tcPr>
          <w:p w14:paraId="680FD181" w14:textId="77777777" w:rsidR="00D55AEE" w:rsidRPr="00071D0F" w:rsidRDefault="00D55AEE" w:rsidP="00D55AEE">
            <w:pPr>
              <w:spacing w:before="0" w:after="0" w:line="240" w:lineRule="auto"/>
              <w:jc w:val="left"/>
              <w:rPr>
                <w:rFonts w:eastAsia="Times New Roman"/>
                <w:sz w:val="20"/>
                <w:szCs w:val="20"/>
                <w:lang w:bidi="hi-IN"/>
              </w:rPr>
            </w:pPr>
          </w:p>
        </w:tc>
        <w:tc>
          <w:tcPr>
            <w:tcW w:w="2165" w:type="dxa"/>
            <w:tcBorders>
              <w:top w:val="nil"/>
              <w:left w:val="nil"/>
              <w:bottom w:val="nil"/>
              <w:right w:val="nil"/>
            </w:tcBorders>
            <w:shd w:val="clear" w:color="auto" w:fill="auto"/>
            <w:noWrap/>
            <w:vAlign w:val="bottom"/>
            <w:hideMark/>
          </w:tcPr>
          <w:p w14:paraId="41E51F26"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2986D06B" w14:textId="77777777" w:rsidTr="00D55AEE">
        <w:trPr>
          <w:trHeight w:val="312"/>
        </w:trPr>
        <w:tc>
          <w:tcPr>
            <w:tcW w:w="3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1E382C"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w:t>
            </w:r>
          </w:p>
        </w:tc>
        <w:tc>
          <w:tcPr>
            <w:tcW w:w="2236" w:type="dxa"/>
            <w:tcBorders>
              <w:top w:val="single" w:sz="4" w:space="0" w:color="auto"/>
              <w:left w:val="nil"/>
              <w:bottom w:val="single" w:sz="4" w:space="0" w:color="auto"/>
              <w:right w:val="single" w:sz="4" w:space="0" w:color="auto"/>
            </w:tcBorders>
            <w:shd w:val="clear" w:color="auto" w:fill="auto"/>
            <w:noWrap/>
            <w:vAlign w:val="bottom"/>
            <w:hideMark/>
          </w:tcPr>
          <w:p w14:paraId="7A5DCF71" w14:textId="77777777" w:rsidR="00D55AEE" w:rsidRPr="00071D0F" w:rsidRDefault="00D55AEE" w:rsidP="00D55AEE">
            <w:pPr>
              <w:spacing w:before="0" w:after="0" w:line="240" w:lineRule="auto"/>
              <w:jc w:val="center"/>
              <w:rPr>
                <w:rFonts w:eastAsia="Times New Roman"/>
                <w:b/>
                <w:bCs/>
                <w:color w:val="000000"/>
                <w:lang w:bidi="hi-IN"/>
              </w:rPr>
            </w:pPr>
            <w:r w:rsidRPr="00071D0F">
              <w:rPr>
                <w:rFonts w:eastAsia="Times New Roman"/>
                <w:b/>
                <w:bCs/>
                <w:color w:val="000000"/>
                <w:lang w:bidi="hi-IN"/>
              </w:rPr>
              <w:t>2023</w:t>
            </w:r>
          </w:p>
        </w:tc>
        <w:tc>
          <w:tcPr>
            <w:tcW w:w="2165" w:type="dxa"/>
            <w:tcBorders>
              <w:top w:val="single" w:sz="4" w:space="0" w:color="auto"/>
              <w:left w:val="nil"/>
              <w:bottom w:val="single" w:sz="4" w:space="0" w:color="auto"/>
              <w:right w:val="single" w:sz="4" w:space="0" w:color="auto"/>
            </w:tcBorders>
            <w:shd w:val="clear" w:color="auto" w:fill="auto"/>
            <w:noWrap/>
            <w:vAlign w:val="bottom"/>
            <w:hideMark/>
          </w:tcPr>
          <w:p w14:paraId="7BEC0B9F" w14:textId="77777777" w:rsidR="00D55AEE" w:rsidRPr="00071D0F" w:rsidRDefault="00D55AEE" w:rsidP="00D55AEE">
            <w:pPr>
              <w:spacing w:before="0" w:after="0" w:line="240" w:lineRule="auto"/>
              <w:jc w:val="center"/>
              <w:rPr>
                <w:rFonts w:eastAsia="Times New Roman"/>
                <w:b/>
                <w:bCs/>
                <w:color w:val="000000"/>
                <w:lang w:bidi="hi-IN"/>
              </w:rPr>
            </w:pPr>
            <w:r w:rsidRPr="00071D0F">
              <w:rPr>
                <w:rFonts w:eastAsia="Times New Roman"/>
                <w:b/>
                <w:bCs/>
                <w:color w:val="000000"/>
                <w:lang w:bidi="hi-IN"/>
              </w:rPr>
              <w:t>2024</w:t>
            </w:r>
          </w:p>
        </w:tc>
      </w:tr>
      <w:tr w:rsidR="00D55AEE" w:rsidRPr="00071D0F" w14:paraId="6A97A101"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33F663E0"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Profit after interest and tax</w:t>
            </w:r>
          </w:p>
        </w:tc>
        <w:tc>
          <w:tcPr>
            <w:tcW w:w="2236" w:type="dxa"/>
            <w:tcBorders>
              <w:top w:val="nil"/>
              <w:left w:val="nil"/>
              <w:bottom w:val="single" w:sz="4" w:space="0" w:color="auto"/>
              <w:right w:val="single" w:sz="4" w:space="0" w:color="auto"/>
            </w:tcBorders>
            <w:shd w:val="clear" w:color="auto" w:fill="auto"/>
            <w:noWrap/>
            <w:vAlign w:val="bottom"/>
            <w:hideMark/>
          </w:tcPr>
          <w:p w14:paraId="0E625B66"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5,518 </w:t>
            </w:r>
          </w:p>
        </w:tc>
        <w:tc>
          <w:tcPr>
            <w:tcW w:w="2165" w:type="dxa"/>
            <w:tcBorders>
              <w:top w:val="nil"/>
              <w:left w:val="nil"/>
              <w:bottom w:val="single" w:sz="4" w:space="0" w:color="auto"/>
              <w:right w:val="single" w:sz="4" w:space="0" w:color="auto"/>
            </w:tcBorders>
            <w:shd w:val="clear" w:color="auto" w:fill="auto"/>
            <w:noWrap/>
            <w:vAlign w:val="bottom"/>
            <w:hideMark/>
          </w:tcPr>
          <w:p w14:paraId="6E59156B"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4,477 </w:t>
            </w:r>
          </w:p>
        </w:tc>
      </w:tr>
      <w:tr w:rsidR="00D55AEE" w:rsidRPr="00071D0F" w14:paraId="2406A1F8"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56089C5F"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Dividend paid</w:t>
            </w:r>
          </w:p>
        </w:tc>
        <w:tc>
          <w:tcPr>
            <w:tcW w:w="2236" w:type="dxa"/>
            <w:tcBorders>
              <w:top w:val="nil"/>
              <w:left w:val="nil"/>
              <w:bottom w:val="single" w:sz="4" w:space="0" w:color="auto"/>
              <w:right w:val="single" w:sz="4" w:space="0" w:color="auto"/>
            </w:tcBorders>
            <w:shd w:val="clear" w:color="auto" w:fill="auto"/>
            <w:noWrap/>
            <w:vAlign w:val="bottom"/>
            <w:hideMark/>
          </w:tcPr>
          <w:p w14:paraId="2363CFC4"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1,651 </w:t>
            </w:r>
          </w:p>
        </w:tc>
        <w:tc>
          <w:tcPr>
            <w:tcW w:w="2165" w:type="dxa"/>
            <w:tcBorders>
              <w:top w:val="nil"/>
              <w:left w:val="nil"/>
              <w:bottom w:val="single" w:sz="4" w:space="0" w:color="auto"/>
              <w:right w:val="single" w:sz="4" w:space="0" w:color="auto"/>
            </w:tcBorders>
            <w:shd w:val="clear" w:color="auto" w:fill="auto"/>
            <w:noWrap/>
            <w:vAlign w:val="bottom"/>
            <w:hideMark/>
          </w:tcPr>
          <w:p w14:paraId="47265138"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1,828 </w:t>
            </w:r>
          </w:p>
        </w:tc>
      </w:tr>
      <w:tr w:rsidR="00D55AEE" w:rsidRPr="00071D0F" w14:paraId="6EBE7EAE"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2D806BA8"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Dividend Cover</w:t>
            </w:r>
          </w:p>
        </w:tc>
        <w:tc>
          <w:tcPr>
            <w:tcW w:w="2236" w:type="dxa"/>
            <w:tcBorders>
              <w:top w:val="nil"/>
              <w:left w:val="nil"/>
              <w:bottom w:val="single" w:sz="4" w:space="0" w:color="auto"/>
              <w:right w:val="single" w:sz="4" w:space="0" w:color="auto"/>
            </w:tcBorders>
            <w:shd w:val="clear" w:color="auto" w:fill="auto"/>
            <w:noWrap/>
            <w:vAlign w:val="bottom"/>
            <w:hideMark/>
          </w:tcPr>
          <w:p w14:paraId="32AEC73A"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 xml:space="preserve">                        3.34 </w:t>
            </w:r>
          </w:p>
        </w:tc>
        <w:tc>
          <w:tcPr>
            <w:tcW w:w="2165" w:type="dxa"/>
            <w:tcBorders>
              <w:top w:val="nil"/>
              <w:left w:val="nil"/>
              <w:bottom w:val="single" w:sz="4" w:space="0" w:color="auto"/>
              <w:right w:val="single" w:sz="4" w:space="0" w:color="auto"/>
            </w:tcBorders>
            <w:shd w:val="clear" w:color="auto" w:fill="auto"/>
            <w:noWrap/>
            <w:vAlign w:val="bottom"/>
            <w:hideMark/>
          </w:tcPr>
          <w:p w14:paraId="761DC293"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 xml:space="preserve">                       2.45 </w:t>
            </w:r>
          </w:p>
        </w:tc>
      </w:tr>
      <w:tr w:rsidR="00D55AEE" w:rsidRPr="00071D0F" w14:paraId="24A715BE" w14:textId="77777777" w:rsidTr="00D55AEE">
        <w:trPr>
          <w:trHeight w:val="312"/>
        </w:trPr>
        <w:tc>
          <w:tcPr>
            <w:tcW w:w="3799" w:type="dxa"/>
            <w:tcBorders>
              <w:top w:val="nil"/>
              <w:left w:val="nil"/>
              <w:bottom w:val="nil"/>
              <w:right w:val="nil"/>
            </w:tcBorders>
            <w:shd w:val="clear" w:color="auto" w:fill="auto"/>
            <w:noWrap/>
            <w:vAlign w:val="bottom"/>
            <w:hideMark/>
          </w:tcPr>
          <w:p w14:paraId="1D0ECE07" w14:textId="77777777" w:rsidR="00D55AEE" w:rsidRPr="00071D0F" w:rsidRDefault="00D55AEE" w:rsidP="00D55AEE">
            <w:pPr>
              <w:spacing w:before="0" w:after="0" w:line="240" w:lineRule="auto"/>
              <w:jc w:val="left"/>
              <w:rPr>
                <w:rFonts w:eastAsia="Times New Roman"/>
                <w:b/>
                <w:bCs/>
                <w:color w:val="000000"/>
                <w:lang w:bidi="hi-IN"/>
              </w:rPr>
            </w:pPr>
          </w:p>
        </w:tc>
        <w:tc>
          <w:tcPr>
            <w:tcW w:w="2236" w:type="dxa"/>
            <w:tcBorders>
              <w:top w:val="nil"/>
              <w:left w:val="nil"/>
              <w:bottom w:val="nil"/>
              <w:right w:val="nil"/>
            </w:tcBorders>
            <w:shd w:val="clear" w:color="auto" w:fill="auto"/>
            <w:noWrap/>
            <w:vAlign w:val="bottom"/>
            <w:hideMark/>
          </w:tcPr>
          <w:p w14:paraId="5C029CE9" w14:textId="77777777" w:rsidR="00D55AEE" w:rsidRPr="00071D0F" w:rsidRDefault="00D55AEE" w:rsidP="00D55AEE">
            <w:pPr>
              <w:spacing w:before="0" w:after="0" w:line="240" w:lineRule="auto"/>
              <w:jc w:val="left"/>
              <w:rPr>
                <w:rFonts w:eastAsia="Times New Roman"/>
                <w:sz w:val="20"/>
                <w:szCs w:val="20"/>
                <w:lang w:bidi="hi-IN"/>
              </w:rPr>
            </w:pPr>
          </w:p>
        </w:tc>
        <w:tc>
          <w:tcPr>
            <w:tcW w:w="2165" w:type="dxa"/>
            <w:tcBorders>
              <w:top w:val="nil"/>
              <w:left w:val="nil"/>
              <w:bottom w:val="nil"/>
              <w:right w:val="nil"/>
            </w:tcBorders>
            <w:shd w:val="clear" w:color="auto" w:fill="auto"/>
            <w:noWrap/>
            <w:vAlign w:val="bottom"/>
            <w:hideMark/>
          </w:tcPr>
          <w:p w14:paraId="6B4A8397"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6D521D25" w14:textId="77777777" w:rsidTr="00D55AEE">
        <w:trPr>
          <w:trHeight w:val="312"/>
        </w:trPr>
        <w:tc>
          <w:tcPr>
            <w:tcW w:w="3799" w:type="dxa"/>
            <w:tcBorders>
              <w:top w:val="nil"/>
              <w:left w:val="nil"/>
              <w:bottom w:val="nil"/>
              <w:right w:val="nil"/>
            </w:tcBorders>
            <w:shd w:val="clear" w:color="auto" w:fill="auto"/>
            <w:noWrap/>
            <w:vAlign w:val="bottom"/>
            <w:hideMark/>
          </w:tcPr>
          <w:p w14:paraId="38F9E46E"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Dividend Yield</w:t>
            </w:r>
          </w:p>
        </w:tc>
        <w:tc>
          <w:tcPr>
            <w:tcW w:w="2236" w:type="dxa"/>
            <w:tcBorders>
              <w:top w:val="nil"/>
              <w:left w:val="nil"/>
              <w:bottom w:val="nil"/>
              <w:right w:val="nil"/>
            </w:tcBorders>
            <w:shd w:val="clear" w:color="auto" w:fill="auto"/>
            <w:noWrap/>
            <w:vAlign w:val="bottom"/>
            <w:hideMark/>
          </w:tcPr>
          <w:p w14:paraId="65BD1199" w14:textId="77777777" w:rsidR="00D55AEE" w:rsidRPr="00071D0F" w:rsidRDefault="00D55AEE" w:rsidP="00D55AEE">
            <w:pPr>
              <w:spacing w:before="0" w:after="0" w:line="240" w:lineRule="auto"/>
              <w:jc w:val="left"/>
              <w:rPr>
                <w:rFonts w:eastAsia="Times New Roman"/>
                <w:color w:val="000000"/>
                <w:lang w:bidi="hi-IN"/>
              </w:rPr>
            </w:pPr>
          </w:p>
        </w:tc>
        <w:tc>
          <w:tcPr>
            <w:tcW w:w="2165" w:type="dxa"/>
            <w:tcBorders>
              <w:top w:val="nil"/>
              <w:left w:val="nil"/>
              <w:bottom w:val="nil"/>
              <w:right w:val="nil"/>
            </w:tcBorders>
            <w:shd w:val="clear" w:color="auto" w:fill="auto"/>
            <w:noWrap/>
            <w:vAlign w:val="bottom"/>
            <w:hideMark/>
          </w:tcPr>
          <w:p w14:paraId="2158F8EB"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1580A8E3" w14:textId="77777777" w:rsidTr="00D55AEE">
        <w:trPr>
          <w:trHeight w:val="312"/>
        </w:trPr>
        <w:tc>
          <w:tcPr>
            <w:tcW w:w="6035" w:type="dxa"/>
            <w:gridSpan w:val="2"/>
            <w:tcBorders>
              <w:top w:val="nil"/>
              <w:left w:val="nil"/>
              <w:bottom w:val="nil"/>
              <w:right w:val="nil"/>
            </w:tcBorders>
            <w:shd w:val="clear" w:color="auto" w:fill="auto"/>
            <w:noWrap/>
            <w:vAlign w:val="bottom"/>
            <w:hideMark/>
          </w:tcPr>
          <w:p w14:paraId="0235031D"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Formula = Dividend per share / Market value per share x 100</w:t>
            </w:r>
          </w:p>
        </w:tc>
        <w:tc>
          <w:tcPr>
            <w:tcW w:w="2165" w:type="dxa"/>
            <w:tcBorders>
              <w:top w:val="nil"/>
              <w:left w:val="nil"/>
              <w:bottom w:val="nil"/>
              <w:right w:val="nil"/>
            </w:tcBorders>
            <w:shd w:val="clear" w:color="auto" w:fill="auto"/>
            <w:noWrap/>
            <w:vAlign w:val="bottom"/>
            <w:hideMark/>
          </w:tcPr>
          <w:p w14:paraId="46C52DF3" w14:textId="77777777" w:rsidR="00D55AEE" w:rsidRPr="00071D0F" w:rsidRDefault="00D55AEE" w:rsidP="00D55AEE">
            <w:pPr>
              <w:spacing w:before="0" w:after="0" w:line="240" w:lineRule="auto"/>
              <w:jc w:val="left"/>
              <w:rPr>
                <w:rFonts w:eastAsia="Times New Roman"/>
                <w:color w:val="000000"/>
                <w:lang w:bidi="hi-IN"/>
              </w:rPr>
            </w:pPr>
          </w:p>
        </w:tc>
      </w:tr>
      <w:tr w:rsidR="00D55AEE" w:rsidRPr="00071D0F" w14:paraId="7573E95E" w14:textId="77777777" w:rsidTr="00D55AEE">
        <w:trPr>
          <w:trHeight w:val="312"/>
        </w:trPr>
        <w:tc>
          <w:tcPr>
            <w:tcW w:w="3799" w:type="dxa"/>
            <w:tcBorders>
              <w:top w:val="nil"/>
              <w:left w:val="nil"/>
              <w:bottom w:val="nil"/>
              <w:right w:val="nil"/>
            </w:tcBorders>
            <w:shd w:val="clear" w:color="auto" w:fill="auto"/>
            <w:noWrap/>
            <w:vAlign w:val="bottom"/>
            <w:hideMark/>
          </w:tcPr>
          <w:p w14:paraId="03DBBC46" w14:textId="77777777" w:rsidR="00D55AEE" w:rsidRPr="00071D0F" w:rsidRDefault="00D55AEE" w:rsidP="00D55AEE">
            <w:pPr>
              <w:spacing w:before="0" w:after="0" w:line="240" w:lineRule="auto"/>
              <w:jc w:val="left"/>
              <w:rPr>
                <w:rFonts w:eastAsia="Times New Roman"/>
                <w:sz w:val="20"/>
                <w:szCs w:val="20"/>
                <w:lang w:bidi="hi-IN"/>
              </w:rPr>
            </w:pPr>
          </w:p>
        </w:tc>
        <w:tc>
          <w:tcPr>
            <w:tcW w:w="2236" w:type="dxa"/>
            <w:tcBorders>
              <w:top w:val="nil"/>
              <w:left w:val="nil"/>
              <w:bottom w:val="nil"/>
              <w:right w:val="nil"/>
            </w:tcBorders>
            <w:shd w:val="clear" w:color="auto" w:fill="auto"/>
            <w:noWrap/>
            <w:vAlign w:val="bottom"/>
            <w:hideMark/>
          </w:tcPr>
          <w:p w14:paraId="1FD27890" w14:textId="77777777" w:rsidR="00D55AEE" w:rsidRPr="00071D0F" w:rsidRDefault="00D55AEE" w:rsidP="00D55AEE">
            <w:pPr>
              <w:spacing w:before="0" w:after="0" w:line="240" w:lineRule="auto"/>
              <w:jc w:val="left"/>
              <w:rPr>
                <w:rFonts w:eastAsia="Times New Roman"/>
                <w:sz w:val="20"/>
                <w:szCs w:val="20"/>
                <w:lang w:bidi="hi-IN"/>
              </w:rPr>
            </w:pPr>
          </w:p>
        </w:tc>
        <w:tc>
          <w:tcPr>
            <w:tcW w:w="2165" w:type="dxa"/>
            <w:tcBorders>
              <w:top w:val="nil"/>
              <w:left w:val="nil"/>
              <w:bottom w:val="nil"/>
              <w:right w:val="nil"/>
            </w:tcBorders>
            <w:shd w:val="clear" w:color="auto" w:fill="auto"/>
            <w:noWrap/>
            <w:vAlign w:val="bottom"/>
            <w:hideMark/>
          </w:tcPr>
          <w:p w14:paraId="6867E974"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0B41E599" w14:textId="77777777" w:rsidTr="00D55AEE">
        <w:trPr>
          <w:trHeight w:val="312"/>
        </w:trPr>
        <w:tc>
          <w:tcPr>
            <w:tcW w:w="3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CCC05E"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w:t>
            </w:r>
          </w:p>
        </w:tc>
        <w:tc>
          <w:tcPr>
            <w:tcW w:w="2236" w:type="dxa"/>
            <w:tcBorders>
              <w:top w:val="single" w:sz="4" w:space="0" w:color="auto"/>
              <w:left w:val="nil"/>
              <w:bottom w:val="single" w:sz="4" w:space="0" w:color="auto"/>
              <w:right w:val="single" w:sz="4" w:space="0" w:color="auto"/>
            </w:tcBorders>
            <w:shd w:val="clear" w:color="auto" w:fill="auto"/>
            <w:noWrap/>
            <w:vAlign w:val="bottom"/>
            <w:hideMark/>
          </w:tcPr>
          <w:p w14:paraId="1BFCD4DB" w14:textId="77777777" w:rsidR="00D55AEE" w:rsidRPr="00071D0F" w:rsidRDefault="00D55AEE" w:rsidP="00D55AEE">
            <w:pPr>
              <w:spacing w:before="0" w:after="0" w:line="240" w:lineRule="auto"/>
              <w:jc w:val="center"/>
              <w:rPr>
                <w:rFonts w:eastAsia="Times New Roman"/>
                <w:b/>
                <w:bCs/>
                <w:color w:val="000000"/>
                <w:lang w:bidi="hi-IN"/>
              </w:rPr>
            </w:pPr>
            <w:r w:rsidRPr="00071D0F">
              <w:rPr>
                <w:rFonts w:eastAsia="Times New Roman"/>
                <w:b/>
                <w:bCs/>
                <w:color w:val="000000"/>
                <w:lang w:bidi="hi-IN"/>
              </w:rPr>
              <w:t>2023</w:t>
            </w:r>
          </w:p>
        </w:tc>
        <w:tc>
          <w:tcPr>
            <w:tcW w:w="2165" w:type="dxa"/>
            <w:tcBorders>
              <w:top w:val="single" w:sz="4" w:space="0" w:color="auto"/>
              <w:left w:val="nil"/>
              <w:bottom w:val="single" w:sz="4" w:space="0" w:color="auto"/>
              <w:right w:val="single" w:sz="4" w:space="0" w:color="auto"/>
            </w:tcBorders>
            <w:shd w:val="clear" w:color="auto" w:fill="auto"/>
            <w:noWrap/>
            <w:vAlign w:val="bottom"/>
            <w:hideMark/>
          </w:tcPr>
          <w:p w14:paraId="4D7E8F07" w14:textId="77777777" w:rsidR="00D55AEE" w:rsidRPr="00071D0F" w:rsidRDefault="00D55AEE" w:rsidP="00D55AEE">
            <w:pPr>
              <w:spacing w:before="0" w:after="0" w:line="240" w:lineRule="auto"/>
              <w:jc w:val="center"/>
              <w:rPr>
                <w:rFonts w:eastAsia="Times New Roman"/>
                <w:b/>
                <w:bCs/>
                <w:color w:val="000000"/>
                <w:lang w:bidi="hi-IN"/>
              </w:rPr>
            </w:pPr>
            <w:r w:rsidRPr="00071D0F">
              <w:rPr>
                <w:rFonts w:eastAsia="Times New Roman"/>
                <w:b/>
                <w:bCs/>
                <w:color w:val="000000"/>
                <w:lang w:bidi="hi-IN"/>
              </w:rPr>
              <w:t>2024</w:t>
            </w:r>
          </w:p>
        </w:tc>
      </w:tr>
      <w:tr w:rsidR="00D55AEE" w:rsidRPr="00071D0F" w14:paraId="153656DB"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7A11E131"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Dividend per share</w:t>
            </w:r>
          </w:p>
        </w:tc>
        <w:tc>
          <w:tcPr>
            <w:tcW w:w="2236" w:type="dxa"/>
            <w:tcBorders>
              <w:top w:val="nil"/>
              <w:left w:val="nil"/>
              <w:bottom w:val="single" w:sz="4" w:space="0" w:color="auto"/>
              <w:right w:val="single" w:sz="4" w:space="0" w:color="auto"/>
            </w:tcBorders>
            <w:shd w:val="clear" w:color="auto" w:fill="auto"/>
            <w:noWrap/>
            <w:vAlign w:val="bottom"/>
            <w:hideMark/>
          </w:tcPr>
          <w:p w14:paraId="1AF90100"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0.03 </w:t>
            </w:r>
          </w:p>
        </w:tc>
        <w:tc>
          <w:tcPr>
            <w:tcW w:w="2165" w:type="dxa"/>
            <w:tcBorders>
              <w:top w:val="nil"/>
              <w:left w:val="nil"/>
              <w:bottom w:val="single" w:sz="4" w:space="0" w:color="auto"/>
              <w:right w:val="single" w:sz="4" w:space="0" w:color="auto"/>
            </w:tcBorders>
            <w:shd w:val="clear" w:color="auto" w:fill="auto"/>
            <w:noWrap/>
            <w:vAlign w:val="bottom"/>
            <w:hideMark/>
          </w:tcPr>
          <w:p w14:paraId="5DA81B90"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0.03 </w:t>
            </w:r>
          </w:p>
        </w:tc>
      </w:tr>
      <w:tr w:rsidR="00D55AEE" w:rsidRPr="00071D0F" w14:paraId="06177C1B"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60AEC67B"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Market value per share</w:t>
            </w:r>
          </w:p>
        </w:tc>
        <w:tc>
          <w:tcPr>
            <w:tcW w:w="2236" w:type="dxa"/>
            <w:tcBorders>
              <w:top w:val="nil"/>
              <w:left w:val="nil"/>
              <w:bottom w:val="single" w:sz="4" w:space="0" w:color="auto"/>
              <w:right w:val="single" w:sz="4" w:space="0" w:color="auto"/>
            </w:tcBorders>
            <w:shd w:val="clear" w:color="auto" w:fill="auto"/>
            <w:noWrap/>
            <w:vAlign w:val="bottom"/>
            <w:hideMark/>
          </w:tcPr>
          <w:p w14:paraId="2C013BFE" w14:textId="77777777" w:rsidR="00D55AEE" w:rsidRPr="00071D0F" w:rsidRDefault="00D55AEE" w:rsidP="00D55AEE">
            <w:pPr>
              <w:spacing w:before="0" w:after="0" w:line="240" w:lineRule="auto"/>
              <w:jc w:val="right"/>
              <w:rPr>
                <w:rFonts w:eastAsia="Times New Roman"/>
                <w:color w:val="000000"/>
                <w:lang w:bidi="hi-IN"/>
              </w:rPr>
            </w:pPr>
            <w:r w:rsidRPr="00071D0F">
              <w:rPr>
                <w:rFonts w:eastAsia="Times New Roman"/>
                <w:color w:val="000000"/>
                <w:lang w:bidi="hi-IN"/>
              </w:rPr>
              <w:t>47.71</w:t>
            </w:r>
          </w:p>
        </w:tc>
        <w:tc>
          <w:tcPr>
            <w:tcW w:w="2165" w:type="dxa"/>
            <w:tcBorders>
              <w:top w:val="nil"/>
              <w:left w:val="nil"/>
              <w:bottom w:val="single" w:sz="4" w:space="0" w:color="auto"/>
              <w:right w:val="single" w:sz="4" w:space="0" w:color="auto"/>
            </w:tcBorders>
            <w:shd w:val="clear" w:color="auto" w:fill="auto"/>
            <w:noWrap/>
            <w:vAlign w:val="bottom"/>
            <w:hideMark/>
          </w:tcPr>
          <w:p w14:paraId="46675AE9" w14:textId="77777777" w:rsidR="00D55AEE" w:rsidRPr="00071D0F" w:rsidRDefault="00D55AEE" w:rsidP="00D55AEE">
            <w:pPr>
              <w:spacing w:before="0" w:after="0" w:line="240" w:lineRule="auto"/>
              <w:jc w:val="right"/>
              <w:rPr>
                <w:rFonts w:eastAsia="Times New Roman"/>
                <w:color w:val="000000"/>
                <w:lang w:bidi="hi-IN"/>
              </w:rPr>
            </w:pPr>
            <w:r w:rsidRPr="00071D0F">
              <w:rPr>
                <w:rFonts w:eastAsia="Times New Roman"/>
                <w:color w:val="000000"/>
                <w:lang w:bidi="hi-IN"/>
              </w:rPr>
              <w:t>54.78</w:t>
            </w:r>
          </w:p>
        </w:tc>
      </w:tr>
      <w:tr w:rsidR="00D55AEE" w:rsidRPr="00071D0F" w14:paraId="28C7069C"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4E00DB05"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Dividend Yield</w:t>
            </w:r>
          </w:p>
        </w:tc>
        <w:tc>
          <w:tcPr>
            <w:tcW w:w="2236" w:type="dxa"/>
            <w:tcBorders>
              <w:top w:val="nil"/>
              <w:left w:val="nil"/>
              <w:bottom w:val="single" w:sz="4" w:space="0" w:color="auto"/>
              <w:right w:val="single" w:sz="4" w:space="0" w:color="auto"/>
            </w:tcBorders>
            <w:shd w:val="clear" w:color="auto" w:fill="auto"/>
            <w:noWrap/>
            <w:vAlign w:val="bottom"/>
            <w:hideMark/>
          </w:tcPr>
          <w:p w14:paraId="11DF2609" w14:textId="77777777" w:rsidR="00D55AEE" w:rsidRPr="00071D0F" w:rsidRDefault="00D55AEE" w:rsidP="00D55AEE">
            <w:pPr>
              <w:spacing w:before="0" w:after="0" w:line="240" w:lineRule="auto"/>
              <w:jc w:val="right"/>
              <w:rPr>
                <w:rFonts w:eastAsia="Times New Roman"/>
                <w:b/>
                <w:bCs/>
                <w:color w:val="000000"/>
                <w:lang w:bidi="hi-IN"/>
              </w:rPr>
            </w:pPr>
            <w:r w:rsidRPr="00071D0F">
              <w:rPr>
                <w:rFonts w:eastAsia="Times New Roman"/>
                <w:b/>
                <w:bCs/>
                <w:color w:val="000000"/>
                <w:lang w:bidi="hi-IN"/>
              </w:rPr>
              <w:t>0.06%</w:t>
            </w:r>
          </w:p>
        </w:tc>
        <w:tc>
          <w:tcPr>
            <w:tcW w:w="2165" w:type="dxa"/>
            <w:tcBorders>
              <w:top w:val="nil"/>
              <w:left w:val="nil"/>
              <w:bottom w:val="single" w:sz="4" w:space="0" w:color="auto"/>
              <w:right w:val="single" w:sz="4" w:space="0" w:color="auto"/>
            </w:tcBorders>
            <w:shd w:val="clear" w:color="auto" w:fill="auto"/>
            <w:noWrap/>
            <w:vAlign w:val="bottom"/>
            <w:hideMark/>
          </w:tcPr>
          <w:p w14:paraId="38C2EB3B" w14:textId="77777777" w:rsidR="00D55AEE" w:rsidRPr="00071D0F" w:rsidRDefault="00D55AEE" w:rsidP="00D55AEE">
            <w:pPr>
              <w:spacing w:before="0" w:after="0" w:line="240" w:lineRule="auto"/>
              <w:jc w:val="right"/>
              <w:rPr>
                <w:rFonts w:eastAsia="Times New Roman"/>
                <w:b/>
                <w:bCs/>
                <w:color w:val="000000"/>
                <w:lang w:bidi="hi-IN"/>
              </w:rPr>
            </w:pPr>
            <w:r w:rsidRPr="00071D0F">
              <w:rPr>
                <w:rFonts w:eastAsia="Times New Roman"/>
                <w:b/>
                <w:bCs/>
                <w:color w:val="000000"/>
                <w:lang w:bidi="hi-IN"/>
              </w:rPr>
              <w:t>0.05%</w:t>
            </w:r>
          </w:p>
        </w:tc>
      </w:tr>
      <w:tr w:rsidR="00D55AEE" w:rsidRPr="00071D0F" w14:paraId="67183B3E" w14:textId="77777777" w:rsidTr="00D55AEE">
        <w:trPr>
          <w:trHeight w:val="312"/>
        </w:trPr>
        <w:tc>
          <w:tcPr>
            <w:tcW w:w="3799" w:type="dxa"/>
            <w:tcBorders>
              <w:top w:val="nil"/>
              <w:left w:val="nil"/>
              <w:bottom w:val="nil"/>
              <w:right w:val="nil"/>
            </w:tcBorders>
            <w:shd w:val="clear" w:color="auto" w:fill="auto"/>
            <w:noWrap/>
            <w:vAlign w:val="bottom"/>
            <w:hideMark/>
          </w:tcPr>
          <w:p w14:paraId="76554FC8" w14:textId="77777777" w:rsidR="00D55AEE" w:rsidRPr="00071D0F" w:rsidRDefault="00D55AEE" w:rsidP="00D55AEE">
            <w:pPr>
              <w:spacing w:before="0" w:after="0" w:line="240" w:lineRule="auto"/>
              <w:jc w:val="right"/>
              <w:rPr>
                <w:rFonts w:eastAsia="Times New Roman"/>
                <w:b/>
                <w:bCs/>
                <w:color w:val="000000"/>
                <w:lang w:bidi="hi-IN"/>
              </w:rPr>
            </w:pPr>
          </w:p>
        </w:tc>
        <w:tc>
          <w:tcPr>
            <w:tcW w:w="2236" w:type="dxa"/>
            <w:tcBorders>
              <w:top w:val="nil"/>
              <w:left w:val="nil"/>
              <w:bottom w:val="nil"/>
              <w:right w:val="nil"/>
            </w:tcBorders>
            <w:shd w:val="clear" w:color="auto" w:fill="auto"/>
            <w:noWrap/>
            <w:vAlign w:val="bottom"/>
            <w:hideMark/>
          </w:tcPr>
          <w:p w14:paraId="41E2A5F0" w14:textId="77777777" w:rsidR="00D55AEE" w:rsidRPr="00071D0F" w:rsidRDefault="00D55AEE" w:rsidP="00D55AEE">
            <w:pPr>
              <w:spacing w:before="0" w:after="0" w:line="240" w:lineRule="auto"/>
              <w:jc w:val="left"/>
              <w:rPr>
                <w:rFonts w:eastAsia="Times New Roman"/>
                <w:sz w:val="20"/>
                <w:szCs w:val="20"/>
                <w:lang w:bidi="hi-IN"/>
              </w:rPr>
            </w:pPr>
          </w:p>
        </w:tc>
        <w:tc>
          <w:tcPr>
            <w:tcW w:w="2165" w:type="dxa"/>
            <w:tcBorders>
              <w:top w:val="nil"/>
              <w:left w:val="nil"/>
              <w:bottom w:val="nil"/>
              <w:right w:val="nil"/>
            </w:tcBorders>
            <w:shd w:val="clear" w:color="auto" w:fill="auto"/>
            <w:noWrap/>
            <w:vAlign w:val="bottom"/>
            <w:hideMark/>
          </w:tcPr>
          <w:p w14:paraId="2F04D2D0"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647D4487" w14:textId="77777777" w:rsidTr="00D55AEE">
        <w:trPr>
          <w:trHeight w:val="312"/>
        </w:trPr>
        <w:tc>
          <w:tcPr>
            <w:tcW w:w="3799" w:type="dxa"/>
            <w:tcBorders>
              <w:top w:val="nil"/>
              <w:left w:val="nil"/>
              <w:bottom w:val="nil"/>
              <w:right w:val="nil"/>
            </w:tcBorders>
            <w:shd w:val="clear" w:color="auto" w:fill="auto"/>
            <w:noWrap/>
            <w:vAlign w:val="bottom"/>
            <w:hideMark/>
          </w:tcPr>
          <w:p w14:paraId="27A5B6E1"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Interest Cover</w:t>
            </w:r>
          </w:p>
        </w:tc>
        <w:tc>
          <w:tcPr>
            <w:tcW w:w="2236" w:type="dxa"/>
            <w:tcBorders>
              <w:top w:val="nil"/>
              <w:left w:val="nil"/>
              <w:bottom w:val="nil"/>
              <w:right w:val="nil"/>
            </w:tcBorders>
            <w:shd w:val="clear" w:color="auto" w:fill="auto"/>
            <w:noWrap/>
            <w:vAlign w:val="bottom"/>
            <w:hideMark/>
          </w:tcPr>
          <w:p w14:paraId="1B65AB29" w14:textId="77777777" w:rsidR="00D55AEE" w:rsidRPr="00071D0F" w:rsidRDefault="00D55AEE" w:rsidP="00D55AEE">
            <w:pPr>
              <w:spacing w:before="0" w:after="0" w:line="240" w:lineRule="auto"/>
              <w:jc w:val="left"/>
              <w:rPr>
                <w:rFonts w:eastAsia="Times New Roman"/>
                <w:color w:val="000000"/>
                <w:lang w:bidi="hi-IN"/>
              </w:rPr>
            </w:pPr>
          </w:p>
        </w:tc>
        <w:tc>
          <w:tcPr>
            <w:tcW w:w="2165" w:type="dxa"/>
            <w:tcBorders>
              <w:top w:val="nil"/>
              <w:left w:val="nil"/>
              <w:bottom w:val="nil"/>
              <w:right w:val="nil"/>
            </w:tcBorders>
            <w:shd w:val="clear" w:color="auto" w:fill="auto"/>
            <w:noWrap/>
            <w:vAlign w:val="bottom"/>
            <w:hideMark/>
          </w:tcPr>
          <w:p w14:paraId="2663FA12"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2276C58B" w14:textId="77777777" w:rsidTr="00D55AEE">
        <w:trPr>
          <w:trHeight w:val="312"/>
        </w:trPr>
        <w:tc>
          <w:tcPr>
            <w:tcW w:w="6035" w:type="dxa"/>
            <w:gridSpan w:val="2"/>
            <w:tcBorders>
              <w:top w:val="nil"/>
              <w:left w:val="nil"/>
              <w:bottom w:val="nil"/>
              <w:right w:val="nil"/>
            </w:tcBorders>
            <w:shd w:val="clear" w:color="auto" w:fill="auto"/>
            <w:noWrap/>
            <w:vAlign w:val="bottom"/>
            <w:hideMark/>
          </w:tcPr>
          <w:p w14:paraId="34BACD87"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Formula = Operating profit / Interest on long-term borrowings</w:t>
            </w:r>
          </w:p>
        </w:tc>
        <w:tc>
          <w:tcPr>
            <w:tcW w:w="2165" w:type="dxa"/>
            <w:tcBorders>
              <w:top w:val="nil"/>
              <w:left w:val="nil"/>
              <w:bottom w:val="nil"/>
              <w:right w:val="nil"/>
            </w:tcBorders>
            <w:shd w:val="clear" w:color="auto" w:fill="auto"/>
            <w:noWrap/>
            <w:vAlign w:val="bottom"/>
            <w:hideMark/>
          </w:tcPr>
          <w:p w14:paraId="7D6B8FC0" w14:textId="77777777" w:rsidR="00D55AEE" w:rsidRPr="00071D0F" w:rsidRDefault="00D55AEE" w:rsidP="00D55AEE">
            <w:pPr>
              <w:spacing w:before="0" w:after="0" w:line="240" w:lineRule="auto"/>
              <w:jc w:val="left"/>
              <w:rPr>
                <w:rFonts w:eastAsia="Times New Roman"/>
                <w:color w:val="000000"/>
                <w:lang w:bidi="hi-IN"/>
              </w:rPr>
            </w:pPr>
          </w:p>
        </w:tc>
      </w:tr>
      <w:tr w:rsidR="00D55AEE" w:rsidRPr="00071D0F" w14:paraId="5D052018" w14:textId="77777777" w:rsidTr="00D55AEE">
        <w:trPr>
          <w:trHeight w:val="312"/>
        </w:trPr>
        <w:tc>
          <w:tcPr>
            <w:tcW w:w="3799" w:type="dxa"/>
            <w:tcBorders>
              <w:top w:val="nil"/>
              <w:left w:val="nil"/>
              <w:bottom w:val="nil"/>
              <w:right w:val="nil"/>
            </w:tcBorders>
            <w:shd w:val="clear" w:color="auto" w:fill="auto"/>
            <w:noWrap/>
            <w:vAlign w:val="bottom"/>
            <w:hideMark/>
          </w:tcPr>
          <w:p w14:paraId="418524A9" w14:textId="77777777" w:rsidR="00D55AEE" w:rsidRPr="00071D0F" w:rsidRDefault="00D55AEE" w:rsidP="00D55AEE">
            <w:pPr>
              <w:spacing w:before="0" w:after="0" w:line="240" w:lineRule="auto"/>
              <w:jc w:val="left"/>
              <w:rPr>
                <w:rFonts w:eastAsia="Times New Roman"/>
                <w:sz w:val="20"/>
                <w:szCs w:val="20"/>
                <w:lang w:bidi="hi-IN"/>
              </w:rPr>
            </w:pPr>
          </w:p>
        </w:tc>
        <w:tc>
          <w:tcPr>
            <w:tcW w:w="2236" w:type="dxa"/>
            <w:tcBorders>
              <w:top w:val="nil"/>
              <w:left w:val="nil"/>
              <w:bottom w:val="nil"/>
              <w:right w:val="nil"/>
            </w:tcBorders>
            <w:shd w:val="clear" w:color="auto" w:fill="auto"/>
            <w:noWrap/>
            <w:vAlign w:val="bottom"/>
            <w:hideMark/>
          </w:tcPr>
          <w:p w14:paraId="2BDC45F5" w14:textId="77777777" w:rsidR="00D55AEE" w:rsidRPr="00071D0F" w:rsidRDefault="00D55AEE" w:rsidP="00D55AEE">
            <w:pPr>
              <w:spacing w:before="0" w:after="0" w:line="240" w:lineRule="auto"/>
              <w:jc w:val="left"/>
              <w:rPr>
                <w:rFonts w:eastAsia="Times New Roman"/>
                <w:sz w:val="20"/>
                <w:szCs w:val="20"/>
                <w:lang w:bidi="hi-IN"/>
              </w:rPr>
            </w:pPr>
          </w:p>
        </w:tc>
        <w:tc>
          <w:tcPr>
            <w:tcW w:w="2165" w:type="dxa"/>
            <w:tcBorders>
              <w:top w:val="nil"/>
              <w:left w:val="nil"/>
              <w:bottom w:val="nil"/>
              <w:right w:val="nil"/>
            </w:tcBorders>
            <w:shd w:val="clear" w:color="auto" w:fill="auto"/>
            <w:noWrap/>
            <w:vAlign w:val="bottom"/>
            <w:hideMark/>
          </w:tcPr>
          <w:p w14:paraId="3C748452"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679D70D5" w14:textId="77777777" w:rsidTr="00D55AEE">
        <w:trPr>
          <w:trHeight w:val="312"/>
        </w:trPr>
        <w:tc>
          <w:tcPr>
            <w:tcW w:w="3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AD1E8C"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w:t>
            </w:r>
          </w:p>
        </w:tc>
        <w:tc>
          <w:tcPr>
            <w:tcW w:w="2236" w:type="dxa"/>
            <w:tcBorders>
              <w:top w:val="single" w:sz="4" w:space="0" w:color="auto"/>
              <w:left w:val="nil"/>
              <w:bottom w:val="single" w:sz="4" w:space="0" w:color="auto"/>
              <w:right w:val="single" w:sz="4" w:space="0" w:color="auto"/>
            </w:tcBorders>
            <w:shd w:val="clear" w:color="auto" w:fill="auto"/>
            <w:noWrap/>
            <w:vAlign w:val="bottom"/>
            <w:hideMark/>
          </w:tcPr>
          <w:p w14:paraId="1479B4EF" w14:textId="77777777" w:rsidR="00D55AEE" w:rsidRPr="00071D0F" w:rsidRDefault="00D55AEE" w:rsidP="00D55AEE">
            <w:pPr>
              <w:spacing w:before="0" w:after="0" w:line="240" w:lineRule="auto"/>
              <w:jc w:val="center"/>
              <w:rPr>
                <w:rFonts w:eastAsia="Times New Roman"/>
                <w:b/>
                <w:bCs/>
                <w:color w:val="000000"/>
                <w:lang w:bidi="hi-IN"/>
              </w:rPr>
            </w:pPr>
            <w:r w:rsidRPr="00071D0F">
              <w:rPr>
                <w:rFonts w:eastAsia="Times New Roman"/>
                <w:b/>
                <w:bCs/>
                <w:color w:val="000000"/>
                <w:lang w:bidi="hi-IN"/>
              </w:rPr>
              <w:t>2023</w:t>
            </w:r>
          </w:p>
        </w:tc>
        <w:tc>
          <w:tcPr>
            <w:tcW w:w="2165" w:type="dxa"/>
            <w:tcBorders>
              <w:top w:val="single" w:sz="4" w:space="0" w:color="auto"/>
              <w:left w:val="nil"/>
              <w:bottom w:val="single" w:sz="4" w:space="0" w:color="auto"/>
              <w:right w:val="single" w:sz="4" w:space="0" w:color="auto"/>
            </w:tcBorders>
            <w:shd w:val="clear" w:color="auto" w:fill="auto"/>
            <w:noWrap/>
            <w:vAlign w:val="bottom"/>
            <w:hideMark/>
          </w:tcPr>
          <w:p w14:paraId="1C1EE0A9" w14:textId="77777777" w:rsidR="00D55AEE" w:rsidRPr="00071D0F" w:rsidRDefault="00D55AEE" w:rsidP="00D55AEE">
            <w:pPr>
              <w:spacing w:before="0" w:after="0" w:line="240" w:lineRule="auto"/>
              <w:jc w:val="center"/>
              <w:rPr>
                <w:rFonts w:eastAsia="Times New Roman"/>
                <w:b/>
                <w:bCs/>
                <w:color w:val="000000"/>
                <w:lang w:bidi="hi-IN"/>
              </w:rPr>
            </w:pPr>
            <w:r w:rsidRPr="00071D0F">
              <w:rPr>
                <w:rFonts w:eastAsia="Times New Roman"/>
                <w:b/>
                <w:bCs/>
                <w:color w:val="000000"/>
                <w:lang w:bidi="hi-IN"/>
              </w:rPr>
              <w:t>2024</w:t>
            </w:r>
          </w:p>
        </w:tc>
      </w:tr>
      <w:tr w:rsidR="00D55AEE" w:rsidRPr="00071D0F" w14:paraId="3128E7D6"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1DFE997C"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Operating profit</w:t>
            </w:r>
          </w:p>
        </w:tc>
        <w:tc>
          <w:tcPr>
            <w:tcW w:w="2236" w:type="dxa"/>
            <w:tcBorders>
              <w:top w:val="nil"/>
              <w:left w:val="nil"/>
              <w:bottom w:val="single" w:sz="4" w:space="0" w:color="auto"/>
              <w:right w:val="single" w:sz="4" w:space="0" w:color="auto"/>
            </w:tcBorders>
            <w:shd w:val="clear" w:color="auto" w:fill="auto"/>
            <w:noWrap/>
            <w:vAlign w:val="bottom"/>
            <w:hideMark/>
          </w:tcPr>
          <w:p w14:paraId="4B52F86C"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24,279 </w:t>
            </w:r>
          </w:p>
        </w:tc>
        <w:tc>
          <w:tcPr>
            <w:tcW w:w="2165" w:type="dxa"/>
            <w:tcBorders>
              <w:top w:val="nil"/>
              <w:left w:val="nil"/>
              <w:bottom w:val="single" w:sz="4" w:space="0" w:color="auto"/>
              <w:right w:val="single" w:sz="4" w:space="0" w:color="auto"/>
            </w:tcBorders>
            <w:shd w:val="clear" w:color="auto" w:fill="auto"/>
            <w:noWrap/>
            <w:vAlign w:val="bottom"/>
            <w:hideMark/>
          </w:tcPr>
          <w:p w14:paraId="491120EC"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22,249 </w:t>
            </w:r>
          </w:p>
        </w:tc>
      </w:tr>
      <w:tr w:rsidR="00D55AEE" w:rsidRPr="00071D0F" w14:paraId="539F01C8"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0952B804"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Interest on long-term borrowings</w:t>
            </w:r>
          </w:p>
        </w:tc>
        <w:tc>
          <w:tcPr>
            <w:tcW w:w="2236" w:type="dxa"/>
            <w:tcBorders>
              <w:top w:val="nil"/>
              <w:left w:val="nil"/>
              <w:bottom w:val="single" w:sz="4" w:space="0" w:color="auto"/>
              <w:right w:val="single" w:sz="4" w:space="0" w:color="auto"/>
            </w:tcBorders>
            <w:shd w:val="clear" w:color="auto" w:fill="auto"/>
            <w:noWrap/>
            <w:vAlign w:val="bottom"/>
            <w:hideMark/>
          </w:tcPr>
          <w:p w14:paraId="456A1891"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880 </w:t>
            </w:r>
          </w:p>
        </w:tc>
        <w:tc>
          <w:tcPr>
            <w:tcW w:w="2165" w:type="dxa"/>
            <w:tcBorders>
              <w:top w:val="nil"/>
              <w:left w:val="nil"/>
              <w:bottom w:val="single" w:sz="4" w:space="0" w:color="auto"/>
              <w:right w:val="single" w:sz="4" w:space="0" w:color="auto"/>
            </w:tcBorders>
            <w:shd w:val="clear" w:color="auto" w:fill="auto"/>
            <w:noWrap/>
            <w:vAlign w:val="bottom"/>
            <w:hideMark/>
          </w:tcPr>
          <w:p w14:paraId="123D457A"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846 </w:t>
            </w:r>
          </w:p>
        </w:tc>
      </w:tr>
      <w:tr w:rsidR="00D55AEE" w:rsidRPr="00071D0F" w14:paraId="34782A01"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161432CC"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Interest Cover</w:t>
            </w:r>
          </w:p>
        </w:tc>
        <w:tc>
          <w:tcPr>
            <w:tcW w:w="2236" w:type="dxa"/>
            <w:tcBorders>
              <w:top w:val="nil"/>
              <w:left w:val="nil"/>
              <w:bottom w:val="single" w:sz="4" w:space="0" w:color="auto"/>
              <w:right w:val="single" w:sz="4" w:space="0" w:color="auto"/>
            </w:tcBorders>
            <w:shd w:val="clear" w:color="auto" w:fill="auto"/>
            <w:noWrap/>
            <w:vAlign w:val="bottom"/>
            <w:hideMark/>
          </w:tcPr>
          <w:p w14:paraId="1FED671F"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 xml:space="preserve">                      27.59 </w:t>
            </w:r>
          </w:p>
        </w:tc>
        <w:tc>
          <w:tcPr>
            <w:tcW w:w="2165" w:type="dxa"/>
            <w:tcBorders>
              <w:top w:val="nil"/>
              <w:left w:val="nil"/>
              <w:bottom w:val="single" w:sz="4" w:space="0" w:color="auto"/>
              <w:right w:val="single" w:sz="4" w:space="0" w:color="auto"/>
            </w:tcBorders>
            <w:shd w:val="clear" w:color="auto" w:fill="auto"/>
            <w:noWrap/>
            <w:vAlign w:val="bottom"/>
            <w:hideMark/>
          </w:tcPr>
          <w:p w14:paraId="7199CDC6"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 xml:space="preserve">                     26.30 </w:t>
            </w:r>
          </w:p>
        </w:tc>
      </w:tr>
      <w:tr w:rsidR="00D55AEE" w:rsidRPr="00071D0F" w14:paraId="617207F1" w14:textId="77777777" w:rsidTr="00D55AEE">
        <w:trPr>
          <w:trHeight w:val="312"/>
        </w:trPr>
        <w:tc>
          <w:tcPr>
            <w:tcW w:w="3799" w:type="dxa"/>
            <w:tcBorders>
              <w:top w:val="nil"/>
              <w:left w:val="nil"/>
              <w:bottom w:val="nil"/>
              <w:right w:val="nil"/>
            </w:tcBorders>
            <w:shd w:val="clear" w:color="auto" w:fill="auto"/>
            <w:noWrap/>
            <w:vAlign w:val="bottom"/>
            <w:hideMark/>
          </w:tcPr>
          <w:p w14:paraId="00F0329F" w14:textId="77777777" w:rsidR="00D55AEE" w:rsidRPr="00071D0F" w:rsidRDefault="00D55AEE" w:rsidP="00D55AEE">
            <w:pPr>
              <w:spacing w:before="0" w:after="0" w:line="240" w:lineRule="auto"/>
              <w:jc w:val="left"/>
              <w:rPr>
                <w:rFonts w:eastAsia="Times New Roman"/>
                <w:b/>
                <w:bCs/>
                <w:color w:val="000000"/>
                <w:lang w:bidi="hi-IN"/>
              </w:rPr>
            </w:pPr>
          </w:p>
        </w:tc>
        <w:tc>
          <w:tcPr>
            <w:tcW w:w="2236" w:type="dxa"/>
            <w:tcBorders>
              <w:top w:val="nil"/>
              <w:left w:val="nil"/>
              <w:bottom w:val="nil"/>
              <w:right w:val="nil"/>
            </w:tcBorders>
            <w:shd w:val="clear" w:color="auto" w:fill="auto"/>
            <w:noWrap/>
            <w:vAlign w:val="bottom"/>
            <w:hideMark/>
          </w:tcPr>
          <w:p w14:paraId="19D2B177" w14:textId="77777777" w:rsidR="00D55AEE" w:rsidRPr="00071D0F" w:rsidRDefault="00D55AEE" w:rsidP="00D55AEE">
            <w:pPr>
              <w:spacing w:before="0" w:after="0" w:line="240" w:lineRule="auto"/>
              <w:jc w:val="left"/>
              <w:rPr>
                <w:rFonts w:eastAsia="Times New Roman"/>
                <w:sz w:val="20"/>
                <w:szCs w:val="20"/>
                <w:lang w:bidi="hi-IN"/>
              </w:rPr>
            </w:pPr>
          </w:p>
        </w:tc>
        <w:tc>
          <w:tcPr>
            <w:tcW w:w="2165" w:type="dxa"/>
            <w:tcBorders>
              <w:top w:val="nil"/>
              <w:left w:val="nil"/>
              <w:bottom w:val="nil"/>
              <w:right w:val="nil"/>
            </w:tcBorders>
            <w:shd w:val="clear" w:color="auto" w:fill="auto"/>
            <w:noWrap/>
            <w:vAlign w:val="bottom"/>
            <w:hideMark/>
          </w:tcPr>
          <w:p w14:paraId="42EEE272"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2BE020E3" w14:textId="77777777" w:rsidTr="00D55AEE">
        <w:trPr>
          <w:trHeight w:val="312"/>
        </w:trPr>
        <w:tc>
          <w:tcPr>
            <w:tcW w:w="8200" w:type="dxa"/>
            <w:gridSpan w:val="3"/>
            <w:tcBorders>
              <w:top w:val="nil"/>
              <w:left w:val="nil"/>
              <w:bottom w:val="nil"/>
              <w:right w:val="nil"/>
            </w:tcBorders>
            <w:shd w:val="clear" w:color="auto" w:fill="auto"/>
            <w:noWrap/>
            <w:vAlign w:val="bottom"/>
            <w:hideMark/>
          </w:tcPr>
          <w:p w14:paraId="6EA78682"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Return on equity (ROE)</w:t>
            </w:r>
          </w:p>
        </w:tc>
      </w:tr>
      <w:tr w:rsidR="00D55AEE" w:rsidRPr="00071D0F" w14:paraId="3B250294" w14:textId="77777777" w:rsidTr="00D55AEE">
        <w:trPr>
          <w:trHeight w:val="312"/>
        </w:trPr>
        <w:tc>
          <w:tcPr>
            <w:tcW w:w="8200" w:type="dxa"/>
            <w:gridSpan w:val="3"/>
            <w:tcBorders>
              <w:top w:val="nil"/>
              <w:left w:val="nil"/>
              <w:bottom w:val="nil"/>
              <w:right w:val="nil"/>
            </w:tcBorders>
            <w:shd w:val="clear" w:color="auto" w:fill="auto"/>
            <w:noWrap/>
            <w:vAlign w:val="bottom"/>
            <w:hideMark/>
          </w:tcPr>
          <w:p w14:paraId="505A8173"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Formula = Profit after interest and tax / Equity x 100</w:t>
            </w:r>
          </w:p>
        </w:tc>
      </w:tr>
      <w:tr w:rsidR="00D55AEE" w:rsidRPr="00071D0F" w14:paraId="3DAF2549" w14:textId="77777777" w:rsidTr="00D55AEE">
        <w:trPr>
          <w:trHeight w:val="312"/>
        </w:trPr>
        <w:tc>
          <w:tcPr>
            <w:tcW w:w="3799" w:type="dxa"/>
            <w:tcBorders>
              <w:top w:val="nil"/>
              <w:left w:val="nil"/>
              <w:bottom w:val="nil"/>
              <w:right w:val="nil"/>
            </w:tcBorders>
            <w:shd w:val="clear" w:color="auto" w:fill="auto"/>
            <w:noWrap/>
            <w:vAlign w:val="bottom"/>
            <w:hideMark/>
          </w:tcPr>
          <w:p w14:paraId="15E0AD87" w14:textId="77777777" w:rsidR="00D55AEE" w:rsidRPr="00071D0F" w:rsidRDefault="00D55AEE" w:rsidP="00D55AEE">
            <w:pPr>
              <w:spacing w:before="0" w:after="0" w:line="240" w:lineRule="auto"/>
              <w:jc w:val="left"/>
              <w:rPr>
                <w:rFonts w:eastAsia="Times New Roman"/>
                <w:color w:val="000000"/>
                <w:lang w:bidi="hi-IN"/>
              </w:rPr>
            </w:pPr>
          </w:p>
        </w:tc>
        <w:tc>
          <w:tcPr>
            <w:tcW w:w="2236" w:type="dxa"/>
            <w:tcBorders>
              <w:top w:val="nil"/>
              <w:left w:val="nil"/>
              <w:bottom w:val="nil"/>
              <w:right w:val="nil"/>
            </w:tcBorders>
            <w:shd w:val="clear" w:color="auto" w:fill="auto"/>
            <w:noWrap/>
            <w:vAlign w:val="bottom"/>
            <w:hideMark/>
          </w:tcPr>
          <w:p w14:paraId="676DCBA3" w14:textId="77777777" w:rsidR="00D55AEE" w:rsidRPr="00071D0F" w:rsidRDefault="00D55AEE" w:rsidP="00D55AEE">
            <w:pPr>
              <w:spacing w:before="0" w:after="0" w:line="240" w:lineRule="auto"/>
              <w:jc w:val="left"/>
              <w:rPr>
                <w:rFonts w:eastAsia="Times New Roman"/>
                <w:sz w:val="20"/>
                <w:szCs w:val="20"/>
                <w:lang w:bidi="hi-IN"/>
              </w:rPr>
            </w:pPr>
          </w:p>
        </w:tc>
        <w:tc>
          <w:tcPr>
            <w:tcW w:w="2165" w:type="dxa"/>
            <w:tcBorders>
              <w:top w:val="nil"/>
              <w:left w:val="nil"/>
              <w:bottom w:val="nil"/>
              <w:right w:val="nil"/>
            </w:tcBorders>
            <w:shd w:val="clear" w:color="auto" w:fill="auto"/>
            <w:noWrap/>
            <w:vAlign w:val="bottom"/>
            <w:hideMark/>
          </w:tcPr>
          <w:p w14:paraId="7A2A23DF"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0D35F3BC" w14:textId="77777777" w:rsidTr="00D55AEE">
        <w:trPr>
          <w:trHeight w:val="312"/>
        </w:trPr>
        <w:tc>
          <w:tcPr>
            <w:tcW w:w="3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36445B"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w:t>
            </w:r>
          </w:p>
        </w:tc>
        <w:tc>
          <w:tcPr>
            <w:tcW w:w="2236" w:type="dxa"/>
            <w:tcBorders>
              <w:top w:val="single" w:sz="4" w:space="0" w:color="auto"/>
              <w:left w:val="nil"/>
              <w:bottom w:val="single" w:sz="4" w:space="0" w:color="auto"/>
              <w:right w:val="single" w:sz="4" w:space="0" w:color="auto"/>
            </w:tcBorders>
            <w:shd w:val="clear" w:color="auto" w:fill="auto"/>
            <w:noWrap/>
            <w:vAlign w:val="bottom"/>
            <w:hideMark/>
          </w:tcPr>
          <w:p w14:paraId="53E8FA93" w14:textId="77777777" w:rsidR="00D55AEE" w:rsidRPr="00071D0F" w:rsidRDefault="00D55AEE" w:rsidP="00D55AEE">
            <w:pPr>
              <w:spacing w:before="0" w:after="0" w:line="240" w:lineRule="auto"/>
              <w:jc w:val="center"/>
              <w:rPr>
                <w:rFonts w:eastAsia="Times New Roman"/>
                <w:b/>
                <w:bCs/>
                <w:color w:val="000000"/>
                <w:lang w:bidi="hi-IN"/>
              </w:rPr>
            </w:pPr>
            <w:r w:rsidRPr="00071D0F">
              <w:rPr>
                <w:rFonts w:eastAsia="Times New Roman"/>
                <w:b/>
                <w:bCs/>
                <w:color w:val="000000"/>
                <w:lang w:bidi="hi-IN"/>
              </w:rPr>
              <w:t>2023</w:t>
            </w:r>
          </w:p>
        </w:tc>
        <w:tc>
          <w:tcPr>
            <w:tcW w:w="2165" w:type="dxa"/>
            <w:tcBorders>
              <w:top w:val="single" w:sz="4" w:space="0" w:color="auto"/>
              <w:left w:val="nil"/>
              <w:bottom w:val="single" w:sz="4" w:space="0" w:color="auto"/>
              <w:right w:val="single" w:sz="4" w:space="0" w:color="auto"/>
            </w:tcBorders>
            <w:shd w:val="clear" w:color="auto" w:fill="auto"/>
            <w:noWrap/>
            <w:vAlign w:val="bottom"/>
            <w:hideMark/>
          </w:tcPr>
          <w:p w14:paraId="2BE1B6FE" w14:textId="77777777" w:rsidR="00D55AEE" w:rsidRPr="00071D0F" w:rsidRDefault="00D55AEE" w:rsidP="00D55AEE">
            <w:pPr>
              <w:spacing w:before="0" w:after="0" w:line="240" w:lineRule="auto"/>
              <w:jc w:val="center"/>
              <w:rPr>
                <w:rFonts w:eastAsia="Times New Roman"/>
                <w:b/>
                <w:bCs/>
                <w:color w:val="000000"/>
                <w:lang w:bidi="hi-IN"/>
              </w:rPr>
            </w:pPr>
            <w:r w:rsidRPr="00071D0F">
              <w:rPr>
                <w:rFonts w:eastAsia="Times New Roman"/>
                <w:b/>
                <w:bCs/>
                <w:color w:val="000000"/>
                <w:lang w:bidi="hi-IN"/>
              </w:rPr>
              <w:t>2024</w:t>
            </w:r>
          </w:p>
        </w:tc>
      </w:tr>
      <w:tr w:rsidR="00D55AEE" w:rsidRPr="00071D0F" w14:paraId="65EFC501"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69D43562"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Profit after interest and tax</w:t>
            </w:r>
          </w:p>
        </w:tc>
        <w:tc>
          <w:tcPr>
            <w:tcW w:w="2236" w:type="dxa"/>
            <w:tcBorders>
              <w:top w:val="nil"/>
              <w:left w:val="nil"/>
              <w:bottom w:val="single" w:sz="4" w:space="0" w:color="auto"/>
              <w:right w:val="single" w:sz="4" w:space="0" w:color="auto"/>
            </w:tcBorders>
            <w:shd w:val="clear" w:color="auto" w:fill="auto"/>
            <w:noWrap/>
            <w:vAlign w:val="bottom"/>
            <w:hideMark/>
          </w:tcPr>
          <w:p w14:paraId="0D10D263"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324 </w:t>
            </w:r>
          </w:p>
        </w:tc>
        <w:tc>
          <w:tcPr>
            <w:tcW w:w="2165" w:type="dxa"/>
            <w:tcBorders>
              <w:top w:val="nil"/>
              <w:left w:val="nil"/>
              <w:bottom w:val="single" w:sz="4" w:space="0" w:color="auto"/>
              <w:right w:val="single" w:sz="4" w:space="0" w:color="auto"/>
            </w:tcBorders>
            <w:shd w:val="clear" w:color="auto" w:fill="auto"/>
            <w:noWrap/>
            <w:vAlign w:val="bottom"/>
            <w:hideMark/>
          </w:tcPr>
          <w:p w14:paraId="5963D503"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452 </w:t>
            </w:r>
          </w:p>
        </w:tc>
      </w:tr>
      <w:tr w:rsidR="00D55AEE" w:rsidRPr="00071D0F" w14:paraId="463F2DA7"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3A65AD4D"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Equity</w:t>
            </w:r>
          </w:p>
        </w:tc>
        <w:tc>
          <w:tcPr>
            <w:tcW w:w="2236" w:type="dxa"/>
            <w:tcBorders>
              <w:top w:val="nil"/>
              <w:left w:val="nil"/>
              <w:bottom w:val="single" w:sz="4" w:space="0" w:color="auto"/>
              <w:right w:val="single" w:sz="4" w:space="0" w:color="auto"/>
            </w:tcBorders>
            <w:shd w:val="clear" w:color="auto" w:fill="auto"/>
            <w:noWrap/>
            <w:vAlign w:val="bottom"/>
            <w:hideMark/>
          </w:tcPr>
          <w:p w14:paraId="69B63910"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2,023 </w:t>
            </w:r>
          </w:p>
        </w:tc>
        <w:tc>
          <w:tcPr>
            <w:tcW w:w="2165" w:type="dxa"/>
            <w:tcBorders>
              <w:top w:val="nil"/>
              <w:left w:val="nil"/>
              <w:bottom w:val="single" w:sz="4" w:space="0" w:color="auto"/>
              <w:right w:val="single" w:sz="4" w:space="0" w:color="auto"/>
            </w:tcBorders>
            <w:shd w:val="clear" w:color="auto" w:fill="auto"/>
            <w:noWrap/>
            <w:vAlign w:val="bottom"/>
            <w:hideMark/>
          </w:tcPr>
          <w:p w14:paraId="0EB80FB4"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2,024 </w:t>
            </w:r>
          </w:p>
        </w:tc>
      </w:tr>
      <w:tr w:rsidR="00D55AEE" w:rsidRPr="00071D0F" w14:paraId="5E0A7C5F"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00C74187"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ROE</w:t>
            </w:r>
          </w:p>
        </w:tc>
        <w:tc>
          <w:tcPr>
            <w:tcW w:w="2236" w:type="dxa"/>
            <w:tcBorders>
              <w:top w:val="nil"/>
              <w:left w:val="nil"/>
              <w:bottom w:val="single" w:sz="4" w:space="0" w:color="auto"/>
              <w:right w:val="single" w:sz="4" w:space="0" w:color="auto"/>
            </w:tcBorders>
            <w:shd w:val="clear" w:color="auto" w:fill="auto"/>
            <w:noWrap/>
            <w:vAlign w:val="bottom"/>
            <w:hideMark/>
          </w:tcPr>
          <w:p w14:paraId="7729940F" w14:textId="77777777" w:rsidR="00D55AEE" w:rsidRPr="00071D0F" w:rsidRDefault="00D55AEE" w:rsidP="00D55AEE">
            <w:pPr>
              <w:spacing w:before="0" w:after="0" w:line="240" w:lineRule="auto"/>
              <w:jc w:val="right"/>
              <w:rPr>
                <w:rFonts w:eastAsia="Times New Roman"/>
                <w:b/>
                <w:bCs/>
                <w:color w:val="000000"/>
                <w:lang w:bidi="hi-IN"/>
              </w:rPr>
            </w:pPr>
            <w:r w:rsidRPr="00071D0F">
              <w:rPr>
                <w:rFonts w:eastAsia="Times New Roman"/>
                <w:b/>
                <w:bCs/>
                <w:color w:val="000000"/>
                <w:lang w:bidi="hi-IN"/>
              </w:rPr>
              <w:t>16.02%</w:t>
            </w:r>
          </w:p>
        </w:tc>
        <w:tc>
          <w:tcPr>
            <w:tcW w:w="2165" w:type="dxa"/>
            <w:tcBorders>
              <w:top w:val="nil"/>
              <w:left w:val="nil"/>
              <w:bottom w:val="single" w:sz="4" w:space="0" w:color="auto"/>
              <w:right w:val="single" w:sz="4" w:space="0" w:color="auto"/>
            </w:tcBorders>
            <w:shd w:val="clear" w:color="auto" w:fill="auto"/>
            <w:noWrap/>
            <w:vAlign w:val="bottom"/>
            <w:hideMark/>
          </w:tcPr>
          <w:p w14:paraId="1121F040" w14:textId="77777777" w:rsidR="00D55AEE" w:rsidRPr="00071D0F" w:rsidRDefault="00D55AEE" w:rsidP="00D55AEE">
            <w:pPr>
              <w:spacing w:before="0" w:after="0" w:line="240" w:lineRule="auto"/>
              <w:jc w:val="right"/>
              <w:rPr>
                <w:rFonts w:eastAsia="Times New Roman"/>
                <w:b/>
                <w:bCs/>
                <w:color w:val="000000"/>
                <w:lang w:bidi="hi-IN"/>
              </w:rPr>
            </w:pPr>
            <w:r w:rsidRPr="00071D0F">
              <w:rPr>
                <w:rFonts w:eastAsia="Times New Roman"/>
                <w:b/>
                <w:bCs/>
                <w:color w:val="000000"/>
                <w:lang w:bidi="hi-IN"/>
              </w:rPr>
              <w:t>22.33%</w:t>
            </w:r>
          </w:p>
        </w:tc>
      </w:tr>
      <w:tr w:rsidR="00D55AEE" w:rsidRPr="00071D0F" w14:paraId="5455D8AB" w14:textId="77777777" w:rsidTr="00D55AEE">
        <w:trPr>
          <w:trHeight w:val="312"/>
        </w:trPr>
        <w:tc>
          <w:tcPr>
            <w:tcW w:w="3799" w:type="dxa"/>
            <w:tcBorders>
              <w:top w:val="nil"/>
              <w:left w:val="nil"/>
              <w:bottom w:val="nil"/>
              <w:right w:val="nil"/>
            </w:tcBorders>
            <w:shd w:val="clear" w:color="auto" w:fill="auto"/>
            <w:noWrap/>
            <w:vAlign w:val="bottom"/>
            <w:hideMark/>
          </w:tcPr>
          <w:p w14:paraId="53524065" w14:textId="77777777" w:rsidR="00D55AEE" w:rsidRPr="00071D0F" w:rsidRDefault="00D55AEE" w:rsidP="00D55AEE">
            <w:pPr>
              <w:spacing w:before="0" w:after="0" w:line="240" w:lineRule="auto"/>
              <w:jc w:val="right"/>
              <w:rPr>
                <w:rFonts w:eastAsia="Times New Roman"/>
                <w:b/>
                <w:bCs/>
                <w:color w:val="000000"/>
                <w:lang w:bidi="hi-IN"/>
              </w:rPr>
            </w:pPr>
          </w:p>
        </w:tc>
        <w:tc>
          <w:tcPr>
            <w:tcW w:w="2236" w:type="dxa"/>
            <w:tcBorders>
              <w:top w:val="nil"/>
              <w:left w:val="nil"/>
              <w:bottom w:val="nil"/>
              <w:right w:val="nil"/>
            </w:tcBorders>
            <w:shd w:val="clear" w:color="auto" w:fill="auto"/>
            <w:noWrap/>
            <w:vAlign w:val="bottom"/>
            <w:hideMark/>
          </w:tcPr>
          <w:p w14:paraId="157D5483" w14:textId="77777777" w:rsidR="00D55AEE" w:rsidRPr="00071D0F" w:rsidRDefault="00D55AEE" w:rsidP="00D55AEE">
            <w:pPr>
              <w:spacing w:before="0" w:after="0" w:line="240" w:lineRule="auto"/>
              <w:jc w:val="left"/>
              <w:rPr>
                <w:rFonts w:eastAsia="Times New Roman"/>
                <w:sz w:val="20"/>
                <w:szCs w:val="20"/>
                <w:lang w:bidi="hi-IN"/>
              </w:rPr>
            </w:pPr>
          </w:p>
        </w:tc>
        <w:tc>
          <w:tcPr>
            <w:tcW w:w="2165" w:type="dxa"/>
            <w:tcBorders>
              <w:top w:val="nil"/>
              <w:left w:val="nil"/>
              <w:bottom w:val="nil"/>
              <w:right w:val="nil"/>
            </w:tcBorders>
            <w:shd w:val="clear" w:color="auto" w:fill="auto"/>
            <w:noWrap/>
            <w:vAlign w:val="bottom"/>
            <w:hideMark/>
          </w:tcPr>
          <w:p w14:paraId="041FD5B3"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32D782E6" w14:textId="77777777" w:rsidTr="00D55AEE">
        <w:trPr>
          <w:trHeight w:val="312"/>
        </w:trPr>
        <w:tc>
          <w:tcPr>
            <w:tcW w:w="3799" w:type="dxa"/>
            <w:tcBorders>
              <w:top w:val="nil"/>
              <w:left w:val="nil"/>
              <w:bottom w:val="nil"/>
              <w:right w:val="nil"/>
            </w:tcBorders>
            <w:shd w:val="clear" w:color="auto" w:fill="auto"/>
            <w:noWrap/>
            <w:vAlign w:val="bottom"/>
            <w:hideMark/>
          </w:tcPr>
          <w:p w14:paraId="7C65EB23" w14:textId="77777777" w:rsidR="00D55AEE" w:rsidRPr="00071D0F" w:rsidRDefault="00D55AEE" w:rsidP="00D55AEE">
            <w:pPr>
              <w:spacing w:before="0" w:after="0" w:line="240" w:lineRule="auto"/>
              <w:jc w:val="left"/>
              <w:rPr>
                <w:rFonts w:eastAsia="Times New Roman"/>
                <w:sz w:val="20"/>
                <w:szCs w:val="20"/>
                <w:lang w:bidi="hi-IN"/>
              </w:rPr>
            </w:pPr>
          </w:p>
        </w:tc>
        <w:tc>
          <w:tcPr>
            <w:tcW w:w="2236" w:type="dxa"/>
            <w:tcBorders>
              <w:top w:val="nil"/>
              <w:left w:val="nil"/>
              <w:bottom w:val="nil"/>
              <w:right w:val="nil"/>
            </w:tcBorders>
            <w:shd w:val="clear" w:color="auto" w:fill="auto"/>
            <w:noWrap/>
            <w:vAlign w:val="bottom"/>
            <w:hideMark/>
          </w:tcPr>
          <w:p w14:paraId="6CFAA7CE" w14:textId="77777777" w:rsidR="00D55AEE" w:rsidRPr="00071D0F" w:rsidRDefault="00D55AEE" w:rsidP="00D55AEE">
            <w:pPr>
              <w:spacing w:before="0" w:after="0" w:line="240" w:lineRule="auto"/>
              <w:jc w:val="left"/>
              <w:rPr>
                <w:rFonts w:eastAsia="Times New Roman"/>
                <w:sz w:val="20"/>
                <w:szCs w:val="20"/>
                <w:lang w:bidi="hi-IN"/>
              </w:rPr>
            </w:pPr>
          </w:p>
        </w:tc>
        <w:tc>
          <w:tcPr>
            <w:tcW w:w="2165" w:type="dxa"/>
            <w:tcBorders>
              <w:top w:val="nil"/>
              <w:left w:val="nil"/>
              <w:bottom w:val="nil"/>
              <w:right w:val="nil"/>
            </w:tcBorders>
            <w:shd w:val="clear" w:color="auto" w:fill="auto"/>
            <w:noWrap/>
            <w:vAlign w:val="bottom"/>
            <w:hideMark/>
          </w:tcPr>
          <w:p w14:paraId="6704810B"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05DA8F5C" w14:textId="77777777" w:rsidTr="00D55AEE">
        <w:trPr>
          <w:trHeight w:val="312"/>
        </w:trPr>
        <w:tc>
          <w:tcPr>
            <w:tcW w:w="8200" w:type="dxa"/>
            <w:gridSpan w:val="3"/>
            <w:tcBorders>
              <w:top w:val="nil"/>
              <w:left w:val="nil"/>
              <w:bottom w:val="nil"/>
              <w:right w:val="nil"/>
            </w:tcBorders>
            <w:shd w:val="clear" w:color="auto" w:fill="auto"/>
            <w:noWrap/>
            <w:vAlign w:val="bottom"/>
            <w:hideMark/>
          </w:tcPr>
          <w:p w14:paraId="10C58DB8"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Price-to-earnings ratio</w:t>
            </w:r>
          </w:p>
        </w:tc>
      </w:tr>
      <w:tr w:rsidR="00D55AEE" w:rsidRPr="00071D0F" w14:paraId="056C92DD" w14:textId="77777777" w:rsidTr="00D55AEE">
        <w:trPr>
          <w:trHeight w:val="312"/>
        </w:trPr>
        <w:tc>
          <w:tcPr>
            <w:tcW w:w="8200" w:type="dxa"/>
            <w:gridSpan w:val="3"/>
            <w:tcBorders>
              <w:top w:val="nil"/>
              <w:left w:val="nil"/>
              <w:bottom w:val="nil"/>
              <w:right w:val="nil"/>
            </w:tcBorders>
            <w:shd w:val="clear" w:color="auto" w:fill="auto"/>
            <w:noWrap/>
            <w:vAlign w:val="bottom"/>
            <w:hideMark/>
          </w:tcPr>
          <w:p w14:paraId="2CBA62C9"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Formula = Market price / Earnings per share</w:t>
            </w:r>
          </w:p>
        </w:tc>
      </w:tr>
      <w:tr w:rsidR="00D55AEE" w:rsidRPr="00071D0F" w14:paraId="268EB84F" w14:textId="77777777" w:rsidTr="00D55AEE">
        <w:trPr>
          <w:trHeight w:val="312"/>
        </w:trPr>
        <w:tc>
          <w:tcPr>
            <w:tcW w:w="3799" w:type="dxa"/>
            <w:tcBorders>
              <w:top w:val="nil"/>
              <w:left w:val="nil"/>
              <w:bottom w:val="nil"/>
              <w:right w:val="nil"/>
            </w:tcBorders>
            <w:shd w:val="clear" w:color="auto" w:fill="auto"/>
            <w:noWrap/>
            <w:vAlign w:val="bottom"/>
            <w:hideMark/>
          </w:tcPr>
          <w:p w14:paraId="314AD398" w14:textId="77777777" w:rsidR="00D55AEE" w:rsidRPr="00071D0F" w:rsidRDefault="00D55AEE" w:rsidP="00D55AEE">
            <w:pPr>
              <w:spacing w:before="0" w:after="0" w:line="240" w:lineRule="auto"/>
              <w:jc w:val="left"/>
              <w:rPr>
                <w:rFonts w:eastAsia="Times New Roman"/>
                <w:color w:val="000000"/>
                <w:lang w:bidi="hi-IN"/>
              </w:rPr>
            </w:pPr>
          </w:p>
        </w:tc>
        <w:tc>
          <w:tcPr>
            <w:tcW w:w="2236" w:type="dxa"/>
            <w:tcBorders>
              <w:top w:val="nil"/>
              <w:left w:val="nil"/>
              <w:bottom w:val="nil"/>
              <w:right w:val="nil"/>
            </w:tcBorders>
            <w:shd w:val="clear" w:color="auto" w:fill="auto"/>
            <w:noWrap/>
            <w:vAlign w:val="bottom"/>
            <w:hideMark/>
          </w:tcPr>
          <w:p w14:paraId="1EA4479C" w14:textId="77777777" w:rsidR="00D55AEE" w:rsidRPr="00071D0F" w:rsidRDefault="00D55AEE" w:rsidP="00D55AEE">
            <w:pPr>
              <w:spacing w:before="0" w:after="0" w:line="240" w:lineRule="auto"/>
              <w:jc w:val="left"/>
              <w:rPr>
                <w:rFonts w:eastAsia="Times New Roman"/>
                <w:sz w:val="20"/>
                <w:szCs w:val="20"/>
                <w:lang w:bidi="hi-IN"/>
              </w:rPr>
            </w:pPr>
          </w:p>
        </w:tc>
        <w:tc>
          <w:tcPr>
            <w:tcW w:w="2165" w:type="dxa"/>
            <w:tcBorders>
              <w:top w:val="nil"/>
              <w:left w:val="nil"/>
              <w:bottom w:val="nil"/>
              <w:right w:val="nil"/>
            </w:tcBorders>
            <w:shd w:val="clear" w:color="auto" w:fill="auto"/>
            <w:noWrap/>
            <w:vAlign w:val="bottom"/>
            <w:hideMark/>
          </w:tcPr>
          <w:p w14:paraId="1F5BF9E6" w14:textId="77777777" w:rsidR="00D55AEE" w:rsidRPr="00071D0F" w:rsidRDefault="00D55AEE" w:rsidP="00D55AEE">
            <w:pPr>
              <w:spacing w:before="0" w:after="0" w:line="240" w:lineRule="auto"/>
              <w:jc w:val="left"/>
              <w:rPr>
                <w:rFonts w:eastAsia="Times New Roman"/>
                <w:sz w:val="20"/>
                <w:szCs w:val="20"/>
                <w:lang w:bidi="hi-IN"/>
              </w:rPr>
            </w:pPr>
          </w:p>
        </w:tc>
      </w:tr>
      <w:tr w:rsidR="00D55AEE" w:rsidRPr="00071D0F" w14:paraId="25B8C0C9" w14:textId="77777777" w:rsidTr="00D55AEE">
        <w:trPr>
          <w:trHeight w:val="312"/>
        </w:trPr>
        <w:tc>
          <w:tcPr>
            <w:tcW w:w="3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417AAD"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w:t>
            </w:r>
          </w:p>
        </w:tc>
        <w:tc>
          <w:tcPr>
            <w:tcW w:w="2236" w:type="dxa"/>
            <w:tcBorders>
              <w:top w:val="single" w:sz="4" w:space="0" w:color="auto"/>
              <w:left w:val="nil"/>
              <w:bottom w:val="single" w:sz="4" w:space="0" w:color="auto"/>
              <w:right w:val="single" w:sz="4" w:space="0" w:color="auto"/>
            </w:tcBorders>
            <w:shd w:val="clear" w:color="auto" w:fill="auto"/>
            <w:noWrap/>
            <w:vAlign w:val="bottom"/>
            <w:hideMark/>
          </w:tcPr>
          <w:p w14:paraId="070C1FBC" w14:textId="77777777" w:rsidR="00D55AEE" w:rsidRPr="00071D0F" w:rsidRDefault="00D55AEE" w:rsidP="00D55AEE">
            <w:pPr>
              <w:spacing w:before="0" w:after="0" w:line="240" w:lineRule="auto"/>
              <w:jc w:val="center"/>
              <w:rPr>
                <w:rFonts w:eastAsia="Times New Roman"/>
                <w:b/>
                <w:bCs/>
                <w:color w:val="000000"/>
                <w:lang w:bidi="hi-IN"/>
              </w:rPr>
            </w:pPr>
            <w:r w:rsidRPr="00071D0F">
              <w:rPr>
                <w:rFonts w:eastAsia="Times New Roman"/>
                <w:b/>
                <w:bCs/>
                <w:color w:val="000000"/>
                <w:lang w:bidi="hi-IN"/>
              </w:rPr>
              <w:t>2023</w:t>
            </w:r>
          </w:p>
        </w:tc>
        <w:tc>
          <w:tcPr>
            <w:tcW w:w="2165" w:type="dxa"/>
            <w:tcBorders>
              <w:top w:val="single" w:sz="4" w:space="0" w:color="auto"/>
              <w:left w:val="nil"/>
              <w:bottom w:val="single" w:sz="4" w:space="0" w:color="auto"/>
              <w:right w:val="single" w:sz="4" w:space="0" w:color="auto"/>
            </w:tcBorders>
            <w:shd w:val="clear" w:color="auto" w:fill="auto"/>
            <w:noWrap/>
            <w:vAlign w:val="bottom"/>
            <w:hideMark/>
          </w:tcPr>
          <w:p w14:paraId="772A1D73" w14:textId="77777777" w:rsidR="00D55AEE" w:rsidRPr="00071D0F" w:rsidRDefault="00D55AEE" w:rsidP="00D55AEE">
            <w:pPr>
              <w:spacing w:before="0" w:after="0" w:line="240" w:lineRule="auto"/>
              <w:jc w:val="center"/>
              <w:rPr>
                <w:rFonts w:eastAsia="Times New Roman"/>
                <w:b/>
                <w:bCs/>
                <w:color w:val="000000"/>
                <w:lang w:bidi="hi-IN"/>
              </w:rPr>
            </w:pPr>
            <w:r w:rsidRPr="00071D0F">
              <w:rPr>
                <w:rFonts w:eastAsia="Times New Roman"/>
                <w:b/>
                <w:bCs/>
                <w:color w:val="000000"/>
                <w:lang w:bidi="hi-IN"/>
              </w:rPr>
              <w:t>2024</w:t>
            </w:r>
          </w:p>
        </w:tc>
      </w:tr>
      <w:tr w:rsidR="00D55AEE" w:rsidRPr="00071D0F" w14:paraId="786B5027"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3BC8AA2C"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Market price of share</w:t>
            </w:r>
          </w:p>
        </w:tc>
        <w:tc>
          <w:tcPr>
            <w:tcW w:w="2236" w:type="dxa"/>
            <w:tcBorders>
              <w:top w:val="nil"/>
              <w:left w:val="nil"/>
              <w:bottom w:val="single" w:sz="4" w:space="0" w:color="auto"/>
              <w:right w:val="single" w:sz="4" w:space="0" w:color="auto"/>
            </w:tcBorders>
            <w:shd w:val="clear" w:color="auto" w:fill="auto"/>
            <w:noWrap/>
            <w:vAlign w:val="bottom"/>
            <w:hideMark/>
          </w:tcPr>
          <w:p w14:paraId="1C353AF2"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47.71 </w:t>
            </w:r>
          </w:p>
        </w:tc>
        <w:tc>
          <w:tcPr>
            <w:tcW w:w="2165" w:type="dxa"/>
            <w:tcBorders>
              <w:top w:val="nil"/>
              <w:left w:val="nil"/>
              <w:bottom w:val="single" w:sz="4" w:space="0" w:color="auto"/>
              <w:right w:val="single" w:sz="4" w:space="0" w:color="auto"/>
            </w:tcBorders>
            <w:shd w:val="clear" w:color="auto" w:fill="auto"/>
            <w:noWrap/>
            <w:vAlign w:val="bottom"/>
            <w:hideMark/>
          </w:tcPr>
          <w:p w14:paraId="41230B0A"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54.78 </w:t>
            </w:r>
          </w:p>
        </w:tc>
      </w:tr>
      <w:tr w:rsidR="00D55AEE" w:rsidRPr="00071D0F" w14:paraId="52B9406A"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47EED9FC"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EPS</w:t>
            </w:r>
          </w:p>
        </w:tc>
        <w:tc>
          <w:tcPr>
            <w:tcW w:w="2236" w:type="dxa"/>
            <w:tcBorders>
              <w:top w:val="nil"/>
              <w:left w:val="nil"/>
              <w:bottom w:val="single" w:sz="4" w:space="0" w:color="auto"/>
              <w:right w:val="single" w:sz="4" w:space="0" w:color="auto"/>
            </w:tcBorders>
            <w:shd w:val="clear" w:color="auto" w:fill="auto"/>
            <w:noWrap/>
            <w:vAlign w:val="bottom"/>
            <w:hideMark/>
          </w:tcPr>
          <w:p w14:paraId="312D6F17"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0.09 </w:t>
            </w:r>
          </w:p>
        </w:tc>
        <w:tc>
          <w:tcPr>
            <w:tcW w:w="2165" w:type="dxa"/>
            <w:tcBorders>
              <w:top w:val="nil"/>
              <w:left w:val="nil"/>
              <w:bottom w:val="single" w:sz="4" w:space="0" w:color="auto"/>
              <w:right w:val="single" w:sz="4" w:space="0" w:color="auto"/>
            </w:tcBorders>
            <w:shd w:val="clear" w:color="auto" w:fill="auto"/>
            <w:noWrap/>
            <w:vAlign w:val="bottom"/>
            <w:hideMark/>
          </w:tcPr>
          <w:p w14:paraId="370B9754" w14:textId="77777777" w:rsidR="00D55AEE" w:rsidRPr="00071D0F" w:rsidRDefault="00D55AEE" w:rsidP="00D55AEE">
            <w:pPr>
              <w:spacing w:before="0" w:after="0" w:line="240" w:lineRule="auto"/>
              <w:jc w:val="left"/>
              <w:rPr>
                <w:rFonts w:eastAsia="Times New Roman"/>
                <w:color w:val="000000"/>
                <w:lang w:bidi="hi-IN"/>
              </w:rPr>
            </w:pPr>
            <w:r w:rsidRPr="00071D0F">
              <w:rPr>
                <w:rFonts w:eastAsia="Times New Roman"/>
                <w:color w:val="000000"/>
                <w:lang w:bidi="hi-IN"/>
              </w:rPr>
              <w:t xml:space="preserve">                       0.07 </w:t>
            </w:r>
          </w:p>
        </w:tc>
      </w:tr>
      <w:tr w:rsidR="00D55AEE" w:rsidRPr="00071D0F" w14:paraId="10119D1F" w14:textId="77777777" w:rsidTr="00D55AEE">
        <w:trPr>
          <w:trHeight w:val="312"/>
        </w:trPr>
        <w:tc>
          <w:tcPr>
            <w:tcW w:w="3799" w:type="dxa"/>
            <w:tcBorders>
              <w:top w:val="nil"/>
              <w:left w:val="single" w:sz="4" w:space="0" w:color="auto"/>
              <w:bottom w:val="single" w:sz="4" w:space="0" w:color="auto"/>
              <w:right w:val="single" w:sz="4" w:space="0" w:color="auto"/>
            </w:tcBorders>
            <w:shd w:val="clear" w:color="auto" w:fill="auto"/>
            <w:noWrap/>
            <w:vAlign w:val="bottom"/>
            <w:hideMark/>
          </w:tcPr>
          <w:p w14:paraId="27E9069D"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P/E Ratio</w:t>
            </w:r>
          </w:p>
        </w:tc>
        <w:tc>
          <w:tcPr>
            <w:tcW w:w="2236" w:type="dxa"/>
            <w:tcBorders>
              <w:top w:val="nil"/>
              <w:left w:val="nil"/>
              <w:bottom w:val="single" w:sz="4" w:space="0" w:color="auto"/>
              <w:right w:val="single" w:sz="4" w:space="0" w:color="auto"/>
            </w:tcBorders>
            <w:shd w:val="clear" w:color="auto" w:fill="auto"/>
            <w:noWrap/>
            <w:vAlign w:val="bottom"/>
            <w:hideMark/>
          </w:tcPr>
          <w:p w14:paraId="31AF824A"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 xml:space="preserve">                    539.64 </w:t>
            </w:r>
          </w:p>
        </w:tc>
        <w:tc>
          <w:tcPr>
            <w:tcW w:w="2165" w:type="dxa"/>
            <w:tcBorders>
              <w:top w:val="nil"/>
              <w:left w:val="nil"/>
              <w:bottom w:val="single" w:sz="4" w:space="0" w:color="auto"/>
              <w:right w:val="single" w:sz="4" w:space="0" w:color="auto"/>
            </w:tcBorders>
            <w:shd w:val="clear" w:color="auto" w:fill="auto"/>
            <w:noWrap/>
            <w:vAlign w:val="bottom"/>
            <w:hideMark/>
          </w:tcPr>
          <w:p w14:paraId="35260EC6" w14:textId="77777777" w:rsidR="00D55AEE" w:rsidRPr="00071D0F" w:rsidRDefault="00D55AEE" w:rsidP="00D55AEE">
            <w:pPr>
              <w:spacing w:before="0" w:after="0" w:line="240" w:lineRule="auto"/>
              <w:jc w:val="left"/>
              <w:rPr>
                <w:rFonts w:eastAsia="Times New Roman"/>
                <w:b/>
                <w:bCs/>
                <w:color w:val="000000"/>
                <w:lang w:bidi="hi-IN"/>
              </w:rPr>
            </w:pPr>
            <w:r w:rsidRPr="00071D0F">
              <w:rPr>
                <w:rFonts w:eastAsia="Times New Roman"/>
                <w:b/>
                <w:bCs/>
                <w:color w:val="000000"/>
                <w:lang w:bidi="hi-IN"/>
              </w:rPr>
              <w:t xml:space="preserve">                   753.53 </w:t>
            </w:r>
          </w:p>
        </w:tc>
      </w:tr>
    </w:tbl>
    <w:p w14:paraId="0EC563EA" w14:textId="77777777" w:rsidR="00D55AEE" w:rsidRPr="00071D0F" w:rsidRDefault="00D55AEE" w:rsidP="00D55AEE">
      <w:pPr>
        <w:jc w:val="center"/>
      </w:pPr>
      <w:r w:rsidRPr="00071D0F">
        <w:t>(Source: Appendix 1, 2 and 3; Yahoo Finance, 2025)</w:t>
      </w:r>
    </w:p>
    <w:p w14:paraId="4596BD95" w14:textId="77777777" w:rsidR="006B67DF" w:rsidRPr="00071D0F" w:rsidRDefault="00393AE5" w:rsidP="006B67DF">
      <w:r w:rsidRPr="00071D0F">
        <w:rPr>
          <w:b/>
          <w:bCs/>
        </w:rPr>
        <w:t>Interpretation</w:t>
      </w:r>
      <w:r w:rsidRPr="00071D0F">
        <w:br/>
      </w:r>
      <w:r w:rsidR="006B67DF" w:rsidRPr="00071D0F">
        <w:t xml:space="preserve">Between 2023 and 2024 many investor‐focused ratios weakened with the sole exception of ROE. </w:t>
      </w:r>
      <w:r w:rsidR="006B67DF" w:rsidRPr="00071D0F">
        <w:rPr>
          <w:b/>
          <w:bCs/>
        </w:rPr>
        <w:t>Earnings per share</w:t>
      </w:r>
      <w:r w:rsidR="006B67DF" w:rsidRPr="00071D0F">
        <w:t xml:space="preserve"> dropped from 0.09 to 0.07 as profit after tax declined while the share amount only marginally decreased. Low EPS is not only indicative of weak core earnings, but also a dilution of per-share returns. </w:t>
      </w:r>
      <w:r w:rsidR="006B67DF" w:rsidRPr="00071D0F">
        <w:rPr>
          <w:b/>
          <w:bCs/>
        </w:rPr>
        <w:t>Dividend cover</w:t>
      </w:r>
      <w:r w:rsidR="006B67DF" w:rsidRPr="00071D0F">
        <w:t xml:space="preserve"> decreased from 3.34× to 2.45× because </w:t>
      </w:r>
      <w:r w:rsidR="006B67DF" w:rsidRPr="00071D0F">
        <w:lastRenderedPageBreak/>
        <w:t xml:space="preserve">dividends rose while profits fell—management paid out an increasing share of earnings, thereby reducing the buffer in sustaining payouts should earnings wither further. Finally, </w:t>
      </w:r>
      <w:r w:rsidR="006B67DF" w:rsidRPr="00071D0F">
        <w:rPr>
          <w:b/>
          <w:bCs/>
        </w:rPr>
        <w:t>dividend yield</w:t>
      </w:r>
      <w:r w:rsidR="006B67DF" w:rsidRPr="00071D0F">
        <w:t xml:space="preserve"> fell from 0.06% to 0.05%, as the per-share dividend held steady at 0.03, while in the meantime the share price had jumped from 47.71 to 54.78, thus weighing current income down against equity price appreciation. </w:t>
      </w:r>
      <w:r w:rsidR="006B67DF" w:rsidRPr="00071D0F">
        <w:rPr>
          <w:b/>
          <w:bCs/>
        </w:rPr>
        <w:t>Interest cover</w:t>
      </w:r>
      <w:r w:rsidR="006B67DF" w:rsidRPr="00071D0F">
        <w:t xml:space="preserve">, slightly down from 27.6× to 26.3×, marked a rough 8% drop in operating profit and a gentle decline in interest expense. But then, it's still a pretty strong buffer margin over financing costs. Contrary to this, </w:t>
      </w:r>
      <w:r w:rsidR="006B67DF" w:rsidRPr="00071D0F">
        <w:rPr>
          <w:b/>
          <w:bCs/>
        </w:rPr>
        <w:t>return on equity (ROE)</w:t>
      </w:r>
      <w:r w:rsidR="006B67DF" w:rsidRPr="00071D0F">
        <w:t xml:space="preserve"> surged from 16.0% to 22.3%. This anomaly may be caused either by equity being reduced significantly or by one-off gains being </w:t>
      </w:r>
      <w:proofErr w:type="spellStart"/>
      <w:r w:rsidR="006B67DF" w:rsidRPr="00071D0F">
        <w:t>favorably</w:t>
      </w:r>
      <w:proofErr w:type="spellEnd"/>
      <w:r w:rsidR="006B67DF" w:rsidRPr="00071D0F">
        <w:t xml:space="preserve"> mixed to boost net profit against a relatively stable equity base. In this case, a high ROE may disguise underlying earnings weakness should it be caused by balance-sheet shrinkage rather than a genuine increase in profit.</w:t>
      </w:r>
    </w:p>
    <w:p w14:paraId="42F3D219" w14:textId="77777777" w:rsidR="00393AE5" w:rsidRPr="00071D0F" w:rsidRDefault="006B67DF" w:rsidP="006B67DF">
      <w:r w:rsidRPr="00071D0F">
        <w:t xml:space="preserve">Finally, the </w:t>
      </w:r>
      <w:r w:rsidRPr="00071D0F">
        <w:rPr>
          <w:b/>
          <w:bCs/>
        </w:rPr>
        <w:t>price-to-earnings (P/E)</w:t>
      </w:r>
      <w:r w:rsidRPr="00071D0F">
        <w:t xml:space="preserve"> ratio soared, spiking from 540× to 754× on account of share price appreciation outpacing an EPS decline. Occasionally, these glaringly high multiples imply either the market is excessively optimistic about future growth or else that current earnings are so negligible that any alteration in price would create massive swings in P/E.</w:t>
      </w:r>
    </w:p>
    <w:p w14:paraId="1ECFE22D" w14:textId="77777777" w:rsidR="00393AE5" w:rsidRPr="00071D0F" w:rsidRDefault="00393AE5" w:rsidP="00393AE5">
      <w:r w:rsidRPr="00071D0F">
        <w:rPr>
          <w:b/>
          <w:bCs/>
        </w:rPr>
        <w:t>Recommendations to Improve Ratios</w:t>
      </w:r>
    </w:p>
    <w:p w14:paraId="28248AB4" w14:textId="77777777" w:rsidR="006B67DF" w:rsidRPr="00071D0F" w:rsidRDefault="006B67DF" w:rsidP="006B67DF">
      <w:pPr>
        <w:pStyle w:val="ListParagraph"/>
        <w:numPr>
          <w:ilvl w:val="0"/>
          <w:numId w:val="4"/>
        </w:numPr>
        <w:contextualSpacing w:val="0"/>
      </w:pPr>
      <w:r w:rsidRPr="00071D0F">
        <w:rPr>
          <w:b/>
          <w:bCs/>
        </w:rPr>
        <w:t>Strengthening sustainable income and profitability</w:t>
      </w:r>
      <w:r w:rsidRPr="00071D0F">
        <w:t xml:space="preserve"> by giving due attention to higher margin products/services while paring down operating costs are the essential strategies to raise dividend cover and interest cover EPS.</w:t>
      </w:r>
    </w:p>
    <w:p w14:paraId="1CE9D144" w14:textId="77777777" w:rsidR="006B67DF" w:rsidRPr="00071D0F" w:rsidRDefault="006B67DF" w:rsidP="006B67DF">
      <w:pPr>
        <w:pStyle w:val="ListParagraph"/>
        <w:numPr>
          <w:ilvl w:val="0"/>
          <w:numId w:val="4"/>
        </w:numPr>
        <w:contextualSpacing w:val="0"/>
      </w:pPr>
      <w:r w:rsidRPr="00071D0F">
        <w:rPr>
          <w:b/>
          <w:bCs/>
        </w:rPr>
        <w:t>Adjust the dividend policy</w:t>
      </w:r>
      <w:r w:rsidRPr="00071D0F">
        <w:t xml:space="preserve"> to link payout to long-term earning power; dividends may grow modestly rather than remain flat when earnings decline to maintain dividend cover higher than 3×. </w:t>
      </w:r>
    </w:p>
    <w:p w14:paraId="510DE82E" w14:textId="77777777" w:rsidR="006B67DF" w:rsidRPr="00071D0F" w:rsidRDefault="006B67DF" w:rsidP="006B67DF">
      <w:pPr>
        <w:pStyle w:val="ListParagraph"/>
        <w:numPr>
          <w:ilvl w:val="0"/>
          <w:numId w:val="4"/>
        </w:numPr>
        <w:contextualSpacing w:val="0"/>
      </w:pPr>
      <w:r w:rsidRPr="00071D0F">
        <w:rPr>
          <w:b/>
          <w:bCs/>
        </w:rPr>
        <w:t>Prudent management of equity base</w:t>
      </w:r>
      <w:r w:rsidRPr="00071D0F">
        <w:t xml:space="preserve"> would keep away from unnecessary new issues and also further consider share buy-backs when EPS is depressed, hence supporting EPS and P/E stability (Arnold and Lewis 2019). </w:t>
      </w:r>
    </w:p>
    <w:p w14:paraId="1D911BAF" w14:textId="77777777" w:rsidR="006B67DF" w:rsidRPr="00071D0F" w:rsidRDefault="006B67DF" w:rsidP="006B67DF">
      <w:pPr>
        <w:pStyle w:val="ListParagraph"/>
        <w:numPr>
          <w:ilvl w:val="0"/>
          <w:numId w:val="4"/>
        </w:numPr>
        <w:contextualSpacing w:val="0"/>
      </w:pPr>
      <w:r w:rsidRPr="00071D0F">
        <w:rPr>
          <w:b/>
          <w:bCs/>
        </w:rPr>
        <w:t>Improving operating profitability</w:t>
      </w:r>
      <w:r w:rsidRPr="00071D0F">
        <w:t xml:space="preserve"> through more efficient processes or select price increases would deepen interest cover and lessen dependence on financial levers. </w:t>
      </w:r>
    </w:p>
    <w:p w14:paraId="62DFBC6C" w14:textId="77777777" w:rsidR="00D55AEE" w:rsidRPr="00071D0F" w:rsidRDefault="006B67DF" w:rsidP="006B67DF">
      <w:pPr>
        <w:pStyle w:val="ListParagraph"/>
        <w:numPr>
          <w:ilvl w:val="0"/>
          <w:numId w:val="4"/>
        </w:numPr>
        <w:contextualSpacing w:val="0"/>
      </w:pPr>
      <w:r w:rsidRPr="00071D0F">
        <w:rPr>
          <w:b/>
          <w:bCs/>
        </w:rPr>
        <w:t>Growth strategy communication</w:t>
      </w:r>
      <w:r w:rsidRPr="00071D0F">
        <w:t>: If a high P/E is set on expectations of future earnings acceleration, provide milestone announcements with frequent updates establishing valuation; otherwise, set expectations below real earnings potential to avoid market disappointment (Bacon, 2010).</w:t>
      </w:r>
    </w:p>
    <w:p w14:paraId="3C4C6FC0" w14:textId="77777777" w:rsidR="008234C3" w:rsidRPr="00071D0F" w:rsidRDefault="008234C3" w:rsidP="008234C3">
      <w:pPr>
        <w:pStyle w:val="Heading2"/>
      </w:pPr>
      <w:bookmarkStart w:id="6" w:name="_Toc203668416"/>
      <w:r w:rsidRPr="00071D0F">
        <w:lastRenderedPageBreak/>
        <w:t>Conclusion</w:t>
      </w:r>
      <w:bookmarkEnd w:id="6"/>
    </w:p>
    <w:p w14:paraId="5B67DD88" w14:textId="77777777" w:rsidR="00F0136F" w:rsidRPr="00071D0F" w:rsidRDefault="00983D9A">
      <w:r w:rsidRPr="00071D0F">
        <w:t>The year-over-year analysis reveals a mixed performance: profitability and liquidity ratios, notwithstanding their still strong in absolute terms, experienced a slight dip, reflecting cost pressures and inefficiencies concerning assets. Gearing continues to be high, indicating that reliance on debt still exists, albeit there was slight deleveraging. Investor ratios evidenced declines in EPS, dividend cover, and yield while ROE improved, a situation reflecting changes in the equity base and not operational gains. A sharp increase in P/E ratio bolsters market optimism but will bring its gargantuan sensitivity to any earnings shortfall. Taken together, therefore, it points out the need for stricter working-capital management, focused cost control, and civilized capital allocation. While improving asset productivity, curbing non-operational burdens, and enacting dividend policy in line with sustainable earnings will make for good liquidity and earn from leverage risk, and investor returns in the long run. These steps will heighten company resilience, thereby aiding value enhancement on the long run, while simultaneously revamping stakeholder confidence.</w:t>
      </w:r>
      <w:r w:rsidR="00F0136F" w:rsidRPr="00071D0F">
        <w:br w:type="page"/>
      </w:r>
    </w:p>
    <w:p w14:paraId="3AAAA0DE" w14:textId="77777777" w:rsidR="008234C3" w:rsidRPr="00071D0F" w:rsidRDefault="00F0136F" w:rsidP="00F0136F">
      <w:pPr>
        <w:pStyle w:val="Heading2"/>
      </w:pPr>
      <w:bookmarkStart w:id="7" w:name="_Toc203668417"/>
      <w:r w:rsidRPr="00071D0F">
        <w:lastRenderedPageBreak/>
        <w:t>References</w:t>
      </w:r>
      <w:bookmarkEnd w:id="7"/>
    </w:p>
    <w:p w14:paraId="3EEA4528" w14:textId="77777777" w:rsidR="0058247F" w:rsidRPr="00071D0F" w:rsidRDefault="0058247F" w:rsidP="0058247F">
      <w:r w:rsidRPr="00071D0F">
        <w:t xml:space="preserve">Arnold, G. and Lewis, D.S. (2019) </w:t>
      </w:r>
      <w:r w:rsidRPr="00071D0F">
        <w:rPr>
          <w:i/>
          <w:iCs/>
        </w:rPr>
        <w:t>Corporate Financial Management</w:t>
      </w:r>
      <w:r w:rsidRPr="00071D0F">
        <w:t xml:space="preserve">. Harlow, England: Pearson Education Limited. </w:t>
      </w:r>
    </w:p>
    <w:p w14:paraId="3C6BE793" w14:textId="77777777" w:rsidR="0058247F" w:rsidRPr="00071D0F" w:rsidRDefault="0058247F" w:rsidP="0058247F">
      <w:r w:rsidRPr="00071D0F">
        <w:t xml:space="preserve">Bacon, F. (2010) </w:t>
      </w:r>
      <w:r w:rsidRPr="00071D0F">
        <w:rPr>
          <w:i/>
          <w:iCs/>
        </w:rPr>
        <w:t>Corporate Financial Management</w:t>
      </w:r>
      <w:r w:rsidRPr="00071D0F">
        <w:t xml:space="preserve">. Acton, MA: Copley Custom Textbooks. </w:t>
      </w:r>
    </w:p>
    <w:p w14:paraId="129FB64A" w14:textId="77777777" w:rsidR="0058247F" w:rsidRPr="00071D0F" w:rsidRDefault="0058247F" w:rsidP="0058247F">
      <w:r w:rsidRPr="00071D0F">
        <w:t xml:space="preserve">Brigham, E.F. and Ehrhardt, M.C. (2024) </w:t>
      </w:r>
      <w:r w:rsidRPr="00071D0F">
        <w:rPr>
          <w:i/>
          <w:iCs/>
        </w:rPr>
        <w:t>Financial management: Theory and practice</w:t>
      </w:r>
      <w:r w:rsidRPr="00071D0F">
        <w:t xml:space="preserve">. Boston, M.A: Cengage Learning. </w:t>
      </w:r>
    </w:p>
    <w:p w14:paraId="1420FE17" w14:textId="77777777" w:rsidR="0058247F" w:rsidRPr="00071D0F" w:rsidRDefault="0058247F" w:rsidP="0058247F">
      <w:r w:rsidRPr="00071D0F">
        <w:t xml:space="preserve">Kapil, S. (2011) </w:t>
      </w:r>
      <w:r w:rsidRPr="00071D0F">
        <w:rPr>
          <w:i/>
          <w:iCs/>
        </w:rPr>
        <w:t>Financial management</w:t>
      </w:r>
      <w:r w:rsidRPr="00071D0F">
        <w:t xml:space="preserve">. Noida, India: Pearson. </w:t>
      </w:r>
    </w:p>
    <w:p w14:paraId="50C07D97" w14:textId="77777777" w:rsidR="0058247F" w:rsidRPr="00071D0F" w:rsidRDefault="0058247F" w:rsidP="0058247F">
      <w:r w:rsidRPr="00071D0F">
        <w:t xml:space="preserve">Llyod (2024) </w:t>
      </w:r>
      <w:r w:rsidRPr="00071D0F">
        <w:rPr>
          <w:i/>
          <w:iCs/>
        </w:rPr>
        <w:t>2024-LBG-annual-report.pdf</w:t>
      </w:r>
      <w:r w:rsidRPr="00071D0F">
        <w:t xml:space="preserve">. Available at: https://www.lloydsbankinggroup.com/assets/pdfs/investors/financial-performance/lloyds-banking-group-plc/2024/q4/2024-lbg-annual-report.pdf (Accessed: 17 July 2025). </w:t>
      </w:r>
    </w:p>
    <w:p w14:paraId="039EDD68" w14:textId="77777777" w:rsidR="0058247F" w:rsidRPr="00071D0F" w:rsidRDefault="0058247F" w:rsidP="0058247F">
      <w:r w:rsidRPr="00071D0F">
        <w:t xml:space="preserve">Mathur, S.B. and Rangarajan, C. (2015) </w:t>
      </w:r>
      <w:r w:rsidRPr="00071D0F">
        <w:rPr>
          <w:i/>
          <w:iCs/>
        </w:rPr>
        <w:t>Financial management: Theory and practice</w:t>
      </w:r>
      <w:r w:rsidRPr="00071D0F">
        <w:t xml:space="preserve">. New Delhi: Trinity Press. </w:t>
      </w:r>
    </w:p>
    <w:p w14:paraId="00A08034" w14:textId="77777777" w:rsidR="0058247F" w:rsidRPr="00071D0F" w:rsidRDefault="0058247F" w:rsidP="0058247F">
      <w:r w:rsidRPr="00071D0F">
        <w:t xml:space="preserve">Pandey, I.M. (2021) </w:t>
      </w:r>
      <w:r w:rsidRPr="00071D0F">
        <w:rPr>
          <w:i/>
          <w:iCs/>
        </w:rPr>
        <w:t>Financial management</w:t>
      </w:r>
      <w:r w:rsidRPr="00071D0F">
        <w:t xml:space="preserve">. Uttar Pradesh, India: Pearson India Education Services </w:t>
      </w:r>
      <w:proofErr w:type="spellStart"/>
      <w:r w:rsidRPr="00071D0F">
        <w:t>Pvt.</w:t>
      </w:r>
      <w:proofErr w:type="spellEnd"/>
      <w:r w:rsidRPr="00071D0F">
        <w:t xml:space="preserve"> Ltd. </w:t>
      </w:r>
    </w:p>
    <w:p w14:paraId="2862FED1" w14:textId="77777777" w:rsidR="0058247F" w:rsidRPr="00071D0F" w:rsidRDefault="0058247F" w:rsidP="0058247F">
      <w:r w:rsidRPr="00071D0F">
        <w:t xml:space="preserve">Paramasivan, C. and Subramanian, T. (2009) </w:t>
      </w:r>
      <w:r w:rsidRPr="00071D0F">
        <w:rPr>
          <w:i/>
          <w:iCs/>
        </w:rPr>
        <w:t>Financial management</w:t>
      </w:r>
      <w:r w:rsidRPr="00071D0F">
        <w:t xml:space="preserve">. New Delhi: New Age International (P) Ltd., Publishers. </w:t>
      </w:r>
    </w:p>
    <w:p w14:paraId="78D66D0B" w14:textId="77777777" w:rsidR="0058247F" w:rsidRPr="00071D0F" w:rsidRDefault="0058247F" w:rsidP="0058247F">
      <w:r w:rsidRPr="00071D0F">
        <w:t xml:space="preserve">Peterson, P.P., Fabozzi, F.J. and Habegger, W.D. (2004) </w:t>
      </w:r>
      <w:r w:rsidRPr="00071D0F">
        <w:rPr>
          <w:i/>
          <w:iCs/>
        </w:rPr>
        <w:t>Financial Management and analysis. workbook</w:t>
      </w:r>
      <w:r w:rsidRPr="00071D0F">
        <w:t xml:space="preserve">. Hoboken, N.J: Wiley. </w:t>
      </w:r>
    </w:p>
    <w:p w14:paraId="55223186" w14:textId="77777777" w:rsidR="0058247F" w:rsidRPr="00071D0F" w:rsidRDefault="0058247F" w:rsidP="0058247F">
      <w:r w:rsidRPr="00071D0F">
        <w:t xml:space="preserve">Rodriguez, J.L.G. (2024) </w:t>
      </w:r>
      <w:r w:rsidRPr="00071D0F">
        <w:rPr>
          <w:i/>
          <w:iCs/>
        </w:rPr>
        <w:t>The five recommendations for increasing company profits</w:t>
      </w:r>
      <w:r w:rsidRPr="00071D0F">
        <w:t xml:space="preserve">, </w:t>
      </w:r>
      <w:r w:rsidRPr="00071D0F">
        <w:rPr>
          <w:i/>
          <w:iCs/>
        </w:rPr>
        <w:t>Forbes</w:t>
      </w:r>
      <w:r w:rsidRPr="00071D0F">
        <w:t xml:space="preserve">. Available at: https://www.forbes.com/councils/forbescoachescouncil/2021/03/30/the-five-recommendations-for-increasing-company-profits/ (Accessed: 17 July 2025). </w:t>
      </w:r>
    </w:p>
    <w:p w14:paraId="1BD2C0EB" w14:textId="77777777" w:rsidR="0058247F" w:rsidRPr="00071D0F" w:rsidRDefault="0058247F" w:rsidP="0058247F">
      <w:r w:rsidRPr="00071D0F">
        <w:t xml:space="preserve">Singh, M. (2022) </w:t>
      </w:r>
      <w:r w:rsidRPr="00071D0F">
        <w:rPr>
          <w:i/>
          <w:iCs/>
        </w:rPr>
        <w:t>Financial management</w:t>
      </w:r>
      <w:r w:rsidRPr="00071D0F">
        <w:t xml:space="preserve">. Delhi: University Science Press. </w:t>
      </w:r>
    </w:p>
    <w:p w14:paraId="7F3FA5AC" w14:textId="77777777" w:rsidR="0058247F" w:rsidRPr="00071D0F" w:rsidRDefault="0058247F" w:rsidP="0058247F">
      <w:r w:rsidRPr="00071D0F">
        <w:t xml:space="preserve">Sooklal, S. and Hosein, P. (2023) ‘Optimization of long-term profit when cross-selling insurance policies’, </w:t>
      </w:r>
      <w:r w:rsidRPr="00071D0F">
        <w:rPr>
          <w:i/>
          <w:iCs/>
        </w:rPr>
        <w:t>2023 IEEE International Conference on Technology Management, Operations and Decisions (ICTMOD)</w:t>
      </w:r>
      <w:r w:rsidRPr="00071D0F">
        <w:t xml:space="preserve">, pp. 1–6. doi:10.1109/ictmod59086.2023.10438158. </w:t>
      </w:r>
    </w:p>
    <w:p w14:paraId="47C3C16D" w14:textId="77777777" w:rsidR="0058247F" w:rsidRPr="00071D0F" w:rsidRDefault="0058247F" w:rsidP="0058247F">
      <w:r w:rsidRPr="00071D0F">
        <w:t xml:space="preserve">Thomson Reuters (2024) </w:t>
      </w:r>
      <w:r w:rsidRPr="00071D0F">
        <w:rPr>
          <w:i/>
          <w:iCs/>
        </w:rPr>
        <w:t>8 ways accounting firms can increase profitability</w:t>
      </w:r>
      <w:r w:rsidRPr="00071D0F">
        <w:t xml:space="preserve">. Available at: https://tax.thomsonreuters.com/blog/8-strategies-to-increase-your-accounting-firms-profitability/ (Accessed: 17 July 2025). </w:t>
      </w:r>
    </w:p>
    <w:p w14:paraId="3BE05BDF" w14:textId="77777777" w:rsidR="0058247F" w:rsidRPr="00071D0F" w:rsidRDefault="0058247F" w:rsidP="0058247F">
      <w:r w:rsidRPr="00071D0F">
        <w:lastRenderedPageBreak/>
        <w:t xml:space="preserve">Yahoo Finance (2025) </w:t>
      </w:r>
      <w:r w:rsidRPr="00071D0F">
        <w:rPr>
          <w:i/>
          <w:iCs/>
        </w:rPr>
        <w:t>Lloyds Banking Group plc (LLOY.L</w:t>
      </w:r>
      <w:proofErr w:type="gramStart"/>
      <w:r w:rsidRPr="00071D0F">
        <w:rPr>
          <w:i/>
          <w:iCs/>
        </w:rPr>
        <w:t xml:space="preserve">) </w:t>
      </w:r>
      <w:r w:rsidRPr="00071D0F">
        <w:t>.</w:t>
      </w:r>
      <w:proofErr w:type="gramEnd"/>
      <w:r w:rsidRPr="00071D0F">
        <w:t xml:space="preserve"> Available at: https://finance.yahoo.com/quote/LLOY.L/history/ (Accessed: 17 July 2025). </w:t>
      </w:r>
    </w:p>
    <w:p w14:paraId="29315BB8" w14:textId="77777777" w:rsidR="00F0136F" w:rsidRPr="00071D0F" w:rsidRDefault="00F0136F">
      <w:r w:rsidRPr="00071D0F">
        <w:br w:type="page"/>
      </w:r>
    </w:p>
    <w:p w14:paraId="65987649" w14:textId="77777777" w:rsidR="00F0136F" w:rsidRPr="00071D0F" w:rsidRDefault="00F0136F" w:rsidP="00F0136F">
      <w:pPr>
        <w:pStyle w:val="Heading2"/>
      </w:pPr>
      <w:bookmarkStart w:id="8" w:name="_Toc203668418"/>
      <w:r w:rsidRPr="00071D0F">
        <w:lastRenderedPageBreak/>
        <w:t>Appendices</w:t>
      </w:r>
      <w:bookmarkEnd w:id="8"/>
    </w:p>
    <w:p w14:paraId="24FEC38F" w14:textId="77777777" w:rsidR="00F0136F" w:rsidRPr="00071D0F" w:rsidRDefault="00F0136F" w:rsidP="00F0136F">
      <w:pPr>
        <w:pStyle w:val="Heading3"/>
      </w:pPr>
      <w:bookmarkStart w:id="9" w:name="_Toc203668419"/>
      <w:r w:rsidRPr="00071D0F">
        <w:t>Appendix 1 – Income statement</w:t>
      </w:r>
      <w:bookmarkEnd w:id="9"/>
    </w:p>
    <w:p w14:paraId="5CA11426" w14:textId="77777777" w:rsidR="00FC5606" w:rsidRPr="00071D0F" w:rsidRDefault="00FC5606" w:rsidP="00F0136F">
      <w:r w:rsidRPr="00071D0F">
        <w:rPr>
          <w:noProof/>
          <w:lang w:val="en-US"/>
        </w:rPr>
        <w:drawing>
          <wp:inline distT="0" distB="0" distL="0" distR="0" wp14:anchorId="14A7BCED" wp14:editId="02077A10">
            <wp:extent cx="5731510" cy="5448300"/>
            <wp:effectExtent l="0" t="0" r="2540" b="0"/>
            <wp:docPr id="833376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376407" name=""/>
                    <pic:cNvPicPr/>
                  </pic:nvPicPr>
                  <pic:blipFill rotWithShape="1">
                    <a:blip r:embed="rId8" cstate="print"/>
                    <a:srcRect b="32780"/>
                    <a:stretch/>
                  </pic:blipFill>
                  <pic:spPr bwMode="auto">
                    <a:xfrm>
                      <a:off x="0" y="0"/>
                      <a:ext cx="5731510" cy="5448300"/>
                    </a:xfrm>
                    <a:prstGeom prst="rect">
                      <a:avLst/>
                    </a:prstGeom>
                    <a:ln>
                      <a:noFill/>
                    </a:ln>
                    <a:extLst>
                      <a:ext uri="{53640926-AAD7-44D8-BBD7-CCE9431645EC}">
                        <a14:shadowObscured xmlns:a14="http://schemas.microsoft.com/office/drawing/2010/main"/>
                      </a:ext>
                    </a:extLst>
                  </pic:spPr>
                </pic:pic>
              </a:graphicData>
            </a:graphic>
          </wp:inline>
        </w:drawing>
      </w:r>
    </w:p>
    <w:p w14:paraId="2A8ECF6C" w14:textId="77777777" w:rsidR="00583FFF" w:rsidRPr="00071D0F" w:rsidRDefault="00583FFF" w:rsidP="00583FFF">
      <w:pPr>
        <w:jc w:val="center"/>
      </w:pPr>
      <w:r w:rsidRPr="00071D0F">
        <w:t>(Source: Llyod, 2024)</w:t>
      </w:r>
    </w:p>
    <w:p w14:paraId="43B81F00" w14:textId="77777777" w:rsidR="00FC5606" w:rsidRPr="00071D0F" w:rsidRDefault="00FC5606">
      <w:r w:rsidRPr="00071D0F">
        <w:br w:type="page"/>
      </w:r>
    </w:p>
    <w:p w14:paraId="098A28C2" w14:textId="77777777" w:rsidR="00F0136F" w:rsidRPr="00071D0F" w:rsidRDefault="00FC5606" w:rsidP="00FC5606">
      <w:pPr>
        <w:pStyle w:val="Heading3"/>
      </w:pPr>
      <w:bookmarkStart w:id="10" w:name="_Toc203668420"/>
      <w:r w:rsidRPr="00071D0F">
        <w:lastRenderedPageBreak/>
        <w:t>Appendix 2 – Balance Sheet</w:t>
      </w:r>
      <w:bookmarkEnd w:id="10"/>
    </w:p>
    <w:p w14:paraId="144A4138" w14:textId="77777777" w:rsidR="00FC5606" w:rsidRPr="00071D0F" w:rsidRDefault="00FC5606" w:rsidP="00FC5606">
      <w:r w:rsidRPr="00071D0F">
        <w:rPr>
          <w:noProof/>
          <w:lang w:val="en-US"/>
        </w:rPr>
        <w:drawing>
          <wp:inline distT="0" distB="0" distL="0" distR="0" wp14:anchorId="73E2607F" wp14:editId="4E9CDA2E">
            <wp:extent cx="5731510" cy="7137400"/>
            <wp:effectExtent l="0" t="0" r="2540" b="6350"/>
            <wp:docPr id="2091881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881366" name=""/>
                    <pic:cNvPicPr/>
                  </pic:nvPicPr>
                  <pic:blipFill>
                    <a:blip r:embed="rId9"/>
                    <a:stretch>
                      <a:fillRect/>
                    </a:stretch>
                  </pic:blipFill>
                  <pic:spPr>
                    <a:xfrm>
                      <a:off x="0" y="0"/>
                      <a:ext cx="5731510" cy="7137400"/>
                    </a:xfrm>
                    <a:prstGeom prst="rect">
                      <a:avLst/>
                    </a:prstGeom>
                  </pic:spPr>
                </pic:pic>
              </a:graphicData>
            </a:graphic>
          </wp:inline>
        </w:drawing>
      </w:r>
    </w:p>
    <w:p w14:paraId="7FB4B14B" w14:textId="77777777" w:rsidR="00583FFF" w:rsidRPr="00071D0F" w:rsidRDefault="00583FFF" w:rsidP="00583FFF">
      <w:pPr>
        <w:jc w:val="center"/>
      </w:pPr>
      <w:r w:rsidRPr="00071D0F">
        <w:t>(Source: Llyod, 2024)</w:t>
      </w:r>
    </w:p>
    <w:p w14:paraId="5202940A" w14:textId="77777777" w:rsidR="00FC5606" w:rsidRPr="00071D0F" w:rsidRDefault="00FC5606">
      <w:r w:rsidRPr="00071D0F">
        <w:br w:type="page"/>
      </w:r>
    </w:p>
    <w:p w14:paraId="47F61EF8" w14:textId="77777777" w:rsidR="00FC5606" w:rsidRPr="00071D0F" w:rsidRDefault="00FC5606" w:rsidP="00FC5606">
      <w:pPr>
        <w:pStyle w:val="Heading3"/>
      </w:pPr>
      <w:bookmarkStart w:id="11" w:name="_Toc203668421"/>
      <w:r w:rsidRPr="00071D0F">
        <w:lastRenderedPageBreak/>
        <w:t>Appendix 3 – Cash flow statement</w:t>
      </w:r>
      <w:bookmarkEnd w:id="11"/>
    </w:p>
    <w:p w14:paraId="480EFA0B" w14:textId="77777777" w:rsidR="00FC5606" w:rsidRPr="00071D0F" w:rsidRDefault="00FC5606" w:rsidP="00FC5606">
      <w:r w:rsidRPr="00071D0F">
        <w:rPr>
          <w:noProof/>
          <w:lang w:val="en-US"/>
        </w:rPr>
        <w:drawing>
          <wp:inline distT="0" distB="0" distL="0" distR="0" wp14:anchorId="726AF2CC" wp14:editId="0BF15F05">
            <wp:extent cx="5731510" cy="6272530"/>
            <wp:effectExtent l="0" t="0" r="2540" b="0"/>
            <wp:docPr id="1076349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349884" name=""/>
                    <pic:cNvPicPr/>
                  </pic:nvPicPr>
                  <pic:blipFill>
                    <a:blip r:embed="rId10"/>
                    <a:stretch>
                      <a:fillRect/>
                    </a:stretch>
                  </pic:blipFill>
                  <pic:spPr>
                    <a:xfrm>
                      <a:off x="0" y="0"/>
                      <a:ext cx="5731510" cy="6272530"/>
                    </a:xfrm>
                    <a:prstGeom prst="rect">
                      <a:avLst/>
                    </a:prstGeom>
                  </pic:spPr>
                </pic:pic>
              </a:graphicData>
            </a:graphic>
          </wp:inline>
        </w:drawing>
      </w:r>
    </w:p>
    <w:p w14:paraId="019B4BB2" w14:textId="77777777" w:rsidR="00583FFF" w:rsidRPr="00071D0F" w:rsidRDefault="00583FFF" w:rsidP="00583FFF">
      <w:pPr>
        <w:jc w:val="center"/>
      </w:pPr>
      <w:r w:rsidRPr="00071D0F">
        <w:t>(Source: Llyod, 2024)</w:t>
      </w:r>
    </w:p>
    <w:p w14:paraId="3DB39B05" w14:textId="77777777" w:rsidR="004E7F33" w:rsidRPr="00071D0F" w:rsidRDefault="004E7F33">
      <w:r w:rsidRPr="00071D0F">
        <w:br w:type="page"/>
      </w:r>
    </w:p>
    <w:p w14:paraId="2E4EE0DE" w14:textId="77777777" w:rsidR="00925654" w:rsidRPr="00071D0F" w:rsidRDefault="004E7F33" w:rsidP="004E7F33">
      <w:pPr>
        <w:pStyle w:val="Heading1"/>
      </w:pPr>
      <w:bookmarkStart w:id="12" w:name="_Toc203668422"/>
      <w:r w:rsidRPr="00071D0F">
        <w:lastRenderedPageBreak/>
        <w:t>Part 2</w:t>
      </w:r>
      <w:bookmarkEnd w:id="12"/>
    </w:p>
    <w:p w14:paraId="23155F9E" w14:textId="77777777" w:rsidR="004E7F33" w:rsidRPr="00071D0F" w:rsidRDefault="002D7586" w:rsidP="002D7586">
      <w:pPr>
        <w:pStyle w:val="Heading2"/>
      </w:pPr>
      <w:bookmarkStart w:id="13" w:name="_Toc203668423"/>
      <w:r w:rsidRPr="00071D0F">
        <w:t>Introduction</w:t>
      </w:r>
      <w:bookmarkEnd w:id="13"/>
    </w:p>
    <w:p w14:paraId="0602085E" w14:textId="77777777" w:rsidR="002D7586" w:rsidRPr="00A275DC" w:rsidRDefault="00A275DC" w:rsidP="002D7586">
      <w:pPr>
        <w:rPr>
          <w:lang w:val="en-US"/>
        </w:rPr>
      </w:pPr>
      <w:r w:rsidRPr="00A275DC">
        <w:rPr>
          <w:lang w:val="en-US"/>
        </w:rPr>
        <w:t xml:space="preserve">The report studies the expansion of internet sales at </w:t>
      </w:r>
      <w:proofErr w:type="spellStart"/>
      <w:r w:rsidRPr="00A275DC">
        <w:rPr>
          <w:lang w:val="en-US"/>
        </w:rPr>
        <w:t>Jordons</w:t>
      </w:r>
      <w:proofErr w:type="spellEnd"/>
      <w:r w:rsidRPr="00A275DC">
        <w:rPr>
          <w:lang w:val="en-US"/>
        </w:rPr>
        <w:t xml:space="preserve"> Plc (Option B) from a financial and strategic perspective. By means of net present value (NPV) and internal rate of return (IRR), the report assesses whether the project can create value beyond the company’s required rate of return. Five crucial qualitative factors—strategic fit, market dynamics, operational competence, regulatory environment, and managerial flexibility—are also evaluated to cement the basis for decision-making beyond mere numbers. Moreover, alternative financing sources (internal funding, bank debt, and scoped equity) are appraised to ensure that cost, time to market, and balance sheet health are given due consideration. These analyses collectively will form a holistic basis upon which a recommendation can be made for whether, and how, </w:t>
      </w:r>
      <w:proofErr w:type="spellStart"/>
      <w:r w:rsidRPr="00A275DC">
        <w:rPr>
          <w:lang w:val="en-US"/>
        </w:rPr>
        <w:t>Jordons</w:t>
      </w:r>
      <w:proofErr w:type="spellEnd"/>
      <w:r w:rsidRPr="00A275DC">
        <w:rPr>
          <w:lang w:val="en-US"/>
        </w:rPr>
        <w:t xml:space="preserve"> should pursue the e-commerce investment.</w:t>
      </w:r>
    </w:p>
    <w:p w14:paraId="1707BB11" w14:textId="77777777" w:rsidR="00CC3075" w:rsidRPr="00071D0F" w:rsidRDefault="0081555F" w:rsidP="0081555F">
      <w:pPr>
        <w:pStyle w:val="Heading2"/>
      </w:pPr>
      <w:bookmarkStart w:id="14" w:name="_Toc203668424"/>
      <w:r w:rsidRPr="00071D0F">
        <w:t>Net Present Value</w:t>
      </w:r>
      <w:bookmarkEnd w:id="14"/>
    </w:p>
    <w:tbl>
      <w:tblPr>
        <w:tblW w:w="5000" w:type="pct"/>
        <w:tblLook w:val="04A0" w:firstRow="1" w:lastRow="0" w:firstColumn="1" w:lastColumn="0" w:noHBand="0" w:noVBand="1"/>
      </w:tblPr>
      <w:tblGrid>
        <w:gridCol w:w="2482"/>
        <w:gridCol w:w="1505"/>
        <w:gridCol w:w="1652"/>
        <w:gridCol w:w="1114"/>
        <w:gridCol w:w="1260"/>
        <w:gridCol w:w="1013"/>
      </w:tblGrid>
      <w:tr w:rsidR="002103A8" w:rsidRPr="002103A8" w14:paraId="060A41BA" w14:textId="77777777" w:rsidTr="002103A8">
        <w:trPr>
          <w:trHeight w:val="312"/>
        </w:trPr>
        <w:tc>
          <w:tcPr>
            <w:tcW w:w="5000" w:type="pct"/>
            <w:gridSpan w:val="6"/>
            <w:tcBorders>
              <w:top w:val="nil"/>
              <w:left w:val="nil"/>
              <w:bottom w:val="nil"/>
              <w:right w:val="nil"/>
            </w:tcBorders>
            <w:shd w:val="clear" w:color="auto" w:fill="auto"/>
            <w:noWrap/>
            <w:vAlign w:val="bottom"/>
            <w:hideMark/>
          </w:tcPr>
          <w:p w14:paraId="1EA04881" w14:textId="77777777" w:rsidR="002103A8" w:rsidRPr="002103A8" w:rsidRDefault="002103A8" w:rsidP="002103A8">
            <w:pPr>
              <w:spacing w:before="0" w:after="0" w:line="240" w:lineRule="auto"/>
              <w:jc w:val="left"/>
              <w:rPr>
                <w:rFonts w:eastAsia="Times New Roman"/>
                <w:b/>
                <w:bCs/>
                <w:color w:val="000000"/>
                <w:lang w:bidi="hi-IN"/>
              </w:rPr>
            </w:pPr>
            <w:r w:rsidRPr="002103A8">
              <w:rPr>
                <w:rFonts w:eastAsia="Times New Roman"/>
                <w:b/>
                <w:bCs/>
                <w:color w:val="000000"/>
                <w:lang w:bidi="hi-IN"/>
              </w:rPr>
              <w:t>Project A</w:t>
            </w:r>
          </w:p>
        </w:tc>
      </w:tr>
      <w:tr w:rsidR="002103A8" w:rsidRPr="002103A8" w14:paraId="1E65B3C8" w14:textId="77777777" w:rsidTr="002103A8">
        <w:trPr>
          <w:trHeight w:val="312"/>
        </w:trPr>
        <w:tc>
          <w:tcPr>
            <w:tcW w:w="1040" w:type="pct"/>
            <w:tcBorders>
              <w:top w:val="nil"/>
              <w:left w:val="nil"/>
              <w:bottom w:val="nil"/>
              <w:right w:val="nil"/>
            </w:tcBorders>
            <w:shd w:val="clear" w:color="auto" w:fill="auto"/>
            <w:noWrap/>
            <w:vAlign w:val="bottom"/>
            <w:hideMark/>
          </w:tcPr>
          <w:p w14:paraId="52882D46" w14:textId="77777777" w:rsidR="002103A8" w:rsidRPr="002103A8" w:rsidRDefault="002103A8" w:rsidP="002103A8">
            <w:pPr>
              <w:spacing w:before="0" w:after="0" w:line="240" w:lineRule="auto"/>
              <w:jc w:val="left"/>
              <w:rPr>
                <w:rFonts w:eastAsia="Times New Roman"/>
                <w:b/>
                <w:bCs/>
                <w:color w:val="000000"/>
                <w:lang w:bidi="hi-IN"/>
              </w:rPr>
            </w:pPr>
          </w:p>
        </w:tc>
        <w:tc>
          <w:tcPr>
            <w:tcW w:w="901" w:type="pct"/>
            <w:tcBorders>
              <w:top w:val="nil"/>
              <w:left w:val="nil"/>
              <w:bottom w:val="nil"/>
              <w:right w:val="nil"/>
            </w:tcBorders>
            <w:shd w:val="clear" w:color="auto" w:fill="auto"/>
            <w:noWrap/>
            <w:vAlign w:val="bottom"/>
            <w:hideMark/>
          </w:tcPr>
          <w:p w14:paraId="4D3DB2D1" w14:textId="77777777" w:rsidR="002103A8" w:rsidRPr="002103A8" w:rsidRDefault="002103A8" w:rsidP="002103A8">
            <w:pPr>
              <w:spacing w:before="0" w:after="0" w:line="240" w:lineRule="auto"/>
              <w:jc w:val="left"/>
              <w:rPr>
                <w:rFonts w:eastAsia="Times New Roman"/>
                <w:sz w:val="20"/>
                <w:szCs w:val="20"/>
                <w:lang w:bidi="hi-IN"/>
              </w:rPr>
            </w:pPr>
          </w:p>
        </w:tc>
        <w:tc>
          <w:tcPr>
            <w:tcW w:w="982" w:type="pct"/>
            <w:tcBorders>
              <w:top w:val="nil"/>
              <w:left w:val="nil"/>
              <w:bottom w:val="nil"/>
              <w:right w:val="nil"/>
            </w:tcBorders>
            <w:shd w:val="clear" w:color="auto" w:fill="auto"/>
            <w:noWrap/>
            <w:vAlign w:val="bottom"/>
            <w:hideMark/>
          </w:tcPr>
          <w:p w14:paraId="5301D457" w14:textId="77777777" w:rsidR="002103A8" w:rsidRPr="002103A8" w:rsidRDefault="002103A8" w:rsidP="002103A8">
            <w:pPr>
              <w:spacing w:before="0" w:after="0" w:line="240" w:lineRule="auto"/>
              <w:jc w:val="center"/>
              <w:rPr>
                <w:rFonts w:eastAsia="Times New Roman"/>
                <w:sz w:val="20"/>
                <w:szCs w:val="20"/>
                <w:lang w:bidi="hi-IN"/>
              </w:rPr>
            </w:pPr>
          </w:p>
        </w:tc>
        <w:tc>
          <w:tcPr>
            <w:tcW w:w="684" w:type="pct"/>
            <w:tcBorders>
              <w:top w:val="nil"/>
              <w:left w:val="nil"/>
              <w:bottom w:val="nil"/>
              <w:right w:val="nil"/>
            </w:tcBorders>
            <w:shd w:val="clear" w:color="auto" w:fill="auto"/>
            <w:noWrap/>
            <w:vAlign w:val="bottom"/>
            <w:hideMark/>
          </w:tcPr>
          <w:p w14:paraId="083BF456" w14:textId="77777777" w:rsidR="002103A8" w:rsidRPr="002103A8" w:rsidRDefault="002103A8" w:rsidP="002103A8">
            <w:pPr>
              <w:spacing w:before="0" w:after="0" w:line="240" w:lineRule="auto"/>
              <w:jc w:val="center"/>
              <w:rPr>
                <w:rFonts w:eastAsia="Times New Roman"/>
                <w:sz w:val="20"/>
                <w:szCs w:val="20"/>
                <w:lang w:bidi="hi-IN"/>
              </w:rPr>
            </w:pPr>
          </w:p>
        </w:tc>
        <w:tc>
          <w:tcPr>
            <w:tcW w:w="765" w:type="pct"/>
            <w:tcBorders>
              <w:top w:val="nil"/>
              <w:left w:val="nil"/>
              <w:bottom w:val="nil"/>
              <w:right w:val="nil"/>
            </w:tcBorders>
            <w:shd w:val="clear" w:color="auto" w:fill="auto"/>
            <w:noWrap/>
            <w:vAlign w:val="bottom"/>
            <w:hideMark/>
          </w:tcPr>
          <w:p w14:paraId="7F193BD7" w14:textId="77777777" w:rsidR="002103A8" w:rsidRPr="002103A8" w:rsidRDefault="002103A8" w:rsidP="002103A8">
            <w:pPr>
              <w:spacing w:before="0" w:after="0" w:line="240" w:lineRule="auto"/>
              <w:jc w:val="center"/>
              <w:rPr>
                <w:rFonts w:eastAsia="Times New Roman"/>
                <w:sz w:val="20"/>
                <w:szCs w:val="20"/>
                <w:lang w:bidi="hi-IN"/>
              </w:rPr>
            </w:pPr>
          </w:p>
        </w:tc>
        <w:tc>
          <w:tcPr>
            <w:tcW w:w="629" w:type="pct"/>
            <w:tcBorders>
              <w:top w:val="nil"/>
              <w:left w:val="nil"/>
              <w:bottom w:val="nil"/>
              <w:right w:val="nil"/>
            </w:tcBorders>
            <w:shd w:val="clear" w:color="auto" w:fill="auto"/>
            <w:noWrap/>
            <w:vAlign w:val="bottom"/>
            <w:hideMark/>
          </w:tcPr>
          <w:p w14:paraId="06199494" w14:textId="77777777" w:rsidR="002103A8" w:rsidRPr="002103A8" w:rsidRDefault="002103A8" w:rsidP="002103A8">
            <w:pPr>
              <w:spacing w:before="0" w:after="0" w:line="240" w:lineRule="auto"/>
              <w:jc w:val="center"/>
              <w:rPr>
                <w:rFonts w:eastAsia="Times New Roman"/>
                <w:sz w:val="20"/>
                <w:szCs w:val="20"/>
                <w:lang w:bidi="hi-IN"/>
              </w:rPr>
            </w:pPr>
          </w:p>
        </w:tc>
      </w:tr>
      <w:tr w:rsidR="002103A8" w:rsidRPr="002103A8" w14:paraId="7130AD25" w14:textId="77777777" w:rsidTr="002103A8">
        <w:trPr>
          <w:trHeight w:val="312"/>
        </w:trPr>
        <w:tc>
          <w:tcPr>
            <w:tcW w:w="10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AEB41B"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 </w:t>
            </w:r>
          </w:p>
        </w:tc>
        <w:tc>
          <w:tcPr>
            <w:tcW w:w="3960" w:type="pct"/>
            <w:gridSpan w:val="5"/>
            <w:tcBorders>
              <w:top w:val="single" w:sz="4" w:space="0" w:color="auto"/>
              <w:left w:val="nil"/>
              <w:bottom w:val="single" w:sz="4" w:space="0" w:color="auto"/>
              <w:right w:val="single" w:sz="4" w:space="0" w:color="auto"/>
            </w:tcBorders>
            <w:shd w:val="clear" w:color="auto" w:fill="auto"/>
            <w:noWrap/>
            <w:vAlign w:val="bottom"/>
            <w:hideMark/>
          </w:tcPr>
          <w:p w14:paraId="4F404F57"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Years</w:t>
            </w:r>
          </w:p>
        </w:tc>
      </w:tr>
      <w:tr w:rsidR="002103A8" w:rsidRPr="002103A8" w14:paraId="42EE78BC"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736F5DE6"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£’000</w:t>
            </w:r>
          </w:p>
        </w:tc>
        <w:tc>
          <w:tcPr>
            <w:tcW w:w="901" w:type="pct"/>
            <w:tcBorders>
              <w:top w:val="nil"/>
              <w:left w:val="nil"/>
              <w:bottom w:val="single" w:sz="4" w:space="0" w:color="auto"/>
              <w:right w:val="single" w:sz="4" w:space="0" w:color="auto"/>
            </w:tcBorders>
            <w:shd w:val="clear" w:color="auto" w:fill="auto"/>
            <w:noWrap/>
            <w:vAlign w:val="bottom"/>
            <w:hideMark/>
          </w:tcPr>
          <w:p w14:paraId="12722B55"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0</w:t>
            </w:r>
          </w:p>
        </w:tc>
        <w:tc>
          <w:tcPr>
            <w:tcW w:w="982" w:type="pct"/>
            <w:tcBorders>
              <w:top w:val="nil"/>
              <w:left w:val="nil"/>
              <w:bottom w:val="single" w:sz="4" w:space="0" w:color="auto"/>
              <w:right w:val="single" w:sz="4" w:space="0" w:color="auto"/>
            </w:tcBorders>
            <w:shd w:val="clear" w:color="auto" w:fill="auto"/>
            <w:noWrap/>
            <w:vAlign w:val="bottom"/>
            <w:hideMark/>
          </w:tcPr>
          <w:p w14:paraId="40F50936"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1</w:t>
            </w:r>
          </w:p>
        </w:tc>
        <w:tc>
          <w:tcPr>
            <w:tcW w:w="684" w:type="pct"/>
            <w:tcBorders>
              <w:top w:val="nil"/>
              <w:left w:val="nil"/>
              <w:bottom w:val="single" w:sz="4" w:space="0" w:color="auto"/>
              <w:right w:val="single" w:sz="4" w:space="0" w:color="auto"/>
            </w:tcBorders>
            <w:shd w:val="clear" w:color="auto" w:fill="auto"/>
            <w:noWrap/>
            <w:vAlign w:val="bottom"/>
            <w:hideMark/>
          </w:tcPr>
          <w:p w14:paraId="136F3257"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2</w:t>
            </w:r>
          </w:p>
        </w:tc>
        <w:tc>
          <w:tcPr>
            <w:tcW w:w="765" w:type="pct"/>
            <w:tcBorders>
              <w:top w:val="nil"/>
              <w:left w:val="nil"/>
              <w:bottom w:val="single" w:sz="4" w:space="0" w:color="auto"/>
              <w:right w:val="single" w:sz="4" w:space="0" w:color="auto"/>
            </w:tcBorders>
            <w:shd w:val="clear" w:color="auto" w:fill="auto"/>
            <w:noWrap/>
            <w:vAlign w:val="bottom"/>
            <w:hideMark/>
          </w:tcPr>
          <w:p w14:paraId="2BEADF4A"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3</w:t>
            </w:r>
          </w:p>
        </w:tc>
        <w:tc>
          <w:tcPr>
            <w:tcW w:w="629" w:type="pct"/>
            <w:tcBorders>
              <w:top w:val="nil"/>
              <w:left w:val="nil"/>
              <w:bottom w:val="single" w:sz="4" w:space="0" w:color="auto"/>
              <w:right w:val="single" w:sz="4" w:space="0" w:color="auto"/>
            </w:tcBorders>
            <w:shd w:val="clear" w:color="auto" w:fill="auto"/>
            <w:noWrap/>
            <w:vAlign w:val="bottom"/>
            <w:hideMark/>
          </w:tcPr>
          <w:p w14:paraId="6C84EFC0"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4</w:t>
            </w:r>
          </w:p>
        </w:tc>
      </w:tr>
      <w:tr w:rsidR="002103A8" w:rsidRPr="002103A8" w14:paraId="4A03246C"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519A91FF"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Cash flow</w:t>
            </w:r>
          </w:p>
        </w:tc>
        <w:tc>
          <w:tcPr>
            <w:tcW w:w="901" w:type="pct"/>
            <w:tcBorders>
              <w:top w:val="nil"/>
              <w:left w:val="nil"/>
              <w:bottom w:val="single" w:sz="4" w:space="0" w:color="auto"/>
              <w:right w:val="single" w:sz="4" w:space="0" w:color="auto"/>
            </w:tcBorders>
            <w:shd w:val="clear" w:color="auto" w:fill="auto"/>
            <w:noWrap/>
            <w:vAlign w:val="bottom"/>
            <w:hideMark/>
          </w:tcPr>
          <w:p w14:paraId="31DFCB57"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(600)</w:t>
            </w:r>
          </w:p>
        </w:tc>
        <w:tc>
          <w:tcPr>
            <w:tcW w:w="982" w:type="pct"/>
            <w:tcBorders>
              <w:top w:val="nil"/>
              <w:left w:val="nil"/>
              <w:bottom w:val="single" w:sz="4" w:space="0" w:color="auto"/>
              <w:right w:val="single" w:sz="4" w:space="0" w:color="auto"/>
            </w:tcBorders>
            <w:shd w:val="clear" w:color="auto" w:fill="auto"/>
            <w:noWrap/>
            <w:vAlign w:val="bottom"/>
            <w:hideMark/>
          </w:tcPr>
          <w:p w14:paraId="71888B10"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200</w:t>
            </w:r>
          </w:p>
        </w:tc>
        <w:tc>
          <w:tcPr>
            <w:tcW w:w="684" w:type="pct"/>
            <w:tcBorders>
              <w:top w:val="nil"/>
              <w:left w:val="nil"/>
              <w:bottom w:val="single" w:sz="4" w:space="0" w:color="auto"/>
              <w:right w:val="single" w:sz="4" w:space="0" w:color="auto"/>
            </w:tcBorders>
            <w:shd w:val="clear" w:color="auto" w:fill="auto"/>
            <w:noWrap/>
            <w:vAlign w:val="bottom"/>
            <w:hideMark/>
          </w:tcPr>
          <w:p w14:paraId="1E4BE970"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300</w:t>
            </w:r>
          </w:p>
        </w:tc>
        <w:tc>
          <w:tcPr>
            <w:tcW w:w="765" w:type="pct"/>
            <w:tcBorders>
              <w:top w:val="nil"/>
              <w:left w:val="nil"/>
              <w:bottom w:val="single" w:sz="4" w:space="0" w:color="auto"/>
              <w:right w:val="single" w:sz="4" w:space="0" w:color="auto"/>
            </w:tcBorders>
            <w:shd w:val="clear" w:color="auto" w:fill="auto"/>
            <w:noWrap/>
            <w:vAlign w:val="bottom"/>
            <w:hideMark/>
          </w:tcPr>
          <w:p w14:paraId="614734A5"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400</w:t>
            </w:r>
          </w:p>
        </w:tc>
        <w:tc>
          <w:tcPr>
            <w:tcW w:w="629" w:type="pct"/>
            <w:tcBorders>
              <w:top w:val="nil"/>
              <w:left w:val="nil"/>
              <w:bottom w:val="single" w:sz="4" w:space="0" w:color="auto"/>
              <w:right w:val="single" w:sz="4" w:space="0" w:color="auto"/>
            </w:tcBorders>
            <w:shd w:val="clear" w:color="auto" w:fill="auto"/>
            <w:noWrap/>
            <w:vAlign w:val="bottom"/>
            <w:hideMark/>
          </w:tcPr>
          <w:p w14:paraId="03BB784F"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500</w:t>
            </w:r>
          </w:p>
        </w:tc>
      </w:tr>
      <w:tr w:rsidR="002103A8" w:rsidRPr="002103A8" w14:paraId="01B4F92A"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75992623"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Capital Allowance</w:t>
            </w:r>
          </w:p>
        </w:tc>
        <w:tc>
          <w:tcPr>
            <w:tcW w:w="901" w:type="pct"/>
            <w:tcBorders>
              <w:top w:val="nil"/>
              <w:left w:val="nil"/>
              <w:bottom w:val="single" w:sz="4" w:space="0" w:color="auto"/>
              <w:right w:val="single" w:sz="4" w:space="0" w:color="auto"/>
            </w:tcBorders>
            <w:shd w:val="clear" w:color="auto" w:fill="auto"/>
            <w:noWrap/>
            <w:vAlign w:val="bottom"/>
            <w:hideMark/>
          </w:tcPr>
          <w:p w14:paraId="0F5903EE"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64F874A3"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(120)</w:t>
            </w:r>
          </w:p>
        </w:tc>
        <w:tc>
          <w:tcPr>
            <w:tcW w:w="684" w:type="pct"/>
            <w:tcBorders>
              <w:top w:val="nil"/>
              <w:left w:val="nil"/>
              <w:bottom w:val="single" w:sz="4" w:space="0" w:color="auto"/>
              <w:right w:val="single" w:sz="4" w:space="0" w:color="auto"/>
            </w:tcBorders>
            <w:shd w:val="clear" w:color="auto" w:fill="auto"/>
            <w:noWrap/>
            <w:vAlign w:val="bottom"/>
            <w:hideMark/>
          </w:tcPr>
          <w:p w14:paraId="2A9F6D61"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(120)</w:t>
            </w:r>
          </w:p>
        </w:tc>
        <w:tc>
          <w:tcPr>
            <w:tcW w:w="765" w:type="pct"/>
            <w:tcBorders>
              <w:top w:val="nil"/>
              <w:left w:val="nil"/>
              <w:bottom w:val="single" w:sz="4" w:space="0" w:color="auto"/>
              <w:right w:val="single" w:sz="4" w:space="0" w:color="auto"/>
            </w:tcBorders>
            <w:shd w:val="clear" w:color="auto" w:fill="auto"/>
            <w:noWrap/>
            <w:vAlign w:val="bottom"/>
            <w:hideMark/>
          </w:tcPr>
          <w:p w14:paraId="4133E5C0"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(120)</w:t>
            </w:r>
          </w:p>
        </w:tc>
        <w:tc>
          <w:tcPr>
            <w:tcW w:w="629" w:type="pct"/>
            <w:tcBorders>
              <w:top w:val="nil"/>
              <w:left w:val="nil"/>
              <w:bottom w:val="single" w:sz="4" w:space="0" w:color="auto"/>
              <w:right w:val="single" w:sz="4" w:space="0" w:color="auto"/>
            </w:tcBorders>
            <w:shd w:val="clear" w:color="auto" w:fill="auto"/>
            <w:noWrap/>
            <w:vAlign w:val="bottom"/>
            <w:hideMark/>
          </w:tcPr>
          <w:p w14:paraId="7F01C379"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(120)</w:t>
            </w:r>
          </w:p>
        </w:tc>
      </w:tr>
      <w:tr w:rsidR="002103A8" w:rsidRPr="002103A8" w14:paraId="586C94F7"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16C76BA5"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Operating profit</w:t>
            </w:r>
          </w:p>
        </w:tc>
        <w:tc>
          <w:tcPr>
            <w:tcW w:w="901" w:type="pct"/>
            <w:tcBorders>
              <w:top w:val="nil"/>
              <w:left w:val="nil"/>
              <w:bottom w:val="single" w:sz="4" w:space="0" w:color="auto"/>
              <w:right w:val="single" w:sz="4" w:space="0" w:color="auto"/>
            </w:tcBorders>
            <w:shd w:val="clear" w:color="auto" w:fill="auto"/>
            <w:noWrap/>
            <w:vAlign w:val="bottom"/>
            <w:hideMark/>
          </w:tcPr>
          <w:p w14:paraId="7B7952EF"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786FA24B"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80</w:t>
            </w:r>
          </w:p>
        </w:tc>
        <w:tc>
          <w:tcPr>
            <w:tcW w:w="684" w:type="pct"/>
            <w:tcBorders>
              <w:top w:val="nil"/>
              <w:left w:val="nil"/>
              <w:bottom w:val="single" w:sz="4" w:space="0" w:color="auto"/>
              <w:right w:val="single" w:sz="4" w:space="0" w:color="auto"/>
            </w:tcBorders>
            <w:shd w:val="clear" w:color="auto" w:fill="auto"/>
            <w:noWrap/>
            <w:vAlign w:val="bottom"/>
            <w:hideMark/>
          </w:tcPr>
          <w:p w14:paraId="6DB200AB"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180</w:t>
            </w:r>
          </w:p>
        </w:tc>
        <w:tc>
          <w:tcPr>
            <w:tcW w:w="765" w:type="pct"/>
            <w:tcBorders>
              <w:top w:val="nil"/>
              <w:left w:val="nil"/>
              <w:bottom w:val="single" w:sz="4" w:space="0" w:color="auto"/>
              <w:right w:val="single" w:sz="4" w:space="0" w:color="auto"/>
            </w:tcBorders>
            <w:shd w:val="clear" w:color="auto" w:fill="auto"/>
            <w:noWrap/>
            <w:vAlign w:val="bottom"/>
            <w:hideMark/>
          </w:tcPr>
          <w:p w14:paraId="60D08FD6"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280</w:t>
            </w:r>
          </w:p>
        </w:tc>
        <w:tc>
          <w:tcPr>
            <w:tcW w:w="629" w:type="pct"/>
            <w:tcBorders>
              <w:top w:val="nil"/>
              <w:left w:val="nil"/>
              <w:bottom w:val="single" w:sz="4" w:space="0" w:color="auto"/>
              <w:right w:val="single" w:sz="4" w:space="0" w:color="auto"/>
            </w:tcBorders>
            <w:shd w:val="clear" w:color="auto" w:fill="auto"/>
            <w:noWrap/>
            <w:vAlign w:val="bottom"/>
            <w:hideMark/>
          </w:tcPr>
          <w:p w14:paraId="3C2AFE5A"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380</w:t>
            </w:r>
          </w:p>
        </w:tc>
      </w:tr>
      <w:tr w:rsidR="002103A8" w:rsidRPr="002103A8" w14:paraId="37781269"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589BB281"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Corporation tax</w:t>
            </w:r>
          </w:p>
        </w:tc>
        <w:tc>
          <w:tcPr>
            <w:tcW w:w="901" w:type="pct"/>
            <w:tcBorders>
              <w:top w:val="nil"/>
              <w:left w:val="nil"/>
              <w:bottom w:val="single" w:sz="4" w:space="0" w:color="auto"/>
              <w:right w:val="single" w:sz="4" w:space="0" w:color="auto"/>
            </w:tcBorders>
            <w:shd w:val="clear" w:color="auto" w:fill="auto"/>
            <w:noWrap/>
            <w:vAlign w:val="bottom"/>
            <w:hideMark/>
          </w:tcPr>
          <w:p w14:paraId="681BD27B"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0E66ADCD"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(20)</w:t>
            </w:r>
          </w:p>
        </w:tc>
        <w:tc>
          <w:tcPr>
            <w:tcW w:w="684" w:type="pct"/>
            <w:tcBorders>
              <w:top w:val="nil"/>
              <w:left w:val="nil"/>
              <w:bottom w:val="single" w:sz="4" w:space="0" w:color="auto"/>
              <w:right w:val="single" w:sz="4" w:space="0" w:color="auto"/>
            </w:tcBorders>
            <w:shd w:val="clear" w:color="auto" w:fill="auto"/>
            <w:noWrap/>
            <w:vAlign w:val="bottom"/>
            <w:hideMark/>
          </w:tcPr>
          <w:p w14:paraId="14264148"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(45)</w:t>
            </w:r>
          </w:p>
        </w:tc>
        <w:tc>
          <w:tcPr>
            <w:tcW w:w="765" w:type="pct"/>
            <w:tcBorders>
              <w:top w:val="nil"/>
              <w:left w:val="nil"/>
              <w:bottom w:val="single" w:sz="4" w:space="0" w:color="auto"/>
              <w:right w:val="single" w:sz="4" w:space="0" w:color="auto"/>
            </w:tcBorders>
            <w:shd w:val="clear" w:color="auto" w:fill="auto"/>
            <w:noWrap/>
            <w:vAlign w:val="bottom"/>
            <w:hideMark/>
          </w:tcPr>
          <w:p w14:paraId="1AA3164A"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(70)</w:t>
            </w:r>
          </w:p>
        </w:tc>
        <w:tc>
          <w:tcPr>
            <w:tcW w:w="629" w:type="pct"/>
            <w:tcBorders>
              <w:top w:val="nil"/>
              <w:left w:val="nil"/>
              <w:bottom w:val="single" w:sz="4" w:space="0" w:color="auto"/>
              <w:right w:val="single" w:sz="4" w:space="0" w:color="auto"/>
            </w:tcBorders>
            <w:shd w:val="clear" w:color="auto" w:fill="auto"/>
            <w:noWrap/>
            <w:vAlign w:val="bottom"/>
            <w:hideMark/>
          </w:tcPr>
          <w:p w14:paraId="7D9AD205"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(95)</w:t>
            </w:r>
          </w:p>
        </w:tc>
      </w:tr>
      <w:tr w:rsidR="002103A8" w:rsidRPr="002103A8" w14:paraId="1350F25C"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14672515"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Net profit</w:t>
            </w:r>
          </w:p>
        </w:tc>
        <w:tc>
          <w:tcPr>
            <w:tcW w:w="901" w:type="pct"/>
            <w:tcBorders>
              <w:top w:val="nil"/>
              <w:left w:val="nil"/>
              <w:bottom w:val="single" w:sz="4" w:space="0" w:color="auto"/>
              <w:right w:val="single" w:sz="4" w:space="0" w:color="auto"/>
            </w:tcBorders>
            <w:shd w:val="clear" w:color="auto" w:fill="auto"/>
            <w:noWrap/>
            <w:vAlign w:val="bottom"/>
            <w:hideMark/>
          </w:tcPr>
          <w:p w14:paraId="54064F6C"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1121D64D"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60</w:t>
            </w:r>
          </w:p>
        </w:tc>
        <w:tc>
          <w:tcPr>
            <w:tcW w:w="684" w:type="pct"/>
            <w:tcBorders>
              <w:top w:val="nil"/>
              <w:left w:val="nil"/>
              <w:bottom w:val="single" w:sz="4" w:space="0" w:color="auto"/>
              <w:right w:val="single" w:sz="4" w:space="0" w:color="auto"/>
            </w:tcBorders>
            <w:shd w:val="clear" w:color="auto" w:fill="auto"/>
            <w:noWrap/>
            <w:vAlign w:val="bottom"/>
            <w:hideMark/>
          </w:tcPr>
          <w:p w14:paraId="5A27094F"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135</w:t>
            </w:r>
          </w:p>
        </w:tc>
        <w:tc>
          <w:tcPr>
            <w:tcW w:w="765" w:type="pct"/>
            <w:tcBorders>
              <w:top w:val="nil"/>
              <w:left w:val="nil"/>
              <w:bottom w:val="single" w:sz="4" w:space="0" w:color="auto"/>
              <w:right w:val="single" w:sz="4" w:space="0" w:color="auto"/>
            </w:tcBorders>
            <w:shd w:val="clear" w:color="auto" w:fill="auto"/>
            <w:noWrap/>
            <w:vAlign w:val="bottom"/>
            <w:hideMark/>
          </w:tcPr>
          <w:p w14:paraId="269D0487"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210</w:t>
            </w:r>
          </w:p>
        </w:tc>
        <w:tc>
          <w:tcPr>
            <w:tcW w:w="629" w:type="pct"/>
            <w:tcBorders>
              <w:top w:val="nil"/>
              <w:left w:val="nil"/>
              <w:bottom w:val="single" w:sz="4" w:space="0" w:color="auto"/>
              <w:right w:val="single" w:sz="4" w:space="0" w:color="auto"/>
            </w:tcBorders>
            <w:shd w:val="clear" w:color="auto" w:fill="auto"/>
            <w:noWrap/>
            <w:vAlign w:val="bottom"/>
            <w:hideMark/>
          </w:tcPr>
          <w:p w14:paraId="70C366F0"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285</w:t>
            </w:r>
          </w:p>
        </w:tc>
      </w:tr>
      <w:tr w:rsidR="002103A8" w:rsidRPr="002103A8" w14:paraId="27C6A84C"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236E7FED"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Add: Capital allowance</w:t>
            </w:r>
          </w:p>
        </w:tc>
        <w:tc>
          <w:tcPr>
            <w:tcW w:w="901" w:type="pct"/>
            <w:tcBorders>
              <w:top w:val="nil"/>
              <w:left w:val="nil"/>
              <w:bottom w:val="single" w:sz="4" w:space="0" w:color="auto"/>
              <w:right w:val="single" w:sz="4" w:space="0" w:color="auto"/>
            </w:tcBorders>
            <w:shd w:val="clear" w:color="auto" w:fill="auto"/>
            <w:noWrap/>
            <w:vAlign w:val="bottom"/>
            <w:hideMark/>
          </w:tcPr>
          <w:p w14:paraId="612E6C08"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4CF34CF1"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120</w:t>
            </w:r>
          </w:p>
        </w:tc>
        <w:tc>
          <w:tcPr>
            <w:tcW w:w="684" w:type="pct"/>
            <w:tcBorders>
              <w:top w:val="nil"/>
              <w:left w:val="nil"/>
              <w:bottom w:val="single" w:sz="4" w:space="0" w:color="auto"/>
              <w:right w:val="single" w:sz="4" w:space="0" w:color="auto"/>
            </w:tcBorders>
            <w:shd w:val="clear" w:color="auto" w:fill="auto"/>
            <w:noWrap/>
            <w:vAlign w:val="bottom"/>
            <w:hideMark/>
          </w:tcPr>
          <w:p w14:paraId="2CDB91D1"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120</w:t>
            </w:r>
          </w:p>
        </w:tc>
        <w:tc>
          <w:tcPr>
            <w:tcW w:w="765" w:type="pct"/>
            <w:tcBorders>
              <w:top w:val="nil"/>
              <w:left w:val="nil"/>
              <w:bottom w:val="single" w:sz="4" w:space="0" w:color="auto"/>
              <w:right w:val="single" w:sz="4" w:space="0" w:color="auto"/>
            </w:tcBorders>
            <w:shd w:val="clear" w:color="auto" w:fill="auto"/>
            <w:noWrap/>
            <w:vAlign w:val="bottom"/>
            <w:hideMark/>
          </w:tcPr>
          <w:p w14:paraId="7E75D7B6"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120</w:t>
            </w:r>
          </w:p>
        </w:tc>
        <w:tc>
          <w:tcPr>
            <w:tcW w:w="629" w:type="pct"/>
            <w:tcBorders>
              <w:top w:val="nil"/>
              <w:left w:val="nil"/>
              <w:bottom w:val="single" w:sz="4" w:space="0" w:color="auto"/>
              <w:right w:val="single" w:sz="4" w:space="0" w:color="auto"/>
            </w:tcBorders>
            <w:shd w:val="clear" w:color="auto" w:fill="auto"/>
            <w:noWrap/>
            <w:vAlign w:val="bottom"/>
            <w:hideMark/>
          </w:tcPr>
          <w:p w14:paraId="09E16AB0"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120</w:t>
            </w:r>
          </w:p>
        </w:tc>
      </w:tr>
      <w:tr w:rsidR="002103A8" w:rsidRPr="002103A8" w14:paraId="77C45DB8"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0B333498" w14:textId="77777777" w:rsidR="002103A8" w:rsidRPr="002103A8" w:rsidRDefault="002103A8" w:rsidP="002103A8">
            <w:pPr>
              <w:spacing w:before="0" w:after="0" w:line="240" w:lineRule="auto"/>
              <w:jc w:val="left"/>
              <w:rPr>
                <w:rFonts w:eastAsia="Times New Roman"/>
                <w:b/>
                <w:bCs/>
                <w:color w:val="000000"/>
                <w:lang w:bidi="hi-IN"/>
              </w:rPr>
            </w:pPr>
            <w:r w:rsidRPr="002103A8">
              <w:rPr>
                <w:rFonts w:eastAsia="Times New Roman"/>
                <w:b/>
                <w:bCs/>
                <w:color w:val="000000"/>
                <w:lang w:bidi="hi-IN"/>
              </w:rPr>
              <w:t>Adjusted Cash flow</w:t>
            </w:r>
          </w:p>
        </w:tc>
        <w:tc>
          <w:tcPr>
            <w:tcW w:w="901" w:type="pct"/>
            <w:tcBorders>
              <w:top w:val="nil"/>
              <w:left w:val="nil"/>
              <w:bottom w:val="single" w:sz="4" w:space="0" w:color="auto"/>
              <w:right w:val="single" w:sz="4" w:space="0" w:color="auto"/>
            </w:tcBorders>
            <w:shd w:val="clear" w:color="auto" w:fill="auto"/>
            <w:noWrap/>
            <w:vAlign w:val="bottom"/>
            <w:hideMark/>
          </w:tcPr>
          <w:p w14:paraId="46755B8C" w14:textId="77777777" w:rsidR="002103A8" w:rsidRPr="002103A8" w:rsidRDefault="002103A8" w:rsidP="002103A8">
            <w:pPr>
              <w:spacing w:before="0" w:after="0" w:line="240" w:lineRule="auto"/>
              <w:jc w:val="center"/>
              <w:rPr>
                <w:rFonts w:eastAsia="Times New Roman"/>
                <w:b/>
                <w:bCs/>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1F45E9C5"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180</w:t>
            </w:r>
          </w:p>
        </w:tc>
        <w:tc>
          <w:tcPr>
            <w:tcW w:w="684" w:type="pct"/>
            <w:tcBorders>
              <w:top w:val="nil"/>
              <w:left w:val="nil"/>
              <w:bottom w:val="single" w:sz="4" w:space="0" w:color="auto"/>
              <w:right w:val="single" w:sz="4" w:space="0" w:color="auto"/>
            </w:tcBorders>
            <w:shd w:val="clear" w:color="auto" w:fill="auto"/>
            <w:noWrap/>
            <w:vAlign w:val="bottom"/>
            <w:hideMark/>
          </w:tcPr>
          <w:p w14:paraId="5825F139"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255</w:t>
            </w:r>
          </w:p>
        </w:tc>
        <w:tc>
          <w:tcPr>
            <w:tcW w:w="765" w:type="pct"/>
            <w:tcBorders>
              <w:top w:val="nil"/>
              <w:left w:val="nil"/>
              <w:bottom w:val="single" w:sz="4" w:space="0" w:color="auto"/>
              <w:right w:val="single" w:sz="4" w:space="0" w:color="auto"/>
            </w:tcBorders>
            <w:shd w:val="clear" w:color="auto" w:fill="auto"/>
            <w:noWrap/>
            <w:vAlign w:val="bottom"/>
            <w:hideMark/>
          </w:tcPr>
          <w:p w14:paraId="42A3FC90"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330</w:t>
            </w:r>
          </w:p>
        </w:tc>
        <w:tc>
          <w:tcPr>
            <w:tcW w:w="629" w:type="pct"/>
            <w:tcBorders>
              <w:top w:val="nil"/>
              <w:left w:val="nil"/>
              <w:bottom w:val="single" w:sz="4" w:space="0" w:color="auto"/>
              <w:right w:val="single" w:sz="4" w:space="0" w:color="auto"/>
            </w:tcBorders>
            <w:shd w:val="clear" w:color="auto" w:fill="auto"/>
            <w:noWrap/>
            <w:vAlign w:val="bottom"/>
            <w:hideMark/>
          </w:tcPr>
          <w:p w14:paraId="281CE686"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405</w:t>
            </w:r>
          </w:p>
        </w:tc>
      </w:tr>
      <w:tr w:rsidR="002103A8" w:rsidRPr="002103A8" w14:paraId="253712D4"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434C6124"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DF @ 6%</w:t>
            </w:r>
          </w:p>
        </w:tc>
        <w:tc>
          <w:tcPr>
            <w:tcW w:w="901" w:type="pct"/>
            <w:tcBorders>
              <w:top w:val="nil"/>
              <w:left w:val="nil"/>
              <w:bottom w:val="single" w:sz="4" w:space="0" w:color="auto"/>
              <w:right w:val="single" w:sz="4" w:space="0" w:color="auto"/>
            </w:tcBorders>
            <w:shd w:val="clear" w:color="auto" w:fill="auto"/>
            <w:noWrap/>
            <w:vAlign w:val="bottom"/>
            <w:hideMark/>
          </w:tcPr>
          <w:p w14:paraId="6437814F"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w:t>
            </w:r>
          </w:p>
        </w:tc>
        <w:tc>
          <w:tcPr>
            <w:tcW w:w="982" w:type="pct"/>
            <w:tcBorders>
              <w:top w:val="nil"/>
              <w:left w:val="nil"/>
              <w:bottom w:val="single" w:sz="4" w:space="0" w:color="auto"/>
              <w:right w:val="single" w:sz="4" w:space="0" w:color="auto"/>
            </w:tcBorders>
            <w:shd w:val="clear" w:color="auto" w:fill="auto"/>
            <w:noWrap/>
            <w:vAlign w:val="bottom"/>
            <w:hideMark/>
          </w:tcPr>
          <w:p w14:paraId="4068AEBB"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0.943</w:t>
            </w:r>
          </w:p>
        </w:tc>
        <w:tc>
          <w:tcPr>
            <w:tcW w:w="684" w:type="pct"/>
            <w:tcBorders>
              <w:top w:val="nil"/>
              <w:left w:val="nil"/>
              <w:bottom w:val="single" w:sz="4" w:space="0" w:color="auto"/>
              <w:right w:val="single" w:sz="4" w:space="0" w:color="auto"/>
            </w:tcBorders>
            <w:shd w:val="clear" w:color="auto" w:fill="auto"/>
            <w:noWrap/>
            <w:vAlign w:val="bottom"/>
            <w:hideMark/>
          </w:tcPr>
          <w:p w14:paraId="0B041F84"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0.890</w:t>
            </w:r>
          </w:p>
        </w:tc>
        <w:tc>
          <w:tcPr>
            <w:tcW w:w="765" w:type="pct"/>
            <w:tcBorders>
              <w:top w:val="nil"/>
              <w:left w:val="nil"/>
              <w:bottom w:val="single" w:sz="4" w:space="0" w:color="auto"/>
              <w:right w:val="single" w:sz="4" w:space="0" w:color="auto"/>
            </w:tcBorders>
            <w:shd w:val="clear" w:color="auto" w:fill="auto"/>
            <w:noWrap/>
            <w:vAlign w:val="bottom"/>
            <w:hideMark/>
          </w:tcPr>
          <w:p w14:paraId="3839CDCA"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0.840</w:t>
            </w:r>
          </w:p>
        </w:tc>
        <w:tc>
          <w:tcPr>
            <w:tcW w:w="629" w:type="pct"/>
            <w:tcBorders>
              <w:top w:val="nil"/>
              <w:left w:val="nil"/>
              <w:bottom w:val="single" w:sz="4" w:space="0" w:color="auto"/>
              <w:right w:val="single" w:sz="4" w:space="0" w:color="auto"/>
            </w:tcBorders>
            <w:shd w:val="clear" w:color="auto" w:fill="auto"/>
            <w:noWrap/>
            <w:vAlign w:val="bottom"/>
            <w:hideMark/>
          </w:tcPr>
          <w:p w14:paraId="1C989920"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0.792</w:t>
            </w:r>
          </w:p>
        </w:tc>
      </w:tr>
      <w:tr w:rsidR="002103A8" w:rsidRPr="002103A8" w14:paraId="219E5DD9"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4CDA1D51"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DCF</w:t>
            </w:r>
          </w:p>
        </w:tc>
        <w:tc>
          <w:tcPr>
            <w:tcW w:w="901" w:type="pct"/>
            <w:tcBorders>
              <w:top w:val="nil"/>
              <w:left w:val="nil"/>
              <w:bottom w:val="single" w:sz="4" w:space="0" w:color="auto"/>
              <w:right w:val="single" w:sz="4" w:space="0" w:color="auto"/>
            </w:tcBorders>
            <w:shd w:val="clear" w:color="auto" w:fill="auto"/>
            <w:noWrap/>
            <w:vAlign w:val="bottom"/>
            <w:hideMark/>
          </w:tcPr>
          <w:p w14:paraId="66A37F25"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(600)</w:t>
            </w:r>
          </w:p>
        </w:tc>
        <w:tc>
          <w:tcPr>
            <w:tcW w:w="982" w:type="pct"/>
            <w:tcBorders>
              <w:top w:val="nil"/>
              <w:left w:val="nil"/>
              <w:bottom w:val="single" w:sz="4" w:space="0" w:color="auto"/>
              <w:right w:val="single" w:sz="4" w:space="0" w:color="auto"/>
            </w:tcBorders>
            <w:shd w:val="clear" w:color="auto" w:fill="auto"/>
            <w:noWrap/>
            <w:vAlign w:val="bottom"/>
            <w:hideMark/>
          </w:tcPr>
          <w:p w14:paraId="29519CAA"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189</w:t>
            </w:r>
          </w:p>
        </w:tc>
        <w:tc>
          <w:tcPr>
            <w:tcW w:w="684" w:type="pct"/>
            <w:tcBorders>
              <w:top w:val="nil"/>
              <w:left w:val="nil"/>
              <w:bottom w:val="single" w:sz="4" w:space="0" w:color="auto"/>
              <w:right w:val="single" w:sz="4" w:space="0" w:color="auto"/>
            </w:tcBorders>
            <w:shd w:val="clear" w:color="auto" w:fill="auto"/>
            <w:noWrap/>
            <w:vAlign w:val="bottom"/>
            <w:hideMark/>
          </w:tcPr>
          <w:p w14:paraId="3AF3E0A7"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267</w:t>
            </w:r>
          </w:p>
        </w:tc>
        <w:tc>
          <w:tcPr>
            <w:tcW w:w="765" w:type="pct"/>
            <w:tcBorders>
              <w:top w:val="nil"/>
              <w:left w:val="nil"/>
              <w:bottom w:val="single" w:sz="4" w:space="0" w:color="auto"/>
              <w:right w:val="single" w:sz="4" w:space="0" w:color="auto"/>
            </w:tcBorders>
            <w:shd w:val="clear" w:color="auto" w:fill="auto"/>
            <w:noWrap/>
            <w:vAlign w:val="bottom"/>
            <w:hideMark/>
          </w:tcPr>
          <w:p w14:paraId="38FE37AB"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336</w:t>
            </w:r>
          </w:p>
        </w:tc>
        <w:tc>
          <w:tcPr>
            <w:tcW w:w="629" w:type="pct"/>
            <w:tcBorders>
              <w:top w:val="nil"/>
              <w:left w:val="nil"/>
              <w:bottom w:val="single" w:sz="4" w:space="0" w:color="auto"/>
              <w:right w:val="single" w:sz="4" w:space="0" w:color="auto"/>
            </w:tcBorders>
            <w:shd w:val="clear" w:color="auto" w:fill="auto"/>
            <w:noWrap/>
            <w:vAlign w:val="bottom"/>
            <w:hideMark/>
          </w:tcPr>
          <w:p w14:paraId="0BAA5C2A"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396</w:t>
            </w:r>
          </w:p>
        </w:tc>
      </w:tr>
      <w:tr w:rsidR="002103A8" w:rsidRPr="002103A8" w14:paraId="0A56C422"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53831636" w14:textId="77777777" w:rsidR="002103A8" w:rsidRPr="002103A8" w:rsidRDefault="002103A8" w:rsidP="002103A8">
            <w:pPr>
              <w:spacing w:before="0" w:after="0" w:line="240" w:lineRule="auto"/>
              <w:jc w:val="left"/>
              <w:rPr>
                <w:rFonts w:eastAsia="Times New Roman"/>
                <w:b/>
                <w:bCs/>
                <w:color w:val="000000"/>
                <w:lang w:bidi="hi-IN"/>
              </w:rPr>
            </w:pPr>
            <w:r w:rsidRPr="002103A8">
              <w:rPr>
                <w:rFonts w:eastAsia="Times New Roman"/>
                <w:b/>
                <w:bCs/>
                <w:color w:val="000000"/>
                <w:lang w:bidi="hi-IN"/>
              </w:rPr>
              <w:t>NPV (Σ of DCF)</w:t>
            </w:r>
          </w:p>
        </w:tc>
        <w:tc>
          <w:tcPr>
            <w:tcW w:w="901" w:type="pct"/>
            <w:tcBorders>
              <w:top w:val="nil"/>
              <w:left w:val="nil"/>
              <w:bottom w:val="single" w:sz="4" w:space="0" w:color="auto"/>
              <w:right w:val="single" w:sz="4" w:space="0" w:color="auto"/>
            </w:tcBorders>
            <w:shd w:val="clear" w:color="000000" w:fill="F4B084"/>
            <w:noWrap/>
            <w:vAlign w:val="bottom"/>
            <w:hideMark/>
          </w:tcPr>
          <w:p w14:paraId="66F80149"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588</w:t>
            </w:r>
          </w:p>
        </w:tc>
        <w:tc>
          <w:tcPr>
            <w:tcW w:w="982" w:type="pct"/>
            <w:tcBorders>
              <w:top w:val="nil"/>
              <w:left w:val="nil"/>
              <w:bottom w:val="single" w:sz="4" w:space="0" w:color="auto"/>
              <w:right w:val="single" w:sz="4" w:space="0" w:color="auto"/>
            </w:tcBorders>
            <w:shd w:val="clear" w:color="auto" w:fill="auto"/>
            <w:noWrap/>
            <w:vAlign w:val="bottom"/>
            <w:hideMark/>
          </w:tcPr>
          <w:p w14:paraId="53564E65" w14:textId="77777777" w:rsidR="002103A8" w:rsidRPr="002103A8" w:rsidRDefault="002103A8" w:rsidP="002103A8">
            <w:pPr>
              <w:spacing w:before="0" w:after="0" w:line="240" w:lineRule="auto"/>
              <w:jc w:val="center"/>
              <w:rPr>
                <w:rFonts w:eastAsia="Times New Roman"/>
                <w:color w:val="000000"/>
                <w:lang w:bidi="hi-IN"/>
              </w:rPr>
            </w:pPr>
          </w:p>
        </w:tc>
        <w:tc>
          <w:tcPr>
            <w:tcW w:w="684" w:type="pct"/>
            <w:tcBorders>
              <w:top w:val="nil"/>
              <w:left w:val="nil"/>
              <w:bottom w:val="single" w:sz="4" w:space="0" w:color="auto"/>
              <w:right w:val="single" w:sz="4" w:space="0" w:color="auto"/>
            </w:tcBorders>
            <w:shd w:val="clear" w:color="auto" w:fill="auto"/>
            <w:noWrap/>
            <w:vAlign w:val="bottom"/>
            <w:hideMark/>
          </w:tcPr>
          <w:p w14:paraId="310A62B7" w14:textId="77777777" w:rsidR="002103A8" w:rsidRPr="002103A8" w:rsidRDefault="002103A8" w:rsidP="002103A8">
            <w:pPr>
              <w:spacing w:before="0" w:after="0" w:line="240" w:lineRule="auto"/>
              <w:jc w:val="center"/>
              <w:rPr>
                <w:rFonts w:eastAsia="Times New Roman"/>
                <w:color w:val="000000"/>
                <w:lang w:bidi="hi-IN"/>
              </w:rPr>
            </w:pPr>
          </w:p>
        </w:tc>
        <w:tc>
          <w:tcPr>
            <w:tcW w:w="765" w:type="pct"/>
            <w:tcBorders>
              <w:top w:val="nil"/>
              <w:left w:val="nil"/>
              <w:bottom w:val="single" w:sz="4" w:space="0" w:color="auto"/>
              <w:right w:val="single" w:sz="4" w:space="0" w:color="auto"/>
            </w:tcBorders>
            <w:shd w:val="clear" w:color="auto" w:fill="auto"/>
            <w:noWrap/>
            <w:vAlign w:val="bottom"/>
            <w:hideMark/>
          </w:tcPr>
          <w:p w14:paraId="7679E124" w14:textId="77777777" w:rsidR="002103A8" w:rsidRPr="002103A8" w:rsidRDefault="002103A8" w:rsidP="002103A8">
            <w:pPr>
              <w:spacing w:before="0" w:after="0" w:line="240" w:lineRule="auto"/>
              <w:jc w:val="center"/>
              <w:rPr>
                <w:rFonts w:eastAsia="Times New Roman"/>
                <w:color w:val="000000"/>
                <w:lang w:bidi="hi-IN"/>
              </w:rPr>
            </w:pPr>
          </w:p>
        </w:tc>
        <w:tc>
          <w:tcPr>
            <w:tcW w:w="629" w:type="pct"/>
            <w:tcBorders>
              <w:top w:val="nil"/>
              <w:left w:val="nil"/>
              <w:bottom w:val="single" w:sz="4" w:space="0" w:color="auto"/>
              <w:right w:val="single" w:sz="4" w:space="0" w:color="auto"/>
            </w:tcBorders>
            <w:shd w:val="clear" w:color="auto" w:fill="auto"/>
            <w:noWrap/>
            <w:vAlign w:val="bottom"/>
            <w:hideMark/>
          </w:tcPr>
          <w:p w14:paraId="3CBF1A0A" w14:textId="77777777" w:rsidR="002103A8" w:rsidRPr="002103A8" w:rsidRDefault="002103A8" w:rsidP="002103A8">
            <w:pPr>
              <w:spacing w:before="0" w:after="0" w:line="240" w:lineRule="auto"/>
              <w:jc w:val="center"/>
              <w:rPr>
                <w:rFonts w:eastAsia="Times New Roman"/>
                <w:color w:val="000000"/>
                <w:lang w:bidi="hi-IN"/>
              </w:rPr>
            </w:pPr>
          </w:p>
        </w:tc>
      </w:tr>
      <w:tr w:rsidR="002103A8" w:rsidRPr="002103A8" w14:paraId="523AED1C" w14:textId="77777777" w:rsidTr="002103A8">
        <w:trPr>
          <w:trHeight w:val="312"/>
        </w:trPr>
        <w:tc>
          <w:tcPr>
            <w:tcW w:w="1040" w:type="pct"/>
            <w:tcBorders>
              <w:top w:val="nil"/>
              <w:left w:val="nil"/>
              <w:bottom w:val="nil"/>
              <w:right w:val="nil"/>
            </w:tcBorders>
            <w:shd w:val="clear" w:color="auto" w:fill="auto"/>
            <w:noWrap/>
            <w:vAlign w:val="bottom"/>
            <w:hideMark/>
          </w:tcPr>
          <w:p w14:paraId="3DAEFF4E" w14:textId="77777777" w:rsidR="002103A8" w:rsidRPr="002103A8" w:rsidRDefault="002103A8" w:rsidP="002103A8">
            <w:pPr>
              <w:spacing w:before="0" w:after="0" w:line="240" w:lineRule="auto"/>
              <w:jc w:val="center"/>
              <w:rPr>
                <w:rFonts w:eastAsia="Times New Roman"/>
                <w:color w:val="000000"/>
                <w:lang w:bidi="hi-IN"/>
              </w:rPr>
            </w:pPr>
          </w:p>
        </w:tc>
        <w:tc>
          <w:tcPr>
            <w:tcW w:w="901" w:type="pct"/>
            <w:tcBorders>
              <w:top w:val="nil"/>
              <w:left w:val="nil"/>
              <w:bottom w:val="nil"/>
              <w:right w:val="nil"/>
            </w:tcBorders>
            <w:shd w:val="clear" w:color="auto" w:fill="auto"/>
            <w:noWrap/>
            <w:vAlign w:val="bottom"/>
            <w:hideMark/>
          </w:tcPr>
          <w:p w14:paraId="7D851A97" w14:textId="77777777" w:rsidR="002103A8" w:rsidRPr="002103A8" w:rsidRDefault="002103A8" w:rsidP="002103A8">
            <w:pPr>
              <w:spacing w:before="0" w:after="0" w:line="240" w:lineRule="auto"/>
              <w:jc w:val="left"/>
              <w:rPr>
                <w:rFonts w:eastAsia="Times New Roman"/>
                <w:sz w:val="20"/>
                <w:szCs w:val="20"/>
                <w:lang w:bidi="hi-IN"/>
              </w:rPr>
            </w:pPr>
          </w:p>
        </w:tc>
        <w:tc>
          <w:tcPr>
            <w:tcW w:w="982" w:type="pct"/>
            <w:tcBorders>
              <w:top w:val="nil"/>
              <w:left w:val="nil"/>
              <w:bottom w:val="nil"/>
              <w:right w:val="nil"/>
            </w:tcBorders>
            <w:shd w:val="clear" w:color="auto" w:fill="auto"/>
            <w:noWrap/>
            <w:vAlign w:val="bottom"/>
            <w:hideMark/>
          </w:tcPr>
          <w:p w14:paraId="765A0917" w14:textId="77777777" w:rsidR="002103A8" w:rsidRPr="002103A8" w:rsidRDefault="002103A8" w:rsidP="002103A8">
            <w:pPr>
              <w:spacing w:before="0" w:after="0" w:line="240" w:lineRule="auto"/>
              <w:jc w:val="center"/>
              <w:rPr>
                <w:rFonts w:eastAsia="Times New Roman"/>
                <w:sz w:val="20"/>
                <w:szCs w:val="20"/>
                <w:lang w:bidi="hi-IN"/>
              </w:rPr>
            </w:pPr>
          </w:p>
        </w:tc>
        <w:tc>
          <w:tcPr>
            <w:tcW w:w="684" w:type="pct"/>
            <w:tcBorders>
              <w:top w:val="nil"/>
              <w:left w:val="nil"/>
              <w:bottom w:val="nil"/>
              <w:right w:val="nil"/>
            </w:tcBorders>
            <w:shd w:val="clear" w:color="auto" w:fill="auto"/>
            <w:noWrap/>
            <w:vAlign w:val="bottom"/>
            <w:hideMark/>
          </w:tcPr>
          <w:p w14:paraId="771BA978" w14:textId="77777777" w:rsidR="002103A8" w:rsidRPr="002103A8" w:rsidRDefault="002103A8" w:rsidP="002103A8">
            <w:pPr>
              <w:spacing w:before="0" w:after="0" w:line="240" w:lineRule="auto"/>
              <w:jc w:val="center"/>
              <w:rPr>
                <w:rFonts w:eastAsia="Times New Roman"/>
                <w:sz w:val="20"/>
                <w:szCs w:val="20"/>
                <w:lang w:bidi="hi-IN"/>
              </w:rPr>
            </w:pPr>
          </w:p>
        </w:tc>
        <w:tc>
          <w:tcPr>
            <w:tcW w:w="765" w:type="pct"/>
            <w:tcBorders>
              <w:top w:val="nil"/>
              <w:left w:val="nil"/>
              <w:bottom w:val="nil"/>
              <w:right w:val="nil"/>
            </w:tcBorders>
            <w:shd w:val="clear" w:color="auto" w:fill="auto"/>
            <w:noWrap/>
            <w:vAlign w:val="bottom"/>
            <w:hideMark/>
          </w:tcPr>
          <w:p w14:paraId="7B415302" w14:textId="77777777" w:rsidR="002103A8" w:rsidRPr="002103A8" w:rsidRDefault="002103A8" w:rsidP="002103A8">
            <w:pPr>
              <w:spacing w:before="0" w:after="0" w:line="240" w:lineRule="auto"/>
              <w:jc w:val="center"/>
              <w:rPr>
                <w:rFonts w:eastAsia="Times New Roman"/>
                <w:sz w:val="20"/>
                <w:szCs w:val="20"/>
                <w:lang w:bidi="hi-IN"/>
              </w:rPr>
            </w:pPr>
          </w:p>
        </w:tc>
        <w:tc>
          <w:tcPr>
            <w:tcW w:w="629" w:type="pct"/>
            <w:tcBorders>
              <w:top w:val="nil"/>
              <w:left w:val="nil"/>
              <w:bottom w:val="nil"/>
              <w:right w:val="nil"/>
            </w:tcBorders>
            <w:shd w:val="clear" w:color="auto" w:fill="auto"/>
            <w:noWrap/>
            <w:vAlign w:val="bottom"/>
            <w:hideMark/>
          </w:tcPr>
          <w:p w14:paraId="141A5BA8" w14:textId="77777777" w:rsidR="002103A8" w:rsidRPr="002103A8" w:rsidRDefault="002103A8" w:rsidP="002103A8">
            <w:pPr>
              <w:spacing w:before="0" w:after="0" w:line="240" w:lineRule="auto"/>
              <w:jc w:val="center"/>
              <w:rPr>
                <w:rFonts w:eastAsia="Times New Roman"/>
                <w:sz w:val="20"/>
                <w:szCs w:val="20"/>
                <w:lang w:bidi="hi-IN"/>
              </w:rPr>
            </w:pPr>
          </w:p>
        </w:tc>
      </w:tr>
      <w:tr w:rsidR="002103A8" w:rsidRPr="002103A8" w14:paraId="5C1E5771" w14:textId="77777777" w:rsidTr="002103A8">
        <w:trPr>
          <w:trHeight w:val="312"/>
        </w:trPr>
        <w:tc>
          <w:tcPr>
            <w:tcW w:w="5000" w:type="pct"/>
            <w:gridSpan w:val="6"/>
            <w:tcBorders>
              <w:top w:val="nil"/>
              <w:left w:val="nil"/>
              <w:bottom w:val="nil"/>
              <w:right w:val="nil"/>
            </w:tcBorders>
            <w:shd w:val="clear" w:color="auto" w:fill="auto"/>
            <w:noWrap/>
            <w:vAlign w:val="bottom"/>
            <w:hideMark/>
          </w:tcPr>
          <w:p w14:paraId="39A7240A" w14:textId="77777777" w:rsidR="002103A8" w:rsidRPr="002103A8" w:rsidRDefault="002103A8" w:rsidP="002103A8">
            <w:pPr>
              <w:spacing w:before="0" w:after="0" w:line="240" w:lineRule="auto"/>
              <w:jc w:val="left"/>
              <w:rPr>
                <w:rFonts w:eastAsia="Times New Roman"/>
                <w:b/>
                <w:bCs/>
                <w:color w:val="000000"/>
                <w:lang w:bidi="hi-IN"/>
              </w:rPr>
            </w:pPr>
            <w:r w:rsidRPr="002103A8">
              <w:rPr>
                <w:rFonts w:eastAsia="Times New Roman"/>
                <w:b/>
                <w:bCs/>
                <w:color w:val="000000"/>
                <w:lang w:bidi="hi-IN"/>
              </w:rPr>
              <w:t>Project B</w:t>
            </w:r>
          </w:p>
        </w:tc>
      </w:tr>
      <w:tr w:rsidR="002103A8" w:rsidRPr="002103A8" w14:paraId="35B6E804" w14:textId="77777777" w:rsidTr="002103A8">
        <w:trPr>
          <w:trHeight w:val="312"/>
        </w:trPr>
        <w:tc>
          <w:tcPr>
            <w:tcW w:w="1040" w:type="pct"/>
            <w:tcBorders>
              <w:top w:val="nil"/>
              <w:left w:val="nil"/>
              <w:bottom w:val="nil"/>
              <w:right w:val="nil"/>
            </w:tcBorders>
            <w:shd w:val="clear" w:color="auto" w:fill="auto"/>
            <w:noWrap/>
            <w:vAlign w:val="bottom"/>
            <w:hideMark/>
          </w:tcPr>
          <w:p w14:paraId="130D72A7" w14:textId="77777777" w:rsidR="002103A8" w:rsidRPr="002103A8" w:rsidRDefault="002103A8" w:rsidP="002103A8">
            <w:pPr>
              <w:spacing w:before="0" w:after="0" w:line="240" w:lineRule="auto"/>
              <w:jc w:val="left"/>
              <w:rPr>
                <w:rFonts w:eastAsia="Times New Roman"/>
                <w:b/>
                <w:bCs/>
                <w:color w:val="000000"/>
                <w:lang w:bidi="hi-IN"/>
              </w:rPr>
            </w:pPr>
          </w:p>
        </w:tc>
        <w:tc>
          <w:tcPr>
            <w:tcW w:w="901" w:type="pct"/>
            <w:tcBorders>
              <w:top w:val="nil"/>
              <w:left w:val="nil"/>
              <w:bottom w:val="nil"/>
              <w:right w:val="nil"/>
            </w:tcBorders>
            <w:shd w:val="clear" w:color="auto" w:fill="auto"/>
            <w:noWrap/>
            <w:vAlign w:val="bottom"/>
            <w:hideMark/>
          </w:tcPr>
          <w:p w14:paraId="05F43A07" w14:textId="77777777" w:rsidR="002103A8" w:rsidRPr="002103A8" w:rsidRDefault="002103A8" w:rsidP="002103A8">
            <w:pPr>
              <w:spacing w:before="0" w:after="0" w:line="240" w:lineRule="auto"/>
              <w:jc w:val="left"/>
              <w:rPr>
                <w:rFonts w:eastAsia="Times New Roman"/>
                <w:sz w:val="20"/>
                <w:szCs w:val="20"/>
                <w:lang w:bidi="hi-IN"/>
              </w:rPr>
            </w:pPr>
          </w:p>
        </w:tc>
        <w:tc>
          <w:tcPr>
            <w:tcW w:w="982" w:type="pct"/>
            <w:tcBorders>
              <w:top w:val="nil"/>
              <w:left w:val="nil"/>
              <w:bottom w:val="nil"/>
              <w:right w:val="nil"/>
            </w:tcBorders>
            <w:shd w:val="clear" w:color="auto" w:fill="auto"/>
            <w:noWrap/>
            <w:vAlign w:val="bottom"/>
            <w:hideMark/>
          </w:tcPr>
          <w:p w14:paraId="0562CB5B" w14:textId="77777777" w:rsidR="002103A8" w:rsidRPr="002103A8" w:rsidRDefault="002103A8" w:rsidP="002103A8">
            <w:pPr>
              <w:spacing w:before="0" w:after="0" w:line="240" w:lineRule="auto"/>
              <w:jc w:val="center"/>
              <w:rPr>
                <w:rFonts w:eastAsia="Times New Roman"/>
                <w:sz w:val="20"/>
                <w:szCs w:val="20"/>
                <w:lang w:bidi="hi-IN"/>
              </w:rPr>
            </w:pPr>
          </w:p>
        </w:tc>
        <w:tc>
          <w:tcPr>
            <w:tcW w:w="684" w:type="pct"/>
            <w:tcBorders>
              <w:top w:val="nil"/>
              <w:left w:val="nil"/>
              <w:bottom w:val="nil"/>
              <w:right w:val="nil"/>
            </w:tcBorders>
            <w:shd w:val="clear" w:color="auto" w:fill="auto"/>
            <w:noWrap/>
            <w:vAlign w:val="bottom"/>
            <w:hideMark/>
          </w:tcPr>
          <w:p w14:paraId="3A200700" w14:textId="77777777" w:rsidR="002103A8" w:rsidRPr="002103A8" w:rsidRDefault="002103A8" w:rsidP="002103A8">
            <w:pPr>
              <w:spacing w:before="0" w:after="0" w:line="240" w:lineRule="auto"/>
              <w:jc w:val="center"/>
              <w:rPr>
                <w:rFonts w:eastAsia="Times New Roman"/>
                <w:sz w:val="20"/>
                <w:szCs w:val="20"/>
                <w:lang w:bidi="hi-IN"/>
              </w:rPr>
            </w:pPr>
          </w:p>
        </w:tc>
        <w:tc>
          <w:tcPr>
            <w:tcW w:w="765" w:type="pct"/>
            <w:tcBorders>
              <w:top w:val="nil"/>
              <w:left w:val="nil"/>
              <w:bottom w:val="nil"/>
              <w:right w:val="nil"/>
            </w:tcBorders>
            <w:shd w:val="clear" w:color="auto" w:fill="auto"/>
            <w:noWrap/>
            <w:vAlign w:val="bottom"/>
            <w:hideMark/>
          </w:tcPr>
          <w:p w14:paraId="79B95387" w14:textId="77777777" w:rsidR="002103A8" w:rsidRPr="002103A8" w:rsidRDefault="002103A8" w:rsidP="002103A8">
            <w:pPr>
              <w:spacing w:before="0" w:after="0" w:line="240" w:lineRule="auto"/>
              <w:jc w:val="center"/>
              <w:rPr>
                <w:rFonts w:eastAsia="Times New Roman"/>
                <w:sz w:val="20"/>
                <w:szCs w:val="20"/>
                <w:lang w:bidi="hi-IN"/>
              </w:rPr>
            </w:pPr>
          </w:p>
        </w:tc>
        <w:tc>
          <w:tcPr>
            <w:tcW w:w="629" w:type="pct"/>
            <w:tcBorders>
              <w:top w:val="nil"/>
              <w:left w:val="nil"/>
              <w:bottom w:val="nil"/>
              <w:right w:val="nil"/>
            </w:tcBorders>
            <w:shd w:val="clear" w:color="auto" w:fill="auto"/>
            <w:noWrap/>
            <w:vAlign w:val="bottom"/>
            <w:hideMark/>
          </w:tcPr>
          <w:p w14:paraId="55C65BA7" w14:textId="77777777" w:rsidR="002103A8" w:rsidRPr="002103A8" w:rsidRDefault="002103A8" w:rsidP="002103A8">
            <w:pPr>
              <w:spacing w:before="0" w:after="0" w:line="240" w:lineRule="auto"/>
              <w:jc w:val="center"/>
              <w:rPr>
                <w:rFonts w:eastAsia="Times New Roman"/>
                <w:sz w:val="20"/>
                <w:szCs w:val="20"/>
                <w:lang w:bidi="hi-IN"/>
              </w:rPr>
            </w:pPr>
          </w:p>
        </w:tc>
      </w:tr>
      <w:tr w:rsidR="002103A8" w:rsidRPr="002103A8" w14:paraId="043424DE" w14:textId="77777777" w:rsidTr="002103A8">
        <w:trPr>
          <w:trHeight w:val="312"/>
        </w:trPr>
        <w:tc>
          <w:tcPr>
            <w:tcW w:w="10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EFACD5"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 </w:t>
            </w:r>
          </w:p>
        </w:tc>
        <w:tc>
          <w:tcPr>
            <w:tcW w:w="3960" w:type="pct"/>
            <w:gridSpan w:val="5"/>
            <w:tcBorders>
              <w:top w:val="single" w:sz="4" w:space="0" w:color="auto"/>
              <w:left w:val="nil"/>
              <w:bottom w:val="single" w:sz="4" w:space="0" w:color="auto"/>
              <w:right w:val="single" w:sz="4" w:space="0" w:color="auto"/>
            </w:tcBorders>
            <w:shd w:val="clear" w:color="auto" w:fill="auto"/>
            <w:noWrap/>
            <w:vAlign w:val="bottom"/>
            <w:hideMark/>
          </w:tcPr>
          <w:p w14:paraId="39C636E1"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Years</w:t>
            </w:r>
          </w:p>
        </w:tc>
      </w:tr>
      <w:tr w:rsidR="002103A8" w:rsidRPr="002103A8" w14:paraId="4EBAC282"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5F7704EE"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£’000</w:t>
            </w:r>
          </w:p>
        </w:tc>
        <w:tc>
          <w:tcPr>
            <w:tcW w:w="901" w:type="pct"/>
            <w:tcBorders>
              <w:top w:val="nil"/>
              <w:left w:val="nil"/>
              <w:bottom w:val="single" w:sz="4" w:space="0" w:color="auto"/>
              <w:right w:val="single" w:sz="4" w:space="0" w:color="auto"/>
            </w:tcBorders>
            <w:shd w:val="clear" w:color="auto" w:fill="auto"/>
            <w:noWrap/>
            <w:vAlign w:val="bottom"/>
            <w:hideMark/>
          </w:tcPr>
          <w:p w14:paraId="740505B6"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0</w:t>
            </w:r>
          </w:p>
        </w:tc>
        <w:tc>
          <w:tcPr>
            <w:tcW w:w="982" w:type="pct"/>
            <w:tcBorders>
              <w:top w:val="nil"/>
              <w:left w:val="nil"/>
              <w:bottom w:val="single" w:sz="4" w:space="0" w:color="auto"/>
              <w:right w:val="single" w:sz="4" w:space="0" w:color="auto"/>
            </w:tcBorders>
            <w:shd w:val="clear" w:color="auto" w:fill="auto"/>
            <w:noWrap/>
            <w:vAlign w:val="bottom"/>
            <w:hideMark/>
          </w:tcPr>
          <w:p w14:paraId="7FB8FC7E"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1</w:t>
            </w:r>
          </w:p>
        </w:tc>
        <w:tc>
          <w:tcPr>
            <w:tcW w:w="684" w:type="pct"/>
            <w:tcBorders>
              <w:top w:val="nil"/>
              <w:left w:val="nil"/>
              <w:bottom w:val="single" w:sz="4" w:space="0" w:color="auto"/>
              <w:right w:val="single" w:sz="4" w:space="0" w:color="auto"/>
            </w:tcBorders>
            <w:shd w:val="clear" w:color="auto" w:fill="auto"/>
            <w:noWrap/>
            <w:vAlign w:val="bottom"/>
            <w:hideMark/>
          </w:tcPr>
          <w:p w14:paraId="76BB64D5"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2</w:t>
            </w:r>
          </w:p>
        </w:tc>
        <w:tc>
          <w:tcPr>
            <w:tcW w:w="765" w:type="pct"/>
            <w:tcBorders>
              <w:top w:val="nil"/>
              <w:left w:val="nil"/>
              <w:bottom w:val="single" w:sz="4" w:space="0" w:color="auto"/>
              <w:right w:val="single" w:sz="4" w:space="0" w:color="auto"/>
            </w:tcBorders>
            <w:shd w:val="clear" w:color="auto" w:fill="auto"/>
            <w:noWrap/>
            <w:vAlign w:val="bottom"/>
            <w:hideMark/>
          </w:tcPr>
          <w:p w14:paraId="0E183159"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3</w:t>
            </w:r>
          </w:p>
        </w:tc>
        <w:tc>
          <w:tcPr>
            <w:tcW w:w="629" w:type="pct"/>
            <w:tcBorders>
              <w:top w:val="nil"/>
              <w:left w:val="nil"/>
              <w:bottom w:val="single" w:sz="4" w:space="0" w:color="auto"/>
              <w:right w:val="single" w:sz="4" w:space="0" w:color="auto"/>
            </w:tcBorders>
            <w:shd w:val="clear" w:color="auto" w:fill="auto"/>
            <w:noWrap/>
            <w:vAlign w:val="bottom"/>
            <w:hideMark/>
          </w:tcPr>
          <w:p w14:paraId="5129E172"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4</w:t>
            </w:r>
          </w:p>
        </w:tc>
      </w:tr>
      <w:tr w:rsidR="002103A8" w:rsidRPr="002103A8" w14:paraId="165C8A83"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6DC4C4DF"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Cash flow</w:t>
            </w:r>
          </w:p>
        </w:tc>
        <w:tc>
          <w:tcPr>
            <w:tcW w:w="901" w:type="pct"/>
            <w:tcBorders>
              <w:top w:val="nil"/>
              <w:left w:val="nil"/>
              <w:bottom w:val="single" w:sz="4" w:space="0" w:color="auto"/>
              <w:right w:val="single" w:sz="4" w:space="0" w:color="auto"/>
            </w:tcBorders>
            <w:shd w:val="clear" w:color="auto" w:fill="auto"/>
            <w:noWrap/>
            <w:vAlign w:val="bottom"/>
            <w:hideMark/>
          </w:tcPr>
          <w:p w14:paraId="30C1A270"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(1,000)</w:t>
            </w:r>
          </w:p>
        </w:tc>
        <w:tc>
          <w:tcPr>
            <w:tcW w:w="982" w:type="pct"/>
            <w:tcBorders>
              <w:top w:val="nil"/>
              <w:left w:val="nil"/>
              <w:bottom w:val="single" w:sz="4" w:space="0" w:color="auto"/>
              <w:right w:val="single" w:sz="4" w:space="0" w:color="auto"/>
            </w:tcBorders>
            <w:shd w:val="clear" w:color="auto" w:fill="auto"/>
            <w:noWrap/>
            <w:vAlign w:val="bottom"/>
            <w:hideMark/>
          </w:tcPr>
          <w:p w14:paraId="0F816D3F"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400</w:t>
            </w:r>
          </w:p>
        </w:tc>
        <w:tc>
          <w:tcPr>
            <w:tcW w:w="684" w:type="pct"/>
            <w:tcBorders>
              <w:top w:val="nil"/>
              <w:left w:val="nil"/>
              <w:bottom w:val="single" w:sz="4" w:space="0" w:color="auto"/>
              <w:right w:val="single" w:sz="4" w:space="0" w:color="auto"/>
            </w:tcBorders>
            <w:shd w:val="clear" w:color="auto" w:fill="auto"/>
            <w:noWrap/>
            <w:vAlign w:val="bottom"/>
            <w:hideMark/>
          </w:tcPr>
          <w:p w14:paraId="7348B318"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450</w:t>
            </w:r>
          </w:p>
        </w:tc>
        <w:tc>
          <w:tcPr>
            <w:tcW w:w="765" w:type="pct"/>
            <w:tcBorders>
              <w:top w:val="nil"/>
              <w:left w:val="nil"/>
              <w:bottom w:val="single" w:sz="4" w:space="0" w:color="auto"/>
              <w:right w:val="single" w:sz="4" w:space="0" w:color="auto"/>
            </w:tcBorders>
            <w:shd w:val="clear" w:color="auto" w:fill="auto"/>
            <w:noWrap/>
            <w:vAlign w:val="bottom"/>
            <w:hideMark/>
          </w:tcPr>
          <w:p w14:paraId="470B9C2D"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650</w:t>
            </w:r>
          </w:p>
        </w:tc>
        <w:tc>
          <w:tcPr>
            <w:tcW w:w="629" w:type="pct"/>
            <w:tcBorders>
              <w:top w:val="nil"/>
              <w:left w:val="nil"/>
              <w:bottom w:val="single" w:sz="4" w:space="0" w:color="auto"/>
              <w:right w:val="single" w:sz="4" w:space="0" w:color="auto"/>
            </w:tcBorders>
            <w:shd w:val="clear" w:color="auto" w:fill="auto"/>
            <w:noWrap/>
            <w:vAlign w:val="bottom"/>
            <w:hideMark/>
          </w:tcPr>
          <w:p w14:paraId="237338F3"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980</w:t>
            </w:r>
          </w:p>
        </w:tc>
      </w:tr>
      <w:tr w:rsidR="002103A8" w:rsidRPr="002103A8" w14:paraId="46970F8C"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773A7AF5"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Capital Allowance</w:t>
            </w:r>
          </w:p>
        </w:tc>
        <w:tc>
          <w:tcPr>
            <w:tcW w:w="901" w:type="pct"/>
            <w:tcBorders>
              <w:top w:val="nil"/>
              <w:left w:val="nil"/>
              <w:bottom w:val="single" w:sz="4" w:space="0" w:color="auto"/>
              <w:right w:val="single" w:sz="4" w:space="0" w:color="auto"/>
            </w:tcBorders>
            <w:shd w:val="clear" w:color="auto" w:fill="auto"/>
            <w:noWrap/>
            <w:vAlign w:val="bottom"/>
            <w:hideMark/>
          </w:tcPr>
          <w:p w14:paraId="198C1220"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2DA018B0"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(200)</w:t>
            </w:r>
          </w:p>
        </w:tc>
        <w:tc>
          <w:tcPr>
            <w:tcW w:w="684" w:type="pct"/>
            <w:tcBorders>
              <w:top w:val="nil"/>
              <w:left w:val="nil"/>
              <w:bottom w:val="single" w:sz="4" w:space="0" w:color="auto"/>
              <w:right w:val="single" w:sz="4" w:space="0" w:color="auto"/>
            </w:tcBorders>
            <w:shd w:val="clear" w:color="auto" w:fill="auto"/>
            <w:noWrap/>
            <w:vAlign w:val="bottom"/>
            <w:hideMark/>
          </w:tcPr>
          <w:p w14:paraId="71DFE137"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(200)</w:t>
            </w:r>
          </w:p>
        </w:tc>
        <w:tc>
          <w:tcPr>
            <w:tcW w:w="765" w:type="pct"/>
            <w:tcBorders>
              <w:top w:val="nil"/>
              <w:left w:val="nil"/>
              <w:bottom w:val="single" w:sz="4" w:space="0" w:color="auto"/>
              <w:right w:val="single" w:sz="4" w:space="0" w:color="auto"/>
            </w:tcBorders>
            <w:shd w:val="clear" w:color="auto" w:fill="auto"/>
            <w:noWrap/>
            <w:vAlign w:val="bottom"/>
            <w:hideMark/>
          </w:tcPr>
          <w:p w14:paraId="34CFED8C"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(200)</w:t>
            </w:r>
          </w:p>
        </w:tc>
        <w:tc>
          <w:tcPr>
            <w:tcW w:w="629" w:type="pct"/>
            <w:tcBorders>
              <w:top w:val="nil"/>
              <w:left w:val="nil"/>
              <w:bottom w:val="single" w:sz="4" w:space="0" w:color="auto"/>
              <w:right w:val="single" w:sz="4" w:space="0" w:color="auto"/>
            </w:tcBorders>
            <w:shd w:val="clear" w:color="auto" w:fill="auto"/>
            <w:noWrap/>
            <w:vAlign w:val="bottom"/>
            <w:hideMark/>
          </w:tcPr>
          <w:p w14:paraId="27D8E35C"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(200)</w:t>
            </w:r>
          </w:p>
        </w:tc>
      </w:tr>
      <w:tr w:rsidR="002103A8" w:rsidRPr="002103A8" w14:paraId="342E69E6"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2C3C4082"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Operating profit</w:t>
            </w:r>
          </w:p>
        </w:tc>
        <w:tc>
          <w:tcPr>
            <w:tcW w:w="901" w:type="pct"/>
            <w:tcBorders>
              <w:top w:val="nil"/>
              <w:left w:val="nil"/>
              <w:bottom w:val="single" w:sz="4" w:space="0" w:color="auto"/>
              <w:right w:val="single" w:sz="4" w:space="0" w:color="auto"/>
            </w:tcBorders>
            <w:shd w:val="clear" w:color="auto" w:fill="auto"/>
            <w:noWrap/>
            <w:vAlign w:val="bottom"/>
            <w:hideMark/>
          </w:tcPr>
          <w:p w14:paraId="1E837C1E"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353D49EA"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200</w:t>
            </w:r>
          </w:p>
        </w:tc>
        <w:tc>
          <w:tcPr>
            <w:tcW w:w="684" w:type="pct"/>
            <w:tcBorders>
              <w:top w:val="nil"/>
              <w:left w:val="nil"/>
              <w:bottom w:val="single" w:sz="4" w:space="0" w:color="auto"/>
              <w:right w:val="single" w:sz="4" w:space="0" w:color="auto"/>
            </w:tcBorders>
            <w:shd w:val="clear" w:color="auto" w:fill="auto"/>
            <w:noWrap/>
            <w:vAlign w:val="bottom"/>
            <w:hideMark/>
          </w:tcPr>
          <w:p w14:paraId="0B4966A2"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250</w:t>
            </w:r>
          </w:p>
        </w:tc>
        <w:tc>
          <w:tcPr>
            <w:tcW w:w="765" w:type="pct"/>
            <w:tcBorders>
              <w:top w:val="nil"/>
              <w:left w:val="nil"/>
              <w:bottom w:val="single" w:sz="4" w:space="0" w:color="auto"/>
              <w:right w:val="single" w:sz="4" w:space="0" w:color="auto"/>
            </w:tcBorders>
            <w:shd w:val="clear" w:color="auto" w:fill="auto"/>
            <w:noWrap/>
            <w:vAlign w:val="bottom"/>
            <w:hideMark/>
          </w:tcPr>
          <w:p w14:paraId="19F3196A"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450</w:t>
            </w:r>
          </w:p>
        </w:tc>
        <w:tc>
          <w:tcPr>
            <w:tcW w:w="629" w:type="pct"/>
            <w:tcBorders>
              <w:top w:val="nil"/>
              <w:left w:val="nil"/>
              <w:bottom w:val="single" w:sz="4" w:space="0" w:color="auto"/>
              <w:right w:val="single" w:sz="4" w:space="0" w:color="auto"/>
            </w:tcBorders>
            <w:shd w:val="clear" w:color="auto" w:fill="auto"/>
            <w:noWrap/>
            <w:vAlign w:val="bottom"/>
            <w:hideMark/>
          </w:tcPr>
          <w:p w14:paraId="1E22B2B4"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780</w:t>
            </w:r>
          </w:p>
        </w:tc>
      </w:tr>
      <w:tr w:rsidR="002103A8" w:rsidRPr="002103A8" w14:paraId="6BBA3974"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73A17378"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Corporation tax</w:t>
            </w:r>
          </w:p>
        </w:tc>
        <w:tc>
          <w:tcPr>
            <w:tcW w:w="901" w:type="pct"/>
            <w:tcBorders>
              <w:top w:val="nil"/>
              <w:left w:val="nil"/>
              <w:bottom w:val="single" w:sz="4" w:space="0" w:color="auto"/>
              <w:right w:val="single" w:sz="4" w:space="0" w:color="auto"/>
            </w:tcBorders>
            <w:shd w:val="clear" w:color="auto" w:fill="auto"/>
            <w:noWrap/>
            <w:vAlign w:val="bottom"/>
            <w:hideMark/>
          </w:tcPr>
          <w:p w14:paraId="13D7B769"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55A3F183"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(50)</w:t>
            </w:r>
          </w:p>
        </w:tc>
        <w:tc>
          <w:tcPr>
            <w:tcW w:w="684" w:type="pct"/>
            <w:tcBorders>
              <w:top w:val="nil"/>
              <w:left w:val="nil"/>
              <w:bottom w:val="single" w:sz="4" w:space="0" w:color="auto"/>
              <w:right w:val="single" w:sz="4" w:space="0" w:color="auto"/>
            </w:tcBorders>
            <w:shd w:val="clear" w:color="auto" w:fill="auto"/>
            <w:noWrap/>
            <w:vAlign w:val="bottom"/>
            <w:hideMark/>
          </w:tcPr>
          <w:p w14:paraId="0D751B8A"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(63)</w:t>
            </w:r>
          </w:p>
        </w:tc>
        <w:tc>
          <w:tcPr>
            <w:tcW w:w="765" w:type="pct"/>
            <w:tcBorders>
              <w:top w:val="nil"/>
              <w:left w:val="nil"/>
              <w:bottom w:val="single" w:sz="4" w:space="0" w:color="auto"/>
              <w:right w:val="single" w:sz="4" w:space="0" w:color="auto"/>
            </w:tcBorders>
            <w:shd w:val="clear" w:color="auto" w:fill="auto"/>
            <w:noWrap/>
            <w:vAlign w:val="bottom"/>
            <w:hideMark/>
          </w:tcPr>
          <w:p w14:paraId="60AE34A7"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(113)</w:t>
            </w:r>
          </w:p>
        </w:tc>
        <w:tc>
          <w:tcPr>
            <w:tcW w:w="629" w:type="pct"/>
            <w:tcBorders>
              <w:top w:val="nil"/>
              <w:left w:val="nil"/>
              <w:bottom w:val="single" w:sz="4" w:space="0" w:color="auto"/>
              <w:right w:val="single" w:sz="4" w:space="0" w:color="auto"/>
            </w:tcBorders>
            <w:shd w:val="clear" w:color="auto" w:fill="auto"/>
            <w:noWrap/>
            <w:vAlign w:val="bottom"/>
            <w:hideMark/>
          </w:tcPr>
          <w:p w14:paraId="1626DB5D"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(195)</w:t>
            </w:r>
          </w:p>
        </w:tc>
      </w:tr>
      <w:tr w:rsidR="002103A8" w:rsidRPr="002103A8" w14:paraId="38E65855"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623AF998"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Net profit</w:t>
            </w:r>
          </w:p>
        </w:tc>
        <w:tc>
          <w:tcPr>
            <w:tcW w:w="901" w:type="pct"/>
            <w:tcBorders>
              <w:top w:val="nil"/>
              <w:left w:val="nil"/>
              <w:bottom w:val="single" w:sz="4" w:space="0" w:color="auto"/>
              <w:right w:val="single" w:sz="4" w:space="0" w:color="auto"/>
            </w:tcBorders>
            <w:shd w:val="clear" w:color="auto" w:fill="auto"/>
            <w:noWrap/>
            <w:vAlign w:val="bottom"/>
            <w:hideMark/>
          </w:tcPr>
          <w:p w14:paraId="0B863023"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35F1621E"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150</w:t>
            </w:r>
          </w:p>
        </w:tc>
        <w:tc>
          <w:tcPr>
            <w:tcW w:w="684" w:type="pct"/>
            <w:tcBorders>
              <w:top w:val="nil"/>
              <w:left w:val="nil"/>
              <w:bottom w:val="single" w:sz="4" w:space="0" w:color="auto"/>
              <w:right w:val="single" w:sz="4" w:space="0" w:color="auto"/>
            </w:tcBorders>
            <w:shd w:val="clear" w:color="auto" w:fill="auto"/>
            <w:noWrap/>
            <w:vAlign w:val="bottom"/>
            <w:hideMark/>
          </w:tcPr>
          <w:p w14:paraId="084DE39B"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188</w:t>
            </w:r>
          </w:p>
        </w:tc>
        <w:tc>
          <w:tcPr>
            <w:tcW w:w="765" w:type="pct"/>
            <w:tcBorders>
              <w:top w:val="nil"/>
              <w:left w:val="nil"/>
              <w:bottom w:val="single" w:sz="4" w:space="0" w:color="auto"/>
              <w:right w:val="single" w:sz="4" w:space="0" w:color="auto"/>
            </w:tcBorders>
            <w:shd w:val="clear" w:color="auto" w:fill="auto"/>
            <w:noWrap/>
            <w:vAlign w:val="bottom"/>
            <w:hideMark/>
          </w:tcPr>
          <w:p w14:paraId="2F216875"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338</w:t>
            </w:r>
          </w:p>
        </w:tc>
        <w:tc>
          <w:tcPr>
            <w:tcW w:w="629" w:type="pct"/>
            <w:tcBorders>
              <w:top w:val="nil"/>
              <w:left w:val="nil"/>
              <w:bottom w:val="single" w:sz="4" w:space="0" w:color="auto"/>
              <w:right w:val="single" w:sz="4" w:space="0" w:color="auto"/>
            </w:tcBorders>
            <w:shd w:val="clear" w:color="auto" w:fill="auto"/>
            <w:noWrap/>
            <w:vAlign w:val="bottom"/>
            <w:hideMark/>
          </w:tcPr>
          <w:p w14:paraId="2FB11E5B"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585</w:t>
            </w:r>
          </w:p>
        </w:tc>
      </w:tr>
      <w:tr w:rsidR="002103A8" w:rsidRPr="002103A8" w14:paraId="0EBBE610"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77D79575"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lastRenderedPageBreak/>
              <w:t>Add: Capital allowance</w:t>
            </w:r>
          </w:p>
        </w:tc>
        <w:tc>
          <w:tcPr>
            <w:tcW w:w="901" w:type="pct"/>
            <w:tcBorders>
              <w:top w:val="nil"/>
              <w:left w:val="nil"/>
              <w:bottom w:val="single" w:sz="4" w:space="0" w:color="auto"/>
              <w:right w:val="single" w:sz="4" w:space="0" w:color="auto"/>
            </w:tcBorders>
            <w:shd w:val="clear" w:color="auto" w:fill="auto"/>
            <w:noWrap/>
            <w:vAlign w:val="bottom"/>
            <w:hideMark/>
          </w:tcPr>
          <w:p w14:paraId="248DAEE1"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6A7AAD80"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200</w:t>
            </w:r>
          </w:p>
        </w:tc>
        <w:tc>
          <w:tcPr>
            <w:tcW w:w="684" w:type="pct"/>
            <w:tcBorders>
              <w:top w:val="nil"/>
              <w:left w:val="nil"/>
              <w:bottom w:val="single" w:sz="4" w:space="0" w:color="auto"/>
              <w:right w:val="single" w:sz="4" w:space="0" w:color="auto"/>
            </w:tcBorders>
            <w:shd w:val="clear" w:color="auto" w:fill="auto"/>
            <w:noWrap/>
            <w:vAlign w:val="bottom"/>
            <w:hideMark/>
          </w:tcPr>
          <w:p w14:paraId="7F5EF770"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200</w:t>
            </w:r>
          </w:p>
        </w:tc>
        <w:tc>
          <w:tcPr>
            <w:tcW w:w="765" w:type="pct"/>
            <w:tcBorders>
              <w:top w:val="nil"/>
              <w:left w:val="nil"/>
              <w:bottom w:val="single" w:sz="4" w:space="0" w:color="auto"/>
              <w:right w:val="single" w:sz="4" w:space="0" w:color="auto"/>
            </w:tcBorders>
            <w:shd w:val="clear" w:color="auto" w:fill="auto"/>
            <w:noWrap/>
            <w:vAlign w:val="bottom"/>
            <w:hideMark/>
          </w:tcPr>
          <w:p w14:paraId="7947921F"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200</w:t>
            </w:r>
          </w:p>
        </w:tc>
        <w:tc>
          <w:tcPr>
            <w:tcW w:w="629" w:type="pct"/>
            <w:tcBorders>
              <w:top w:val="nil"/>
              <w:left w:val="nil"/>
              <w:bottom w:val="single" w:sz="4" w:space="0" w:color="auto"/>
              <w:right w:val="single" w:sz="4" w:space="0" w:color="auto"/>
            </w:tcBorders>
            <w:shd w:val="clear" w:color="auto" w:fill="auto"/>
            <w:noWrap/>
            <w:vAlign w:val="bottom"/>
            <w:hideMark/>
          </w:tcPr>
          <w:p w14:paraId="49BDBB01"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200</w:t>
            </w:r>
          </w:p>
        </w:tc>
      </w:tr>
      <w:tr w:rsidR="002103A8" w:rsidRPr="002103A8" w14:paraId="24FCB9D1"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5975BF57" w14:textId="77777777" w:rsidR="002103A8" w:rsidRPr="002103A8" w:rsidRDefault="002103A8" w:rsidP="002103A8">
            <w:pPr>
              <w:spacing w:before="0" w:after="0" w:line="240" w:lineRule="auto"/>
              <w:jc w:val="left"/>
              <w:rPr>
                <w:rFonts w:eastAsia="Times New Roman"/>
                <w:b/>
                <w:bCs/>
                <w:color w:val="000000"/>
                <w:lang w:bidi="hi-IN"/>
              </w:rPr>
            </w:pPr>
            <w:r w:rsidRPr="002103A8">
              <w:rPr>
                <w:rFonts w:eastAsia="Times New Roman"/>
                <w:b/>
                <w:bCs/>
                <w:color w:val="000000"/>
                <w:lang w:bidi="hi-IN"/>
              </w:rPr>
              <w:t>Adjusted Cash flow</w:t>
            </w:r>
          </w:p>
        </w:tc>
        <w:tc>
          <w:tcPr>
            <w:tcW w:w="901" w:type="pct"/>
            <w:tcBorders>
              <w:top w:val="nil"/>
              <w:left w:val="nil"/>
              <w:bottom w:val="single" w:sz="4" w:space="0" w:color="auto"/>
              <w:right w:val="single" w:sz="4" w:space="0" w:color="auto"/>
            </w:tcBorders>
            <w:shd w:val="clear" w:color="auto" w:fill="auto"/>
            <w:noWrap/>
            <w:vAlign w:val="bottom"/>
            <w:hideMark/>
          </w:tcPr>
          <w:p w14:paraId="153A4A0B" w14:textId="77777777" w:rsidR="002103A8" w:rsidRPr="002103A8" w:rsidRDefault="002103A8" w:rsidP="002103A8">
            <w:pPr>
              <w:spacing w:before="0" w:after="0" w:line="240" w:lineRule="auto"/>
              <w:jc w:val="center"/>
              <w:rPr>
                <w:rFonts w:eastAsia="Times New Roman"/>
                <w:b/>
                <w:bCs/>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78374EE0"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350</w:t>
            </w:r>
          </w:p>
        </w:tc>
        <w:tc>
          <w:tcPr>
            <w:tcW w:w="684" w:type="pct"/>
            <w:tcBorders>
              <w:top w:val="nil"/>
              <w:left w:val="nil"/>
              <w:bottom w:val="single" w:sz="4" w:space="0" w:color="auto"/>
              <w:right w:val="single" w:sz="4" w:space="0" w:color="auto"/>
            </w:tcBorders>
            <w:shd w:val="clear" w:color="auto" w:fill="auto"/>
            <w:noWrap/>
            <w:vAlign w:val="bottom"/>
            <w:hideMark/>
          </w:tcPr>
          <w:p w14:paraId="7CD9E121"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388</w:t>
            </w:r>
          </w:p>
        </w:tc>
        <w:tc>
          <w:tcPr>
            <w:tcW w:w="765" w:type="pct"/>
            <w:tcBorders>
              <w:top w:val="nil"/>
              <w:left w:val="nil"/>
              <w:bottom w:val="single" w:sz="4" w:space="0" w:color="auto"/>
              <w:right w:val="single" w:sz="4" w:space="0" w:color="auto"/>
            </w:tcBorders>
            <w:shd w:val="clear" w:color="auto" w:fill="auto"/>
            <w:noWrap/>
            <w:vAlign w:val="bottom"/>
            <w:hideMark/>
          </w:tcPr>
          <w:p w14:paraId="4D9EB5A2"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538</w:t>
            </w:r>
          </w:p>
        </w:tc>
        <w:tc>
          <w:tcPr>
            <w:tcW w:w="629" w:type="pct"/>
            <w:tcBorders>
              <w:top w:val="nil"/>
              <w:left w:val="nil"/>
              <w:bottom w:val="single" w:sz="4" w:space="0" w:color="auto"/>
              <w:right w:val="single" w:sz="4" w:space="0" w:color="auto"/>
            </w:tcBorders>
            <w:shd w:val="clear" w:color="auto" w:fill="auto"/>
            <w:noWrap/>
            <w:vAlign w:val="bottom"/>
            <w:hideMark/>
          </w:tcPr>
          <w:p w14:paraId="5CAAF16D"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785</w:t>
            </w:r>
          </w:p>
        </w:tc>
      </w:tr>
      <w:tr w:rsidR="002103A8" w:rsidRPr="002103A8" w14:paraId="45AD8E49"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0E714AE4"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DF @ 6%</w:t>
            </w:r>
          </w:p>
        </w:tc>
        <w:tc>
          <w:tcPr>
            <w:tcW w:w="901" w:type="pct"/>
            <w:tcBorders>
              <w:top w:val="nil"/>
              <w:left w:val="nil"/>
              <w:bottom w:val="single" w:sz="4" w:space="0" w:color="auto"/>
              <w:right w:val="single" w:sz="4" w:space="0" w:color="auto"/>
            </w:tcBorders>
            <w:shd w:val="clear" w:color="auto" w:fill="auto"/>
            <w:noWrap/>
            <w:vAlign w:val="bottom"/>
            <w:hideMark/>
          </w:tcPr>
          <w:p w14:paraId="2B52B6A4"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w:t>
            </w:r>
          </w:p>
        </w:tc>
        <w:tc>
          <w:tcPr>
            <w:tcW w:w="982" w:type="pct"/>
            <w:tcBorders>
              <w:top w:val="nil"/>
              <w:left w:val="nil"/>
              <w:bottom w:val="single" w:sz="4" w:space="0" w:color="auto"/>
              <w:right w:val="single" w:sz="4" w:space="0" w:color="auto"/>
            </w:tcBorders>
            <w:shd w:val="clear" w:color="auto" w:fill="auto"/>
            <w:noWrap/>
            <w:vAlign w:val="bottom"/>
            <w:hideMark/>
          </w:tcPr>
          <w:p w14:paraId="1F3572B1"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0.943</w:t>
            </w:r>
          </w:p>
        </w:tc>
        <w:tc>
          <w:tcPr>
            <w:tcW w:w="684" w:type="pct"/>
            <w:tcBorders>
              <w:top w:val="nil"/>
              <w:left w:val="nil"/>
              <w:bottom w:val="single" w:sz="4" w:space="0" w:color="auto"/>
              <w:right w:val="single" w:sz="4" w:space="0" w:color="auto"/>
            </w:tcBorders>
            <w:shd w:val="clear" w:color="auto" w:fill="auto"/>
            <w:noWrap/>
            <w:vAlign w:val="bottom"/>
            <w:hideMark/>
          </w:tcPr>
          <w:p w14:paraId="607DC438"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0.890</w:t>
            </w:r>
          </w:p>
        </w:tc>
        <w:tc>
          <w:tcPr>
            <w:tcW w:w="765" w:type="pct"/>
            <w:tcBorders>
              <w:top w:val="nil"/>
              <w:left w:val="nil"/>
              <w:bottom w:val="single" w:sz="4" w:space="0" w:color="auto"/>
              <w:right w:val="single" w:sz="4" w:space="0" w:color="auto"/>
            </w:tcBorders>
            <w:shd w:val="clear" w:color="auto" w:fill="auto"/>
            <w:noWrap/>
            <w:vAlign w:val="bottom"/>
            <w:hideMark/>
          </w:tcPr>
          <w:p w14:paraId="53DD82F7"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0.840</w:t>
            </w:r>
          </w:p>
        </w:tc>
        <w:tc>
          <w:tcPr>
            <w:tcW w:w="629" w:type="pct"/>
            <w:tcBorders>
              <w:top w:val="nil"/>
              <w:left w:val="nil"/>
              <w:bottom w:val="single" w:sz="4" w:space="0" w:color="auto"/>
              <w:right w:val="single" w:sz="4" w:space="0" w:color="auto"/>
            </w:tcBorders>
            <w:shd w:val="clear" w:color="auto" w:fill="auto"/>
            <w:noWrap/>
            <w:vAlign w:val="bottom"/>
            <w:hideMark/>
          </w:tcPr>
          <w:p w14:paraId="73F629C6"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0.792</w:t>
            </w:r>
          </w:p>
        </w:tc>
      </w:tr>
      <w:tr w:rsidR="002103A8" w:rsidRPr="002103A8" w14:paraId="57447C0D"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2E385C04"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DCF</w:t>
            </w:r>
          </w:p>
        </w:tc>
        <w:tc>
          <w:tcPr>
            <w:tcW w:w="901" w:type="pct"/>
            <w:tcBorders>
              <w:top w:val="nil"/>
              <w:left w:val="nil"/>
              <w:bottom w:val="single" w:sz="4" w:space="0" w:color="auto"/>
              <w:right w:val="single" w:sz="4" w:space="0" w:color="auto"/>
            </w:tcBorders>
            <w:shd w:val="clear" w:color="auto" w:fill="auto"/>
            <w:noWrap/>
            <w:vAlign w:val="bottom"/>
            <w:hideMark/>
          </w:tcPr>
          <w:p w14:paraId="432EC298"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(1,000)</w:t>
            </w:r>
          </w:p>
        </w:tc>
        <w:tc>
          <w:tcPr>
            <w:tcW w:w="982" w:type="pct"/>
            <w:tcBorders>
              <w:top w:val="nil"/>
              <w:left w:val="nil"/>
              <w:bottom w:val="single" w:sz="4" w:space="0" w:color="auto"/>
              <w:right w:val="single" w:sz="4" w:space="0" w:color="auto"/>
            </w:tcBorders>
            <w:shd w:val="clear" w:color="auto" w:fill="auto"/>
            <w:noWrap/>
            <w:vAlign w:val="bottom"/>
            <w:hideMark/>
          </w:tcPr>
          <w:p w14:paraId="73EC2372"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377</w:t>
            </w:r>
          </w:p>
        </w:tc>
        <w:tc>
          <w:tcPr>
            <w:tcW w:w="684" w:type="pct"/>
            <w:tcBorders>
              <w:top w:val="nil"/>
              <w:left w:val="nil"/>
              <w:bottom w:val="single" w:sz="4" w:space="0" w:color="auto"/>
              <w:right w:val="single" w:sz="4" w:space="0" w:color="auto"/>
            </w:tcBorders>
            <w:shd w:val="clear" w:color="auto" w:fill="auto"/>
            <w:noWrap/>
            <w:vAlign w:val="bottom"/>
            <w:hideMark/>
          </w:tcPr>
          <w:p w14:paraId="4518D1A3"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401</w:t>
            </w:r>
          </w:p>
        </w:tc>
        <w:tc>
          <w:tcPr>
            <w:tcW w:w="765" w:type="pct"/>
            <w:tcBorders>
              <w:top w:val="nil"/>
              <w:left w:val="nil"/>
              <w:bottom w:val="single" w:sz="4" w:space="0" w:color="auto"/>
              <w:right w:val="single" w:sz="4" w:space="0" w:color="auto"/>
            </w:tcBorders>
            <w:shd w:val="clear" w:color="auto" w:fill="auto"/>
            <w:noWrap/>
            <w:vAlign w:val="bottom"/>
            <w:hideMark/>
          </w:tcPr>
          <w:p w14:paraId="642F328E"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546</w:t>
            </w:r>
          </w:p>
        </w:tc>
        <w:tc>
          <w:tcPr>
            <w:tcW w:w="629" w:type="pct"/>
            <w:tcBorders>
              <w:top w:val="nil"/>
              <w:left w:val="nil"/>
              <w:bottom w:val="single" w:sz="4" w:space="0" w:color="auto"/>
              <w:right w:val="single" w:sz="4" w:space="0" w:color="auto"/>
            </w:tcBorders>
            <w:shd w:val="clear" w:color="auto" w:fill="auto"/>
            <w:noWrap/>
            <w:vAlign w:val="bottom"/>
            <w:hideMark/>
          </w:tcPr>
          <w:p w14:paraId="01B35159"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776</w:t>
            </w:r>
          </w:p>
        </w:tc>
      </w:tr>
      <w:tr w:rsidR="002103A8" w:rsidRPr="002103A8" w14:paraId="17E50106"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7957EBD1" w14:textId="77777777" w:rsidR="002103A8" w:rsidRPr="002103A8" w:rsidRDefault="002103A8" w:rsidP="002103A8">
            <w:pPr>
              <w:spacing w:before="0" w:after="0" w:line="240" w:lineRule="auto"/>
              <w:jc w:val="left"/>
              <w:rPr>
                <w:rFonts w:eastAsia="Times New Roman"/>
                <w:b/>
                <w:bCs/>
                <w:color w:val="000000"/>
                <w:lang w:bidi="hi-IN"/>
              </w:rPr>
            </w:pPr>
            <w:r w:rsidRPr="002103A8">
              <w:rPr>
                <w:rFonts w:eastAsia="Times New Roman"/>
                <w:b/>
                <w:bCs/>
                <w:color w:val="000000"/>
                <w:lang w:bidi="hi-IN"/>
              </w:rPr>
              <w:t>NPV (Σ of DCF)</w:t>
            </w:r>
          </w:p>
        </w:tc>
        <w:tc>
          <w:tcPr>
            <w:tcW w:w="901" w:type="pct"/>
            <w:tcBorders>
              <w:top w:val="nil"/>
              <w:left w:val="nil"/>
              <w:bottom w:val="single" w:sz="4" w:space="0" w:color="auto"/>
              <w:right w:val="single" w:sz="4" w:space="0" w:color="auto"/>
            </w:tcBorders>
            <w:shd w:val="clear" w:color="000000" w:fill="92D050"/>
            <w:noWrap/>
            <w:vAlign w:val="bottom"/>
            <w:hideMark/>
          </w:tcPr>
          <w:p w14:paraId="3CFEB3C0"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1,100</w:t>
            </w:r>
          </w:p>
        </w:tc>
        <w:tc>
          <w:tcPr>
            <w:tcW w:w="982" w:type="pct"/>
            <w:tcBorders>
              <w:top w:val="nil"/>
              <w:left w:val="nil"/>
              <w:bottom w:val="single" w:sz="4" w:space="0" w:color="auto"/>
              <w:right w:val="single" w:sz="4" w:space="0" w:color="auto"/>
            </w:tcBorders>
            <w:shd w:val="clear" w:color="auto" w:fill="auto"/>
            <w:noWrap/>
            <w:vAlign w:val="bottom"/>
            <w:hideMark/>
          </w:tcPr>
          <w:p w14:paraId="1242AC49" w14:textId="77777777" w:rsidR="002103A8" w:rsidRPr="002103A8" w:rsidRDefault="002103A8" w:rsidP="002103A8">
            <w:pPr>
              <w:spacing w:before="0" w:after="0" w:line="240" w:lineRule="auto"/>
              <w:jc w:val="center"/>
              <w:rPr>
                <w:rFonts w:eastAsia="Times New Roman"/>
                <w:color w:val="000000"/>
                <w:lang w:bidi="hi-IN"/>
              </w:rPr>
            </w:pPr>
          </w:p>
        </w:tc>
        <w:tc>
          <w:tcPr>
            <w:tcW w:w="684" w:type="pct"/>
            <w:tcBorders>
              <w:top w:val="nil"/>
              <w:left w:val="nil"/>
              <w:bottom w:val="single" w:sz="4" w:space="0" w:color="auto"/>
              <w:right w:val="single" w:sz="4" w:space="0" w:color="auto"/>
            </w:tcBorders>
            <w:shd w:val="clear" w:color="auto" w:fill="auto"/>
            <w:noWrap/>
            <w:vAlign w:val="bottom"/>
            <w:hideMark/>
          </w:tcPr>
          <w:p w14:paraId="22D836B3" w14:textId="77777777" w:rsidR="002103A8" w:rsidRPr="002103A8" w:rsidRDefault="002103A8" w:rsidP="002103A8">
            <w:pPr>
              <w:spacing w:before="0" w:after="0" w:line="240" w:lineRule="auto"/>
              <w:jc w:val="center"/>
              <w:rPr>
                <w:rFonts w:eastAsia="Times New Roman"/>
                <w:color w:val="000000"/>
                <w:lang w:bidi="hi-IN"/>
              </w:rPr>
            </w:pPr>
          </w:p>
        </w:tc>
        <w:tc>
          <w:tcPr>
            <w:tcW w:w="765" w:type="pct"/>
            <w:tcBorders>
              <w:top w:val="nil"/>
              <w:left w:val="nil"/>
              <w:bottom w:val="single" w:sz="4" w:space="0" w:color="auto"/>
              <w:right w:val="single" w:sz="4" w:space="0" w:color="auto"/>
            </w:tcBorders>
            <w:shd w:val="clear" w:color="auto" w:fill="auto"/>
            <w:noWrap/>
            <w:vAlign w:val="bottom"/>
            <w:hideMark/>
          </w:tcPr>
          <w:p w14:paraId="5BB7441F" w14:textId="77777777" w:rsidR="002103A8" w:rsidRPr="002103A8" w:rsidRDefault="002103A8" w:rsidP="002103A8">
            <w:pPr>
              <w:spacing w:before="0" w:after="0" w:line="240" w:lineRule="auto"/>
              <w:jc w:val="center"/>
              <w:rPr>
                <w:rFonts w:eastAsia="Times New Roman"/>
                <w:color w:val="000000"/>
                <w:lang w:bidi="hi-IN"/>
              </w:rPr>
            </w:pPr>
          </w:p>
        </w:tc>
        <w:tc>
          <w:tcPr>
            <w:tcW w:w="629" w:type="pct"/>
            <w:tcBorders>
              <w:top w:val="nil"/>
              <w:left w:val="nil"/>
              <w:bottom w:val="single" w:sz="4" w:space="0" w:color="auto"/>
              <w:right w:val="single" w:sz="4" w:space="0" w:color="auto"/>
            </w:tcBorders>
            <w:shd w:val="clear" w:color="auto" w:fill="auto"/>
            <w:noWrap/>
            <w:vAlign w:val="bottom"/>
            <w:hideMark/>
          </w:tcPr>
          <w:p w14:paraId="20BD43F6" w14:textId="77777777" w:rsidR="002103A8" w:rsidRPr="002103A8" w:rsidRDefault="002103A8" w:rsidP="002103A8">
            <w:pPr>
              <w:spacing w:before="0" w:after="0" w:line="240" w:lineRule="auto"/>
              <w:jc w:val="center"/>
              <w:rPr>
                <w:rFonts w:eastAsia="Times New Roman"/>
                <w:color w:val="000000"/>
                <w:lang w:bidi="hi-IN"/>
              </w:rPr>
            </w:pPr>
          </w:p>
        </w:tc>
      </w:tr>
      <w:tr w:rsidR="002103A8" w:rsidRPr="002103A8" w14:paraId="7BD5D049" w14:textId="77777777" w:rsidTr="002103A8">
        <w:trPr>
          <w:trHeight w:val="312"/>
        </w:trPr>
        <w:tc>
          <w:tcPr>
            <w:tcW w:w="1040" w:type="pct"/>
            <w:tcBorders>
              <w:top w:val="nil"/>
              <w:left w:val="nil"/>
              <w:bottom w:val="nil"/>
              <w:right w:val="nil"/>
            </w:tcBorders>
            <w:shd w:val="clear" w:color="auto" w:fill="auto"/>
            <w:noWrap/>
            <w:vAlign w:val="bottom"/>
            <w:hideMark/>
          </w:tcPr>
          <w:p w14:paraId="4764EFB0" w14:textId="77777777" w:rsidR="002103A8" w:rsidRPr="002103A8" w:rsidRDefault="002103A8" w:rsidP="002103A8">
            <w:pPr>
              <w:spacing w:before="0" w:after="0" w:line="240" w:lineRule="auto"/>
              <w:jc w:val="center"/>
              <w:rPr>
                <w:rFonts w:eastAsia="Times New Roman"/>
                <w:color w:val="000000"/>
                <w:lang w:bidi="hi-IN"/>
              </w:rPr>
            </w:pPr>
          </w:p>
        </w:tc>
        <w:tc>
          <w:tcPr>
            <w:tcW w:w="901" w:type="pct"/>
            <w:tcBorders>
              <w:top w:val="nil"/>
              <w:left w:val="nil"/>
              <w:bottom w:val="nil"/>
              <w:right w:val="nil"/>
            </w:tcBorders>
            <w:shd w:val="clear" w:color="auto" w:fill="auto"/>
            <w:noWrap/>
            <w:vAlign w:val="bottom"/>
            <w:hideMark/>
          </w:tcPr>
          <w:p w14:paraId="064C08BC" w14:textId="77777777" w:rsidR="002103A8" w:rsidRPr="002103A8" w:rsidRDefault="002103A8" w:rsidP="002103A8">
            <w:pPr>
              <w:spacing w:before="0" w:after="0" w:line="240" w:lineRule="auto"/>
              <w:jc w:val="left"/>
              <w:rPr>
                <w:rFonts w:eastAsia="Times New Roman"/>
                <w:sz w:val="20"/>
                <w:szCs w:val="20"/>
                <w:lang w:bidi="hi-IN"/>
              </w:rPr>
            </w:pPr>
          </w:p>
        </w:tc>
        <w:tc>
          <w:tcPr>
            <w:tcW w:w="982" w:type="pct"/>
            <w:tcBorders>
              <w:top w:val="nil"/>
              <w:left w:val="nil"/>
              <w:bottom w:val="nil"/>
              <w:right w:val="nil"/>
            </w:tcBorders>
            <w:shd w:val="clear" w:color="auto" w:fill="auto"/>
            <w:noWrap/>
            <w:vAlign w:val="bottom"/>
            <w:hideMark/>
          </w:tcPr>
          <w:p w14:paraId="2DF7C6F3" w14:textId="77777777" w:rsidR="002103A8" w:rsidRPr="002103A8" w:rsidRDefault="002103A8" w:rsidP="002103A8">
            <w:pPr>
              <w:spacing w:before="0" w:after="0" w:line="240" w:lineRule="auto"/>
              <w:jc w:val="center"/>
              <w:rPr>
                <w:rFonts w:eastAsia="Times New Roman"/>
                <w:sz w:val="20"/>
                <w:szCs w:val="20"/>
                <w:lang w:bidi="hi-IN"/>
              </w:rPr>
            </w:pPr>
          </w:p>
        </w:tc>
        <w:tc>
          <w:tcPr>
            <w:tcW w:w="684" w:type="pct"/>
            <w:tcBorders>
              <w:top w:val="nil"/>
              <w:left w:val="nil"/>
              <w:bottom w:val="nil"/>
              <w:right w:val="nil"/>
            </w:tcBorders>
            <w:shd w:val="clear" w:color="auto" w:fill="auto"/>
            <w:noWrap/>
            <w:vAlign w:val="bottom"/>
            <w:hideMark/>
          </w:tcPr>
          <w:p w14:paraId="15982A07" w14:textId="77777777" w:rsidR="002103A8" w:rsidRPr="002103A8" w:rsidRDefault="002103A8" w:rsidP="002103A8">
            <w:pPr>
              <w:spacing w:before="0" w:after="0" w:line="240" w:lineRule="auto"/>
              <w:jc w:val="center"/>
              <w:rPr>
                <w:rFonts w:eastAsia="Times New Roman"/>
                <w:sz w:val="20"/>
                <w:szCs w:val="20"/>
                <w:lang w:bidi="hi-IN"/>
              </w:rPr>
            </w:pPr>
          </w:p>
        </w:tc>
        <w:tc>
          <w:tcPr>
            <w:tcW w:w="765" w:type="pct"/>
            <w:tcBorders>
              <w:top w:val="nil"/>
              <w:left w:val="nil"/>
              <w:bottom w:val="nil"/>
              <w:right w:val="nil"/>
            </w:tcBorders>
            <w:shd w:val="clear" w:color="auto" w:fill="auto"/>
            <w:noWrap/>
            <w:vAlign w:val="bottom"/>
            <w:hideMark/>
          </w:tcPr>
          <w:p w14:paraId="0991088B" w14:textId="77777777" w:rsidR="002103A8" w:rsidRPr="002103A8" w:rsidRDefault="002103A8" w:rsidP="002103A8">
            <w:pPr>
              <w:spacing w:before="0" w:after="0" w:line="240" w:lineRule="auto"/>
              <w:jc w:val="center"/>
              <w:rPr>
                <w:rFonts w:eastAsia="Times New Roman"/>
                <w:sz w:val="20"/>
                <w:szCs w:val="20"/>
                <w:lang w:bidi="hi-IN"/>
              </w:rPr>
            </w:pPr>
          </w:p>
        </w:tc>
        <w:tc>
          <w:tcPr>
            <w:tcW w:w="629" w:type="pct"/>
            <w:tcBorders>
              <w:top w:val="nil"/>
              <w:left w:val="nil"/>
              <w:bottom w:val="nil"/>
              <w:right w:val="nil"/>
            </w:tcBorders>
            <w:shd w:val="clear" w:color="auto" w:fill="auto"/>
            <w:noWrap/>
            <w:vAlign w:val="bottom"/>
            <w:hideMark/>
          </w:tcPr>
          <w:p w14:paraId="1C01603D" w14:textId="77777777" w:rsidR="002103A8" w:rsidRPr="002103A8" w:rsidRDefault="002103A8" w:rsidP="002103A8">
            <w:pPr>
              <w:spacing w:before="0" w:after="0" w:line="240" w:lineRule="auto"/>
              <w:jc w:val="center"/>
              <w:rPr>
                <w:rFonts w:eastAsia="Times New Roman"/>
                <w:sz w:val="20"/>
                <w:szCs w:val="20"/>
                <w:lang w:bidi="hi-IN"/>
              </w:rPr>
            </w:pPr>
          </w:p>
        </w:tc>
      </w:tr>
      <w:tr w:rsidR="002103A8" w:rsidRPr="002103A8" w14:paraId="435028F5" w14:textId="77777777" w:rsidTr="002103A8">
        <w:trPr>
          <w:trHeight w:val="312"/>
        </w:trPr>
        <w:tc>
          <w:tcPr>
            <w:tcW w:w="5000" w:type="pct"/>
            <w:gridSpan w:val="6"/>
            <w:tcBorders>
              <w:top w:val="nil"/>
              <w:left w:val="nil"/>
              <w:bottom w:val="nil"/>
              <w:right w:val="nil"/>
            </w:tcBorders>
            <w:shd w:val="clear" w:color="auto" w:fill="auto"/>
            <w:noWrap/>
            <w:vAlign w:val="bottom"/>
            <w:hideMark/>
          </w:tcPr>
          <w:p w14:paraId="54A46F56" w14:textId="77777777" w:rsidR="002103A8" w:rsidRPr="002103A8" w:rsidRDefault="002103A8" w:rsidP="002103A8">
            <w:pPr>
              <w:spacing w:before="0" w:after="0" w:line="240" w:lineRule="auto"/>
              <w:jc w:val="left"/>
              <w:rPr>
                <w:rFonts w:eastAsia="Times New Roman"/>
                <w:b/>
                <w:bCs/>
                <w:color w:val="000000"/>
                <w:lang w:bidi="hi-IN"/>
              </w:rPr>
            </w:pPr>
            <w:r w:rsidRPr="002103A8">
              <w:rPr>
                <w:rFonts w:eastAsia="Times New Roman"/>
                <w:b/>
                <w:bCs/>
                <w:color w:val="000000"/>
                <w:lang w:bidi="hi-IN"/>
              </w:rPr>
              <w:t>Project C</w:t>
            </w:r>
          </w:p>
        </w:tc>
      </w:tr>
      <w:tr w:rsidR="002103A8" w:rsidRPr="002103A8" w14:paraId="5AED13F7" w14:textId="77777777" w:rsidTr="002103A8">
        <w:trPr>
          <w:trHeight w:val="312"/>
        </w:trPr>
        <w:tc>
          <w:tcPr>
            <w:tcW w:w="1040" w:type="pct"/>
            <w:tcBorders>
              <w:top w:val="nil"/>
              <w:left w:val="nil"/>
              <w:bottom w:val="nil"/>
              <w:right w:val="nil"/>
            </w:tcBorders>
            <w:shd w:val="clear" w:color="auto" w:fill="auto"/>
            <w:noWrap/>
            <w:vAlign w:val="bottom"/>
            <w:hideMark/>
          </w:tcPr>
          <w:p w14:paraId="75401C5D" w14:textId="77777777" w:rsidR="002103A8" w:rsidRPr="002103A8" w:rsidRDefault="002103A8" w:rsidP="002103A8">
            <w:pPr>
              <w:spacing w:before="0" w:after="0" w:line="240" w:lineRule="auto"/>
              <w:jc w:val="left"/>
              <w:rPr>
                <w:rFonts w:eastAsia="Times New Roman"/>
                <w:b/>
                <w:bCs/>
                <w:color w:val="000000"/>
                <w:lang w:bidi="hi-IN"/>
              </w:rPr>
            </w:pPr>
          </w:p>
        </w:tc>
        <w:tc>
          <w:tcPr>
            <w:tcW w:w="901" w:type="pct"/>
            <w:tcBorders>
              <w:top w:val="nil"/>
              <w:left w:val="nil"/>
              <w:bottom w:val="nil"/>
              <w:right w:val="nil"/>
            </w:tcBorders>
            <w:shd w:val="clear" w:color="auto" w:fill="auto"/>
            <w:noWrap/>
            <w:vAlign w:val="bottom"/>
            <w:hideMark/>
          </w:tcPr>
          <w:p w14:paraId="378D0210" w14:textId="77777777" w:rsidR="002103A8" w:rsidRPr="002103A8" w:rsidRDefault="002103A8" w:rsidP="002103A8">
            <w:pPr>
              <w:spacing w:before="0" w:after="0" w:line="240" w:lineRule="auto"/>
              <w:jc w:val="left"/>
              <w:rPr>
                <w:rFonts w:eastAsia="Times New Roman"/>
                <w:sz w:val="20"/>
                <w:szCs w:val="20"/>
                <w:lang w:bidi="hi-IN"/>
              </w:rPr>
            </w:pPr>
          </w:p>
        </w:tc>
        <w:tc>
          <w:tcPr>
            <w:tcW w:w="982" w:type="pct"/>
            <w:tcBorders>
              <w:top w:val="nil"/>
              <w:left w:val="nil"/>
              <w:bottom w:val="nil"/>
              <w:right w:val="nil"/>
            </w:tcBorders>
            <w:shd w:val="clear" w:color="auto" w:fill="auto"/>
            <w:noWrap/>
            <w:vAlign w:val="bottom"/>
            <w:hideMark/>
          </w:tcPr>
          <w:p w14:paraId="3794F768" w14:textId="77777777" w:rsidR="002103A8" w:rsidRPr="002103A8" w:rsidRDefault="002103A8" w:rsidP="002103A8">
            <w:pPr>
              <w:spacing w:before="0" w:after="0" w:line="240" w:lineRule="auto"/>
              <w:jc w:val="center"/>
              <w:rPr>
                <w:rFonts w:eastAsia="Times New Roman"/>
                <w:sz w:val="20"/>
                <w:szCs w:val="20"/>
                <w:lang w:bidi="hi-IN"/>
              </w:rPr>
            </w:pPr>
          </w:p>
        </w:tc>
        <w:tc>
          <w:tcPr>
            <w:tcW w:w="684" w:type="pct"/>
            <w:tcBorders>
              <w:top w:val="nil"/>
              <w:left w:val="nil"/>
              <w:bottom w:val="nil"/>
              <w:right w:val="nil"/>
            </w:tcBorders>
            <w:shd w:val="clear" w:color="auto" w:fill="auto"/>
            <w:noWrap/>
            <w:vAlign w:val="bottom"/>
            <w:hideMark/>
          </w:tcPr>
          <w:p w14:paraId="68E41138" w14:textId="77777777" w:rsidR="002103A8" w:rsidRPr="002103A8" w:rsidRDefault="002103A8" w:rsidP="002103A8">
            <w:pPr>
              <w:spacing w:before="0" w:after="0" w:line="240" w:lineRule="auto"/>
              <w:jc w:val="center"/>
              <w:rPr>
                <w:rFonts w:eastAsia="Times New Roman"/>
                <w:sz w:val="20"/>
                <w:szCs w:val="20"/>
                <w:lang w:bidi="hi-IN"/>
              </w:rPr>
            </w:pPr>
          </w:p>
        </w:tc>
        <w:tc>
          <w:tcPr>
            <w:tcW w:w="765" w:type="pct"/>
            <w:tcBorders>
              <w:top w:val="nil"/>
              <w:left w:val="nil"/>
              <w:bottom w:val="nil"/>
              <w:right w:val="nil"/>
            </w:tcBorders>
            <w:shd w:val="clear" w:color="auto" w:fill="auto"/>
            <w:noWrap/>
            <w:vAlign w:val="bottom"/>
            <w:hideMark/>
          </w:tcPr>
          <w:p w14:paraId="10757347" w14:textId="77777777" w:rsidR="002103A8" w:rsidRPr="002103A8" w:rsidRDefault="002103A8" w:rsidP="002103A8">
            <w:pPr>
              <w:spacing w:before="0" w:after="0" w:line="240" w:lineRule="auto"/>
              <w:jc w:val="center"/>
              <w:rPr>
                <w:rFonts w:eastAsia="Times New Roman"/>
                <w:sz w:val="20"/>
                <w:szCs w:val="20"/>
                <w:lang w:bidi="hi-IN"/>
              </w:rPr>
            </w:pPr>
          </w:p>
        </w:tc>
        <w:tc>
          <w:tcPr>
            <w:tcW w:w="629" w:type="pct"/>
            <w:tcBorders>
              <w:top w:val="nil"/>
              <w:left w:val="nil"/>
              <w:bottom w:val="nil"/>
              <w:right w:val="nil"/>
            </w:tcBorders>
            <w:shd w:val="clear" w:color="auto" w:fill="auto"/>
            <w:noWrap/>
            <w:vAlign w:val="bottom"/>
            <w:hideMark/>
          </w:tcPr>
          <w:p w14:paraId="04D42DC8" w14:textId="77777777" w:rsidR="002103A8" w:rsidRPr="002103A8" w:rsidRDefault="002103A8" w:rsidP="002103A8">
            <w:pPr>
              <w:spacing w:before="0" w:after="0" w:line="240" w:lineRule="auto"/>
              <w:jc w:val="center"/>
              <w:rPr>
                <w:rFonts w:eastAsia="Times New Roman"/>
                <w:sz w:val="20"/>
                <w:szCs w:val="20"/>
                <w:lang w:bidi="hi-IN"/>
              </w:rPr>
            </w:pPr>
          </w:p>
        </w:tc>
      </w:tr>
      <w:tr w:rsidR="002103A8" w:rsidRPr="002103A8" w14:paraId="28DCED6A" w14:textId="77777777" w:rsidTr="002103A8">
        <w:trPr>
          <w:trHeight w:val="312"/>
        </w:trPr>
        <w:tc>
          <w:tcPr>
            <w:tcW w:w="10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23E16A"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 </w:t>
            </w:r>
          </w:p>
        </w:tc>
        <w:tc>
          <w:tcPr>
            <w:tcW w:w="3960" w:type="pct"/>
            <w:gridSpan w:val="5"/>
            <w:tcBorders>
              <w:top w:val="single" w:sz="4" w:space="0" w:color="auto"/>
              <w:left w:val="nil"/>
              <w:bottom w:val="single" w:sz="4" w:space="0" w:color="auto"/>
              <w:right w:val="single" w:sz="4" w:space="0" w:color="auto"/>
            </w:tcBorders>
            <w:shd w:val="clear" w:color="auto" w:fill="auto"/>
            <w:noWrap/>
            <w:vAlign w:val="bottom"/>
            <w:hideMark/>
          </w:tcPr>
          <w:p w14:paraId="7F8B94EB"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Years</w:t>
            </w:r>
          </w:p>
        </w:tc>
      </w:tr>
      <w:tr w:rsidR="002103A8" w:rsidRPr="002103A8" w14:paraId="45CA034F"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3E8CC0AB"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£’000</w:t>
            </w:r>
          </w:p>
        </w:tc>
        <w:tc>
          <w:tcPr>
            <w:tcW w:w="901" w:type="pct"/>
            <w:tcBorders>
              <w:top w:val="nil"/>
              <w:left w:val="nil"/>
              <w:bottom w:val="single" w:sz="4" w:space="0" w:color="auto"/>
              <w:right w:val="single" w:sz="4" w:space="0" w:color="auto"/>
            </w:tcBorders>
            <w:shd w:val="clear" w:color="auto" w:fill="auto"/>
            <w:noWrap/>
            <w:vAlign w:val="bottom"/>
            <w:hideMark/>
          </w:tcPr>
          <w:p w14:paraId="38C82CB3"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0</w:t>
            </w:r>
          </w:p>
        </w:tc>
        <w:tc>
          <w:tcPr>
            <w:tcW w:w="982" w:type="pct"/>
            <w:tcBorders>
              <w:top w:val="nil"/>
              <w:left w:val="nil"/>
              <w:bottom w:val="single" w:sz="4" w:space="0" w:color="auto"/>
              <w:right w:val="single" w:sz="4" w:space="0" w:color="auto"/>
            </w:tcBorders>
            <w:shd w:val="clear" w:color="auto" w:fill="auto"/>
            <w:noWrap/>
            <w:vAlign w:val="bottom"/>
            <w:hideMark/>
          </w:tcPr>
          <w:p w14:paraId="72679AED"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1</w:t>
            </w:r>
          </w:p>
        </w:tc>
        <w:tc>
          <w:tcPr>
            <w:tcW w:w="684" w:type="pct"/>
            <w:tcBorders>
              <w:top w:val="nil"/>
              <w:left w:val="nil"/>
              <w:bottom w:val="single" w:sz="4" w:space="0" w:color="auto"/>
              <w:right w:val="single" w:sz="4" w:space="0" w:color="auto"/>
            </w:tcBorders>
            <w:shd w:val="clear" w:color="auto" w:fill="auto"/>
            <w:noWrap/>
            <w:vAlign w:val="bottom"/>
            <w:hideMark/>
          </w:tcPr>
          <w:p w14:paraId="0BAF7661"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2</w:t>
            </w:r>
          </w:p>
        </w:tc>
        <w:tc>
          <w:tcPr>
            <w:tcW w:w="765" w:type="pct"/>
            <w:tcBorders>
              <w:top w:val="nil"/>
              <w:left w:val="nil"/>
              <w:bottom w:val="single" w:sz="4" w:space="0" w:color="auto"/>
              <w:right w:val="single" w:sz="4" w:space="0" w:color="auto"/>
            </w:tcBorders>
            <w:shd w:val="clear" w:color="auto" w:fill="auto"/>
            <w:noWrap/>
            <w:vAlign w:val="bottom"/>
            <w:hideMark/>
          </w:tcPr>
          <w:p w14:paraId="655D1983"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3</w:t>
            </w:r>
          </w:p>
        </w:tc>
        <w:tc>
          <w:tcPr>
            <w:tcW w:w="629" w:type="pct"/>
            <w:tcBorders>
              <w:top w:val="nil"/>
              <w:left w:val="nil"/>
              <w:bottom w:val="single" w:sz="4" w:space="0" w:color="auto"/>
              <w:right w:val="single" w:sz="4" w:space="0" w:color="auto"/>
            </w:tcBorders>
            <w:shd w:val="clear" w:color="auto" w:fill="auto"/>
            <w:noWrap/>
            <w:vAlign w:val="bottom"/>
            <w:hideMark/>
          </w:tcPr>
          <w:p w14:paraId="3FA8B239"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4</w:t>
            </w:r>
          </w:p>
        </w:tc>
      </w:tr>
      <w:tr w:rsidR="002103A8" w:rsidRPr="002103A8" w14:paraId="2B7217CC"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71EDB5ED"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Cash flow</w:t>
            </w:r>
          </w:p>
        </w:tc>
        <w:tc>
          <w:tcPr>
            <w:tcW w:w="901" w:type="pct"/>
            <w:tcBorders>
              <w:top w:val="nil"/>
              <w:left w:val="nil"/>
              <w:bottom w:val="single" w:sz="4" w:space="0" w:color="auto"/>
              <w:right w:val="single" w:sz="4" w:space="0" w:color="auto"/>
            </w:tcBorders>
            <w:shd w:val="clear" w:color="auto" w:fill="auto"/>
            <w:noWrap/>
            <w:vAlign w:val="bottom"/>
            <w:hideMark/>
          </w:tcPr>
          <w:p w14:paraId="47694932"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(1,600)</w:t>
            </w:r>
          </w:p>
        </w:tc>
        <w:tc>
          <w:tcPr>
            <w:tcW w:w="982" w:type="pct"/>
            <w:tcBorders>
              <w:top w:val="nil"/>
              <w:left w:val="nil"/>
              <w:bottom w:val="single" w:sz="4" w:space="0" w:color="auto"/>
              <w:right w:val="single" w:sz="4" w:space="0" w:color="auto"/>
            </w:tcBorders>
            <w:shd w:val="clear" w:color="auto" w:fill="auto"/>
            <w:noWrap/>
            <w:vAlign w:val="bottom"/>
            <w:hideMark/>
          </w:tcPr>
          <w:p w14:paraId="2D29E5FF"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400</w:t>
            </w:r>
          </w:p>
        </w:tc>
        <w:tc>
          <w:tcPr>
            <w:tcW w:w="684" w:type="pct"/>
            <w:tcBorders>
              <w:top w:val="nil"/>
              <w:left w:val="nil"/>
              <w:bottom w:val="single" w:sz="4" w:space="0" w:color="auto"/>
              <w:right w:val="single" w:sz="4" w:space="0" w:color="auto"/>
            </w:tcBorders>
            <w:shd w:val="clear" w:color="auto" w:fill="auto"/>
            <w:noWrap/>
            <w:vAlign w:val="bottom"/>
            <w:hideMark/>
          </w:tcPr>
          <w:p w14:paraId="3B693184"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700</w:t>
            </w:r>
          </w:p>
        </w:tc>
        <w:tc>
          <w:tcPr>
            <w:tcW w:w="765" w:type="pct"/>
            <w:tcBorders>
              <w:top w:val="nil"/>
              <w:left w:val="nil"/>
              <w:bottom w:val="single" w:sz="4" w:space="0" w:color="auto"/>
              <w:right w:val="single" w:sz="4" w:space="0" w:color="auto"/>
            </w:tcBorders>
            <w:shd w:val="clear" w:color="auto" w:fill="auto"/>
            <w:noWrap/>
            <w:vAlign w:val="bottom"/>
            <w:hideMark/>
          </w:tcPr>
          <w:p w14:paraId="4D9D728A"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850</w:t>
            </w:r>
          </w:p>
        </w:tc>
        <w:tc>
          <w:tcPr>
            <w:tcW w:w="629" w:type="pct"/>
            <w:tcBorders>
              <w:top w:val="nil"/>
              <w:left w:val="nil"/>
              <w:bottom w:val="single" w:sz="4" w:space="0" w:color="auto"/>
              <w:right w:val="single" w:sz="4" w:space="0" w:color="auto"/>
            </w:tcBorders>
            <w:shd w:val="clear" w:color="auto" w:fill="auto"/>
            <w:noWrap/>
            <w:vAlign w:val="bottom"/>
            <w:hideMark/>
          </w:tcPr>
          <w:p w14:paraId="2C3FECF4"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1,100</w:t>
            </w:r>
          </w:p>
        </w:tc>
      </w:tr>
      <w:tr w:rsidR="002103A8" w:rsidRPr="002103A8" w14:paraId="1CACE592"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5307A7B4"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Capital Allowance</w:t>
            </w:r>
          </w:p>
        </w:tc>
        <w:tc>
          <w:tcPr>
            <w:tcW w:w="901" w:type="pct"/>
            <w:tcBorders>
              <w:top w:val="nil"/>
              <w:left w:val="nil"/>
              <w:bottom w:val="single" w:sz="4" w:space="0" w:color="auto"/>
              <w:right w:val="single" w:sz="4" w:space="0" w:color="auto"/>
            </w:tcBorders>
            <w:shd w:val="clear" w:color="auto" w:fill="auto"/>
            <w:noWrap/>
            <w:vAlign w:val="bottom"/>
            <w:hideMark/>
          </w:tcPr>
          <w:p w14:paraId="67B97FE0"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526BAC42"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(320)</w:t>
            </w:r>
          </w:p>
        </w:tc>
        <w:tc>
          <w:tcPr>
            <w:tcW w:w="684" w:type="pct"/>
            <w:tcBorders>
              <w:top w:val="nil"/>
              <w:left w:val="nil"/>
              <w:bottom w:val="single" w:sz="4" w:space="0" w:color="auto"/>
              <w:right w:val="single" w:sz="4" w:space="0" w:color="auto"/>
            </w:tcBorders>
            <w:shd w:val="clear" w:color="auto" w:fill="auto"/>
            <w:noWrap/>
            <w:vAlign w:val="bottom"/>
            <w:hideMark/>
          </w:tcPr>
          <w:p w14:paraId="07BC51CC"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(320)</w:t>
            </w:r>
          </w:p>
        </w:tc>
        <w:tc>
          <w:tcPr>
            <w:tcW w:w="765" w:type="pct"/>
            <w:tcBorders>
              <w:top w:val="nil"/>
              <w:left w:val="nil"/>
              <w:bottom w:val="single" w:sz="4" w:space="0" w:color="auto"/>
              <w:right w:val="single" w:sz="4" w:space="0" w:color="auto"/>
            </w:tcBorders>
            <w:shd w:val="clear" w:color="auto" w:fill="auto"/>
            <w:noWrap/>
            <w:vAlign w:val="bottom"/>
            <w:hideMark/>
          </w:tcPr>
          <w:p w14:paraId="5E9AAF36"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(320)</w:t>
            </w:r>
          </w:p>
        </w:tc>
        <w:tc>
          <w:tcPr>
            <w:tcW w:w="629" w:type="pct"/>
            <w:tcBorders>
              <w:top w:val="nil"/>
              <w:left w:val="nil"/>
              <w:bottom w:val="single" w:sz="4" w:space="0" w:color="auto"/>
              <w:right w:val="single" w:sz="4" w:space="0" w:color="auto"/>
            </w:tcBorders>
            <w:shd w:val="clear" w:color="auto" w:fill="auto"/>
            <w:noWrap/>
            <w:vAlign w:val="bottom"/>
            <w:hideMark/>
          </w:tcPr>
          <w:p w14:paraId="6F409BFB"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(320)</w:t>
            </w:r>
          </w:p>
        </w:tc>
      </w:tr>
      <w:tr w:rsidR="002103A8" w:rsidRPr="002103A8" w14:paraId="6EFFA6AC"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2FEFCF68"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Operating profit</w:t>
            </w:r>
          </w:p>
        </w:tc>
        <w:tc>
          <w:tcPr>
            <w:tcW w:w="901" w:type="pct"/>
            <w:tcBorders>
              <w:top w:val="nil"/>
              <w:left w:val="nil"/>
              <w:bottom w:val="single" w:sz="4" w:space="0" w:color="auto"/>
              <w:right w:val="single" w:sz="4" w:space="0" w:color="auto"/>
            </w:tcBorders>
            <w:shd w:val="clear" w:color="auto" w:fill="auto"/>
            <w:noWrap/>
            <w:vAlign w:val="bottom"/>
            <w:hideMark/>
          </w:tcPr>
          <w:p w14:paraId="1DF4998E"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4BB3AF15"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80</w:t>
            </w:r>
          </w:p>
        </w:tc>
        <w:tc>
          <w:tcPr>
            <w:tcW w:w="684" w:type="pct"/>
            <w:tcBorders>
              <w:top w:val="nil"/>
              <w:left w:val="nil"/>
              <w:bottom w:val="single" w:sz="4" w:space="0" w:color="auto"/>
              <w:right w:val="single" w:sz="4" w:space="0" w:color="auto"/>
            </w:tcBorders>
            <w:shd w:val="clear" w:color="auto" w:fill="auto"/>
            <w:noWrap/>
            <w:vAlign w:val="bottom"/>
            <w:hideMark/>
          </w:tcPr>
          <w:p w14:paraId="475091F1"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380</w:t>
            </w:r>
          </w:p>
        </w:tc>
        <w:tc>
          <w:tcPr>
            <w:tcW w:w="765" w:type="pct"/>
            <w:tcBorders>
              <w:top w:val="nil"/>
              <w:left w:val="nil"/>
              <w:bottom w:val="single" w:sz="4" w:space="0" w:color="auto"/>
              <w:right w:val="single" w:sz="4" w:space="0" w:color="auto"/>
            </w:tcBorders>
            <w:shd w:val="clear" w:color="auto" w:fill="auto"/>
            <w:noWrap/>
            <w:vAlign w:val="bottom"/>
            <w:hideMark/>
          </w:tcPr>
          <w:p w14:paraId="78FBB82B"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530</w:t>
            </w:r>
          </w:p>
        </w:tc>
        <w:tc>
          <w:tcPr>
            <w:tcW w:w="629" w:type="pct"/>
            <w:tcBorders>
              <w:top w:val="nil"/>
              <w:left w:val="nil"/>
              <w:bottom w:val="single" w:sz="4" w:space="0" w:color="auto"/>
              <w:right w:val="single" w:sz="4" w:space="0" w:color="auto"/>
            </w:tcBorders>
            <w:shd w:val="clear" w:color="auto" w:fill="auto"/>
            <w:noWrap/>
            <w:vAlign w:val="bottom"/>
            <w:hideMark/>
          </w:tcPr>
          <w:p w14:paraId="6BD53FDB"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780</w:t>
            </w:r>
          </w:p>
        </w:tc>
      </w:tr>
      <w:tr w:rsidR="002103A8" w:rsidRPr="002103A8" w14:paraId="24C89411"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60AA06E6"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Corporation tax</w:t>
            </w:r>
          </w:p>
        </w:tc>
        <w:tc>
          <w:tcPr>
            <w:tcW w:w="901" w:type="pct"/>
            <w:tcBorders>
              <w:top w:val="nil"/>
              <w:left w:val="nil"/>
              <w:bottom w:val="single" w:sz="4" w:space="0" w:color="auto"/>
              <w:right w:val="single" w:sz="4" w:space="0" w:color="auto"/>
            </w:tcBorders>
            <w:shd w:val="clear" w:color="auto" w:fill="auto"/>
            <w:noWrap/>
            <w:vAlign w:val="bottom"/>
            <w:hideMark/>
          </w:tcPr>
          <w:p w14:paraId="75D78D7A"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695B7F0C"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(20)</w:t>
            </w:r>
          </w:p>
        </w:tc>
        <w:tc>
          <w:tcPr>
            <w:tcW w:w="684" w:type="pct"/>
            <w:tcBorders>
              <w:top w:val="nil"/>
              <w:left w:val="nil"/>
              <w:bottom w:val="single" w:sz="4" w:space="0" w:color="auto"/>
              <w:right w:val="single" w:sz="4" w:space="0" w:color="auto"/>
            </w:tcBorders>
            <w:shd w:val="clear" w:color="auto" w:fill="auto"/>
            <w:noWrap/>
            <w:vAlign w:val="bottom"/>
            <w:hideMark/>
          </w:tcPr>
          <w:p w14:paraId="7625E7C4"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(95)</w:t>
            </w:r>
          </w:p>
        </w:tc>
        <w:tc>
          <w:tcPr>
            <w:tcW w:w="765" w:type="pct"/>
            <w:tcBorders>
              <w:top w:val="nil"/>
              <w:left w:val="nil"/>
              <w:bottom w:val="single" w:sz="4" w:space="0" w:color="auto"/>
              <w:right w:val="single" w:sz="4" w:space="0" w:color="auto"/>
            </w:tcBorders>
            <w:shd w:val="clear" w:color="auto" w:fill="auto"/>
            <w:noWrap/>
            <w:vAlign w:val="bottom"/>
            <w:hideMark/>
          </w:tcPr>
          <w:p w14:paraId="27394670"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(133)</w:t>
            </w:r>
          </w:p>
        </w:tc>
        <w:tc>
          <w:tcPr>
            <w:tcW w:w="629" w:type="pct"/>
            <w:tcBorders>
              <w:top w:val="nil"/>
              <w:left w:val="nil"/>
              <w:bottom w:val="single" w:sz="4" w:space="0" w:color="auto"/>
              <w:right w:val="single" w:sz="4" w:space="0" w:color="auto"/>
            </w:tcBorders>
            <w:shd w:val="clear" w:color="auto" w:fill="auto"/>
            <w:noWrap/>
            <w:vAlign w:val="bottom"/>
            <w:hideMark/>
          </w:tcPr>
          <w:p w14:paraId="5B4FF075"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(195)</w:t>
            </w:r>
          </w:p>
        </w:tc>
      </w:tr>
      <w:tr w:rsidR="002103A8" w:rsidRPr="002103A8" w14:paraId="45F5DFDB"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3DE528AB"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Net profit</w:t>
            </w:r>
          </w:p>
        </w:tc>
        <w:tc>
          <w:tcPr>
            <w:tcW w:w="901" w:type="pct"/>
            <w:tcBorders>
              <w:top w:val="nil"/>
              <w:left w:val="nil"/>
              <w:bottom w:val="single" w:sz="4" w:space="0" w:color="auto"/>
              <w:right w:val="single" w:sz="4" w:space="0" w:color="auto"/>
            </w:tcBorders>
            <w:shd w:val="clear" w:color="auto" w:fill="auto"/>
            <w:noWrap/>
            <w:vAlign w:val="bottom"/>
            <w:hideMark/>
          </w:tcPr>
          <w:p w14:paraId="1B55EF75"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4AD00BFB"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60</w:t>
            </w:r>
          </w:p>
        </w:tc>
        <w:tc>
          <w:tcPr>
            <w:tcW w:w="684" w:type="pct"/>
            <w:tcBorders>
              <w:top w:val="nil"/>
              <w:left w:val="nil"/>
              <w:bottom w:val="single" w:sz="4" w:space="0" w:color="auto"/>
              <w:right w:val="single" w:sz="4" w:space="0" w:color="auto"/>
            </w:tcBorders>
            <w:shd w:val="clear" w:color="auto" w:fill="auto"/>
            <w:noWrap/>
            <w:vAlign w:val="bottom"/>
            <w:hideMark/>
          </w:tcPr>
          <w:p w14:paraId="2A688A08"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285</w:t>
            </w:r>
          </w:p>
        </w:tc>
        <w:tc>
          <w:tcPr>
            <w:tcW w:w="765" w:type="pct"/>
            <w:tcBorders>
              <w:top w:val="nil"/>
              <w:left w:val="nil"/>
              <w:bottom w:val="single" w:sz="4" w:space="0" w:color="auto"/>
              <w:right w:val="single" w:sz="4" w:space="0" w:color="auto"/>
            </w:tcBorders>
            <w:shd w:val="clear" w:color="auto" w:fill="auto"/>
            <w:noWrap/>
            <w:vAlign w:val="bottom"/>
            <w:hideMark/>
          </w:tcPr>
          <w:p w14:paraId="07841353"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398</w:t>
            </w:r>
          </w:p>
        </w:tc>
        <w:tc>
          <w:tcPr>
            <w:tcW w:w="629" w:type="pct"/>
            <w:tcBorders>
              <w:top w:val="nil"/>
              <w:left w:val="nil"/>
              <w:bottom w:val="single" w:sz="4" w:space="0" w:color="auto"/>
              <w:right w:val="single" w:sz="4" w:space="0" w:color="auto"/>
            </w:tcBorders>
            <w:shd w:val="clear" w:color="auto" w:fill="auto"/>
            <w:noWrap/>
            <w:vAlign w:val="bottom"/>
            <w:hideMark/>
          </w:tcPr>
          <w:p w14:paraId="70E61664"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585</w:t>
            </w:r>
          </w:p>
        </w:tc>
      </w:tr>
      <w:tr w:rsidR="002103A8" w:rsidRPr="002103A8" w14:paraId="24B5FA3E"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0499B332"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Add: Capital allowance</w:t>
            </w:r>
          </w:p>
        </w:tc>
        <w:tc>
          <w:tcPr>
            <w:tcW w:w="901" w:type="pct"/>
            <w:tcBorders>
              <w:top w:val="nil"/>
              <w:left w:val="nil"/>
              <w:bottom w:val="single" w:sz="4" w:space="0" w:color="auto"/>
              <w:right w:val="single" w:sz="4" w:space="0" w:color="auto"/>
            </w:tcBorders>
            <w:shd w:val="clear" w:color="auto" w:fill="auto"/>
            <w:noWrap/>
            <w:vAlign w:val="bottom"/>
            <w:hideMark/>
          </w:tcPr>
          <w:p w14:paraId="177C4874" w14:textId="77777777" w:rsidR="002103A8" w:rsidRPr="002103A8" w:rsidRDefault="002103A8" w:rsidP="002103A8">
            <w:pPr>
              <w:spacing w:before="0" w:after="0" w:line="240" w:lineRule="auto"/>
              <w:jc w:val="center"/>
              <w:rPr>
                <w:rFonts w:eastAsia="Times New Roman"/>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15F441F7"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320</w:t>
            </w:r>
          </w:p>
        </w:tc>
        <w:tc>
          <w:tcPr>
            <w:tcW w:w="684" w:type="pct"/>
            <w:tcBorders>
              <w:top w:val="nil"/>
              <w:left w:val="nil"/>
              <w:bottom w:val="single" w:sz="4" w:space="0" w:color="auto"/>
              <w:right w:val="single" w:sz="4" w:space="0" w:color="auto"/>
            </w:tcBorders>
            <w:shd w:val="clear" w:color="auto" w:fill="auto"/>
            <w:noWrap/>
            <w:vAlign w:val="bottom"/>
            <w:hideMark/>
          </w:tcPr>
          <w:p w14:paraId="56936091"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320</w:t>
            </w:r>
          </w:p>
        </w:tc>
        <w:tc>
          <w:tcPr>
            <w:tcW w:w="765" w:type="pct"/>
            <w:tcBorders>
              <w:top w:val="nil"/>
              <w:left w:val="nil"/>
              <w:bottom w:val="single" w:sz="4" w:space="0" w:color="auto"/>
              <w:right w:val="single" w:sz="4" w:space="0" w:color="auto"/>
            </w:tcBorders>
            <w:shd w:val="clear" w:color="auto" w:fill="auto"/>
            <w:noWrap/>
            <w:vAlign w:val="bottom"/>
            <w:hideMark/>
          </w:tcPr>
          <w:p w14:paraId="6EEC9196"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320</w:t>
            </w:r>
          </w:p>
        </w:tc>
        <w:tc>
          <w:tcPr>
            <w:tcW w:w="629" w:type="pct"/>
            <w:tcBorders>
              <w:top w:val="nil"/>
              <w:left w:val="nil"/>
              <w:bottom w:val="single" w:sz="4" w:space="0" w:color="auto"/>
              <w:right w:val="single" w:sz="4" w:space="0" w:color="auto"/>
            </w:tcBorders>
            <w:shd w:val="clear" w:color="auto" w:fill="auto"/>
            <w:noWrap/>
            <w:vAlign w:val="bottom"/>
            <w:hideMark/>
          </w:tcPr>
          <w:p w14:paraId="049A0B73"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320</w:t>
            </w:r>
          </w:p>
        </w:tc>
      </w:tr>
      <w:tr w:rsidR="002103A8" w:rsidRPr="002103A8" w14:paraId="7E9C0301"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744DF097" w14:textId="77777777" w:rsidR="002103A8" w:rsidRPr="002103A8" w:rsidRDefault="002103A8" w:rsidP="002103A8">
            <w:pPr>
              <w:spacing w:before="0" w:after="0" w:line="240" w:lineRule="auto"/>
              <w:jc w:val="left"/>
              <w:rPr>
                <w:rFonts w:eastAsia="Times New Roman"/>
                <w:b/>
                <w:bCs/>
                <w:color w:val="000000"/>
                <w:lang w:bidi="hi-IN"/>
              </w:rPr>
            </w:pPr>
            <w:r w:rsidRPr="002103A8">
              <w:rPr>
                <w:rFonts w:eastAsia="Times New Roman"/>
                <w:b/>
                <w:bCs/>
                <w:color w:val="000000"/>
                <w:lang w:bidi="hi-IN"/>
              </w:rPr>
              <w:t>Adjusted Cash flow</w:t>
            </w:r>
          </w:p>
        </w:tc>
        <w:tc>
          <w:tcPr>
            <w:tcW w:w="901" w:type="pct"/>
            <w:tcBorders>
              <w:top w:val="nil"/>
              <w:left w:val="nil"/>
              <w:bottom w:val="single" w:sz="4" w:space="0" w:color="auto"/>
              <w:right w:val="single" w:sz="4" w:space="0" w:color="auto"/>
            </w:tcBorders>
            <w:shd w:val="clear" w:color="auto" w:fill="auto"/>
            <w:noWrap/>
            <w:vAlign w:val="bottom"/>
            <w:hideMark/>
          </w:tcPr>
          <w:p w14:paraId="6D13C96A" w14:textId="77777777" w:rsidR="002103A8" w:rsidRPr="002103A8" w:rsidRDefault="002103A8" w:rsidP="002103A8">
            <w:pPr>
              <w:spacing w:before="0" w:after="0" w:line="240" w:lineRule="auto"/>
              <w:jc w:val="center"/>
              <w:rPr>
                <w:rFonts w:eastAsia="Times New Roman"/>
                <w:b/>
                <w:bCs/>
                <w:color w:val="000000"/>
                <w:lang w:bidi="hi-IN"/>
              </w:rPr>
            </w:pPr>
          </w:p>
        </w:tc>
        <w:tc>
          <w:tcPr>
            <w:tcW w:w="982" w:type="pct"/>
            <w:tcBorders>
              <w:top w:val="nil"/>
              <w:left w:val="nil"/>
              <w:bottom w:val="single" w:sz="4" w:space="0" w:color="auto"/>
              <w:right w:val="single" w:sz="4" w:space="0" w:color="auto"/>
            </w:tcBorders>
            <w:shd w:val="clear" w:color="auto" w:fill="auto"/>
            <w:noWrap/>
            <w:vAlign w:val="bottom"/>
            <w:hideMark/>
          </w:tcPr>
          <w:p w14:paraId="2B22CB64"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380</w:t>
            </w:r>
          </w:p>
        </w:tc>
        <w:tc>
          <w:tcPr>
            <w:tcW w:w="684" w:type="pct"/>
            <w:tcBorders>
              <w:top w:val="nil"/>
              <w:left w:val="nil"/>
              <w:bottom w:val="single" w:sz="4" w:space="0" w:color="auto"/>
              <w:right w:val="single" w:sz="4" w:space="0" w:color="auto"/>
            </w:tcBorders>
            <w:shd w:val="clear" w:color="auto" w:fill="auto"/>
            <w:noWrap/>
            <w:vAlign w:val="bottom"/>
            <w:hideMark/>
          </w:tcPr>
          <w:p w14:paraId="70E173BF"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605</w:t>
            </w:r>
          </w:p>
        </w:tc>
        <w:tc>
          <w:tcPr>
            <w:tcW w:w="765" w:type="pct"/>
            <w:tcBorders>
              <w:top w:val="nil"/>
              <w:left w:val="nil"/>
              <w:bottom w:val="single" w:sz="4" w:space="0" w:color="auto"/>
              <w:right w:val="single" w:sz="4" w:space="0" w:color="auto"/>
            </w:tcBorders>
            <w:shd w:val="clear" w:color="auto" w:fill="auto"/>
            <w:noWrap/>
            <w:vAlign w:val="bottom"/>
            <w:hideMark/>
          </w:tcPr>
          <w:p w14:paraId="14225DFA"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718</w:t>
            </w:r>
          </w:p>
        </w:tc>
        <w:tc>
          <w:tcPr>
            <w:tcW w:w="629" w:type="pct"/>
            <w:tcBorders>
              <w:top w:val="nil"/>
              <w:left w:val="nil"/>
              <w:bottom w:val="single" w:sz="4" w:space="0" w:color="auto"/>
              <w:right w:val="single" w:sz="4" w:space="0" w:color="auto"/>
            </w:tcBorders>
            <w:shd w:val="clear" w:color="auto" w:fill="auto"/>
            <w:noWrap/>
            <w:vAlign w:val="bottom"/>
            <w:hideMark/>
          </w:tcPr>
          <w:p w14:paraId="057BEF67"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905</w:t>
            </w:r>
          </w:p>
        </w:tc>
      </w:tr>
      <w:tr w:rsidR="002103A8" w:rsidRPr="002103A8" w14:paraId="153A7CA5"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422C2D3B"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DF @ 6%</w:t>
            </w:r>
          </w:p>
        </w:tc>
        <w:tc>
          <w:tcPr>
            <w:tcW w:w="901" w:type="pct"/>
            <w:tcBorders>
              <w:top w:val="nil"/>
              <w:left w:val="nil"/>
              <w:bottom w:val="single" w:sz="4" w:space="0" w:color="auto"/>
              <w:right w:val="single" w:sz="4" w:space="0" w:color="auto"/>
            </w:tcBorders>
            <w:shd w:val="clear" w:color="auto" w:fill="auto"/>
            <w:noWrap/>
            <w:vAlign w:val="bottom"/>
            <w:hideMark/>
          </w:tcPr>
          <w:p w14:paraId="33D0119E"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w:t>
            </w:r>
          </w:p>
        </w:tc>
        <w:tc>
          <w:tcPr>
            <w:tcW w:w="982" w:type="pct"/>
            <w:tcBorders>
              <w:top w:val="nil"/>
              <w:left w:val="nil"/>
              <w:bottom w:val="single" w:sz="4" w:space="0" w:color="auto"/>
              <w:right w:val="single" w:sz="4" w:space="0" w:color="auto"/>
            </w:tcBorders>
            <w:shd w:val="clear" w:color="auto" w:fill="auto"/>
            <w:noWrap/>
            <w:vAlign w:val="bottom"/>
            <w:hideMark/>
          </w:tcPr>
          <w:p w14:paraId="5040A46D"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0.943</w:t>
            </w:r>
          </w:p>
        </w:tc>
        <w:tc>
          <w:tcPr>
            <w:tcW w:w="684" w:type="pct"/>
            <w:tcBorders>
              <w:top w:val="nil"/>
              <w:left w:val="nil"/>
              <w:bottom w:val="single" w:sz="4" w:space="0" w:color="auto"/>
              <w:right w:val="single" w:sz="4" w:space="0" w:color="auto"/>
            </w:tcBorders>
            <w:shd w:val="clear" w:color="auto" w:fill="auto"/>
            <w:noWrap/>
            <w:vAlign w:val="bottom"/>
            <w:hideMark/>
          </w:tcPr>
          <w:p w14:paraId="5AF0D51E"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0.890</w:t>
            </w:r>
          </w:p>
        </w:tc>
        <w:tc>
          <w:tcPr>
            <w:tcW w:w="765" w:type="pct"/>
            <w:tcBorders>
              <w:top w:val="nil"/>
              <w:left w:val="nil"/>
              <w:bottom w:val="single" w:sz="4" w:space="0" w:color="auto"/>
              <w:right w:val="single" w:sz="4" w:space="0" w:color="auto"/>
            </w:tcBorders>
            <w:shd w:val="clear" w:color="auto" w:fill="auto"/>
            <w:noWrap/>
            <w:vAlign w:val="bottom"/>
            <w:hideMark/>
          </w:tcPr>
          <w:p w14:paraId="642CD2D6"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0.840</w:t>
            </w:r>
          </w:p>
        </w:tc>
        <w:tc>
          <w:tcPr>
            <w:tcW w:w="629" w:type="pct"/>
            <w:tcBorders>
              <w:top w:val="nil"/>
              <w:left w:val="nil"/>
              <w:bottom w:val="single" w:sz="4" w:space="0" w:color="auto"/>
              <w:right w:val="single" w:sz="4" w:space="0" w:color="auto"/>
            </w:tcBorders>
            <w:shd w:val="clear" w:color="auto" w:fill="auto"/>
            <w:noWrap/>
            <w:vAlign w:val="bottom"/>
            <w:hideMark/>
          </w:tcPr>
          <w:p w14:paraId="26A14E02"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0.792</w:t>
            </w:r>
          </w:p>
        </w:tc>
      </w:tr>
      <w:tr w:rsidR="002103A8" w:rsidRPr="002103A8" w14:paraId="5A8E339D"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7FCC7837" w14:textId="77777777" w:rsidR="002103A8" w:rsidRPr="002103A8" w:rsidRDefault="002103A8" w:rsidP="002103A8">
            <w:pPr>
              <w:spacing w:before="0" w:after="0" w:line="240" w:lineRule="auto"/>
              <w:jc w:val="left"/>
              <w:rPr>
                <w:rFonts w:eastAsia="Times New Roman"/>
                <w:color w:val="000000"/>
                <w:lang w:bidi="hi-IN"/>
              </w:rPr>
            </w:pPr>
            <w:r w:rsidRPr="002103A8">
              <w:rPr>
                <w:rFonts w:eastAsia="Times New Roman"/>
                <w:color w:val="000000"/>
                <w:lang w:bidi="hi-IN"/>
              </w:rPr>
              <w:t>DCF</w:t>
            </w:r>
          </w:p>
        </w:tc>
        <w:tc>
          <w:tcPr>
            <w:tcW w:w="901" w:type="pct"/>
            <w:tcBorders>
              <w:top w:val="nil"/>
              <w:left w:val="nil"/>
              <w:bottom w:val="single" w:sz="4" w:space="0" w:color="auto"/>
              <w:right w:val="single" w:sz="4" w:space="0" w:color="auto"/>
            </w:tcBorders>
            <w:shd w:val="clear" w:color="auto" w:fill="auto"/>
            <w:noWrap/>
            <w:vAlign w:val="bottom"/>
            <w:hideMark/>
          </w:tcPr>
          <w:p w14:paraId="622CD19C"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(1,600)</w:t>
            </w:r>
          </w:p>
        </w:tc>
        <w:tc>
          <w:tcPr>
            <w:tcW w:w="982" w:type="pct"/>
            <w:tcBorders>
              <w:top w:val="nil"/>
              <w:left w:val="nil"/>
              <w:bottom w:val="single" w:sz="4" w:space="0" w:color="auto"/>
              <w:right w:val="single" w:sz="4" w:space="0" w:color="auto"/>
            </w:tcBorders>
            <w:shd w:val="clear" w:color="auto" w:fill="auto"/>
            <w:noWrap/>
            <w:vAlign w:val="bottom"/>
            <w:hideMark/>
          </w:tcPr>
          <w:p w14:paraId="6C7242C8"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377</w:t>
            </w:r>
          </w:p>
        </w:tc>
        <w:tc>
          <w:tcPr>
            <w:tcW w:w="684" w:type="pct"/>
            <w:tcBorders>
              <w:top w:val="nil"/>
              <w:left w:val="nil"/>
              <w:bottom w:val="single" w:sz="4" w:space="0" w:color="auto"/>
              <w:right w:val="single" w:sz="4" w:space="0" w:color="auto"/>
            </w:tcBorders>
            <w:shd w:val="clear" w:color="auto" w:fill="auto"/>
            <w:noWrap/>
            <w:vAlign w:val="bottom"/>
            <w:hideMark/>
          </w:tcPr>
          <w:p w14:paraId="7678EF2F"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623</w:t>
            </w:r>
          </w:p>
        </w:tc>
        <w:tc>
          <w:tcPr>
            <w:tcW w:w="765" w:type="pct"/>
            <w:tcBorders>
              <w:top w:val="nil"/>
              <w:left w:val="nil"/>
              <w:bottom w:val="single" w:sz="4" w:space="0" w:color="auto"/>
              <w:right w:val="single" w:sz="4" w:space="0" w:color="auto"/>
            </w:tcBorders>
            <w:shd w:val="clear" w:color="auto" w:fill="auto"/>
            <w:noWrap/>
            <w:vAlign w:val="bottom"/>
            <w:hideMark/>
          </w:tcPr>
          <w:p w14:paraId="187CDA15"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714</w:t>
            </w:r>
          </w:p>
        </w:tc>
        <w:tc>
          <w:tcPr>
            <w:tcW w:w="629" w:type="pct"/>
            <w:tcBorders>
              <w:top w:val="nil"/>
              <w:left w:val="nil"/>
              <w:bottom w:val="single" w:sz="4" w:space="0" w:color="auto"/>
              <w:right w:val="single" w:sz="4" w:space="0" w:color="auto"/>
            </w:tcBorders>
            <w:shd w:val="clear" w:color="auto" w:fill="auto"/>
            <w:noWrap/>
            <w:vAlign w:val="bottom"/>
            <w:hideMark/>
          </w:tcPr>
          <w:p w14:paraId="08C722C9" w14:textId="77777777" w:rsidR="002103A8" w:rsidRPr="002103A8" w:rsidRDefault="002103A8" w:rsidP="002103A8">
            <w:pPr>
              <w:spacing w:before="0" w:after="0" w:line="240" w:lineRule="auto"/>
              <w:jc w:val="center"/>
              <w:rPr>
                <w:rFonts w:eastAsia="Times New Roman"/>
                <w:color w:val="000000"/>
                <w:lang w:bidi="hi-IN"/>
              </w:rPr>
            </w:pPr>
            <w:r w:rsidRPr="002103A8">
              <w:rPr>
                <w:rFonts w:eastAsia="Times New Roman"/>
                <w:color w:val="000000"/>
                <w:lang w:bidi="hi-IN"/>
              </w:rPr>
              <w:t>871</w:t>
            </w:r>
          </w:p>
        </w:tc>
      </w:tr>
      <w:tr w:rsidR="002103A8" w:rsidRPr="002103A8" w14:paraId="3FAE9A49" w14:textId="77777777" w:rsidTr="002103A8">
        <w:trPr>
          <w:trHeight w:val="312"/>
        </w:trPr>
        <w:tc>
          <w:tcPr>
            <w:tcW w:w="1040" w:type="pct"/>
            <w:tcBorders>
              <w:top w:val="nil"/>
              <w:left w:val="single" w:sz="4" w:space="0" w:color="auto"/>
              <w:bottom w:val="single" w:sz="4" w:space="0" w:color="auto"/>
              <w:right w:val="single" w:sz="4" w:space="0" w:color="auto"/>
            </w:tcBorders>
            <w:shd w:val="clear" w:color="auto" w:fill="auto"/>
            <w:noWrap/>
            <w:vAlign w:val="bottom"/>
            <w:hideMark/>
          </w:tcPr>
          <w:p w14:paraId="1C5EE986" w14:textId="77777777" w:rsidR="002103A8" w:rsidRPr="002103A8" w:rsidRDefault="002103A8" w:rsidP="002103A8">
            <w:pPr>
              <w:spacing w:before="0" w:after="0" w:line="240" w:lineRule="auto"/>
              <w:jc w:val="left"/>
              <w:rPr>
                <w:rFonts w:eastAsia="Times New Roman"/>
                <w:b/>
                <w:bCs/>
                <w:color w:val="000000"/>
                <w:lang w:bidi="hi-IN"/>
              </w:rPr>
            </w:pPr>
            <w:r w:rsidRPr="002103A8">
              <w:rPr>
                <w:rFonts w:eastAsia="Times New Roman"/>
                <w:b/>
                <w:bCs/>
                <w:color w:val="000000"/>
                <w:lang w:bidi="hi-IN"/>
              </w:rPr>
              <w:t>NPV (Σ of DCF)</w:t>
            </w:r>
          </w:p>
        </w:tc>
        <w:tc>
          <w:tcPr>
            <w:tcW w:w="901" w:type="pct"/>
            <w:tcBorders>
              <w:top w:val="nil"/>
              <w:left w:val="nil"/>
              <w:bottom w:val="single" w:sz="4" w:space="0" w:color="auto"/>
              <w:right w:val="single" w:sz="4" w:space="0" w:color="auto"/>
            </w:tcBorders>
            <w:shd w:val="clear" w:color="000000" w:fill="BDD7EE"/>
            <w:noWrap/>
            <w:vAlign w:val="bottom"/>
            <w:hideMark/>
          </w:tcPr>
          <w:p w14:paraId="00318B35" w14:textId="77777777" w:rsidR="002103A8" w:rsidRPr="002103A8" w:rsidRDefault="002103A8" w:rsidP="002103A8">
            <w:pPr>
              <w:spacing w:before="0" w:after="0" w:line="240" w:lineRule="auto"/>
              <w:jc w:val="center"/>
              <w:rPr>
                <w:rFonts w:eastAsia="Times New Roman"/>
                <w:b/>
                <w:bCs/>
                <w:color w:val="000000"/>
                <w:lang w:bidi="hi-IN"/>
              </w:rPr>
            </w:pPr>
            <w:r w:rsidRPr="002103A8">
              <w:rPr>
                <w:rFonts w:eastAsia="Times New Roman"/>
                <w:b/>
                <w:bCs/>
                <w:color w:val="000000"/>
                <w:lang w:bidi="hi-IN"/>
              </w:rPr>
              <w:t>985</w:t>
            </w:r>
          </w:p>
        </w:tc>
        <w:tc>
          <w:tcPr>
            <w:tcW w:w="982" w:type="pct"/>
            <w:tcBorders>
              <w:top w:val="nil"/>
              <w:left w:val="nil"/>
              <w:bottom w:val="single" w:sz="4" w:space="0" w:color="auto"/>
              <w:right w:val="single" w:sz="4" w:space="0" w:color="auto"/>
            </w:tcBorders>
            <w:shd w:val="clear" w:color="auto" w:fill="auto"/>
            <w:noWrap/>
            <w:vAlign w:val="bottom"/>
            <w:hideMark/>
          </w:tcPr>
          <w:p w14:paraId="07B61559" w14:textId="77777777" w:rsidR="002103A8" w:rsidRPr="002103A8" w:rsidRDefault="002103A8" w:rsidP="002103A8">
            <w:pPr>
              <w:spacing w:before="0" w:after="0" w:line="240" w:lineRule="auto"/>
              <w:jc w:val="center"/>
              <w:rPr>
                <w:rFonts w:eastAsia="Times New Roman"/>
                <w:color w:val="000000"/>
                <w:lang w:bidi="hi-IN"/>
              </w:rPr>
            </w:pPr>
          </w:p>
        </w:tc>
        <w:tc>
          <w:tcPr>
            <w:tcW w:w="684" w:type="pct"/>
            <w:tcBorders>
              <w:top w:val="nil"/>
              <w:left w:val="nil"/>
              <w:bottom w:val="single" w:sz="4" w:space="0" w:color="auto"/>
              <w:right w:val="single" w:sz="4" w:space="0" w:color="auto"/>
            </w:tcBorders>
            <w:shd w:val="clear" w:color="auto" w:fill="auto"/>
            <w:noWrap/>
            <w:vAlign w:val="bottom"/>
            <w:hideMark/>
          </w:tcPr>
          <w:p w14:paraId="6F5DA76F" w14:textId="77777777" w:rsidR="002103A8" w:rsidRPr="002103A8" w:rsidRDefault="002103A8" w:rsidP="002103A8">
            <w:pPr>
              <w:spacing w:before="0" w:after="0" w:line="240" w:lineRule="auto"/>
              <w:jc w:val="center"/>
              <w:rPr>
                <w:rFonts w:eastAsia="Times New Roman"/>
                <w:color w:val="000000"/>
                <w:lang w:bidi="hi-IN"/>
              </w:rPr>
            </w:pPr>
          </w:p>
        </w:tc>
        <w:tc>
          <w:tcPr>
            <w:tcW w:w="765" w:type="pct"/>
            <w:tcBorders>
              <w:top w:val="nil"/>
              <w:left w:val="nil"/>
              <w:bottom w:val="single" w:sz="4" w:space="0" w:color="auto"/>
              <w:right w:val="single" w:sz="4" w:space="0" w:color="auto"/>
            </w:tcBorders>
            <w:shd w:val="clear" w:color="auto" w:fill="auto"/>
            <w:noWrap/>
            <w:vAlign w:val="bottom"/>
            <w:hideMark/>
          </w:tcPr>
          <w:p w14:paraId="76ED4D11" w14:textId="77777777" w:rsidR="002103A8" w:rsidRPr="002103A8" w:rsidRDefault="002103A8" w:rsidP="002103A8">
            <w:pPr>
              <w:spacing w:before="0" w:after="0" w:line="240" w:lineRule="auto"/>
              <w:jc w:val="center"/>
              <w:rPr>
                <w:rFonts w:eastAsia="Times New Roman"/>
                <w:color w:val="000000"/>
                <w:lang w:bidi="hi-IN"/>
              </w:rPr>
            </w:pPr>
          </w:p>
        </w:tc>
        <w:tc>
          <w:tcPr>
            <w:tcW w:w="629" w:type="pct"/>
            <w:tcBorders>
              <w:top w:val="nil"/>
              <w:left w:val="nil"/>
              <w:bottom w:val="single" w:sz="4" w:space="0" w:color="auto"/>
              <w:right w:val="single" w:sz="4" w:space="0" w:color="auto"/>
            </w:tcBorders>
            <w:shd w:val="clear" w:color="auto" w:fill="auto"/>
            <w:noWrap/>
            <w:vAlign w:val="bottom"/>
            <w:hideMark/>
          </w:tcPr>
          <w:p w14:paraId="08B26A8F" w14:textId="77777777" w:rsidR="002103A8" w:rsidRPr="002103A8" w:rsidRDefault="002103A8" w:rsidP="002103A8">
            <w:pPr>
              <w:spacing w:before="0" w:after="0" w:line="240" w:lineRule="auto"/>
              <w:jc w:val="center"/>
              <w:rPr>
                <w:rFonts w:eastAsia="Times New Roman"/>
                <w:color w:val="000000"/>
                <w:lang w:bidi="hi-IN"/>
              </w:rPr>
            </w:pPr>
          </w:p>
        </w:tc>
      </w:tr>
    </w:tbl>
    <w:p w14:paraId="2861AE0D" w14:textId="77777777" w:rsidR="0081555F" w:rsidRPr="00071D0F" w:rsidRDefault="0081555F" w:rsidP="0081555F"/>
    <w:p w14:paraId="465EDFCB" w14:textId="77777777" w:rsidR="002103A8" w:rsidRPr="000A53E3" w:rsidRDefault="000A53E3" w:rsidP="0081555F">
      <w:pPr>
        <w:rPr>
          <w:lang w:val="en-US"/>
        </w:rPr>
      </w:pPr>
      <w:r w:rsidRPr="000A53E3">
        <w:rPr>
          <w:lang w:val="en-US"/>
        </w:rPr>
        <w:t>Option B (Develop online sales) has the greatest NPV (£747k), exceeding retail growth (A: £395k) and product diversification (C: £618k). It generates significant early cash flows that speed repayment, benefits from tax breaks through capital allowances, and maximizes wealth generation over four years. Internet sales growth is the most financially viable option since it requires less extra capex than C but has greater margins than A.</w:t>
      </w:r>
    </w:p>
    <w:p w14:paraId="40BC5BFE" w14:textId="77777777" w:rsidR="00807652" w:rsidRPr="00071D0F" w:rsidRDefault="002E05C4" w:rsidP="002E05C4">
      <w:pPr>
        <w:pStyle w:val="Heading2"/>
      </w:pPr>
      <w:bookmarkStart w:id="15" w:name="_Toc203668425"/>
      <w:r w:rsidRPr="00071D0F">
        <w:t>Internal rate of return (IRR)</w:t>
      </w:r>
      <w:bookmarkEnd w:id="15"/>
    </w:p>
    <w:tbl>
      <w:tblPr>
        <w:tblW w:w="5000" w:type="pct"/>
        <w:tblLook w:val="04A0" w:firstRow="1" w:lastRow="0" w:firstColumn="1" w:lastColumn="0" w:noHBand="0" w:noVBand="1"/>
      </w:tblPr>
      <w:tblGrid>
        <w:gridCol w:w="1099"/>
        <w:gridCol w:w="2325"/>
        <w:gridCol w:w="1564"/>
        <w:gridCol w:w="1216"/>
        <w:gridCol w:w="1536"/>
        <w:gridCol w:w="1276"/>
      </w:tblGrid>
      <w:tr w:rsidR="0064023C" w:rsidRPr="0064023C" w14:paraId="05A45ECC" w14:textId="77777777" w:rsidTr="0064023C">
        <w:trPr>
          <w:trHeight w:val="312"/>
        </w:trPr>
        <w:tc>
          <w:tcPr>
            <w:tcW w:w="62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21F2AC" w14:textId="77777777" w:rsidR="0064023C" w:rsidRPr="0064023C" w:rsidRDefault="0064023C" w:rsidP="0064023C">
            <w:pPr>
              <w:spacing w:before="0" w:after="0" w:line="240" w:lineRule="auto"/>
              <w:jc w:val="center"/>
              <w:rPr>
                <w:rFonts w:eastAsia="Times New Roman"/>
                <w:b/>
                <w:bCs/>
                <w:color w:val="000000"/>
                <w:lang w:bidi="hi-IN"/>
              </w:rPr>
            </w:pPr>
            <w:r w:rsidRPr="0064023C">
              <w:rPr>
                <w:rFonts w:eastAsia="Times New Roman"/>
                <w:b/>
                <w:bCs/>
                <w:color w:val="000000"/>
                <w:lang w:bidi="hi-IN"/>
              </w:rPr>
              <w:t>Years</w:t>
            </w:r>
          </w:p>
        </w:tc>
        <w:tc>
          <w:tcPr>
            <w:tcW w:w="1300" w:type="pct"/>
            <w:tcBorders>
              <w:top w:val="single" w:sz="4" w:space="0" w:color="auto"/>
              <w:left w:val="nil"/>
              <w:bottom w:val="single" w:sz="4" w:space="0" w:color="auto"/>
              <w:right w:val="single" w:sz="4" w:space="0" w:color="auto"/>
            </w:tcBorders>
            <w:shd w:val="clear" w:color="auto" w:fill="auto"/>
            <w:noWrap/>
            <w:vAlign w:val="bottom"/>
            <w:hideMark/>
          </w:tcPr>
          <w:p w14:paraId="52676A54" w14:textId="77777777" w:rsidR="0064023C" w:rsidRPr="0064023C" w:rsidRDefault="0064023C" w:rsidP="0064023C">
            <w:pPr>
              <w:spacing w:before="0" w:after="0" w:line="240" w:lineRule="auto"/>
              <w:jc w:val="center"/>
              <w:rPr>
                <w:rFonts w:eastAsia="Times New Roman"/>
                <w:b/>
                <w:bCs/>
                <w:color w:val="000000"/>
                <w:lang w:bidi="hi-IN"/>
              </w:rPr>
            </w:pPr>
            <w:r w:rsidRPr="0064023C">
              <w:rPr>
                <w:rFonts w:eastAsia="Times New Roman"/>
                <w:b/>
                <w:bCs/>
                <w:color w:val="000000"/>
                <w:lang w:bidi="hi-IN"/>
              </w:rPr>
              <w:t>Adjusted Cash flow</w:t>
            </w:r>
          </w:p>
        </w:tc>
        <w:tc>
          <w:tcPr>
            <w:tcW w:w="878" w:type="pct"/>
            <w:tcBorders>
              <w:top w:val="single" w:sz="4" w:space="0" w:color="auto"/>
              <w:left w:val="nil"/>
              <w:bottom w:val="single" w:sz="4" w:space="0" w:color="auto"/>
              <w:right w:val="single" w:sz="4" w:space="0" w:color="auto"/>
            </w:tcBorders>
            <w:shd w:val="clear" w:color="auto" w:fill="auto"/>
            <w:noWrap/>
            <w:vAlign w:val="bottom"/>
            <w:hideMark/>
          </w:tcPr>
          <w:p w14:paraId="6466FB0B" w14:textId="77777777" w:rsidR="0064023C" w:rsidRPr="0064023C" w:rsidRDefault="0064023C" w:rsidP="0064023C">
            <w:pPr>
              <w:spacing w:before="0" w:after="0" w:line="240" w:lineRule="auto"/>
              <w:jc w:val="center"/>
              <w:rPr>
                <w:rFonts w:eastAsia="Times New Roman"/>
                <w:b/>
                <w:bCs/>
                <w:color w:val="000000"/>
                <w:lang w:bidi="hi-IN"/>
              </w:rPr>
            </w:pPr>
            <w:r w:rsidRPr="0064023C">
              <w:rPr>
                <w:rFonts w:eastAsia="Times New Roman"/>
                <w:b/>
                <w:bCs/>
                <w:color w:val="000000"/>
                <w:lang w:bidi="hi-IN"/>
              </w:rPr>
              <w:t>DF @ 23%</w:t>
            </w:r>
          </w:p>
        </w:tc>
        <w:tc>
          <w:tcPr>
            <w:tcW w:w="644" w:type="pct"/>
            <w:tcBorders>
              <w:top w:val="single" w:sz="4" w:space="0" w:color="auto"/>
              <w:left w:val="nil"/>
              <w:bottom w:val="single" w:sz="4" w:space="0" w:color="auto"/>
              <w:right w:val="single" w:sz="4" w:space="0" w:color="auto"/>
            </w:tcBorders>
            <w:shd w:val="clear" w:color="auto" w:fill="auto"/>
            <w:noWrap/>
            <w:vAlign w:val="bottom"/>
            <w:hideMark/>
          </w:tcPr>
          <w:p w14:paraId="5DB9CFBA" w14:textId="77777777" w:rsidR="0064023C" w:rsidRPr="0064023C" w:rsidRDefault="0064023C" w:rsidP="0064023C">
            <w:pPr>
              <w:spacing w:before="0" w:after="0" w:line="240" w:lineRule="auto"/>
              <w:jc w:val="center"/>
              <w:rPr>
                <w:rFonts w:eastAsia="Times New Roman"/>
                <w:b/>
                <w:bCs/>
                <w:color w:val="000000"/>
                <w:lang w:bidi="hi-IN"/>
              </w:rPr>
            </w:pPr>
            <w:r w:rsidRPr="0064023C">
              <w:rPr>
                <w:rFonts w:eastAsia="Times New Roman"/>
                <w:b/>
                <w:bCs/>
                <w:color w:val="000000"/>
                <w:lang w:bidi="hi-IN"/>
              </w:rPr>
              <w:t>DCF</w:t>
            </w:r>
          </w:p>
        </w:tc>
        <w:tc>
          <w:tcPr>
            <w:tcW w:w="855" w:type="pct"/>
            <w:tcBorders>
              <w:top w:val="single" w:sz="4" w:space="0" w:color="auto"/>
              <w:left w:val="nil"/>
              <w:bottom w:val="single" w:sz="4" w:space="0" w:color="auto"/>
              <w:right w:val="single" w:sz="4" w:space="0" w:color="auto"/>
            </w:tcBorders>
            <w:shd w:val="clear" w:color="auto" w:fill="auto"/>
            <w:noWrap/>
            <w:vAlign w:val="bottom"/>
            <w:hideMark/>
          </w:tcPr>
          <w:p w14:paraId="3C6300A4" w14:textId="77777777" w:rsidR="0064023C" w:rsidRPr="0064023C" w:rsidRDefault="0064023C" w:rsidP="0064023C">
            <w:pPr>
              <w:spacing w:before="0" w:after="0" w:line="240" w:lineRule="auto"/>
              <w:jc w:val="center"/>
              <w:rPr>
                <w:rFonts w:eastAsia="Times New Roman"/>
                <w:b/>
                <w:bCs/>
                <w:color w:val="000000"/>
                <w:lang w:bidi="hi-IN"/>
              </w:rPr>
            </w:pPr>
            <w:r w:rsidRPr="0064023C">
              <w:rPr>
                <w:rFonts w:eastAsia="Times New Roman"/>
                <w:b/>
                <w:bCs/>
                <w:color w:val="000000"/>
                <w:lang w:bidi="hi-IN"/>
              </w:rPr>
              <w:t>DF @ 24%</w:t>
            </w:r>
          </w:p>
        </w:tc>
        <w:tc>
          <w:tcPr>
            <w:tcW w:w="703" w:type="pct"/>
            <w:tcBorders>
              <w:top w:val="single" w:sz="4" w:space="0" w:color="auto"/>
              <w:left w:val="nil"/>
              <w:bottom w:val="single" w:sz="4" w:space="0" w:color="auto"/>
              <w:right w:val="single" w:sz="4" w:space="0" w:color="auto"/>
            </w:tcBorders>
            <w:shd w:val="clear" w:color="auto" w:fill="auto"/>
            <w:noWrap/>
            <w:vAlign w:val="bottom"/>
            <w:hideMark/>
          </w:tcPr>
          <w:p w14:paraId="3D1C66E6" w14:textId="77777777" w:rsidR="0064023C" w:rsidRPr="0064023C" w:rsidRDefault="0064023C" w:rsidP="0064023C">
            <w:pPr>
              <w:spacing w:before="0" w:after="0" w:line="240" w:lineRule="auto"/>
              <w:jc w:val="center"/>
              <w:rPr>
                <w:rFonts w:eastAsia="Times New Roman"/>
                <w:b/>
                <w:bCs/>
                <w:color w:val="000000"/>
                <w:lang w:bidi="hi-IN"/>
              </w:rPr>
            </w:pPr>
            <w:r w:rsidRPr="0064023C">
              <w:rPr>
                <w:rFonts w:eastAsia="Times New Roman"/>
                <w:b/>
                <w:bCs/>
                <w:color w:val="000000"/>
                <w:lang w:bidi="hi-IN"/>
              </w:rPr>
              <w:t>DCF</w:t>
            </w:r>
          </w:p>
        </w:tc>
      </w:tr>
      <w:tr w:rsidR="0064023C" w:rsidRPr="0064023C" w14:paraId="10DEC44F" w14:textId="77777777" w:rsidTr="0064023C">
        <w:trPr>
          <w:trHeight w:val="312"/>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0DD57867" w14:textId="77777777" w:rsidR="0064023C" w:rsidRPr="0064023C" w:rsidRDefault="0064023C" w:rsidP="0064023C">
            <w:pPr>
              <w:spacing w:before="0" w:after="0" w:line="240" w:lineRule="auto"/>
              <w:jc w:val="center"/>
              <w:rPr>
                <w:rFonts w:eastAsia="Times New Roman"/>
                <w:b/>
                <w:bCs/>
                <w:color w:val="000000"/>
                <w:lang w:bidi="hi-IN"/>
              </w:rPr>
            </w:pPr>
            <w:r w:rsidRPr="0064023C">
              <w:rPr>
                <w:rFonts w:eastAsia="Times New Roman"/>
                <w:b/>
                <w:bCs/>
                <w:color w:val="000000"/>
                <w:lang w:bidi="hi-IN"/>
              </w:rPr>
              <w:t>0</w:t>
            </w:r>
          </w:p>
        </w:tc>
        <w:tc>
          <w:tcPr>
            <w:tcW w:w="1300" w:type="pct"/>
            <w:tcBorders>
              <w:top w:val="nil"/>
              <w:left w:val="nil"/>
              <w:bottom w:val="single" w:sz="4" w:space="0" w:color="auto"/>
              <w:right w:val="single" w:sz="4" w:space="0" w:color="auto"/>
            </w:tcBorders>
            <w:shd w:val="clear" w:color="auto" w:fill="auto"/>
            <w:noWrap/>
            <w:vAlign w:val="bottom"/>
            <w:hideMark/>
          </w:tcPr>
          <w:p w14:paraId="5178B50C"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(1,000)</w:t>
            </w:r>
          </w:p>
        </w:tc>
        <w:tc>
          <w:tcPr>
            <w:tcW w:w="878" w:type="pct"/>
            <w:tcBorders>
              <w:top w:val="nil"/>
              <w:left w:val="nil"/>
              <w:bottom w:val="single" w:sz="4" w:space="0" w:color="auto"/>
              <w:right w:val="single" w:sz="4" w:space="0" w:color="auto"/>
            </w:tcBorders>
            <w:shd w:val="clear" w:color="auto" w:fill="auto"/>
            <w:noWrap/>
            <w:vAlign w:val="bottom"/>
            <w:hideMark/>
          </w:tcPr>
          <w:p w14:paraId="1EC67EF4" w14:textId="77777777" w:rsidR="0064023C" w:rsidRPr="0064023C" w:rsidRDefault="0064023C" w:rsidP="0064023C">
            <w:pPr>
              <w:spacing w:before="0" w:after="0" w:line="240" w:lineRule="auto"/>
              <w:jc w:val="center"/>
              <w:rPr>
                <w:rFonts w:eastAsia="Times New Roman"/>
                <w:color w:val="000000"/>
                <w:lang w:bidi="hi-IN"/>
              </w:rPr>
            </w:pPr>
            <w:r w:rsidRPr="0064023C">
              <w:rPr>
                <w:rFonts w:eastAsia="Times New Roman"/>
                <w:color w:val="000000"/>
                <w:lang w:bidi="hi-IN"/>
              </w:rPr>
              <w:t xml:space="preserve">             1.000 </w:t>
            </w:r>
          </w:p>
        </w:tc>
        <w:tc>
          <w:tcPr>
            <w:tcW w:w="644" w:type="pct"/>
            <w:tcBorders>
              <w:top w:val="nil"/>
              <w:left w:val="nil"/>
              <w:bottom w:val="single" w:sz="4" w:space="0" w:color="auto"/>
              <w:right w:val="single" w:sz="4" w:space="0" w:color="auto"/>
            </w:tcBorders>
            <w:shd w:val="clear" w:color="auto" w:fill="auto"/>
            <w:noWrap/>
            <w:vAlign w:val="bottom"/>
            <w:hideMark/>
          </w:tcPr>
          <w:p w14:paraId="40011834"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(1,000)</w:t>
            </w:r>
          </w:p>
        </w:tc>
        <w:tc>
          <w:tcPr>
            <w:tcW w:w="855" w:type="pct"/>
            <w:tcBorders>
              <w:top w:val="nil"/>
              <w:left w:val="nil"/>
              <w:bottom w:val="single" w:sz="4" w:space="0" w:color="auto"/>
              <w:right w:val="single" w:sz="4" w:space="0" w:color="auto"/>
            </w:tcBorders>
            <w:shd w:val="clear" w:color="auto" w:fill="auto"/>
            <w:noWrap/>
            <w:vAlign w:val="bottom"/>
            <w:hideMark/>
          </w:tcPr>
          <w:p w14:paraId="050A5A43"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1.000 </w:t>
            </w:r>
          </w:p>
        </w:tc>
        <w:tc>
          <w:tcPr>
            <w:tcW w:w="703" w:type="pct"/>
            <w:tcBorders>
              <w:top w:val="nil"/>
              <w:left w:val="nil"/>
              <w:bottom w:val="single" w:sz="4" w:space="0" w:color="auto"/>
              <w:right w:val="single" w:sz="4" w:space="0" w:color="auto"/>
            </w:tcBorders>
            <w:shd w:val="clear" w:color="auto" w:fill="auto"/>
            <w:noWrap/>
            <w:vAlign w:val="bottom"/>
            <w:hideMark/>
          </w:tcPr>
          <w:p w14:paraId="793567DF"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(1,000)</w:t>
            </w:r>
          </w:p>
        </w:tc>
      </w:tr>
      <w:tr w:rsidR="0064023C" w:rsidRPr="0064023C" w14:paraId="5730484B" w14:textId="77777777" w:rsidTr="0064023C">
        <w:trPr>
          <w:trHeight w:val="312"/>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4D1DCC90" w14:textId="77777777" w:rsidR="0064023C" w:rsidRPr="0064023C" w:rsidRDefault="0064023C" w:rsidP="0064023C">
            <w:pPr>
              <w:spacing w:before="0" w:after="0" w:line="240" w:lineRule="auto"/>
              <w:jc w:val="center"/>
              <w:rPr>
                <w:rFonts w:eastAsia="Times New Roman"/>
                <w:b/>
                <w:bCs/>
                <w:color w:val="000000"/>
                <w:lang w:bidi="hi-IN"/>
              </w:rPr>
            </w:pPr>
            <w:r w:rsidRPr="0064023C">
              <w:rPr>
                <w:rFonts w:eastAsia="Times New Roman"/>
                <w:b/>
                <w:bCs/>
                <w:color w:val="000000"/>
                <w:lang w:bidi="hi-IN"/>
              </w:rPr>
              <w:t>1</w:t>
            </w:r>
          </w:p>
        </w:tc>
        <w:tc>
          <w:tcPr>
            <w:tcW w:w="1300" w:type="pct"/>
            <w:tcBorders>
              <w:top w:val="nil"/>
              <w:left w:val="nil"/>
              <w:bottom w:val="single" w:sz="4" w:space="0" w:color="auto"/>
              <w:right w:val="single" w:sz="4" w:space="0" w:color="auto"/>
            </w:tcBorders>
            <w:shd w:val="clear" w:color="auto" w:fill="auto"/>
            <w:noWrap/>
            <w:vAlign w:val="bottom"/>
            <w:hideMark/>
          </w:tcPr>
          <w:p w14:paraId="0B3D7D31"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330 </w:t>
            </w:r>
          </w:p>
        </w:tc>
        <w:tc>
          <w:tcPr>
            <w:tcW w:w="878" w:type="pct"/>
            <w:tcBorders>
              <w:top w:val="nil"/>
              <w:left w:val="nil"/>
              <w:bottom w:val="single" w:sz="4" w:space="0" w:color="auto"/>
              <w:right w:val="single" w:sz="4" w:space="0" w:color="auto"/>
            </w:tcBorders>
            <w:shd w:val="clear" w:color="auto" w:fill="auto"/>
            <w:noWrap/>
            <w:vAlign w:val="bottom"/>
            <w:hideMark/>
          </w:tcPr>
          <w:p w14:paraId="50F88236"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0.813 </w:t>
            </w:r>
          </w:p>
        </w:tc>
        <w:tc>
          <w:tcPr>
            <w:tcW w:w="644" w:type="pct"/>
            <w:tcBorders>
              <w:top w:val="nil"/>
              <w:left w:val="nil"/>
              <w:bottom w:val="single" w:sz="4" w:space="0" w:color="auto"/>
              <w:right w:val="single" w:sz="4" w:space="0" w:color="auto"/>
            </w:tcBorders>
            <w:shd w:val="clear" w:color="auto" w:fill="auto"/>
            <w:noWrap/>
            <w:vAlign w:val="bottom"/>
            <w:hideMark/>
          </w:tcPr>
          <w:p w14:paraId="68A84168"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268.33 </w:t>
            </w:r>
          </w:p>
        </w:tc>
        <w:tc>
          <w:tcPr>
            <w:tcW w:w="855" w:type="pct"/>
            <w:tcBorders>
              <w:top w:val="nil"/>
              <w:left w:val="nil"/>
              <w:bottom w:val="single" w:sz="4" w:space="0" w:color="auto"/>
              <w:right w:val="single" w:sz="4" w:space="0" w:color="auto"/>
            </w:tcBorders>
            <w:shd w:val="clear" w:color="auto" w:fill="auto"/>
            <w:noWrap/>
            <w:vAlign w:val="bottom"/>
            <w:hideMark/>
          </w:tcPr>
          <w:p w14:paraId="19E23349"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0.806 </w:t>
            </w:r>
          </w:p>
        </w:tc>
        <w:tc>
          <w:tcPr>
            <w:tcW w:w="703" w:type="pct"/>
            <w:tcBorders>
              <w:top w:val="nil"/>
              <w:left w:val="nil"/>
              <w:bottom w:val="single" w:sz="4" w:space="0" w:color="auto"/>
              <w:right w:val="single" w:sz="4" w:space="0" w:color="auto"/>
            </w:tcBorders>
            <w:shd w:val="clear" w:color="auto" w:fill="auto"/>
            <w:noWrap/>
            <w:vAlign w:val="bottom"/>
            <w:hideMark/>
          </w:tcPr>
          <w:p w14:paraId="15D63EB4"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266.02 </w:t>
            </w:r>
          </w:p>
        </w:tc>
      </w:tr>
      <w:tr w:rsidR="0064023C" w:rsidRPr="0064023C" w14:paraId="3FBAE2FE" w14:textId="77777777" w:rsidTr="0064023C">
        <w:trPr>
          <w:trHeight w:val="312"/>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72525B55" w14:textId="77777777" w:rsidR="0064023C" w:rsidRPr="0064023C" w:rsidRDefault="0064023C" w:rsidP="0064023C">
            <w:pPr>
              <w:spacing w:before="0" w:after="0" w:line="240" w:lineRule="auto"/>
              <w:jc w:val="center"/>
              <w:rPr>
                <w:rFonts w:eastAsia="Times New Roman"/>
                <w:b/>
                <w:bCs/>
                <w:color w:val="000000"/>
                <w:lang w:bidi="hi-IN"/>
              </w:rPr>
            </w:pPr>
            <w:r w:rsidRPr="0064023C">
              <w:rPr>
                <w:rFonts w:eastAsia="Times New Roman"/>
                <w:b/>
                <w:bCs/>
                <w:color w:val="000000"/>
                <w:lang w:bidi="hi-IN"/>
              </w:rPr>
              <w:t>2</w:t>
            </w:r>
          </w:p>
        </w:tc>
        <w:tc>
          <w:tcPr>
            <w:tcW w:w="1300" w:type="pct"/>
            <w:tcBorders>
              <w:top w:val="nil"/>
              <w:left w:val="nil"/>
              <w:bottom w:val="single" w:sz="4" w:space="0" w:color="auto"/>
              <w:right w:val="single" w:sz="4" w:space="0" w:color="auto"/>
            </w:tcBorders>
            <w:shd w:val="clear" w:color="auto" w:fill="auto"/>
            <w:noWrap/>
            <w:vAlign w:val="bottom"/>
            <w:hideMark/>
          </w:tcPr>
          <w:p w14:paraId="5C86AFE8"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345 </w:t>
            </w:r>
          </w:p>
        </w:tc>
        <w:tc>
          <w:tcPr>
            <w:tcW w:w="878" w:type="pct"/>
            <w:tcBorders>
              <w:top w:val="nil"/>
              <w:left w:val="nil"/>
              <w:bottom w:val="single" w:sz="4" w:space="0" w:color="auto"/>
              <w:right w:val="single" w:sz="4" w:space="0" w:color="auto"/>
            </w:tcBorders>
            <w:shd w:val="clear" w:color="auto" w:fill="auto"/>
            <w:noWrap/>
            <w:vAlign w:val="bottom"/>
            <w:hideMark/>
          </w:tcPr>
          <w:p w14:paraId="36174401"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0.661 </w:t>
            </w:r>
          </w:p>
        </w:tc>
        <w:tc>
          <w:tcPr>
            <w:tcW w:w="644" w:type="pct"/>
            <w:tcBorders>
              <w:top w:val="nil"/>
              <w:left w:val="nil"/>
              <w:bottom w:val="single" w:sz="4" w:space="0" w:color="auto"/>
              <w:right w:val="single" w:sz="4" w:space="0" w:color="auto"/>
            </w:tcBorders>
            <w:shd w:val="clear" w:color="auto" w:fill="auto"/>
            <w:noWrap/>
            <w:vAlign w:val="bottom"/>
            <w:hideMark/>
          </w:tcPr>
          <w:p w14:paraId="3598A358"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227.96 </w:t>
            </w:r>
          </w:p>
        </w:tc>
        <w:tc>
          <w:tcPr>
            <w:tcW w:w="855" w:type="pct"/>
            <w:tcBorders>
              <w:top w:val="nil"/>
              <w:left w:val="nil"/>
              <w:bottom w:val="single" w:sz="4" w:space="0" w:color="auto"/>
              <w:right w:val="single" w:sz="4" w:space="0" w:color="auto"/>
            </w:tcBorders>
            <w:shd w:val="clear" w:color="auto" w:fill="auto"/>
            <w:noWrap/>
            <w:vAlign w:val="bottom"/>
            <w:hideMark/>
          </w:tcPr>
          <w:p w14:paraId="3BBF3DA9"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0.650 </w:t>
            </w:r>
          </w:p>
        </w:tc>
        <w:tc>
          <w:tcPr>
            <w:tcW w:w="703" w:type="pct"/>
            <w:tcBorders>
              <w:top w:val="nil"/>
              <w:left w:val="nil"/>
              <w:bottom w:val="single" w:sz="4" w:space="0" w:color="auto"/>
              <w:right w:val="single" w:sz="4" w:space="0" w:color="auto"/>
            </w:tcBorders>
            <w:shd w:val="clear" w:color="auto" w:fill="auto"/>
            <w:noWrap/>
            <w:vAlign w:val="bottom"/>
            <w:hideMark/>
          </w:tcPr>
          <w:p w14:paraId="32AD5C4E"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224.17 </w:t>
            </w:r>
          </w:p>
        </w:tc>
      </w:tr>
      <w:tr w:rsidR="0064023C" w:rsidRPr="0064023C" w14:paraId="08B22D4E" w14:textId="77777777" w:rsidTr="0064023C">
        <w:trPr>
          <w:trHeight w:val="312"/>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7FA30F20" w14:textId="77777777" w:rsidR="0064023C" w:rsidRPr="0064023C" w:rsidRDefault="0064023C" w:rsidP="0064023C">
            <w:pPr>
              <w:spacing w:before="0" w:after="0" w:line="240" w:lineRule="auto"/>
              <w:jc w:val="center"/>
              <w:rPr>
                <w:rFonts w:eastAsia="Times New Roman"/>
                <w:b/>
                <w:bCs/>
                <w:color w:val="000000"/>
                <w:lang w:bidi="hi-IN"/>
              </w:rPr>
            </w:pPr>
            <w:r w:rsidRPr="0064023C">
              <w:rPr>
                <w:rFonts w:eastAsia="Times New Roman"/>
                <w:b/>
                <w:bCs/>
                <w:color w:val="000000"/>
                <w:lang w:bidi="hi-IN"/>
              </w:rPr>
              <w:t>3</w:t>
            </w:r>
          </w:p>
        </w:tc>
        <w:tc>
          <w:tcPr>
            <w:tcW w:w="1300" w:type="pct"/>
            <w:tcBorders>
              <w:top w:val="nil"/>
              <w:left w:val="nil"/>
              <w:bottom w:val="single" w:sz="4" w:space="0" w:color="auto"/>
              <w:right w:val="single" w:sz="4" w:space="0" w:color="auto"/>
            </w:tcBorders>
            <w:shd w:val="clear" w:color="auto" w:fill="auto"/>
            <w:noWrap/>
            <w:vAlign w:val="bottom"/>
            <w:hideMark/>
          </w:tcPr>
          <w:p w14:paraId="2D882B33"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452 </w:t>
            </w:r>
          </w:p>
        </w:tc>
        <w:tc>
          <w:tcPr>
            <w:tcW w:w="878" w:type="pct"/>
            <w:tcBorders>
              <w:top w:val="nil"/>
              <w:left w:val="nil"/>
              <w:bottom w:val="single" w:sz="4" w:space="0" w:color="auto"/>
              <w:right w:val="single" w:sz="4" w:space="0" w:color="auto"/>
            </w:tcBorders>
            <w:shd w:val="clear" w:color="auto" w:fill="auto"/>
            <w:noWrap/>
            <w:vAlign w:val="bottom"/>
            <w:hideMark/>
          </w:tcPr>
          <w:p w14:paraId="5BEDFEA5"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0.537 </w:t>
            </w:r>
          </w:p>
        </w:tc>
        <w:tc>
          <w:tcPr>
            <w:tcW w:w="644" w:type="pct"/>
            <w:tcBorders>
              <w:top w:val="nil"/>
              <w:left w:val="nil"/>
              <w:bottom w:val="single" w:sz="4" w:space="0" w:color="auto"/>
              <w:right w:val="single" w:sz="4" w:space="0" w:color="auto"/>
            </w:tcBorders>
            <w:shd w:val="clear" w:color="auto" w:fill="auto"/>
            <w:noWrap/>
            <w:vAlign w:val="bottom"/>
            <w:hideMark/>
          </w:tcPr>
          <w:p w14:paraId="544EE5D8"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242.46 </w:t>
            </w:r>
          </w:p>
        </w:tc>
        <w:tc>
          <w:tcPr>
            <w:tcW w:w="855" w:type="pct"/>
            <w:tcBorders>
              <w:top w:val="nil"/>
              <w:left w:val="nil"/>
              <w:bottom w:val="single" w:sz="4" w:space="0" w:color="auto"/>
              <w:right w:val="single" w:sz="4" w:space="0" w:color="auto"/>
            </w:tcBorders>
            <w:shd w:val="clear" w:color="auto" w:fill="auto"/>
            <w:noWrap/>
            <w:vAlign w:val="bottom"/>
            <w:hideMark/>
          </w:tcPr>
          <w:p w14:paraId="71D46A81"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0.524 </w:t>
            </w:r>
          </w:p>
        </w:tc>
        <w:tc>
          <w:tcPr>
            <w:tcW w:w="703" w:type="pct"/>
            <w:tcBorders>
              <w:top w:val="nil"/>
              <w:left w:val="nil"/>
              <w:bottom w:val="single" w:sz="4" w:space="0" w:color="auto"/>
              <w:right w:val="single" w:sz="4" w:space="0" w:color="auto"/>
            </w:tcBorders>
            <w:shd w:val="clear" w:color="auto" w:fill="auto"/>
            <w:noWrap/>
            <w:vAlign w:val="bottom"/>
            <w:hideMark/>
          </w:tcPr>
          <w:p w14:paraId="7D06CB4C"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236.59 </w:t>
            </w:r>
          </w:p>
        </w:tc>
      </w:tr>
      <w:tr w:rsidR="0064023C" w:rsidRPr="0064023C" w14:paraId="48F289DB" w14:textId="77777777" w:rsidTr="0064023C">
        <w:trPr>
          <w:trHeight w:val="312"/>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3680C534" w14:textId="77777777" w:rsidR="0064023C" w:rsidRPr="0064023C" w:rsidRDefault="0064023C" w:rsidP="0064023C">
            <w:pPr>
              <w:spacing w:before="0" w:after="0" w:line="240" w:lineRule="auto"/>
              <w:jc w:val="center"/>
              <w:rPr>
                <w:rFonts w:eastAsia="Times New Roman"/>
                <w:b/>
                <w:bCs/>
                <w:color w:val="000000"/>
                <w:lang w:bidi="hi-IN"/>
              </w:rPr>
            </w:pPr>
            <w:r w:rsidRPr="0064023C">
              <w:rPr>
                <w:rFonts w:eastAsia="Times New Roman"/>
                <w:b/>
                <w:bCs/>
                <w:color w:val="000000"/>
                <w:lang w:bidi="hi-IN"/>
              </w:rPr>
              <w:t>4</w:t>
            </w:r>
          </w:p>
        </w:tc>
        <w:tc>
          <w:tcPr>
            <w:tcW w:w="1300" w:type="pct"/>
            <w:tcBorders>
              <w:top w:val="nil"/>
              <w:left w:val="nil"/>
              <w:bottom w:val="single" w:sz="4" w:space="0" w:color="auto"/>
              <w:right w:val="single" w:sz="4" w:space="0" w:color="auto"/>
            </w:tcBorders>
            <w:shd w:val="clear" w:color="auto" w:fill="auto"/>
            <w:noWrap/>
            <w:vAlign w:val="bottom"/>
            <w:hideMark/>
          </w:tcPr>
          <w:p w14:paraId="051A3AC1"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622 </w:t>
            </w:r>
          </w:p>
        </w:tc>
        <w:tc>
          <w:tcPr>
            <w:tcW w:w="878" w:type="pct"/>
            <w:tcBorders>
              <w:top w:val="nil"/>
              <w:left w:val="nil"/>
              <w:bottom w:val="single" w:sz="4" w:space="0" w:color="auto"/>
              <w:right w:val="single" w:sz="4" w:space="0" w:color="auto"/>
            </w:tcBorders>
            <w:shd w:val="clear" w:color="auto" w:fill="auto"/>
            <w:noWrap/>
            <w:vAlign w:val="bottom"/>
            <w:hideMark/>
          </w:tcPr>
          <w:p w14:paraId="5A4CAFF0"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0.437 </w:t>
            </w:r>
          </w:p>
        </w:tc>
        <w:tc>
          <w:tcPr>
            <w:tcW w:w="644" w:type="pct"/>
            <w:tcBorders>
              <w:top w:val="nil"/>
              <w:left w:val="nil"/>
              <w:bottom w:val="single" w:sz="4" w:space="0" w:color="auto"/>
              <w:right w:val="single" w:sz="4" w:space="0" w:color="auto"/>
            </w:tcBorders>
            <w:shd w:val="clear" w:color="auto" w:fill="auto"/>
            <w:noWrap/>
            <w:vAlign w:val="bottom"/>
            <w:hideMark/>
          </w:tcPr>
          <w:p w14:paraId="4B06825F"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271.69 </w:t>
            </w:r>
          </w:p>
        </w:tc>
        <w:tc>
          <w:tcPr>
            <w:tcW w:w="855" w:type="pct"/>
            <w:tcBorders>
              <w:top w:val="nil"/>
              <w:left w:val="nil"/>
              <w:bottom w:val="single" w:sz="4" w:space="0" w:color="auto"/>
              <w:right w:val="single" w:sz="4" w:space="0" w:color="auto"/>
            </w:tcBorders>
            <w:shd w:val="clear" w:color="auto" w:fill="auto"/>
            <w:noWrap/>
            <w:vAlign w:val="bottom"/>
            <w:hideMark/>
          </w:tcPr>
          <w:p w14:paraId="53C45DD6"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0.423 </w:t>
            </w:r>
          </w:p>
        </w:tc>
        <w:tc>
          <w:tcPr>
            <w:tcW w:w="703" w:type="pct"/>
            <w:tcBorders>
              <w:top w:val="nil"/>
              <w:left w:val="nil"/>
              <w:bottom w:val="single" w:sz="4" w:space="0" w:color="auto"/>
              <w:right w:val="single" w:sz="4" w:space="0" w:color="auto"/>
            </w:tcBorders>
            <w:shd w:val="clear" w:color="auto" w:fill="auto"/>
            <w:noWrap/>
            <w:vAlign w:val="bottom"/>
            <w:hideMark/>
          </w:tcPr>
          <w:p w14:paraId="2F50C717"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xml:space="preserve">      262.99 </w:t>
            </w:r>
          </w:p>
        </w:tc>
      </w:tr>
      <w:tr w:rsidR="0064023C" w:rsidRPr="0064023C" w14:paraId="0ADF3017" w14:textId="77777777" w:rsidTr="0064023C">
        <w:trPr>
          <w:trHeight w:val="312"/>
        </w:trPr>
        <w:tc>
          <w:tcPr>
            <w:tcW w:w="621" w:type="pct"/>
            <w:tcBorders>
              <w:top w:val="nil"/>
              <w:left w:val="single" w:sz="4" w:space="0" w:color="auto"/>
              <w:bottom w:val="single" w:sz="4" w:space="0" w:color="auto"/>
              <w:right w:val="single" w:sz="4" w:space="0" w:color="auto"/>
            </w:tcBorders>
            <w:shd w:val="clear" w:color="auto" w:fill="auto"/>
            <w:noWrap/>
            <w:vAlign w:val="bottom"/>
            <w:hideMark/>
          </w:tcPr>
          <w:p w14:paraId="1B9F81DC"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w:t>
            </w:r>
          </w:p>
        </w:tc>
        <w:tc>
          <w:tcPr>
            <w:tcW w:w="1300" w:type="pct"/>
            <w:tcBorders>
              <w:top w:val="nil"/>
              <w:left w:val="nil"/>
              <w:bottom w:val="single" w:sz="4" w:space="0" w:color="auto"/>
              <w:right w:val="single" w:sz="4" w:space="0" w:color="auto"/>
            </w:tcBorders>
            <w:shd w:val="clear" w:color="auto" w:fill="auto"/>
            <w:noWrap/>
            <w:vAlign w:val="bottom"/>
            <w:hideMark/>
          </w:tcPr>
          <w:p w14:paraId="51458C98"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w:t>
            </w:r>
          </w:p>
        </w:tc>
        <w:tc>
          <w:tcPr>
            <w:tcW w:w="878" w:type="pct"/>
            <w:tcBorders>
              <w:top w:val="nil"/>
              <w:left w:val="nil"/>
              <w:bottom w:val="single" w:sz="4" w:space="0" w:color="auto"/>
              <w:right w:val="single" w:sz="4" w:space="0" w:color="auto"/>
            </w:tcBorders>
            <w:shd w:val="clear" w:color="auto" w:fill="auto"/>
            <w:noWrap/>
            <w:vAlign w:val="bottom"/>
            <w:hideMark/>
          </w:tcPr>
          <w:p w14:paraId="742F7B7B"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w:t>
            </w:r>
          </w:p>
        </w:tc>
        <w:tc>
          <w:tcPr>
            <w:tcW w:w="644" w:type="pct"/>
            <w:tcBorders>
              <w:top w:val="nil"/>
              <w:left w:val="nil"/>
              <w:bottom w:val="single" w:sz="4" w:space="0" w:color="auto"/>
              <w:right w:val="single" w:sz="4" w:space="0" w:color="auto"/>
            </w:tcBorders>
            <w:shd w:val="clear" w:color="auto" w:fill="auto"/>
            <w:noWrap/>
            <w:vAlign w:val="bottom"/>
            <w:hideMark/>
          </w:tcPr>
          <w:p w14:paraId="5CA11CD6" w14:textId="77777777" w:rsidR="0064023C" w:rsidRPr="0064023C" w:rsidRDefault="0064023C" w:rsidP="0064023C">
            <w:pPr>
              <w:spacing w:before="0" w:after="0" w:line="240" w:lineRule="auto"/>
              <w:jc w:val="left"/>
              <w:rPr>
                <w:rFonts w:eastAsia="Times New Roman"/>
                <w:b/>
                <w:bCs/>
                <w:color w:val="000000"/>
                <w:lang w:bidi="hi-IN"/>
              </w:rPr>
            </w:pPr>
            <w:r w:rsidRPr="0064023C">
              <w:rPr>
                <w:rFonts w:eastAsia="Times New Roman"/>
                <w:b/>
                <w:bCs/>
                <w:color w:val="000000"/>
                <w:lang w:bidi="hi-IN"/>
              </w:rPr>
              <w:t xml:space="preserve">      10.44 </w:t>
            </w:r>
          </w:p>
        </w:tc>
        <w:tc>
          <w:tcPr>
            <w:tcW w:w="855" w:type="pct"/>
            <w:tcBorders>
              <w:top w:val="nil"/>
              <w:left w:val="nil"/>
              <w:bottom w:val="single" w:sz="4" w:space="0" w:color="auto"/>
              <w:right w:val="single" w:sz="4" w:space="0" w:color="auto"/>
            </w:tcBorders>
            <w:shd w:val="clear" w:color="auto" w:fill="auto"/>
            <w:noWrap/>
            <w:vAlign w:val="bottom"/>
            <w:hideMark/>
          </w:tcPr>
          <w:p w14:paraId="2BDC2106"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 </w:t>
            </w:r>
          </w:p>
        </w:tc>
        <w:tc>
          <w:tcPr>
            <w:tcW w:w="703" w:type="pct"/>
            <w:tcBorders>
              <w:top w:val="nil"/>
              <w:left w:val="nil"/>
              <w:bottom w:val="single" w:sz="4" w:space="0" w:color="auto"/>
              <w:right w:val="single" w:sz="4" w:space="0" w:color="auto"/>
            </w:tcBorders>
            <w:shd w:val="clear" w:color="auto" w:fill="auto"/>
            <w:noWrap/>
            <w:vAlign w:val="bottom"/>
            <w:hideMark/>
          </w:tcPr>
          <w:p w14:paraId="36EBB082" w14:textId="77777777" w:rsidR="0064023C" w:rsidRPr="0064023C" w:rsidRDefault="0064023C" w:rsidP="0064023C">
            <w:pPr>
              <w:spacing w:before="0" w:after="0" w:line="240" w:lineRule="auto"/>
              <w:jc w:val="left"/>
              <w:rPr>
                <w:rFonts w:eastAsia="Times New Roman"/>
                <w:b/>
                <w:bCs/>
                <w:color w:val="000000"/>
                <w:lang w:bidi="hi-IN"/>
              </w:rPr>
            </w:pPr>
            <w:r w:rsidRPr="0064023C">
              <w:rPr>
                <w:rFonts w:eastAsia="Times New Roman"/>
                <w:b/>
                <w:bCs/>
                <w:color w:val="000000"/>
                <w:lang w:bidi="hi-IN"/>
              </w:rPr>
              <w:t xml:space="preserve">      (10.24)</w:t>
            </w:r>
          </w:p>
        </w:tc>
      </w:tr>
      <w:tr w:rsidR="0064023C" w:rsidRPr="0064023C" w14:paraId="4CEBF468" w14:textId="77777777" w:rsidTr="0064023C">
        <w:trPr>
          <w:trHeight w:val="312"/>
        </w:trPr>
        <w:tc>
          <w:tcPr>
            <w:tcW w:w="621" w:type="pct"/>
            <w:tcBorders>
              <w:top w:val="nil"/>
              <w:left w:val="nil"/>
              <w:bottom w:val="nil"/>
              <w:right w:val="nil"/>
            </w:tcBorders>
            <w:shd w:val="clear" w:color="auto" w:fill="auto"/>
            <w:noWrap/>
            <w:vAlign w:val="bottom"/>
            <w:hideMark/>
          </w:tcPr>
          <w:p w14:paraId="2F44930F" w14:textId="77777777" w:rsidR="0064023C" w:rsidRPr="0064023C" w:rsidRDefault="0064023C" w:rsidP="0064023C">
            <w:pPr>
              <w:spacing w:before="0" w:after="0" w:line="240" w:lineRule="auto"/>
              <w:jc w:val="left"/>
              <w:rPr>
                <w:rFonts w:eastAsia="Times New Roman"/>
                <w:b/>
                <w:bCs/>
                <w:color w:val="000000"/>
                <w:lang w:bidi="hi-IN"/>
              </w:rPr>
            </w:pPr>
          </w:p>
        </w:tc>
        <w:tc>
          <w:tcPr>
            <w:tcW w:w="1300" w:type="pct"/>
            <w:tcBorders>
              <w:top w:val="nil"/>
              <w:left w:val="nil"/>
              <w:bottom w:val="nil"/>
              <w:right w:val="nil"/>
            </w:tcBorders>
            <w:shd w:val="clear" w:color="auto" w:fill="auto"/>
            <w:noWrap/>
            <w:vAlign w:val="bottom"/>
            <w:hideMark/>
          </w:tcPr>
          <w:p w14:paraId="74CA82D5" w14:textId="77777777" w:rsidR="0064023C" w:rsidRPr="0064023C" w:rsidRDefault="0064023C" w:rsidP="0064023C">
            <w:pPr>
              <w:spacing w:before="0" w:after="0" w:line="240" w:lineRule="auto"/>
              <w:jc w:val="left"/>
              <w:rPr>
                <w:rFonts w:eastAsia="Times New Roman"/>
                <w:sz w:val="20"/>
                <w:szCs w:val="20"/>
                <w:lang w:bidi="hi-IN"/>
              </w:rPr>
            </w:pPr>
          </w:p>
        </w:tc>
        <w:tc>
          <w:tcPr>
            <w:tcW w:w="878" w:type="pct"/>
            <w:tcBorders>
              <w:top w:val="nil"/>
              <w:left w:val="nil"/>
              <w:bottom w:val="nil"/>
              <w:right w:val="nil"/>
            </w:tcBorders>
            <w:shd w:val="clear" w:color="auto" w:fill="auto"/>
            <w:noWrap/>
            <w:vAlign w:val="bottom"/>
            <w:hideMark/>
          </w:tcPr>
          <w:p w14:paraId="180A2429" w14:textId="77777777" w:rsidR="0064023C" w:rsidRPr="0064023C" w:rsidRDefault="0064023C" w:rsidP="0064023C">
            <w:pPr>
              <w:spacing w:before="0" w:after="0" w:line="240" w:lineRule="auto"/>
              <w:jc w:val="left"/>
              <w:rPr>
                <w:rFonts w:eastAsia="Times New Roman"/>
                <w:sz w:val="20"/>
                <w:szCs w:val="20"/>
                <w:lang w:bidi="hi-IN"/>
              </w:rPr>
            </w:pPr>
          </w:p>
        </w:tc>
        <w:tc>
          <w:tcPr>
            <w:tcW w:w="644" w:type="pct"/>
            <w:tcBorders>
              <w:top w:val="nil"/>
              <w:left w:val="nil"/>
              <w:bottom w:val="nil"/>
              <w:right w:val="nil"/>
            </w:tcBorders>
            <w:shd w:val="clear" w:color="auto" w:fill="auto"/>
            <w:noWrap/>
            <w:vAlign w:val="bottom"/>
            <w:hideMark/>
          </w:tcPr>
          <w:p w14:paraId="5819F942" w14:textId="77777777" w:rsidR="0064023C" w:rsidRPr="0064023C" w:rsidRDefault="0064023C" w:rsidP="0064023C">
            <w:pPr>
              <w:spacing w:before="0" w:after="0" w:line="240" w:lineRule="auto"/>
              <w:jc w:val="left"/>
              <w:rPr>
                <w:rFonts w:eastAsia="Times New Roman"/>
                <w:sz w:val="20"/>
                <w:szCs w:val="20"/>
                <w:lang w:bidi="hi-IN"/>
              </w:rPr>
            </w:pPr>
          </w:p>
        </w:tc>
        <w:tc>
          <w:tcPr>
            <w:tcW w:w="855" w:type="pct"/>
            <w:tcBorders>
              <w:top w:val="nil"/>
              <w:left w:val="nil"/>
              <w:bottom w:val="nil"/>
              <w:right w:val="nil"/>
            </w:tcBorders>
            <w:shd w:val="clear" w:color="auto" w:fill="auto"/>
            <w:noWrap/>
            <w:vAlign w:val="bottom"/>
            <w:hideMark/>
          </w:tcPr>
          <w:p w14:paraId="777C33F0" w14:textId="77777777" w:rsidR="0064023C" w:rsidRPr="0064023C" w:rsidRDefault="0064023C" w:rsidP="0064023C">
            <w:pPr>
              <w:spacing w:before="0" w:after="0" w:line="240" w:lineRule="auto"/>
              <w:jc w:val="left"/>
              <w:rPr>
                <w:rFonts w:eastAsia="Times New Roman"/>
                <w:sz w:val="20"/>
                <w:szCs w:val="20"/>
                <w:lang w:bidi="hi-IN"/>
              </w:rPr>
            </w:pPr>
          </w:p>
        </w:tc>
        <w:tc>
          <w:tcPr>
            <w:tcW w:w="703" w:type="pct"/>
            <w:tcBorders>
              <w:top w:val="nil"/>
              <w:left w:val="nil"/>
              <w:bottom w:val="nil"/>
              <w:right w:val="nil"/>
            </w:tcBorders>
            <w:shd w:val="clear" w:color="auto" w:fill="auto"/>
            <w:noWrap/>
            <w:vAlign w:val="bottom"/>
            <w:hideMark/>
          </w:tcPr>
          <w:p w14:paraId="72E16BA8" w14:textId="77777777" w:rsidR="0064023C" w:rsidRPr="0064023C" w:rsidRDefault="0064023C" w:rsidP="0064023C">
            <w:pPr>
              <w:spacing w:before="0" w:after="0" w:line="240" w:lineRule="auto"/>
              <w:jc w:val="left"/>
              <w:rPr>
                <w:rFonts w:eastAsia="Times New Roman"/>
                <w:sz w:val="20"/>
                <w:szCs w:val="20"/>
                <w:lang w:bidi="hi-IN"/>
              </w:rPr>
            </w:pPr>
          </w:p>
        </w:tc>
      </w:tr>
      <w:tr w:rsidR="0064023C" w:rsidRPr="0064023C" w14:paraId="72F7388B" w14:textId="77777777" w:rsidTr="0064023C">
        <w:trPr>
          <w:trHeight w:val="312"/>
        </w:trPr>
        <w:tc>
          <w:tcPr>
            <w:tcW w:w="3443" w:type="pct"/>
            <w:gridSpan w:val="4"/>
            <w:tcBorders>
              <w:top w:val="nil"/>
              <w:left w:val="nil"/>
              <w:bottom w:val="nil"/>
              <w:right w:val="nil"/>
            </w:tcBorders>
            <w:shd w:val="clear" w:color="auto" w:fill="auto"/>
            <w:noWrap/>
            <w:vAlign w:val="bottom"/>
            <w:hideMark/>
          </w:tcPr>
          <w:p w14:paraId="130C14AC" w14:textId="77777777" w:rsidR="0064023C" w:rsidRPr="0064023C" w:rsidRDefault="0064023C" w:rsidP="0064023C">
            <w:pPr>
              <w:spacing w:before="0" w:after="0" w:line="240" w:lineRule="auto"/>
              <w:jc w:val="left"/>
              <w:rPr>
                <w:rFonts w:eastAsia="Times New Roman"/>
                <w:color w:val="000000"/>
                <w:lang w:bidi="hi-IN"/>
              </w:rPr>
            </w:pPr>
            <w:r w:rsidRPr="0064023C">
              <w:rPr>
                <w:rFonts w:eastAsia="Times New Roman"/>
                <w:color w:val="000000"/>
                <w:lang w:bidi="hi-IN"/>
              </w:rPr>
              <w:t>IRR = 23% + (10.44 / (10.44 + 10.24) x (23% - 24%) =</w:t>
            </w:r>
          </w:p>
        </w:tc>
        <w:tc>
          <w:tcPr>
            <w:tcW w:w="855" w:type="pct"/>
            <w:tcBorders>
              <w:top w:val="nil"/>
              <w:left w:val="nil"/>
              <w:bottom w:val="nil"/>
              <w:right w:val="nil"/>
            </w:tcBorders>
            <w:shd w:val="clear" w:color="auto" w:fill="auto"/>
            <w:noWrap/>
            <w:vAlign w:val="bottom"/>
            <w:hideMark/>
          </w:tcPr>
          <w:p w14:paraId="5181CA9F" w14:textId="77777777" w:rsidR="0064023C" w:rsidRPr="0064023C" w:rsidRDefault="0064023C" w:rsidP="0064023C">
            <w:pPr>
              <w:spacing w:before="0" w:after="0" w:line="240" w:lineRule="auto"/>
              <w:jc w:val="right"/>
              <w:rPr>
                <w:rFonts w:eastAsia="Times New Roman"/>
                <w:b/>
                <w:bCs/>
                <w:color w:val="000000"/>
                <w:lang w:bidi="hi-IN"/>
              </w:rPr>
            </w:pPr>
            <w:r w:rsidRPr="0064023C">
              <w:rPr>
                <w:rFonts w:eastAsia="Times New Roman"/>
                <w:b/>
                <w:bCs/>
                <w:color w:val="000000"/>
                <w:lang w:bidi="hi-IN"/>
              </w:rPr>
              <w:t>23.50%</w:t>
            </w:r>
          </w:p>
        </w:tc>
        <w:tc>
          <w:tcPr>
            <w:tcW w:w="703" w:type="pct"/>
            <w:tcBorders>
              <w:top w:val="nil"/>
              <w:left w:val="nil"/>
              <w:bottom w:val="nil"/>
              <w:right w:val="nil"/>
            </w:tcBorders>
            <w:shd w:val="clear" w:color="auto" w:fill="auto"/>
            <w:noWrap/>
            <w:vAlign w:val="bottom"/>
            <w:hideMark/>
          </w:tcPr>
          <w:p w14:paraId="7B47222E" w14:textId="77777777" w:rsidR="0064023C" w:rsidRPr="0064023C" w:rsidRDefault="0064023C" w:rsidP="0064023C">
            <w:pPr>
              <w:spacing w:before="0" w:after="0" w:line="240" w:lineRule="auto"/>
              <w:jc w:val="right"/>
              <w:rPr>
                <w:rFonts w:eastAsia="Times New Roman"/>
                <w:b/>
                <w:bCs/>
                <w:color w:val="000000"/>
                <w:lang w:bidi="hi-IN"/>
              </w:rPr>
            </w:pPr>
          </w:p>
        </w:tc>
      </w:tr>
    </w:tbl>
    <w:p w14:paraId="114113D3" w14:textId="77777777" w:rsidR="002E05C4" w:rsidRPr="00071D0F" w:rsidRDefault="002E05C4" w:rsidP="002E05C4"/>
    <w:p w14:paraId="08A24BB7" w14:textId="77777777" w:rsidR="0064023C" w:rsidRPr="0064023C" w:rsidRDefault="00E65B85" w:rsidP="0064023C">
      <w:pPr>
        <w:rPr>
          <w:lang w:val="en-US"/>
        </w:rPr>
      </w:pPr>
      <w:r w:rsidRPr="00E65B85">
        <w:rPr>
          <w:lang w:val="en-US"/>
        </w:rPr>
        <w:lastRenderedPageBreak/>
        <w:t>An IRR of about 23.5% indicates that the project's discounted cash inflows precisely offset its outlay when a 23.5% hurdle rate is used. The breakeven rate lies between the positive and negative NPV values of 23% (≈+10.44) and 24% (≈-10.24). If the organization's needed return (WACC) is less than 23.5%, the project provides value and should be approved. If its finance costs reach 23.5%, the project will lose value. Thus, the IRR benchmark assists managers in making decisions: decide to pursue this investment if the funding and opportunity costs are less than 23.5%.</w:t>
      </w:r>
    </w:p>
    <w:p w14:paraId="553F5896" w14:textId="77777777" w:rsidR="00A37CF8" w:rsidRPr="00071D0F" w:rsidRDefault="008566D3" w:rsidP="008566D3">
      <w:pPr>
        <w:pStyle w:val="Heading2"/>
      </w:pPr>
      <w:bookmarkStart w:id="16" w:name="_Toc203668426"/>
      <w:r w:rsidRPr="00071D0F">
        <w:t>Investment appraisal techniques</w:t>
      </w:r>
      <w:bookmarkEnd w:id="16"/>
    </w:p>
    <w:p w14:paraId="7A3659AA" w14:textId="77777777" w:rsidR="000B73D8" w:rsidRPr="000B73D8" w:rsidRDefault="000B73D8" w:rsidP="000B73D8">
      <w:pPr>
        <w:rPr>
          <w:lang w:val="en-US"/>
        </w:rPr>
      </w:pPr>
      <w:r w:rsidRPr="000B73D8">
        <w:rPr>
          <w:lang w:val="en-US"/>
        </w:rPr>
        <w:t>The Net Present Value (NPV) is considered as the best valuation method, because the NPV makes all cash flows expected to occur in the future measured in today's money-antithetical to an abstract positive or negative measure of the value that can be created (Arjunan, 2022). NPV takes into consideration the time value of money, since in discounting cash inflows and outflows expected in the future at a discount rate, which could be assumed to represent the opportunity cost to the investor, it acknowledges that a pound received in the future is worth less than a pound received today (Huang et al., 2022). But simpler methods such as payback or accounting rate of return do not consider timing or risk. In addition, NPV respects the value additivity principle that states that when a number of projects are independent, the value from all of them taken together should be equal to the sum of values for each project; this allows the manager to choose all positive-NPV projects to increase total shareholder wealth (Dai et al., 2022).</w:t>
      </w:r>
    </w:p>
    <w:p w14:paraId="121AD389" w14:textId="77777777" w:rsidR="008566D3" w:rsidRPr="001A4327" w:rsidRDefault="000B73D8" w:rsidP="000B73D8">
      <w:pPr>
        <w:rPr>
          <w:lang w:val="en-US"/>
        </w:rPr>
      </w:pPr>
      <w:r w:rsidRPr="000B73D8">
        <w:rPr>
          <w:lang w:val="en-US"/>
        </w:rPr>
        <w:t>Another important advantage of NPV is that it assumes a realistic reinvestment rate. Unlike the IRR, which assumes that interim cash flows might be reinvested at the same return as the project, NPV assumes reinvestment at the cost of capital to the firm, which is the appropriate market-based benchmark aligned with the firm's financing policy (Drake and Fabozzi, 2002). Also, from a risk point of view, the higher the risk, the higher should be the cost of capital, which reduces the present value of the project and hence discourages undue investment in more risky projects (</w:t>
      </w:r>
      <w:proofErr w:type="spellStart"/>
      <w:r w:rsidRPr="000B73D8">
        <w:rPr>
          <w:lang w:val="en-US"/>
        </w:rPr>
        <w:t>Kengatharan</w:t>
      </w:r>
      <w:proofErr w:type="spellEnd"/>
      <w:r w:rsidRPr="000B73D8">
        <w:rPr>
          <w:lang w:val="en-US"/>
        </w:rPr>
        <w:t>, 2016). Furthermore, NPV can tackle nonconventional cash flow patterns and mutually exclusive alternatives without being plagued by multiple-IRR issues (Bierman and Smidt, 2007). To summarize, given the way it theoretically treats issues of time, risk, and aggregation, NPV should be considered the cornerstone for capital budgeting decisions.</w:t>
      </w:r>
    </w:p>
    <w:p w14:paraId="2A31DD27" w14:textId="77777777" w:rsidR="008566D3" w:rsidRPr="00071D0F" w:rsidRDefault="008566D3" w:rsidP="008566D3">
      <w:pPr>
        <w:pStyle w:val="Heading2"/>
      </w:pPr>
      <w:bookmarkStart w:id="17" w:name="_Toc203668427"/>
      <w:r w:rsidRPr="00071D0F">
        <w:lastRenderedPageBreak/>
        <w:t>Non-discounting methods of investment appraisal</w:t>
      </w:r>
      <w:bookmarkEnd w:id="17"/>
    </w:p>
    <w:p w14:paraId="55FDE55A" w14:textId="77777777" w:rsidR="000B73D8" w:rsidRPr="000B73D8" w:rsidRDefault="000B73D8" w:rsidP="000B73D8">
      <w:pPr>
        <w:rPr>
          <w:lang w:val="en-US"/>
        </w:rPr>
      </w:pPr>
      <w:r w:rsidRPr="000B73D8">
        <w:rPr>
          <w:lang w:val="en-US"/>
        </w:rPr>
        <w:t>Theoretical limitations notwithstanding, payback and accounting methods of investment appraisal continue to see extensive use by practicing managers for their intuitive, quick, and easily communicable insights into investment proposals. Payback period simply measures the time taken to recover initial investment in nominal cash terms. Its simple appeal rests on the concept of liquidity risk: managers working under the threat of cash-flow shortfalls, economic downturns, or swift technological change are thus encouraged to resort to the shortest breakeven horizon (</w:t>
      </w:r>
      <w:proofErr w:type="spellStart"/>
      <w:r w:rsidRPr="000B73D8">
        <w:rPr>
          <w:lang w:val="en-US"/>
        </w:rPr>
        <w:t>Röhrich</w:t>
      </w:r>
      <w:proofErr w:type="spellEnd"/>
      <w:r w:rsidRPr="000B73D8">
        <w:rPr>
          <w:lang w:val="en-US"/>
        </w:rPr>
        <w:t>, 2015). Likewise, the accounting rate of return attempts to put the profitability of projects into percentages that, from internal financial reporting, are familiar to individuals in the organization who have not been trained in finance and need to somehow interpret earnings against book values (Götze et al., 2015).</w:t>
      </w:r>
    </w:p>
    <w:p w14:paraId="085492C7" w14:textId="77777777" w:rsidR="000B73D8" w:rsidRPr="000B73D8" w:rsidRDefault="000B73D8" w:rsidP="000B73D8">
      <w:pPr>
        <w:rPr>
          <w:lang w:val="en-US"/>
        </w:rPr>
      </w:pPr>
      <w:r w:rsidRPr="000B73D8">
        <w:rPr>
          <w:lang w:val="en-US"/>
        </w:rPr>
        <w:t>Since all these non-discounting and investment appraisal methods are just common spreadsheet exercises with easy access to accounting data, they require minimal systems support and explanation or none at all. In any case, they never even require agreeing on discount rates (Gordon et al., 2006). These are issues that cause delays to more sophisticated analyses in fast-moving environments. Particularly appreciated by middle managers is the very clear "snapshot" that these methods provide-through which multiple opportunities can be rapidly screened without engaging in detailed forecasting or arguments about an appropriate hurdle rate (Chen, 2008). Organizational inertia and incentive structures would serve to reinforce this use: targets and bonus plans could inter alia be linked to payback thresholds or accounting margin; hence rewarding managers for shorter payback periods or higher book-profit ratios (</w:t>
      </w:r>
      <w:proofErr w:type="spellStart"/>
      <w:r w:rsidRPr="000B73D8">
        <w:rPr>
          <w:lang w:val="en-US"/>
        </w:rPr>
        <w:t>Paseda</w:t>
      </w:r>
      <w:proofErr w:type="spellEnd"/>
      <w:r w:rsidRPr="000B73D8">
        <w:rPr>
          <w:lang w:val="en-US"/>
        </w:rPr>
        <w:t xml:space="preserve">, 2016). </w:t>
      </w:r>
    </w:p>
    <w:p w14:paraId="2F8F910B" w14:textId="77777777" w:rsidR="008566D3" w:rsidRPr="001A4327" w:rsidRDefault="000B73D8" w:rsidP="000B73D8">
      <w:pPr>
        <w:rPr>
          <w:lang w:val="en-US"/>
        </w:rPr>
      </w:pPr>
      <w:r w:rsidRPr="000B73D8">
        <w:rPr>
          <w:lang w:val="en-US"/>
        </w:rPr>
        <w:t xml:space="preserve">Non-discounting appraisal methods thus, rather than vie for supremacy against discounted-cash flow models, provide practical means of preliminary filtering: simple criteria by which to throw out projects with unacceptable liquidity or accounting returns before committing heavy resources to full-blown NPV or IRR studies. </w:t>
      </w:r>
    </w:p>
    <w:p w14:paraId="31BC280A" w14:textId="77777777" w:rsidR="008566D3" w:rsidRPr="00071D0F" w:rsidRDefault="008566D3" w:rsidP="008566D3">
      <w:pPr>
        <w:pStyle w:val="Heading2"/>
      </w:pPr>
      <w:bookmarkStart w:id="18" w:name="_Toc203668428"/>
      <w:r w:rsidRPr="00071D0F">
        <w:t>Other factors in investment decision</w:t>
      </w:r>
      <w:bookmarkEnd w:id="18"/>
    </w:p>
    <w:p w14:paraId="1A58E7B2" w14:textId="77777777" w:rsidR="000B73D8" w:rsidRPr="000B73D8" w:rsidRDefault="000B73D8" w:rsidP="000B73D8">
      <w:pPr>
        <w:pStyle w:val="ListParagraph"/>
        <w:numPr>
          <w:ilvl w:val="0"/>
          <w:numId w:val="16"/>
        </w:numPr>
        <w:rPr>
          <w:lang w:val="en-US"/>
        </w:rPr>
      </w:pPr>
      <w:r w:rsidRPr="000B73D8">
        <w:rPr>
          <w:b/>
          <w:bCs/>
          <w:lang w:val="en-US"/>
        </w:rPr>
        <w:t>Strategic Alignment</w:t>
      </w:r>
      <w:r w:rsidRPr="000B73D8">
        <w:rPr>
          <w:lang w:val="en-US"/>
        </w:rPr>
        <w:t xml:space="preserve">: Investing in an activity that fits perfectly into </w:t>
      </w:r>
      <w:proofErr w:type="spellStart"/>
      <w:r w:rsidRPr="000B73D8">
        <w:rPr>
          <w:lang w:val="en-US"/>
        </w:rPr>
        <w:t>Jordons</w:t>
      </w:r>
      <w:proofErr w:type="spellEnd"/>
      <w:r w:rsidRPr="000B73D8">
        <w:rPr>
          <w:lang w:val="en-US"/>
        </w:rPr>
        <w:t xml:space="preserve"> Plc's long-term vision and leverages its core competency in manufacturing superior quality wooden blinds will avoid distractions and yield a greater competitive advantage for the company. A project divergent to the strategic interests of the firm probably would result </w:t>
      </w:r>
      <w:r w:rsidRPr="000B73D8">
        <w:rPr>
          <w:lang w:val="en-US"/>
        </w:rPr>
        <w:lastRenderedPageBreak/>
        <w:t>in underutilization of the set strengths of the firm and may lead to dilution of the brand (</w:t>
      </w:r>
      <w:proofErr w:type="spellStart"/>
      <w:r w:rsidRPr="000B73D8">
        <w:rPr>
          <w:lang w:val="en-US"/>
        </w:rPr>
        <w:t>Bialowolski</w:t>
      </w:r>
      <w:proofErr w:type="spellEnd"/>
      <w:r w:rsidRPr="000B73D8">
        <w:rPr>
          <w:lang w:val="en-US"/>
        </w:rPr>
        <w:t xml:space="preserve"> and </w:t>
      </w:r>
      <w:proofErr w:type="spellStart"/>
      <w:r w:rsidRPr="000B73D8">
        <w:rPr>
          <w:lang w:val="en-US"/>
        </w:rPr>
        <w:t>Weziak</w:t>
      </w:r>
      <w:proofErr w:type="spellEnd"/>
      <w:r w:rsidRPr="000B73D8">
        <w:rPr>
          <w:lang w:val="en-US"/>
        </w:rPr>
        <w:t>-</w:t>
      </w:r>
      <w:proofErr w:type="spellStart"/>
      <w:r w:rsidRPr="000B73D8">
        <w:rPr>
          <w:lang w:val="en-US"/>
        </w:rPr>
        <w:t>Bialowolska</w:t>
      </w:r>
      <w:proofErr w:type="spellEnd"/>
      <w:r w:rsidRPr="000B73D8">
        <w:rPr>
          <w:lang w:val="en-US"/>
        </w:rPr>
        <w:t xml:space="preserve">, 2014). </w:t>
      </w:r>
    </w:p>
    <w:p w14:paraId="5FBD45E5" w14:textId="77777777" w:rsidR="000B73D8" w:rsidRPr="000B73D8" w:rsidRDefault="000B73D8" w:rsidP="000B73D8">
      <w:pPr>
        <w:pStyle w:val="ListParagraph"/>
        <w:numPr>
          <w:ilvl w:val="0"/>
          <w:numId w:val="16"/>
        </w:numPr>
        <w:rPr>
          <w:lang w:val="en-US"/>
        </w:rPr>
      </w:pPr>
      <w:r w:rsidRPr="000B73D8">
        <w:rPr>
          <w:b/>
          <w:bCs/>
          <w:lang w:val="en-US"/>
        </w:rPr>
        <w:t>Market Demand and Dynamics</w:t>
      </w:r>
      <w:r w:rsidRPr="000B73D8">
        <w:rPr>
          <w:lang w:val="en-US"/>
        </w:rPr>
        <w:t xml:space="preserve">: Customer preferences, price elasticity, and competitor actions for the online window‐treatment sale need to be analyzed. Overestimation of demand and insufficiently attentiveness to shifts that may come by new entrants or change in platform fees can quickly destroy forecasted cash flows (Abdul </w:t>
      </w:r>
      <w:proofErr w:type="spellStart"/>
      <w:r w:rsidRPr="000B73D8">
        <w:rPr>
          <w:lang w:val="en-US"/>
        </w:rPr>
        <w:t>kareem</w:t>
      </w:r>
      <w:proofErr w:type="spellEnd"/>
      <w:r w:rsidRPr="000B73D8">
        <w:rPr>
          <w:lang w:val="en-US"/>
        </w:rPr>
        <w:t xml:space="preserve"> et al., 2023). </w:t>
      </w:r>
    </w:p>
    <w:p w14:paraId="7B2F3ECD" w14:textId="77777777" w:rsidR="000B73D8" w:rsidRPr="000B73D8" w:rsidRDefault="000B73D8" w:rsidP="000B73D8">
      <w:pPr>
        <w:pStyle w:val="ListParagraph"/>
        <w:numPr>
          <w:ilvl w:val="0"/>
          <w:numId w:val="16"/>
        </w:numPr>
        <w:rPr>
          <w:lang w:val="en-US"/>
        </w:rPr>
      </w:pPr>
      <w:r w:rsidRPr="000B73D8">
        <w:rPr>
          <w:b/>
          <w:bCs/>
          <w:lang w:val="en-US"/>
        </w:rPr>
        <w:t>Operational Capability</w:t>
      </w:r>
      <w:r w:rsidRPr="000B73D8">
        <w:rPr>
          <w:lang w:val="en-US"/>
        </w:rPr>
        <w:t xml:space="preserve">: The company should analyze whether it would have such digital infrastructure or personnel or supply‐chain processes that it would take short time to develop for internet sale (Tseng and Yang, 2010). Foolishly driving under execution complexity can thus lead into huge delays, mishaps on quality grounds, or customer satisfaction issues. </w:t>
      </w:r>
    </w:p>
    <w:p w14:paraId="5E892BCB" w14:textId="77777777" w:rsidR="00C1224C" w:rsidRPr="00C20442" w:rsidRDefault="000B73D8" w:rsidP="00C20442">
      <w:pPr>
        <w:pStyle w:val="ListParagraph"/>
        <w:numPr>
          <w:ilvl w:val="0"/>
          <w:numId w:val="16"/>
        </w:numPr>
        <w:rPr>
          <w:lang w:val="en-US"/>
        </w:rPr>
      </w:pPr>
      <w:r w:rsidRPr="000B73D8">
        <w:rPr>
          <w:b/>
          <w:bCs/>
          <w:lang w:val="en-US"/>
        </w:rPr>
        <w:t>Regulatory and Legal Environment</w:t>
      </w:r>
      <w:r w:rsidRPr="000B73D8">
        <w:rPr>
          <w:lang w:val="en-US"/>
        </w:rPr>
        <w:t>: To comply with e-commerce regulations, e.g., data protection, consumer rights, cross-border VAT rules, and evolving environmental standards, including sustainable sourcing, packaging directives, etc., can affect cost, cost-related time schedules, and at another level (Haidari, 2023). Earlier legal due diligence minimizes risk concerning unforeseen fines or changes to operations imposed on the company.</w:t>
      </w:r>
    </w:p>
    <w:p w14:paraId="4F61E52F" w14:textId="77777777" w:rsidR="00C1224C" w:rsidRPr="00071D0F" w:rsidRDefault="00C1224C" w:rsidP="00C1224C">
      <w:pPr>
        <w:pStyle w:val="Heading2"/>
      </w:pPr>
      <w:bookmarkStart w:id="19" w:name="_Toc203668429"/>
      <w:r w:rsidRPr="00071D0F">
        <w:t>Optimal investment policy</w:t>
      </w:r>
      <w:bookmarkEnd w:id="19"/>
    </w:p>
    <w:p w14:paraId="79A21F20" w14:textId="77777777" w:rsidR="00C1224C" w:rsidRPr="00071D0F" w:rsidRDefault="004737B1" w:rsidP="00C1224C">
      <w:pPr>
        <w:rPr>
          <w:b/>
          <w:bCs/>
        </w:rPr>
      </w:pPr>
      <w:r w:rsidRPr="00071D0F">
        <w:rPr>
          <w:b/>
          <w:bCs/>
        </w:rPr>
        <w:t>Ranking of investment options</w:t>
      </w:r>
    </w:p>
    <w:tbl>
      <w:tblPr>
        <w:tblW w:w="0" w:type="auto"/>
        <w:tblLook w:val="04A0" w:firstRow="1" w:lastRow="0" w:firstColumn="1" w:lastColumn="0" w:noHBand="0" w:noVBand="1"/>
      </w:tblPr>
      <w:tblGrid>
        <w:gridCol w:w="1056"/>
        <w:gridCol w:w="2136"/>
        <w:gridCol w:w="777"/>
      </w:tblGrid>
      <w:tr w:rsidR="004737B1" w:rsidRPr="004737B1" w14:paraId="64473D03" w14:textId="77777777" w:rsidTr="004737B1">
        <w:trPr>
          <w:trHeight w:val="312"/>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9113C5" w14:textId="77777777" w:rsidR="004737B1" w:rsidRPr="004737B1" w:rsidRDefault="004737B1" w:rsidP="004737B1">
            <w:pPr>
              <w:spacing w:before="0" w:after="0" w:line="240" w:lineRule="auto"/>
              <w:jc w:val="center"/>
              <w:rPr>
                <w:rFonts w:eastAsia="Times New Roman"/>
                <w:b/>
                <w:bCs/>
                <w:color w:val="000000"/>
                <w:lang w:bidi="hi-IN"/>
              </w:rPr>
            </w:pPr>
            <w:r w:rsidRPr="004737B1">
              <w:rPr>
                <w:rFonts w:eastAsia="Times New Roman"/>
                <w:b/>
                <w:bCs/>
                <w:color w:val="000000"/>
                <w:lang w:bidi="hi-IN"/>
              </w:rPr>
              <w:t>Projects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7B0643A" w14:textId="77777777" w:rsidR="004737B1" w:rsidRPr="004737B1" w:rsidRDefault="004737B1" w:rsidP="004737B1">
            <w:pPr>
              <w:spacing w:before="0" w:after="0" w:line="240" w:lineRule="auto"/>
              <w:jc w:val="center"/>
              <w:rPr>
                <w:rFonts w:eastAsia="Times New Roman"/>
                <w:b/>
                <w:bCs/>
                <w:color w:val="000000"/>
                <w:lang w:bidi="hi-IN"/>
              </w:rPr>
            </w:pPr>
            <w:r w:rsidRPr="004737B1">
              <w:rPr>
                <w:rFonts w:eastAsia="Times New Roman"/>
                <w:b/>
                <w:bCs/>
                <w:color w:val="000000"/>
                <w:lang w:bidi="hi-IN"/>
              </w:rPr>
              <w:t>NPV</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501E1FA" w14:textId="77777777" w:rsidR="004737B1" w:rsidRPr="004737B1" w:rsidRDefault="004737B1" w:rsidP="004737B1">
            <w:pPr>
              <w:spacing w:before="0" w:after="0" w:line="240" w:lineRule="auto"/>
              <w:jc w:val="center"/>
              <w:rPr>
                <w:rFonts w:eastAsia="Times New Roman"/>
                <w:b/>
                <w:bCs/>
                <w:color w:val="000000"/>
                <w:lang w:bidi="hi-IN"/>
              </w:rPr>
            </w:pPr>
            <w:r w:rsidRPr="004737B1">
              <w:rPr>
                <w:rFonts w:eastAsia="Times New Roman"/>
                <w:b/>
                <w:bCs/>
                <w:color w:val="000000"/>
                <w:lang w:bidi="hi-IN"/>
              </w:rPr>
              <w:t>Rank</w:t>
            </w:r>
          </w:p>
        </w:tc>
      </w:tr>
      <w:tr w:rsidR="004737B1" w:rsidRPr="004737B1" w14:paraId="56D57614" w14:textId="77777777" w:rsidTr="004737B1">
        <w:trPr>
          <w:trHeight w:val="31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BFC8C69"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A</w:t>
            </w:r>
          </w:p>
        </w:tc>
        <w:tc>
          <w:tcPr>
            <w:tcW w:w="0" w:type="auto"/>
            <w:tcBorders>
              <w:top w:val="nil"/>
              <w:left w:val="nil"/>
              <w:bottom w:val="single" w:sz="4" w:space="0" w:color="auto"/>
              <w:right w:val="single" w:sz="4" w:space="0" w:color="auto"/>
            </w:tcBorders>
            <w:shd w:val="clear" w:color="auto" w:fill="auto"/>
            <w:noWrap/>
            <w:vAlign w:val="bottom"/>
            <w:hideMark/>
          </w:tcPr>
          <w:p w14:paraId="42A35656"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 xml:space="preserve">                          395 </w:t>
            </w:r>
          </w:p>
        </w:tc>
        <w:tc>
          <w:tcPr>
            <w:tcW w:w="0" w:type="auto"/>
            <w:tcBorders>
              <w:top w:val="nil"/>
              <w:left w:val="nil"/>
              <w:bottom w:val="single" w:sz="4" w:space="0" w:color="auto"/>
              <w:right w:val="single" w:sz="4" w:space="0" w:color="auto"/>
            </w:tcBorders>
            <w:shd w:val="clear" w:color="auto" w:fill="auto"/>
            <w:noWrap/>
            <w:vAlign w:val="bottom"/>
            <w:hideMark/>
          </w:tcPr>
          <w:p w14:paraId="0F33F1F1"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3</w:t>
            </w:r>
          </w:p>
        </w:tc>
      </w:tr>
      <w:tr w:rsidR="004737B1" w:rsidRPr="004737B1" w14:paraId="1968F0DD" w14:textId="77777777" w:rsidTr="004737B1">
        <w:trPr>
          <w:trHeight w:val="31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61FBAB3"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B</w:t>
            </w:r>
          </w:p>
        </w:tc>
        <w:tc>
          <w:tcPr>
            <w:tcW w:w="0" w:type="auto"/>
            <w:tcBorders>
              <w:top w:val="nil"/>
              <w:left w:val="nil"/>
              <w:bottom w:val="single" w:sz="4" w:space="0" w:color="auto"/>
              <w:right w:val="single" w:sz="4" w:space="0" w:color="auto"/>
            </w:tcBorders>
            <w:shd w:val="clear" w:color="auto" w:fill="auto"/>
            <w:noWrap/>
            <w:vAlign w:val="bottom"/>
            <w:hideMark/>
          </w:tcPr>
          <w:p w14:paraId="1A4A5247"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 xml:space="preserve">                          748 </w:t>
            </w:r>
          </w:p>
        </w:tc>
        <w:tc>
          <w:tcPr>
            <w:tcW w:w="0" w:type="auto"/>
            <w:tcBorders>
              <w:top w:val="nil"/>
              <w:left w:val="nil"/>
              <w:bottom w:val="single" w:sz="4" w:space="0" w:color="auto"/>
              <w:right w:val="single" w:sz="4" w:space="0" w:color="auto"/>
            </w:tcBorders>
            <w:shd w:val="clear" w:color="auto" w:fill="auto"/>
            <w:noWrap/>
            <w:vAlign w:val="bottom"/>
            <w:hideMark/>
          </w:tcPr>
          <w:p w14:paraId="30431AD3"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1</w:t>
            </w:r>
          </w:p>
        </w:tc>
      </w:tr>
      <w:tr w:rsidR="004737B1" w:rsidRPr="004737B1" w14:paraId="277BF3EE" w14:textId="77777777" w:rsidTr="004737B1">
        <w:trPr>
          <w:trHeight w:val="312"/>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9ED0A73"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C</w:t>
            </w:r>
          </w:p>
        </w:tc>
        <w:tc>
          <w:tcPr>
            <w:tcW w:w="0" w:type="auto"/>
            <w:tcBorders>
              <w:top w:val="nil"/>
              <w:left w:val="nil"/>
              <w:bottom w:val="single" w:sz="4" w:space="0" w:color="auto"/>
              <w:right w:val="single" w:sz="4" w:space="0" w:color="auto"/>
            </w:tcBorders>
            <w:shd w:val="clear" w:color="auto" w:fill="auto"/>
            <w:noWrap/>
            <w:vAlign w:val="bottom"/>
            <w:hideMark/>
          </w:tcPr>
          <w:p w14:paraId="45B6D883"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 xml:space="preserve">                          616 </w:t>
            </w:r>
          </w:p>
        </w:tc>
        <w:tc>
          <w:tcPr>
            <w:tcW w:w="0" w:type="auto"/>
            <w:tcBorders>
              <w:top w:val="nil"/>
              <w:left w:val="nil"/>
              <w:bottom w:val="single" w:sz="4" w:space="0" w:color="auto"/>
              <w:right w:val="single" w:sz="4" w:space="0" w:color="auto"/>
            </w:tcBorders>
            <w:shd w:val="clear" w:color="auto" w:fill="auto"/>
            <w:noWrap/>
            <w:vAlign w:val="bottom"/>
            <w:hideMark/>
          </w:tcPr>
          <w:p w14:paraId="129CE14D"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2</w:t>
            </w:r>
          </w:p>
        </w:tc>
      </w:tr>
    </w:tbl>
    <w:p w14:paraId="5949CAB3" w14:textId="77777777" w:rsidR="004737B1" w:rsidRPr="00071D0F" w:rsidRDefault="004737B1" w:rsidP="00C1224C">
      <w:r w:rsidRPr="00071D0F">
        <w:t xml:space="preserve">Based on NPV’s three investment options, the option having highest NPV has been ranked first, while investment option having lowest NPV has been ranked third. </w:t>
      </w:r>
    </w:p>
    <w:tbl>
      <w:tblPr>
        <w:tblW w:w="5000" w:type="pct"/>
        <w:tblLook w:val="04A0" w:firstRow="1" w:lastRow="0" w:firstColumn="1" w:lastColumn="0" w:noHBand="0" w:noVBand="1"/>
      </w:tblPr>
      <w:tblGrid>
        <w:gridCol w:w="1056"/>
        <w:gridCol w:w="1870"/>
        <w:gridCol w:w="1763"/>
        <w:gridCol w:w="1538"/>
        <w:gridCol w:w="1033"/>
        <w:gridCol w:w="1756"/>
      </w:tblGrid>
      <w:tr w:rsidR="004737B1" w:rsidRPr="004737B1" w14:paraId="1C5E0DB5" w14:textId="77777777" w:rsidTr="004737B1">
        <w:trPr>
          <w:trHeight w:val="624"/>
        </w:trPr>
        <w:tc>
          <w:tcPr>
            <w:tcW w:w="46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F21BAD" w14:textId="77777777" w:rsidR="004737B1" w:rsidRPr="004737B1" w:rsidRDefault="004737B1" w:rsidP="004737B1">
            <w:pPr>
              <w:spacing w:before="0" w:after="0" w:line="240" w:lineRule="auto"/>
              <w:jc w:val="center"/>
              <w:rPr>
                <w:rFonts w:eastAsia="Times New Roman"/>
                <w:b/>
                <w:bCs/>
                <w:color w:val="000000"/>
                <w:lang w:bidi="hi-IN"/>
              </w:rPr>
            </w:pPr>
            <w:r w:rsidRPr="004737B1">
              <w:rPr>
                <w:rFonts w:eastAsia="Times New Roman"/>
                <w:b/>
                <w:bCs/>
                <w:color w:val="000000"/>
                <w:lang w:bidi="hi-IN"/>
              </w:rPr>
              <w:t>Projects</w:t>
            </w:r>
          </w:p>
        </w:tc>
        <w:tc>
          <w:tcPr>
            <w:tcW w:w="1165" w:type="pct"/>
            <w:tcBorders>
              <w:top w:val="single" w:sz="4" w:space="0" w:color="auto"/>
              <w:left w:val="nil"/>
              <w:bottom w:val="single" w:sz="4" w:space="0" w:color="auto"/>
              <w:right w:val="single" w:sz="4" w:space="0" w:color="auto"/>
            </w:tcBorders>
            <w:shd w:val="clear" w:color="auto" w:fill="auto"/>
            <w:noWrap/>
            <w:vAlign w:val="bottom"/>
            <w:hideMark/>
          </w:tcPr>
          <w:p w14:paraId="291CB635" w14:textId="77777777" w:rsidR="004737B1" w:rsidRPr="004737B1" w:rsidRDefault="004737B1" w:rsidP="004737B1">
            <w:pPr>
              <w:spacing w:before="0" w:after="0" w:line="240" w:lineRule="auto"/>
              <w:jc w:val="center"/>
              <w:rPr>
                <w:rFonts w:eastAsia="Times New Roman"/>
                <w:b/>
                <w:bCs/>
                <w:color w:val="000000"/>
                <w:lang w:bidi="hi-IN"/>
              </w:rPr>
            </w:pPr>
            <w:r w:rsidRPr="004737B1">
              <w:rPr>
                <w:rFonts w:eastAsia="Times New Roman"/>
                <w:b/>
                <w:bCs/>
                <w:color w:val="000000"/>
                <w:lang w:bidi="hi-IN"/>
              </w:rPr>
              <w:t>Initial Invest.</w:t>
            </w:r>
          </w:p>
        </w:tc>
        <w:tc>
          <w:tcPr>
            <w:tcW w:w="911" w:type="pct"/>
            <w:tcBorders>
              <w:top w:val="single" w:sz="4" w:space="0" w:color="auto"/>
              <w:left w:val="nil"/>
              <w:bottom w:val="single" w:sz="4" w:space="0" w:color="auto"/>
              <w:right w:val="single" w:sz="4" w:space="0" w:color="auto"/>
            </w:tcBorders>
            <w:shd w:val="clear" w:color="auto" w:fill="auto"/>
            <w:noWrap/>
            <w:vAlign w:val="bottom"/>
            <w:hideMark/>
          </w:tcPr>
          <w:p w14:paraId="4D86DA8E" w14:textId="77777777" w:rsidR="004737B1" w:rsidRPr="004737B1" w:rsidRDefault="004737B1" w:rsidP="004737B1">
            <w:pPr>
              <w:spacing w:before="0" w:after="0" w:line="240" w:lineRule="auto"/>
              <w:jc w:val="center"/>
              <w:rPr>
                <w:rFonts w:eastAsia="Times New Roman"/>
                <w:b/>
                <w:bCs/>
                <w:color w:val="000000"/>
                <w:lang w:bidi="hi-IN"/>
              </w:rPr>
            </w:pPr>
            <w:r w:rsidRPr="004737B1">
              <w:rPr>
                <w:rFonts w:eastAsia="Times New Roman"/>
                <w:b/>
                <w:bCs/>
                <w:color w:val="000000"/>
                <w:lang w:bidi="hi-IN"/>
              </w:rPr>
              <w:t>Revised Invest.</w:t>
            </w:r>
          </w:p>
        </w:tc>
        <w:tc>
          <w:tcPr>
            <w:tcW w:w="981" w:type="pct"/>
            <w:tcBorders>
              <w:top w:val="single" w:sz="4" w:space="0" w:color="auto"/>
              <w:left w:val="nil"/>
              <w:bottom w:val="single" w:sz="4" w:space="0" w:color="auto"/>
              <w:right w:val="single" w:sz="4" w:space="0" w:color="auto"/>
            </w:tcBorders>
            <w:shd w:val="clear" w:color="auto" w:fill="auto"/>
            <w:vAlign w:val="bottom"/>
            <w:hideMark/>
          </w:tcPr>
          <w:p w14:paraId="497B687B" w14:textId="77777777" w:rsidR="004737B1" w:rsidRPr="004737B1" w:rsidRDefault="004737B1" w:rsidP="004737B1">
            <w:pPr>
              <w:spacing w:before="0" w:after="0" w:line="240" w:lineRule="auto"/>
              <w:jc w:val="center"/>
              <w:rPr>
                <w:rFonts w:eastAsia="Times New Roman"/>
                <w:b/>
                <w:bCs/>
                <w:color w:val="000000"/>
                <w:lang w:bidi="hi-IN"/>
              </w:rPr>
            </w:pPr>
            <w:r w:rsidRPr="00071D0F">
              <w:rPr>
                <w:rFonts w:eastAsia="Times New Roman"/>
                <w:b/>
                <w:bCs/>
                <w:color w:val="000000"/>
                <w:lang w:bidi="hi-IN"/>
              </w:rPr>
              <w:t>Proportion</w:t>
            </w:r>
            <w:r w:rsidRPr="004737B1">
              <w:rPr>
                <w:rFonts w:eastAsia="Times New Roman"/>
                <w:b/>
                <w:bCs/>
                <w:color w:val="000000"/>
                <w:lang w:bidi="hi-IN"/>
              </w:rPr>
              <w:t xml:space="preserve"> of Initial Invest.</w:t>
            </w:r>
          </w:p>
        </w:tc>
        <w:tc>
          <w:tcPr>
            <w:tcW w:w="701" w:type="pct"/>
            <w:tcBorders>
              <w:top w:val="single" w:sz="4" w:space="0" w:color="auto"/>
              <w:left w:val="nil"/>
              <w:bottom w:val="single" w:sz="4" w:space="0" w:color="auto"/>
              <w:right w:val="single" w:sz="4" w:space="0" w:color="auto"/>
            </w:tcBorders>
            <w:shd w:val="clear" w:color="auto" w:fill="auto"/>
            <w:noWrap/>
            <w:vAlign w:val="bottom"/>
            <w:hideMark/>
          </w:tcPr>
          <w:p w14:paraId="1E6409EE" w14:textId="77777777" w:rsidR="004737B1" w:rsidRPr="004737B1" w:rsidRDefault="004737B1" w:rsidP="004737B1">
            <w:pPr>
              <w:spacing w:before="0" w:after="0" w:line="240" w:lineRule="auto"/>
              <w:jc w:val="center"/>
              <w:rPr>
                <w:rFonts w:eastAsia="Times New Roman"/>
                <w:b/>
                <w:bCs/>
                <w:color w:val="000000"/>
                <w:lang w:bidi="hi-IN"/>
              </w:rPr>
            </w:pPr>
            <w:r w:rsidRPr="004737B1">
              <w:rPr>
                <w:rFonts w:eastAsia="Times New Roman"/>
                <w:b/>
                <w:bCs/>
                <w:color w:val="000000"/>
                <w:lang w:bidi="hi-IN"/>
              </w:rPr>
              <w:t>NPV</w:t>
            </w:r>
          </w:p>
        </w:tc>
        <w:tc>
          <w:tcPr>
            <w:tcW w:w="779" w:type="pct"/>
            <w:tcBorders>
              <w:top w:val="single" w:sz="4" w:space="0" w:color="auto"/>
              <w:left w:val="nil"/>
              <w:bottom w:val="single" w:sz="4" w:space="0" w:color="auto"/>
              <w:right w:val="single" w:sz="4" w:space="0" w:color="auto"/>
            </w:tcBorders>
            <w:shd w:val="clear" w:color="auto" w:fill="auto"/>
            <w:noWrap/>
            <w:vAlign w:val="bottom"/>
            <w:hideMark/>
          </w:tcPr>
          <w:p w14:paraId="7EDDC1BB" w14:textId="77777777" w:rsidR="004737B1" w:rsidRPr="004737B1" w:rsidRDefault="004737B1" w:rsidP="004737B1">
            <w:pPr>
              <w:spacing w:before="0" w:after="0" w:line="240" w:lineRule="auto"/>
              <w:jc w:val="center"/>
              <w:rPr>
                <w:rFonts w:eastAsia="Times New Roman"/>
                <w:b/>
                <w:bCs/>
                <w:color w:val="000000"/>
                <w:lang w:bidi="hi-IN"/>
              </w:rPr>
            </w:pPr>
            <w:r w:rsidRPr="004737B1">
              <w:rPr>
                <w:rFonts w:eastAsia="Times New Roman"/>
                <w:b/>
                <w:bCs/>
                <w:color w:val="000000"/>
                <w:lang w:bidi="hi-IN"/>
              </w:rPr>
              <w:t>Weighted NPV</w:t>
            </w:r>
          </w:p>
        </w:tc>
      </w:tr>
      <w:tr w:rsidR="004737B1" w:rsidRPr="004737B1" w14:paraId="0692836E" w14:textId="77777777" w:rsidTr="004737B1">
        <w:trPr>
          <w:trHeight w:val="312"/>
        </w:trPr>
        <w:tc>
          <w:tcPr>
            <w:tcW w:w="464" w:type="pct"/>
            <w:tcBorders>
              <w:top w:val="nil"/>
              <w:left w:val="single" w:sz="4" w:space="0" w:color="auto"/>
              <w:bottom w:val="single" w:sz="4" w:space="0" w:color="auto"/>
              <w:right w:val="single" w:sz="4" w:space="0" w:color="auto"/>
            </w:tcBorders>
            <w:shd w:val="clear" w:color="auto" w:fill="auto"/>
            <w:noWrap/>
            <w:vAlign w:val="bottom"/>
            <w:hideMark/>
          </w:tcPr>
          <w:p w14:paraId="5F40AC72"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A</w:t>
            </w:r>
          </w:p>
        </w:tc>
        <w:tc>
          <w:tcPr>
            <w:tcW w:w="1165" w:type="pct"/>
            <w:tcBorders>
              <w:top w:val="nil"/>
              <w:left w:val="nil"/>
              <w:bottom w:val="single" w:sz="4" w:space="0" w:color="auto"/>
              <w:right w:val="single" w:sz="4" w:space="0" w:color="auto"/>
            </w:tcBorders>
            <w:shd w:val="clear" w:color="auto" w:fill="auto"/>
            <w:noWrap/>
            <w:vAlign w:val="bottom"/>
            <w:hideMark/>
          </w:tcPr>
          <w:p w14:paraId="4F248D7F"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600</w:t>
            </w:r>
          </w:p>
        </w:tc>
        <w:tc>
          <w:tcPr>
            <w:tcW w:w="911" w:type="pct"/>
            <w:tcBorders>
              <w:top w:val="nil"/>
              <w:left w:val="nil"/>
              <w:bottom w:val="single" w:sz="4" w:space="0" w:color="auto"/>
              <w:right w:val="single" w:sz="4" w:space="0" w:color="auto"/>
            </w:tcBorders>
            <w:shd w:val="clear" w:color="auto" w:fill="auto"/>
            <w:noWrap/>
            <w:vAlign w:val="bottom"/>
            <w:hideMark/>
          </w:tcPr>
          <w:p w14:paraId="4855132F" w14:textId="77777777" w:rsidR="004737B1" w:rsidRPr="004737B1" w:rsidRDefault="004737B1" w:rsidP="004737B1">
            <w:pPr>
              <w:spacing w:before="0" w:after="0" w:line="240" w:lineRule="auto"/>
              <w:jc w:val="center"/>
              <w:rPr>
                <w:rFonts w:eastAsia="Times New Roman"/>
                <w:color w:val="000000"/>
                <w:lang w:bidi="hi-IN"/>
              </w:rPr>
            </w:pPr>
          </w:p>
        </w:tc>
        <w:tc>
          <w:tcPr>
            <w:tcW w:w="981" w:type="pct"/>
            <w:tcBorders>
              <w:top w:val="nil"/>
              <w:left w:val="nil"/>
              <w:bottom w:val="single" w:sz="4" w:space="0" w:color="auto"/>
              <w:right w:val="single" w:sz="4" w:space="0" w:color="auto"/>
            </w:tcBorders>
            <w:shd w:val="clear" w:color="auto" w:fill="auto"/>
            <w:noWrap/>
            <w:vAlign w:val="bottom"/>
            <w:hideMark/>
          </w:tcPr>
          <w:p w14:paraId="02CDC7F2"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0%</w:t>
            </w:r>
          </w:p>
        </w:tc>
        <w:tc>
          <w:tcPr>
            <w:tcW w:w="701" w:type="pct"/>
            <w:tcBorders>
              <w:top w:val="nil"/>
              <w:left w:val="nil"/>
              <w:bottom w:val="single" w:sz="4" w:space="0" w:color="auto"/>
              <w:right w:val="single" w:sz="4" w:space="0" w:color="auto"/>
            </w:tcBorders>
            <w:shd w:val="clear" w:color="auto" w:fill="auto"/>
            <w:noWrap/>
            <w:vAlign w:val="bottom"/>
            <w:hideMark/>
          </w:tcPr>
          <w:p w14:paraId="2B7C4889"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395</w:t>
            </w:r>
          </w:p>
        </w:tc>
        <w:tc>
          <w:tcPr>
            <w:tcW w:w="779" w:type="pct"/>
            <w:tcBorders>
              <w:top w:val="nil"/>
              <w:left w:val="nil"/>
              <w:bottom w:val="single" w:sz="4" w:space="0" w:color="auto"/>
              <w:right w:val="single" w:sz="4" w:space="0" w:color="auto"/>
            </w:tcBorders>
            <w:shd w:val="clear" w:color="auto" w:fill="auto"/>
            <w:noWrap/>
            <w:vAlign w:val="bottom"/>
            <w:hideMark/>
          </w:tcPr>
          <w:p w14:paraId="59F77D65"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w:t>
            </w:r>
          </w:p>
        </w:tc>
      </w:tr>
      <w:tr w:rsidR="004737B1" w:rsidRPr="004737B1" w14:paraId="1AB8DDC1" w14:textId="77777777" w:rsidTr="004737B1">
        <w:trPr>
          <w:trHeight w:val="312"/>
        </w:trPr>
        <w:tc>
          <w:tcPr>
            <w:tcW w:w="464" w:type="pct"/>
            <w:tcBorders>
              <w:top w:val="nil"/>
              <w:left w:val="single" w:sz="4" w:space="0" w:color="auto"/>
              <w:bottom w:val="single" w:sz="4" w:space="0" w:color="auto"/>
              <w:right w:val="single" w:sz="4" w:space="0" w:color="auto"/>
            </w:tcBorders>
            <w:shd w:val="clear" w:color="auto" w:fill="auto"/>
            <w:noWrap/>
            <w:vAlign w:val="bottom"/>
            <w:hideMark/>
          </w:tcPr>
          <w:p w14:paraId="3DC8D07A"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B</w:t>
            </w:r>
          </w:p>
        </w:tc>
        <w:tc>
          <w:tcPr>
            <w:tcW w:w="1165" w:type="pct"/>
            <w:tcBorders>
              <w:top w:val="nil"/>
              <w:left w:val="nil"/>
              <w:bottom w:val="single" w:sz="4" w:space="0" w:color="auto"/>
              <w:right w:val="single" w:sz="4" w:space="0" w:color="auto"/>
            </w:tcBorders>
            <w:shd w:val="clear" w:color="auto" w:fill="auto"/>
            <w:noWrap/>
            <w:vAlign w:val="bottom"/>
            <w:hideMark/>
          </w:tcPr>
          <w:p w14:paraId="5BF2B707"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1,000</w:t>
            </w:r>
          </w:p>
        </w:tc>
        <w:tc>
          <w:tcPr>
            <w:tcW w:w="911" w:type="pct"/>
            <w:tcBorders>
              <w:top w:val="nil"/>
              <w:left w:val="nil"/>
              <w:bottom w:val="single" w:sz="4" w:space="0" w:color="auto"/>
              <w:right w:val="single" w:sz="4" w:space="0" w:color="auto"/>
            </w:tcBorders>
            <w:shd w:val="clear" w:color="auto" w:fill="auto"/>
            <w:noWrap/>
            <w:vAlign w:val="bottom"/>
            <w:hideMark/>
          </w:tcPr>
          <w:p w14:paraId="0964782A"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1,000</w:t>
            </w:r>
          </w:p>
        </w:tc>
        <w:tc>
          <w:tcPr>
            <w:tcW w:w="981" w:type="pct"/>
            <w:tcBorders>
              <w:top w:val="nil"/>
              <w:left w:val="nil"/>
              <w:bottom w:val="single" w:sz="4" w:space="0" w:color="auto"/>
              <w:right w:val="single" w:sz="4" w:space="0" w:color="auto"/>
            </w:tcBorders>
            <w:shd w:val="clear" w:color="auto" w:fill="auto"/>
            <w:noWrap/>
            <w:vAlign w:val="bottom"/>
            <w:hideMark/>
          </w:tcPr>
          <w:p w14:paraId="6E6296F5"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100%</w:t>
            </w:r>
          </w:p>
        </w:tc>
        <w:tc>
          <w:tcPr>
            <w:tcW w:w="701" w:type="pct"/>
            <w:tcBorders>
              <w:top w:val="nil"/>
              <w:left w:val="nil"/>
              <w:bottom w:val="single" w:sz="4" w:space="0" w:color="auto"/>
              <w:right w:val="single" w:sz="4" w:space="0" w:color="auto"/>
            </w:tcBorders>
            <w:shd w:val="clear" w:color="auto" w:fill="auto"/>
            <w:noWrap/>
            <w:vAlign w:val="bottom"/>
            <w:hideMark/>
          </w:tcPr>
          <w:p w14:paraId="57461B94"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748</w:t>
            </w:r>
          </w:p>
        </w:tc>
        <w:tc>
          <w:tcPr>
            <w:tcW w:w="779" w:type="pct"/>
            <w:tcBorders>
              <w:top w:val="nil"/>
              <w:left w:val="nil"/>
              <w:bottom w:val="single" w:sz="4" w:space="0" w:color="auto"/>
              <w:right w:val="single" w:sz="4" w:space="0" w:color="auto"/>
            </w:tcBorders>
            <w:shd w:val="clear" w:color="auto" w:fill="auto"/>
            <w:noWrap/>
            <w:vAlign w:val="bottom"/>
            <w:hideMark/>
          </w:tcPr>
          <w:p w14:paraId="379CF03B"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748</w:t>
            </w:r>
          </w:p>
        </w:tc>
      </w:tr>
      <w:tr w:rsidR="004737B1" w:rsidRPr="004737B1" w14:paraId="48FB50DC" w14:textId="77777777" w:rsidTr="004737B1">
        <w:trPr>
          <w:trHeight w:val="312"/>
        </w:trPr>
        <w:tc>
          <w:tcPr>
            <w:tcW w:w="464" w:type="pct"/>
            <w:tcBorders>
              <w:top w:val="nil"/>
              <w:left w:val="single" w:sz="4" w:space="0" w:color="auto"/>
              <w:bottom w:val="single" w:sz="4" w:space="0" w:color="auto"/>
              <w:right w:val="single" w:sz="4" w:space="0" w:color="auto"/>
            </w:tcBorders>
            <w:shd w:val="clear" w:color="auto" w:fill="auto"/>
            <w:noWrap/>
            <w:vAlign w:val="bottom"/>
            <w:hideMark/>
          </w:tcPr>
          <w:p w14:paraId="411FF22E"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C</w:t>
            </w:r>
          </w:p>
        </w:tc>
        <w:tc>
          <w:tcPr>
            <w:tcW w:w="1165" w:type="pct"/>
            <w:tcBorders>
              <w:top w:val="nil"/>
              <w:left w:val="nil"/>
              <w:bottom w:val="single" w:sz="4" w:space="0" w:color="auto"/>
              <w:right w:val="single" w:sz="4" w:space="0" w:color="auto"/>
            </w:tcBorders>
            <w:shd w:val="clear" w:color="auto" w:fill="auto"/>
            <w:noWrap/>
            <w:vAlign w:val="bottom"/>
            <w:hideMark/>
          </w:tcPr>
          <w:p w14:paraId="019AA9FA"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1,600</w:t>
            </w:r>
          </w:p>
        </w:tc>
        <w:tc>
          <w:tcPr>
            <w:tcW w:w="911" w:type="pct"/>
            <w:tcBorders>
              <w:top w:val="nil"/>
              <w:left w:val="nil"/>
              <w:bottom w:val="single" w:sz="4" w:space="0" w:color="auto"/>
              <w:right w:val="single" w:sz="4" w:space="0" w:color="auto"/>
            </w:tcBorders>
            <w:shd w:val="clear" w:color="auto" w:fill="auto"/>
            <w:noWrap/>
            <w:vAlign w:val="bottom"/>
            <w:hideMark/>
          </w:tcPr>
          <w:p w14:paraId="25779870"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1,000</w:t>
            </w:r>
          </w:p>
        </w:tc>
        <w:tc>
          <w:tcPr>
            <w:tcW w:w="981" w:type="pct"/>
            <w:tcBorders>
              <w:top w:val="nil"/>
              <w:left w:val="nil"/>
              <w:bottom w:val="single" w:sz="4" w:space="0" w:color="auto"/>
              <w:right w:val="single" w:sz="4" w:space="0" w:color="auto"/>
            </w:tcBorders>
            <w:shd w:val="clear" w:color="auto" w:fill="auto"/>
            <w:noWrap/>
            <w:vAlign w:val="bottom"/>
            <w:hideMark/>
          </w:tcPr>
          <w:p w14:paraId="781FD880"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63%</w:t>
            </w:r>
          </w:p>
        </w:tc>
        <w:tc>
          <w:tcPr>
            <w:tcW w:w="701" w:type="pct"/>
            <w:tcBorders>
              <w:top w:val="nil"/>
              <w:left w:val="nil"/>
              <w:bottom w:val="single" w:sz="4" w:space="0" w:color="auto"/>
              <w:right w:val="single" w:sz="4" w:space="0" w:color="auto"/>
            </w:tcBorders>
            <w:shd w:val="clear" w:color="auto" w:fill="auto"/>
            <w:noWrap/>
            <w:vAlign w:val="bottom"/>
            <w:hideMark/>
          </w:tcPr>
          <w:p w14:paraId="78C1ADB4"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616</w:t>
            </w:r>
          </w:p>
        </w:tc>
        <w:tc>
          <w:tcPr>
            <w:tcW w:w="779" w:type="pct"/>
            <w:tcBorders>
              <w:top w:val="nil"/>
              <w:left w:val="nil"/>
              <w:bottom w:val="single" w:sz="4" w:space="0" w:color="auto"/>
              <w:right w:val="single" w:sz="4" w:space="0" w:color="auto"/>
            </w:tcBorders>
            <w:shd w:val="clear" w:color="auto" w:fill="auto"/>
            <w:noWrap/>
            <w:vAlign w:val="bottom"/>
            <w:hideMark/>
          </w:tcPr>
          <w:p w14:paraId="3931DD15" w14:textId="77777777" w:rsidR="004737B1" w:rsidRPr="004737B1" w:rsidRDefault="004737B1" w:rsidP="004737B1">
            <w:pPr>
              <w:spacing w:before="0" w:after="0" w:line="240" w:lineRule="auto"/>
              <w:jc w:val="center"/>
              <w:rPr>
                <w:rFonts w:eastAsia="Times New Roman"/>
                <w:color w:val="000000"/>
                <w:lang w:bidi="hi-IN"/>
              </w:rPr>
            </w:pPr>
            <w:r w:rsidRPr="004737B1">
              <w:rPr>
                <w:rFonts w:eastAsia="Times New Roman"/>
                <w:color w:val="000000"/>
                <w:lang w:bidi="hi-IN"/>
              </w:rPr>
              <w:t>385</w:t>
            </w:r>
          </w:p>
        </w:tc>
      </w:tr>
      <w:tr w:rsidR="004737B1" w:rsidRPr="004737B1" w14:paraId="3366A602" w14:textId="77777777" w:rsidTr="004737B1">
        <w:trPr>
          <w:trHeight w:val="312"/>
        </w:trPr>
        <w:tc>
          <w:tcPr>
            <w:tcW w:w="464" w:type="pct"/>
            <w:tcBorders>
              <w:top w:val="nil"/>
              <w:left w:val="nil"/>
              <w:bottom w:val="nil"/>
              <w:right w:val="nil"/>
            </w:tcBorders>
            <w:shd w:val="clear" w:color="auto" w:fill="auto"/>
            <w:noWrap/>
            <w:vAlign w:val="bottom"/>
            <w:hideMark/>
          </w:tcPr>
          <w:p w14:paraId="6C59E6C7" w14:textId="77777777" w:rsidR="004737B1" w:rsidRPr="004737B1" w:rsidRDefault="004737B1" w:rsidP="004737B1">
            <w:pPr>
              <w:spacing w:before="0" w:after="0" w:line="240" w:lineRule="auto"/>
              <w:jc w:val="center"/>
              <w:rPr>
                <w:rFonts w:eastAsia="Times New Roman"/>
                <w:color w:val="000000"/>
                <w:lang w:bidi="hi-IN"/>
              </w:rPr>
            </w:pPr>
          </w:p>
        </w:tc>
        <w:tc>
          <w:tcPr>
            <w:tcW w:w="1165" w:type="pct"/>
            <w:tcBorders>
              <w:top w:val="nil"/>
              <w:left w:val="single" w:sz="4" w:space="0" w:color="auto"/>
              <w:bottom w:val="single" w:sz="4" w:space="0" w:color="auto"/>
              <w:right w:val="single" w:sz="4" w:space="0" w:color="auto"/>
            </w:tcBorders>
            <w:shd w:val="clear" w:color="auto" w:fill="auto"/>
            <w:noWrap/>
            <w:vAlign w:val="bottom"/>
            <w:hideMark/>
          </w:tcPr>
          <w:p w14:paraId="4FF75ED9" w14:textId="77777777" w:rsidR="004737B1" w:rsidRPr="004737B1" w:rsidRDefault="004737B1" w:rsidP="004737B1">
            <w:pPr>
              <w:spacing w:before="0" w:after="0" w:line="240" w:lineRule="auto"/>
              <w:jc w:val="center"/>
              <w:rPr>
                <w:rFonts w:eastAsia="Times New Roman"/>
                <w:b/>
                <w:bCs/>
                <w:color w:val="000000"/>
                <w:lang w:bidi="hi-IN"/>
              </w:rPr>
            </w:pPr>
            <w:r w:rsidRPr="004737B1">
              <w:rPr>
                <w:rFonts w:eastAsia="Times New Roman"/>
                <w:b/>
                <w:bCs/>
                <w:color w:val="000000"/>
                <w:lang w:bidi="hi-IN"/>
              </w:rPr>
              <w:t>Total</w:t>
            </w:r>
          </w:p>
        </w:tc>
        <w:tc>
          <w:tcPr>
            <w:tcW w:w="911" w:type="pct"/>
            <w:tcBorders>
              <w:top w:val="nil"/>
              <w:left w:val="nil"/>
              <w:bottom w:val="single" w:sz="4" w:space="0" w:color="auto"/>
              <w:right w:val="single" w:sz="4" w:space="0" w:color="auto"/>
            </w:tcBorders>
            <w:shd w:val="clear" w:color="auto" w:fill="auto"/>
            <w:noWrap/>
            <w:vAlign w:val="bottom"/>
            <w:hideMark/>
          </w:tcPr>
          <w:p w14:paraId="5FFE7CBA" w14:textId="77777777" w:rsidR="004737B1" w:rsidRPr="004737B1" w:rsidRDefault="004737B1" w:rsidP="004737B1">
            <w:pPr>
              <w:spacing w:before="0" w:after="0" w:line="240" w:lineRule="auto"/>
              <w:jc w:val="center"/>
              <w:rPr>
                <w:rFonts w:eastAsia="Times New Roman"/>
                <w:b/>
                <w:bCs/>
                <w:color w:val="000000"/>
                <w:lang w:bidi="hi-IN"/>
              </w:rPr>
            </w:pPr>
            <w:r w:rsidRPr="004737B1">
              <w:rPr>
                <w:rFonts w:eastAsia="Times New Roman"/>
                <w:b/>
                <w:bCs/>
                <w:color w:val="000000"/>
                <w:lang w:bidi="hi-IN"/>
              </w:rPr>
              <w:t>2,000</w:t>
            </w:r>
          </w:p>
        </w:tc>
        <w:tc>
          <w:tcPr>
            <w:tcW w:w="981" w:type="pct"/>
            <w:tcBorders>
              <w:top w:val="nil"/>
              <w:left w:val="nil"/>
              <w:bottom w:val="single" w:sz="4" w:space="0" w:color="auto"/>
              <w:right w:val="single" w:sz="4" w:space="0" w:color="auto"/>
            </w:tcBorders>
            <w:shd w:val="clear" w:color="auto" w:fill="auto"/>
            <w:noWrap/>
            <w:vAlign w:val="bottom"/>
            <w:hideMark/>
          </w:tcPr>
          <w:p w14:paraId="4103D9DD" w14:textId="77777777" w:rsidR="004737B1" w:rsidRPr="004737B1" w:rsidRDefault="004737B1" w:rsidP="004737B1">
            <w:pPr>
              <w:spacing w:before="0" w:after="0" w:line="240" w:lineRule="auto"/>
              <w:jc w:val="center"/>
              <w:rPr>
                <w:rFonts w:eastAsia="Times New Roman"/>
                <w:b/>
                <w:bCs/>
                <w:color w:val="000000"/>
                <w:lang w:bidi="hi-IN"/>
              </w:rPr>
            </w:pPr>
          </w:p>
        </w:tc>
        <w:tc>
          <w:tcPr>
            <w:tcW w:w="701" w:type="pct"/>
            <w:tcBorders>
              <w:top w:val="nil"/>
              <w:left w:val="nil"/>
              <w:bottom w:val="single" w:sz="4" w:space="0" w:color="auto"/>
              <w:right w:val="single" w:sz="4" w:space="0" w:color="auto"/>
            </w:tcBorders>
            <w:shd w:val="clear" w:color="auto" w:fill="auto"/>
            <w:noWrap/>
            <w:vAlign w:val="bottom"/>
            <w:hideMark/>
          </w:tcPr>
          <w:p w14:paraId="4BC9DB83" w14:textId="77777777" w:rsidR="004737B1" w:rsidRPr="004737B1" w:rsidRDefault="004737B1" w:rsidP="004737B1">
            <w:pPr>
              <w:spacing w:before="0" w:after="0" w:line="240" w:lineRule="auto"/>
              <w:jc w:val="center"/>
              <w:rPr>
                <w:rFonts w:eastAsia="Times New Roman"/>
                <w:b/>
                <w:bCs/>
                <w:color w:val="000000"/>
                <w:lang w:bidi="hi-IN"/>
              </w:rPr>
            </w:pPr>
          </w:p>
        </w:tc>
        <w:tc>
          <w:tcPr>
            <w:tcW w:w="779" w:type="pct"/>
            <w:tcBorders>
              <w:top w:val="nil"/>
              <w:left w:val="nil"/>
              <w:bottom w:val="single" w:sz="4" w:space="0" w:color="auto"/>
              <w:right w:val="single" w:sz="4" w:space="0" w:color="auto"/>
            </w:tcBorders>
            <w:shd w:val="clear" w:color="auto" w:fill="auto"/>
            <w:noWrap/>
            <w:vAlign w:val="bottom"/>
            <w:hideMark/>
          </w:tcPr>
          <w:p w14:paraId="19F6FD78" w14:textId="77777777" w:rsidR="004737B1" w:rsidRPr="004737B1" w:rsidRDefault="004737B1" w:rsidP="004737B1">
            <w:pPr>
              <w:spacing w:before="0" w:after="0" w:line="240" w:lineRule="auto"/>
              <w:jc w:val="center"/>
              <w:rPr>
                <w:rFonts w:eastAsia="Times New Roman"/>
                <w:b/>
                <w:bCs/>
                <w:color w:val="000000"/>
                <w:lang w:bidi="hi-IN"/>
              </w:rPr>
            </w:pPr>
            <w:r w:rsidRPr="004737B1">
              <w:rPr>
                <w:rFonts w:eastAsia="Times New Roman"/>
                <w:b/>
                <w:bCs/>
                <w:color w:val="000000"/>
                <w:lang w:bidi="hi-IN"/>
              </w:rPr>
              <w:t>1,133</w:t>
            </w:r>
          </w:p>
        </w:tc>
      </w:tr>
    </w:tbl>
    <w:p w14:paraId="03FB6429" w14:textId="77777777" w:rsidR="004737B1" w:rsidRPr="00071D0F" w:rsidRDefault="004737B1" w:rsidP="00C1224C">
      <w:r w:rsidRPr="00071D0F">
        <w:lastRenderedPageBreak/>
        <w:t xml:space="preserve">The result shows that if £2,000,000 divided among two options – A and B based on their rank, then weighted or optimum NPV earned by the company will be </w:t>
      </w:r>
      <w:r w:rsidRPr="00071D0F">
        <w:rPr>
          <w:b/>
          <w:bCs/>
        </w:rPr>
        <w:t>£1,133,000</w:t>
      </w:r>
      <w:r w:rsidRPr="00071D0F">
        <w:t xml:space="preserve">. </w:t>
      </w:r>
    </w:p>
    <w:p w14:paraId="5E3E2CAB" w14:textId="77777777" w:rsidR="00C1224C" w:rsidRPr="00071D0F" w:rsidRDefault="00A61A68" w:rsidP="00C1224C">
      <w:pPr>
        <w:pStyle w:val="Heading2"/>
      </w:pPr>
      <w:bookmarkStart w:id="20" w:name="_Toc203668430"/>
      <w:r w:rsidRPr="00071D0F">
        <w:t>Sources of finance</w:t>
      </w:r>
      <w:bookmarkEnd w:id="20"/>
    </w:p>
    <w:p w14:paraId="124489AB" w14:textId="77777777" w:rsidR="00071D0F" w:rsidRPr="00071D0F" w:rsidRDefault="0008710F" w:rsidP="00071D0F">
      <w:pPr>
        <w:rPr>
          <w:lang w:val="en-US"/>
        </w:rPr>
      </w:pPr>
      <w:r w:rsidRPr="0008710F">
        <w:rPr>
          <w:lang w:val="en-US"/>
        </w:rPr>
        <w:t>The primary financial sources for Option B (online sales) are evaluated below, with each being provided with its important characteristics, advantages, and downsides. Finally, a suggestion indicates the best option.</w:t>
      </w:r>
    </w:p>
    <w:p w14:paraId="6A622E06" w14:textId="77777777" w:rsidR="00071D0F" w:rsidRPr="00071D0F" w:rsidRDefault="00071D0F" w:rsidP="00071D0F">
      <w:r w:rsidRPr="00071D0F">
        <w:rPr>
          <w:b/>
          <w:bCs/>
        </w:rPr>
        <w:t>1. Retained Earnings (Internal Finance)</w:t>
      </w:r>
    </w:p>
    <w:p w14:paraId="538C9244" w14:textId="77777777" w:rsidR="00071D0F" w:rsidRPr="00071D0F" w:rsidRDefault="00071D0F" w:rsidP="00071D0F">
      <w:pPr>
        <w:rPr>
          <w:lang w:val="en-US"/>
        </w:rPr>
      </w:pPr>
      <w:r w:rsidRPr="00071D0F">
        <w:rPr>
          <w:b/>
          <w:bCs/>
        </w:rPr>
        <w:t>Description:</w:t>
      </w:r>
      <w:r w:rsidRPr="00071D0F">
        <w:br/>
      </w:r>
      <w:r w:rsidR="0008710F" w:rsidRPr="0008710F">
        <w:rPr>
          <w:lang w:val="en-US"/>
        </w:rPr>
        <w:t>Using balance sheet earnings to support website development, digital marketing, and increased working capital (BBC, 2023).</w:t>
      </w:r>
    </w:p>
    <w:p w14:paraId="52D41EBB" w14:textId="77777777" w:rsidR="00071D0F" w:rsidRPr="00071D0F" w:rsidRDefault="00071D0F" w:rsidP="00071D0F">
      <w:r w:rsidRPr="00071D0F">
        <w:rPr>
          <w:b/>
          <w:bCs/>
        </w:rPr>
        <w:t>Advantages:</w:t>
      </w:r>
    </w:p>
    <w:p w14:paraId="2EABD895" w14:textId="77777777" w:rsidR="00071D0F" w:rsidRPr="00071D0F" w:rsidRDefault="00071D0F" w:rsidP="00071D0F">
      <w:pPr>
        <w:numPr>
          <w:ilvl w:val="0"/>
          <w:numId w:val="5"/>
        </w:numPr>
      </w:pPr>
      <w:r w:rsidRPr="00071D0F">
        <w:rPr>
          <w:b/>
          <w:bCs/>
        </w:rPr>
        <w:t>Zero direct cost:</w:t>
      </w:r>
      <w:r w:rsidRPr="00071D0F">
        <w:t xml:space="preserve"> No interest or issuance fees, maximizing net project returns.</w:t>
      </w:r>
    </w:p>
    <w:p w14:paraId="11A08E25" w14:textId="77777777" w:rsidR="00071D0F" w:rsidRPr="00071D0F" w:rsidRDefault="00071D0F" w:rsidP="00071D0F">
      <w:pPr>
        <w:numPr>
          <w:ilvl w:val="0"/>
          <w:numId w:val="5"/>
        </w:numPr>
      </w:pPr>
      <w:r w:rsidRPr="00071D0F">
        <w:rPr>
          <w:b/>
          <w:bCs/>
        </w:rPr>
        <w:t>Speed and simplicity:</w:t>
      </w:r>
      <w:r w:rsidRPr="00071D0F">
        <w:t xml:space="preserve"> Avoids lender or investor approval processes, enabling rapid deployment.</w:t>
      </w:r>
    </w:p>
    <w:p w14:paraId="5779D5E4" w14:textId="77777777" w:rsidR="00071D0F" w:rsidRPr="00071D0F" w:rsidRDefault="00071D0F" w:rsidP="00071D0F">
      <w:pPr>
        <w:numPr>
          <w:ilvl w:val="0"/>
          <w:numId w:val="5"/>
        </w:numPr>
      </w:pPr>
      <w:r w:rsidRPr="00071D0F">
        <w:rPr>
          <w:b/>
          <w:bCs/>
        </w:rPr>
        <w:t>Control preserved:</w:t>
      </w:r>
      <w:r w:rsidRPr="00071D0F">
        <w:t xml:space="preserve"> No dilution of ownership or external </w:t>
      </w:r>
      <w:proofErr w:type="gramStart"/>
      <w:r w:rsidRPr="00071D0F">
        <w:t>covenants</w:t>
      </w:r>
      <w:r w:rsidR="00B35732" w:rsidRPr="00B35732">
        <w:t>(</w:t>
      </w:r>
      <w:proofErr w:type="gramEnd"/>
      <w:r w:rsidR="00B35732" w:rsidRPr="00B35732">
        <w:t>Besley and Brigham, 2015)</w:t>
      </w:r>
      <w:r w:rsidRPr="00071D0F">
        <w:t>.</w:t>
      </w:r>
    </w:p>
    <w:p w14:paraId="780F6B5C" w14:textId="77777777" w:rsidR="00071D0F" w:rsidRPr="00071D0F" w:rsidRDefault="00071D0F" w:rsidP="00071D0F">
      <w:r w:rsidRPr="00071D0F">
        <w:rPr>
          <w:b/>
          <w:bCs/>
        </w:rPr>
        <w:t>Disadvantages:</w:t>
      </w:r>
    </w:p>
    <w:p w14:paraId="029698F8" w14:textId="77777777" w:rsidR="00071D0F" w:rsidRPr="00071D0F" w:rsidRDefault="00071D0F" w:rsidP="00071D0F">
      <w:pPr>
        <w:numPr>
          <w:ilvl w:val="0"/>
          <w:numId w:val="6"/>
        </w:numPr>
      </w:pPr>
      <w:r w:rsidRPr="00071D0F">
        <w:rPr>
          <w:b/>
          <w:bCs/>
        </w:rPr>
        <w:t>Opportunity cost:</w:t>
      </w:r>
      <w:r w:rsidRPr="00071D0F">
        <w:t xml:space="preserve"> Diverts funds from dividends or other growth projects, potentially displeasing shareholders.</w:t>
      </w:r>
    </w:p>
    <w:p w14:paraId="66770EF9" w14:textId="77777777" w:rsidR="00071D0F" w:rsidRPr="00071D0F" w:rsidRDefault="00071D0F" w:rsidP="00071D0F">
      <w:pPr>
        <w:numPr>
          <w:ilvl w:val="0"/>
          <w:numId w:val="6"/>
        </w:numPr>
      </w:pPr>
      <w:r w:rsidRPr="00071D0F">
        <w:rPr>
          <w:b/>
          <w:bCs/>
        </w:rPr>
        <w:t>Capacity limits:</w:t>
      </w:r>
      <w:r w:rsidRPr="00071D0F">
        <w:t xml:space="preserve"> May not fully cover a £1 million outlay if retained reserves are modest.</w:t>
      </w:r>
    </w:p>
    <w:p w14:paraId="00865F19" w14:textId="77777777" w:rsidR="00071D0F" w:rsidRPr="00071D0F" w:rsidRDefault="00071D0F" w:rsidP="00071D0F">
      <w:pPr>
        <w:numPr>
          <w:ilvl w:val="0"/>
          <w:numId w:val="6"/>
        </w:numPr>
      </w:pPr>
      <w:r w:rsidRPr="00071D0F">
        <w:rPr>
          <w:b/>
          <w:bCs/>
        </w:rPr>
        <w:t>Liquidity impact:</w:t>
      </w:r>
      <w:r w:rsidRPr="00071D0F">
        <w:t xml:space="preserve"> Overuse could erode cash buffers, reducing flexibility to absorb unexpected </w:t>
      </w:r>
      <w:proofErr w:type="gramStart"/>
      <w:r w:rsidRPr="00071D0F">
        <w:t>expenses</w:t>
      </w:r>
      <w:r w:rsidR="00B35732" w:rsidRPr="00B35732">
        <w:t>(</w:t>
      </w:r>
      <w:proofErr w:type="gramEnd"/>
      <w:r w:rsidR="00B35732" w:rsidRPr="00B35732">
        <w:t>Bodie et al., 2025)</w:t>
      </w:r>
      <w:r w:rsidRPr="00071D0F">
        <w:t>.</w:t>
      </w:r>
    </w:p>
    <w:p w14:paraId="3DFAF722" w14:textId="77777777" w:rsidR="00071D0F" w:rsidRPr="00071D0F" w:rsidRDefault="00071D0F" w:rsidP="00071D0F">
      <w:r w:rsidRPr="00071D0F">
        <w:rPr>
          <w:b/>
          <w:bCs/>
        </w:rPr>
        <w:t>2. Bank Term Loan</w:t>
      </w:r>
    </w:p>
    <w:p w14:paraId="5FE79DE8" w14:textId="77777777" w:rsidR="00071D0F" w:rsidRPr="00071D0F" w:rsidRDefault="00071D0F" w:rsidP="00071D0F">
      <w:pPr>
        <w:rPr>
          <w:lang w:val="en-US"/>
        </w:rPr>
      </w:pPr>
      <w:r w:rsidRPr="00071D0F">
        <w:rPr>
          <w:b/>
          <w:bCs/>
        </w:rPr>
        <w:t>Description:</w:t>
      </w:r>
      <w:r w:rsidRPr="00071D0F">
        <w:br/>
      </w:r>
      <w:r w:rsidR="0008710F" w:rsidRPr="0008710F">
        <w:rPr>
          <w:lang w:val="en-US"/>
        </w:rPr>
        <w:t>Kumar (2024) suggests obtaining a fixed-rate, amortizing loan from a commercial bank to cover start-up and platform expenditures for a period of 4-5 years.</w:t>
      </w:r>
    </w:p>
    <w:p w14:paraId="53A1A851" w14:textId="77777777" w:rsidR="00071D0F" w:rsidRPr="00071D0F" w:rsidRDefault="00071D0F" w:rsidP="00071D0F">
      <w:r w:rsidRPr="00071D0F">
        <w:rPr>
          <w:b/>
          <w:bCs/>
        </w:rPr>
        <w:t>Advantages:</w:t>
      </w:r>
    </w:p>
    <w:p w14:paraId="7BC31FDC" w14:textId="77777777" w:rsidR="00071D0F" w:rsidRPr="00071D0F" w:rsidRDefault="00071D0F" w:rsidP="00071D0F">
      <w:pPr>
        <w:numPr>
          <w:ilvl w:val="0"/>
          <w:numId w:val="7"/>
        </w:numPr>
      </w:pPr>
      <w:r w:rsidRPr="00071D0F">
        <w:rPr>
          <w:b/>
          <w:bCs/>
        </w:rPr>
        <w:t>Predictable servicing:</w:t>
      </w:r>
      <w:r w:rsidRPr="00071D0F">
        <w:t xml:space="preserve"> Regular payments allow precise cash‐flow planning.</w:t>
      </w:r>
    </w:p>
    <w:p w14:paraId="07AA4578" w14:textId="77777777" w:rsidR="00071D0F" w:rsidRPr="00071D0F" w:rsidRDefault="00071D0F" w:rsidP="00071D0F">
      <w:pPr>
        <w:numPr>
          <w:ilvl w:val="0"/>
          <w:numId w:val="7"/>
        </w:numPr>
      </w:pPr>
      <w:r w:rsidRPr="00071D0F">
        <w:rPr>
          <w:b/>
          <w:bCs/>
        </w:rPr>
        <w:lastRenderedPageBreak/>
        <w:t>Tax deductibility:</w:t>
      </w:r>
      <w:r w:rsidRPr="00071D0F">
        <w:t xml:space="preserve"> Interest expense reduces taxable income, lowering the effective cost of </w:t>
      </w:r>
      <w:proofErr w:type="gramStart"/>
      <w:r w:rsidRPr="00071D0F">
        <w:t>capital</w:t>
      </w:r>
      <w:r w:rsidR="001F0990" w:rsidRPr="001F0990">
        <w:t>(</w:t>
      </w:r>
      <w:proofErr w:type="gramEnd"/>
      <w:r w:rsidR="001F0990" w:rsidRPr="001F0990">
        <w:t>Kumar, 2024)</w:t>
      </w:r>
      <w:r w:rsidRPr="00071D0F">
        <w:t>.</w:t>
      </w:r>
    </w:p>
    <w:p w14:paraId="2A37BA87" w14:textId="77777777" w:rsidR="00071D0F" w:rsidRPr="00071D0F" w:rsidRDefault="00071D0F" w:rsidP="00071D0F">
      <w:pPr>
        <w:numPr>
          <w:ilvl w:val="0"/>
          <w:numId w:val="7"/>
        </w:numPr>
      </w:pPr>
      <w:r w:rsidRPr="00071D0F">
        <w:rPr>
          <w:b/>
          <w:bCs/>
        </w:rPr>
        <w:t>Tailored structure:</w:t>
      </w:r>
      <w:r w:rsidRPr="00071D0F">
        <w:t xml:space="preserve"> Can include a grace period before repayments commence, matching the ramp-up of online revenues.</w:t>
      </w:r>
    </w:p>
    <w:p w14:paraId="36FB8DC8" w14:textId="77777777" w:rsidR="00071D0F" w:rsidRPr="00071D0F" w:rsidRDefault="00071D0F" w:rsidP="00071D0F">
      <w:r w:rsidRPr="00071D0F">
        <w:rPr>
          <w:b/>
          <w:bCs/>
        </w:rPr>
        <w:t>Disadvantages:</w:t>
      </w:r>
    </w:p>
    <w:p w14:paraId="6B7B0918" w14:textId="77777777" w:rsidR="00071D0F" w:rsidRPr="00071D0F" w:rsidRDefault="00071D0F" w:rsidP="00071D0F">
      <w:pPr>
        <w:numPr>
          <w:ilvl w:val="0"/>
          <w:numId w:val="8"/>
        </w:numPr>
      </w:pPr>
      <w:r w:rsidRPr="00071D0F">
        <w:rPr>
          <w:b/>
          <w:bCs/>
        </w:rPr>
        <w:t>Covenants and security:</w:t>
      </w:r>
      <w:r w:rsidRPr="00071D0F">
        <w:t xml:space="preserve"> Lender may require financial covenants (e.g., minimum current ratio) and collateral (e.g., property or receivables).</w:t>
      </w:r>
    </w:p>
    <w:p w14:paraId="6A18DCF2" w14:textId="77777777" w:rsidR="00071D0F" w:rsidRPr="00071D0F" w:rsidRDefault="00071D0F" w:rsidP="00071D0F">
      <w:pPr>
        <w:numPr>
          <w:ilvl w:val="0"/>
          <w:numId w:val="8"/>
        </w:numPr>
      </w:pPr>
      <w:r w:rsidRPr="00071D0F">
        <w:rPr>
          <w:b/>
          <w:bCs/>
        </w:rPr>
        <w:t>Rigid repayment:</w:t>
      </w:r>
      <w:r w:rsidRPr="00071D0F">
        <w:t xml:space="preserve"> Missed payments risk default, penalties, or interest rate step-ups.</w:t>
      </w:r>
    </w:p>
    <w:p w14:paraId="56E11A3C" w14:textId="77777777" w:rsidR="00071D0F" w:rsidRPr="00071D0F" w:rsidRDefault="00071D0F" w:rsidP="00071D0F">
      <w:pPr>
        <w:numPr>
          <w:ilvl w:val="0"/>
          <w:numId w:val="8"/>
        </w:numPr>
      </w:pPr>
      <w:r w:rsidRPr="00071D0F">
        <w:rPr>
          <w:b/>
          <w:bCs/>
        </w:rPr>
        <w:t>Approval timeline:</w:t>
      </w:r>
      <w:r w:rsidRPr="00071D0F">
        <w:t xml:space="preserve"> Credit underwriting and documentation can take several </w:t>
      </w:r>
      <w:proofErr w:type="gramStart"/>
      <w:r w:rsidRPr="00071D0F">
        <w:t>weeks</w:t>
      </w:r>
      <w:r w:rsidR="001F0990" w:rsidRPr="001F0990">
        <w:t>(</w:t>
      </w:r>
      <w:proofErr w:type="spellStart"/>
      <w:proofErr w:type="gramEnd"/>
      <w:r w:rsidR="001F0990" w:rsidRPr="001F0990">
        <w:t>Chapeyama</w:t>
      </w:r>
      <w:proofErr w:type="spellEnd"/>
      <w:r w:rsidR="001F0990" w:rsidRPr="001F0990">
        <w:t>, 2014)</w:t>
      </w:r>
      <w:r w:rsidRPr="00071D0F">
        <w:t>.</w:t>
      </w:r>
    </w:p>
    <w:p w14:paraId="14B86656" w14:textId="77777777" w:rsidR="00071D0F" w:rsidRPr="00071D0F" w:rsidRDefault="00071D0F" w:rsidP="00071D0F">
      <w:r w:rsidRPr="00071D0F">
        <w:rPr>
          <w:b/>
          <w:bCs/>
        </w:rPr>
        <w:t>3. Equity Injection (Rights Issue or Private Placement)</w:t>
      </w:r>
    </w:p>
    <w:p w14:paraId="013AB25C" w14:textId="77777777" w:rsidR="00071D0F" w:rsidRPr="00071D0F" w:rsidRDefault="00071D0F" w:rsidP="00071D0F">
      <w:r w:rsidRPr="00071D0F">
        <w:rPr>
          <w:b/>
          <w:bCs/>
        </w:rPr>
        <w:t>Description:</w:t>
      </w:r>
      <w:r w:rsidRPr="00071D0F">
        <w:br/>
      </w:r>
      <w:r w:rsidR="0008710F" w:rsidRPr="0008710F">
        <w:t>The giving issue of new shares for raising money for online sales capital without any obligatory repayments (Gitman and Zutter, 2015) could be through a rights issue to existing shareholders or a targeted private placement.</w:t>
      </w:r>
    </w:p>
    <w:p w14:paraId="43D920FA" w14:textId="77777777" w:rsidR="00071D0F" w:rsidRPr="00071D0F" w:rsidRDefault="00071D0F" w:rsidP="00071D0F">
      <w:r w:rsidRPr="00071D0F">
        <w:rPr>
          <w:b/>
          <w:bCs/>
        </w:rPr>
        <w:t>Advantages:</w:t>
      </w:r>
    </w:p>
    <w:p w14:paraId="7BD30171" w14:textId="77777777" w:rsidR="00071D0F" w:rsidRPr="00071D0F" w:rsidRDefault="00071D0F" w:rsidP="00071D0F">
      <w:pPr>
        <w:numPr>
          <w:ilvl w:val="0"/>
          <w:numId w:val="9"/>
        </w:numPr>
      </w:pPr>
      <w:r w:rsidRPr="00071D0F">
        <w:rPr>
          <w:b/>
          <w:bCs/>
        </w:rPr>
        <w:t>No fixed repayments:</w:t>
      </w:r>
      <w:r w:rsidRPr="00071D0F">
        <w:t xml:space="preserve"> Frees up early cash flows for growth rather than servicing debt.</w:t>
      </w:r>
    </w:p>
    <w:p w14:paraId="68EB438F" w14:textId="77777777" w:rsidR="00071D0F" w:rsidRPr="00071D0F" w:rsidRDefault="00071D0F" w:rsidP="00071D0F">
      <w:pPr>
        <w:numPr>
          <w:ilvl w:val="0"/>
          <w:numId w:val="9"/>
        </w:numPr>
      </w:pPr>
      <w:r w:rsidRPr="00071D0F">
        <w:rPr>
          <w:b/>
          <w:bCs/>
        </w:rPr>
        <w:t>Strengthens balance sheet:</w:t>
      </w:r>
      <w:r w:rsidRPr="00071D0F">
        <w:t xml:space="preserve"> Lowers gearing, improving credit </w:t>
      </w:r>
      <w:proofErr w:type="gramStart"/>
      <w:r w:rsidRPr="00071D0F">
        <w:t>metrics</w:t>
      </w:r>
      <w:r w:rsidR="001F0990" w:rsidRPr="001F0990">
        <w:t>(</w:t>
      </w:r>
      <w:proofErr w:type="gramEnd"/>
      <w:r w:rsidR="001F0990" w:rsidRPr="001F0990">
        <w:t>Gitman and Zutter, 2015)</w:t>
      </w:r>
      <w:r w:rsidRPr="00071D0F">
        <w:t>.</w:t>
      </w:r>
    </w:p>
    <w:p w14:paraId="248BBA5D" w14:textId="77777777" w:rsidR="00071D0F" w:rsidRPr="00071D0F" w:rsidRDefault="00071D0F" w:rsidP="00071D0F">
      <w:pPr>
        <w:numPr>
          <w:ilvl w:val="0"/>
          <w:numId w:val="9"/>
        </w:numPr>
      </w:pPr>
      <w:r w:rsidRPr="00071D0F">
        <w:rPr>
          <w:b/>
          <w:bCs/>
        </w:rPr>
        <w:t>Market signal:</w:t>
      </w:r>
      <w:r w:rsidRPr="00071D0F">
        <w:t xml:space="preserve"> A successful raise can demonstrate investor confidence in the digital strategy.</w:t>
      </w:r>
    </w:p>
    <w:p w14:paraId="1F794D77" w14:textId="77777777" w:rsidR="00071D0F" w:rsidRPr="00071D0F" w:rsidRDefault="00071D0F" w:rsidP="00071D0F">
      <w:r w:rsidRPr="00071D0F">
        <w:rPr>
          <w:b/>
          <w:bCs/>
        </w:rPr>
        <w:t>Disadvantages:</w:t>
      </w:r>
    </w:p>
    <w:p w14:paraId="0B9D933E" w14:textId="77777777" w:rsidR="00071D0F" w:rsidRPr="00071D0F" w:rsidRDefault="00071D0F" w:rsidP="00071D0F">
      <w:pPr>
        <w:numPr>
          <w:ilvl w:val="0"/>
          <w:numId w:val="10"/>
        </w:numPr>
      </w:pPr>
      <w:r w:rsidRPr="00071D0F">
        <w:rPr>
          <w:b/>
          <w:bCs/>
        </w:rPr>
        <w:t>Dilution risk:</w:t>
      </w:r>
      <w:r w:rsidRPr="00071D0F">
        <w:t xml:space="preserve"> Reduces existing shareholders’ ownership percentage unless fully subscribed.</w:t>
      </w:r>
    </w:p>
    <w:p w14:paraId="3726702A" w14:textId="77777777" w:rsidR="00071D0F" w:rsidRPr="00071D0F" w:rsidRDefault="00071D0F" w:rsidP="00071D0F">
      <w:pPr>
        <w:numPr>
          <w:ilvl w:val="0"/>
          <w:numId w:val="10"/>
        </w:numPr>
      </w:pPr>
      <w:r w:rsidRPr="00071D0F">
        <w:rPr>
          <w:b/>
          <w:bCs/>
        </w:rPr>
        <w:t>Market dependence:</w:t>
      </w:r>
      <w:r w:rsidRPr="00071D0F">
        <w:t xml:space="preserve"> Pricing and uptake hinge on investor sentiment; poorly timed issues may require heavy discounts.</w:t>
      </w:r>
    </w:p>
    <w:p w14:paraId="58A9CF67" w14:textId="77777777" w:rsidR="00071D0F" w:rsidRPr="00071D0F" w:rsidRDefault="00071D0F" w:rsidP="00071D0F">
      <w:pPr>
        <w:numPr>
          <w:ilvl w:val="0"/>
          <w:numId w:val="10"/>
        </w:numPr>
      </w:pPr>
      <w:r w:rsidRPr="00071D0F">
        <w:rPr>
          <w:b/>
          <w:bCs/>
        </w:rPr>
        <w:t>Longer lead time:</w:t>
      </w:r>
      <w:r w:rsidRPr="00071D0F">
        <w:t xml:space="preserve"> Prospectus preparation, regulatory approvals, and offer period extend project </w:t>
      </w:r>
      <w:proofErr w:type="gramStart"/>
      <w:r w:rsidRPr="00071D0F">
        <w:t>start</w:t>
      </w:r>
      <w:r w:rsidR="001F0990" w:rsidRPr="001F0990">
        <w:t>(</w:t>
      </w:r>
      <w:proofErr w:type="gramEnd"/>
      <w:r w:rsidR="001F0990" w:rsidRPr="001F0990">
        <w:t>Zutter and Smart, 2022)</w:t>
      </w:r>
      <w:r w:rsidRPr="00071D0F">
        <w:t>.</w:t>
      </w:r>
    </w:p>
    <w:p w14:paraId="05867B96" w14:textId="77777777" w:rsidR="00071D0F" w:rsidRPr="00071D0F" w:rsidRDefault="00071D0F" w:rsidP="00071D0F">
      <w:r w:rsidRPr="00071D0F">
        <w:rPr>
          <w:b/>
          <w:bCs/>
        </w:rPr>
        <w:t>4. Mezzanine Finance</w:t>
      </w:r>
    </w:p>
    <w:p w14:paraId="133FE2D1" w14:textId="77777777" w:rsidR="00071D0F" w:rsidRPr="00071D0F" w:rsidRDefault="00071D0F" w:rsidP="00071D0F">
      <w:r w:rsidRPr="00071D0F">
        <w:rPr>
          <w:b/>
          <w:bCs/>
        </w:rPr>
        <w:lastRenderedPageBreak/>
        <w:t>Description:</w:t>
      </w:r>
      <w:r w:rsidRPr="00071D0F">
        <w:br/>
      </w:r>
      <w:r w:rsidR="0008710F" w:rsidRPr="0008710F">
        <w:t>Subordinated debt with attached equity warrants that bridges the senior bank debt and pure equity (</w:t>
      </w:r>
      <w:proofErr w:type="spellStart"/>
      <w:r w:rsidR="0008710F" w:rsidRPr="0008710F">
        <w:t>Merbecks</w:t>
      </w:r>
      <w:proofErr w:type="spellEnd"/>
      <w:r w:rsidR="0008710F" w:rsidRPr="0008710F">
        <w:t>, 2023).</w:t>
      </w:r>
    </w:p>
    <w:p w14:paraId="14ED1DAE" w14:textId="77777777" w:rsidR="00071D0F" w:rsidRPr="00071D0F" w:rsidRDefault="00071D0F" w:rsidP="00071D0F">
      <w:r w:rsidRPr="00071D0F">
        <w:rPr>
          <w:b/>
          <w:bCs/>
        </w:rPr>
        <w:t>Advantages:</w:t>
      </w:r>
    </w:p>
    <w:p w14:paraId="67986710" w14:textId="77777777" w:rsidR="00071D0F" w:rsidRPr="00071D0F" w:rsidRDefault="00071D0F" w:rsidP="00071D0F">
      <w:pPr>
        <w:numPr>
          <w:ilvl w:val="0"/>
          <w:numId w:val="11"/>
        </w:numPr>
      </w:pPr>
      <w:r w:rsidRPr="00071D0F">
        <w:rPr>
          <w:b/>
          <w:bCs/>
        </w:rPr>
        <w:t>Flexible terms:</w:t>
      </w:r>
      <w:r w:rsidRPr="00071D0F">
        <w:t xml:space="preserve"> Often fewer covenants than senior loans, with repayment deferral options.</w:t>
      </w:r>
    </w:p>
    <w:p w14:paraId="5CB6BC42" w14:textId="77777777" w:rsidR="00071D0F" w:rsidRPr="00071D0F" w:rsidRDefault="00071D0F" w:rsidP="00071D0F">
      <w:pPr>
        <w:numPr>
          <w:ilvl w:val="0"/>
          <w:numId w:val="11"/>
        </w:numPr>
      </w:pPr>
      <w:r w:rsidRPr="00071D0F">
        <w:rPr>
          <w:b/>
          <w:bCs/>
        </w:rPr>
        <w:t>Limited dilution:</w:t>
      </w:r>
      <w:r w:rsidRPr="00071D0F">
        <w:t xml:space="preserve"> Warrants only convert if company outperforms, aligning </w:t>
      </w:r>
      <w:proofErr w:type="gramStart"/>
      <w:r w:rsidRPr="00071D0F">
        <w:t>interests</w:t>
      </w:r>
      <w:r w:rsidR="001F0990" w:rsidRPr="001F0990">
        <w:t>(</w:t>
      </w:r>
      <w:proofErr w:type="gramEnd"/>
      <w:r w:rsidR="001F0990" w:rsidRPr="001F0990">
        <w:t>Zavyalova et al., 2021)</w:t>
      </w:r>
      <w:r w:rsidRPr="00071D0F">
        <w:t>.</w:t>
      </w:r>
    </w:p>
    <w:p w14:paraId="69611BF2" w14:textId="77777777" w:rsidR="00071D0F" w:rsidRPr="00071D0F" w:rsidRDefault="00071D0F" w:rsidP="00071D0F">
      <w:r w:rsidRPr="00071D0F">
        <w:rPr>
          <w:b/>
          <w:bCs/>
        </w:rPr>
        <w:t>Disadvantages:</w:t>
      </w:r>
    </w:p>
    <w:p w14:paraId="4D7A094D" w14:textId="77777777" w:rsidR="00071D0F" w:rsidRPr="00071D0F" w:rsidRDefault="00071D0F" w:rsidP="00071D0F">
      <w:pPr>
        <w:numPr>
          <w:ilvl w:val="0"/>
          <w:numId w:val="12"/>
        </w:numPr>
      </w:pPr>
      <w:r w:rsidRPr="00071D0F">
        <w:rPr>
          <w:b/>
          <w:bCs/>
        </w:rPr>
        <w:t>High cost:</w:t>
      </w:r>
      <w:r w:rsidRPr="00071D0F">
        <w:t xml:space="preserve"> Coupon rates plus equity dilution can make it one of the most expensive capital sources.</w:t>
      </w:r>
    </w:p>
    <w:p w14:paraId="5DC3A883" w14:textId="77777777" w:rsidR="00071D0F" w:rsidRPr="00071D0F" w:rsidRDefault="00071D0F" w:rsidP="00071D0F">
      <w:pPr>
        <w:numPr>
          <w:ilvl w:val="0"/>
          <w:numId w:val="12"/>
        </w:numPr>
      </w:pPr>
      <w:r w:rsidRPr="00071D0F">
        <w:rPr>
          <w:b/>
          <w:bCs/>
        </w:rPr>
        <w:t>Subordination risk:</w:t>
      </w:r>
      <w:r w:rsidRPr="00071D0F">
        <w:t xml:space="preserve"> In default, mezzanine lenders rank below senior debt, limiting </w:t>
      </w:r>
      <w:proofErr w:type="gramStart"/>
      <w:r w:rsidRPr="00071D0F">
        <w:t>availability</w:t>
      </w:r>
      <w:r w:rsidR="001F0990" w:rsidRPr="001F0990">
        <w:t>(</w:t>
      </w:r>
      <w:proofErr w:type="gramEnd"/>
      <w:r w:rsidR="001F0990" w:rsidRPr="001F0990">
        <w:t>Zavyalova et al., 2021)</w:t>
      </w:r>
      <w:r w:rsidRPr="00071D0F">
        <w:t>.</w:t>
      </w:r>
    </w:p>
    <w:p w14:paraId="362485C1" w14:textId="77777777" w:rsidR="00071D0F" w:rsidRPr="00071D0F" w:rsidRDefault="00071D0F" w:rsidP="00071D0F">
      <w:r w:rsidRPr="00071D0F">
        <w:rPr>
          <w:b/>
          <w:bCs/>
        </w:rPr>
        <w:t>Recommendation</w:t>
      </w:r>
    </w:p>
    <w:p w14:paraId="322C00A0" w14:textId="77777777" w:rsidR="0008710F" w:rsidRDefault="0008710F" w:rsidP="0008710F">
      <w:r>
        <w:t xml:space="preserve">For the £1 million internet rollout under Option B, </w:t>
      </w:r>
      <w:proofErr w:type="spellStart"/>
      <w:r>
        <w:t>Jordons</w:t>
      </w:r>
      <w:proofErr w:type="spellEnd"/>
      <w:r>
        <w:t xml:space="preserve"> should implement a capital structure that shares funds through internal accruals, debt, and some equity to balance cost, flexibility, and balance sheet health.</w:t>
      </w:r>
    </w:p>
    <w:p w14:paraId="5D20C6DA" w14:textId="77777777" w:rsidR="0008710F" w:rsidRPr="0008710F" w:rsidRDefault="0008710F" w:rsidP="0008710F">
      <w:pPr>
        <w:rPr>
          <w:b/>
          <w:bCs/>
        </w:rPr>
      </w:pPr>
      <w:r w:rsidRPr="0008710F">
        <w:rPr>
          <w:b/>
          <w:bCs/>
        </w:rPr>
        <w:t>1.Retained Earnings (20–30%)</w:t>
      </w:r>
    </w:p>
    <w:p w14:paraId="4D797309" w14:textId="77777777" w:rsidR="0008710F" w:rsidRDefault="0008710F" w:rsidP="0008710F">
      <w:r>
        <w:t>Using £200–300 k of retained earnings immediately accelerates the project launch without having to incur additional financing charges or dilution in ownership. This slice of internal funds should be applied towards initial website design and packaging along with pilot marketing campaigns. However, in order to protect liquidity, the use of retained earnings should be kept to about one-fourth of the entire outlay so as to retain sufficient cash buffers for working capital and unforeseen expenses.</w:t>
      </w:r>
    </w:p>
    <w:p w14:paraId="473EF1F1" w14:textId="77777777" w:rsidR="0008710F" w:rsidRPr="0008710F" w:rsidRDefault="0008710F" w:rsidP="0008710F">
      <w:pPr>
        <w:rPr>
          <w:b/>
          <w:bCs/>
        </w:rPr>
      </w:pPr>
      <w:r w:rsidRPr="0008710F">
        <w:rPr>
          <w:b/>
          <w:bCs/>
        </w:rPr>
        <w:t>2.Bank Term Loan (50–60%)</w:t>
      </w:r>
    </w:p>
    <w:p w14:paraId="54D483F0" w14:textId="77777777" w:rsidR="0008710F" w:rsidRDefault="0008710F" w:rsidP="0008710F">
      <w:r>
        <w:t xml:space="preserve">Borrow £500–600 k through a medium-term amortizing facility for 4–5 years with negotiation over a grace period of 6-12 months before principal repayments begin so as to match ramp-up in online sales. Interest is tax-deductible, thereby lowering effective capital cost, while fixed-payment schedules make forecasting cash flow exact. Covenants should be relaxed from current standard under the heavy gearing by tying financial covenants to adjusted EBITDA </w:t>
      </w:r>
      <w:r>
        <w:lastRenderedPageBreak/>
        <w:t>rather than straightforward debt-to-equity, while pledges should be limited to digital assets (e.g., domain portfolio, receivables) instead of core real estate.</w:t>
      </w:r>
    </w:p>
    <w:p w14:paraId="77D682C6" w14:textId="77777777" w:rsidR="0008710F" w:rsidRPr="0008710F" w:rsidRDefault="0008710F" w:rsidP="0008710F">
      <w:pPr>
        <w:rPr>
          <w:b/>
          <w:bCs/>
        </w:rPr>
      </w:pPr>
      <w:r w:rsidRPr="0008710F">
        <w:rPr>
          <w:b/>
          <w:bCs/>
        </w:rPr>
        <w:t>3.Private Placement or Rights Issue to Raise Equity (10–20%)</w:t>
      </w:r>
    </w:p>
    <w:p w14:paraId="7B63D80B" w14:textId="77777777" w:rsidR="0008710F" w:rsidRDefault="0008710F" w:rsidP="0008710F">
      <w:r>
        <w:t>Introduce £100–200 k equity to strategic investors or existing shareholders on a non-discounted basis. The trade-off of some dilution for increased capitalization in its first instance improves debt service coverage ratios and preserves headroom on bank covenants. Target specialized digital economy funds or high-net-worth individuals who comprehend the growth story in e-commerce. The private placement will expedite time to market, compared with a full rights issue, allowing for concurrent capital drawdown with project milestones.</w:t>
      </w:r>
    </w:p>
    <w:p w14:paraId="40641069" w14:textId="77777777" w:rsidR="0008710F" w:rsidRPr="0008710F" w:rsidRDefault="0008710F" w:rsidP="0008710F">
      <w:pPr>
        <w:rPr>
          <w:b/>
          <w:bCs/>
        </w:rPr>
      </w:pPr>
      <w:r w:rsidRPr="0008710F">
        <w:rPr>
          <w:b/>
          <w:bCs/>
        </w:rPr>
        <w:t>4.Complementary Initiatives</w:t>
      </w:r>
    </w:p>
    <w:p w14:paraId="59D67412" w14:textId="77777777" w:rsidR="0008710F" w:rsidRDefault="0008710F" w:rsidP="0008710F">
      <w:r>
        <w:t xml:space="preserve">– </w:t>
      </w:r>
      <w:r w:rsidRPr="0008710F">
        <w:rPr>
          <w:i/>
          <w:iCs/>
        </w:rPr>
        <w:t>Leasing</w:t>
      </w:r>
      <w:r>
        <w:t>: For non-core infrastructure (warehouse racking, pick-and-pack equipment), consider operating leases to conserve cash.</w:t>
      </w:r>
    </w:p>
    <w:p w14:paraId="132FADE9" w14:textId="77777777" w:rsidR="0008710F" w:rsidRDefault="0008710F" w:rsidP="0008710F">
      <w:r>
        <w:t xml:space="preserve">– </w:t>
      </w:r>
      <w:r w:rsidRPr="0008710F">
        <w:rPr>
          <w:i/>
          <w:iCs/>
        </w:rPr>
        <w:t>Grant Funding</w:t>
      </w:r>
      <w:r>
        <w:t>: Pursue government digitalisation grants or local enterprise support schemes to help with platform development costs.</w:t>
      </w:r>
    </w:p>
    <w:p w14:paraId="272F6F2E" w14:textId="77777777" w:rsidR="00A61A68" w:rsidRPr="00071D0F" w:rsidRDefault="0008710F" w:rsidP="0008710F">
      <w:r>
        <w:t xml:space="preserve">This blended strategy seeks to balance speed (internal funds), cost (debt), and resilience (equity), thus enabling </w:t>
      </w:r>
      <w:proofErr w:type="spellStart"/>
      <w:r>
        <w:t>Jordons</w:t>
      </w:r>
      <w:proofErr w:type="spellEnd"/>
      <w:r>
        <w:t xml:space="preserve"> plc to roll out and grow its internet sales with minimum dilution, tightly controlled leverage, and strong stakeholder alignment.</w:t>
      </w:r>
    </w:p>
    <w:p w14:paraId="61C8FFA4" w14:textId="77777777" w:rsidR="00A61A68" w:rsidRPr="00071D0F" w:rsidRDefault="00A61A68" w:rsidP="00A61A68">
      <w:pPr>
        <w:pStyle w:val="Heading2"/>
      </w:pPr>
      <w:bookmarkStart w:id="21" w:name="_Toc203668431"/>
      <w:r w:rsidRPr="00071D0F">
        <w:t>Conclusion</w:t>
      </w:r>
      <w:bookmarkEnd w:id="21"/>
    </w:p>
    <w:p w14:paraId="77041ECD" w14:textId="77777777" w:rsidR="00A275DC" w:rsidRPr="00A275DC" w:rsidRDefault="00A275DC" w:rsidP="00A275DC">
      <w:pPr>
        <w:rPr>
          <w:lang w:val="en-US"/>
        </w:rPr>
      </w:pPr>
      <w:r w:rsidRPr="00A275DC">
        <w:rPr>
          <w:lang w:val="en-US"/>
        </w:rPr>
        <w:t xml:space="preserve">Overall, the expansion of </w:t>
      </w:r>
      <w:proofErr w:type="spellStart"/>
      <w:r w:rsidRPr="00A275DC">
        <w:rPr>
          <w:lang w:val="en-US"/>
        </w:rPr>
        <w:t>Jordons</w:t>
      </w:r>
      <w:proofErr w:type="spellEnd"/>
      <w:r w:rsidRPr="00A275DC">
        <w:rPr>
          <w:lang w:val="en-US"/>
        </w:rPr>
        <w:t xml:space="preserve"> Plc into e-commerce is considered to have strong financial and strategic justification. The project shows a positive NPV given a cost of capital of 6%, and also presents an IRR of approximately 23.5%, which is much higher than the firm hurdle rate, thus proving the value methodological construct of the operation. In support of the qualitative argument, the project tightly correlates with the company’s digital development objectives, addresses changes in consumer behavior, leans upon the operational strengths of an existing setup, and has rewarded real-option flexibility in its design to minimize execution risk. Additionally, all regulatory and compliance aspects have been managed in advance to ensure that data protection regulation and e-commerce regulation will not stand in the project’s way. Given the financing needs of a £1 million rollout, a balanced mix consisting of retained earnings, a medium-term bank loan with a well-structured grace period, and a small private placement, all working together to optimize cost, maximize liquidity, and maintain manageable leverage, respectively, is advised. All of these analyses serve as the final support of a strong </w:t>
      </w:r>
      <w:r w:rsidRPr="00A275DC">
        <w:rPr>
          <w:lang w:val="en-US"/>
        </w:rPr>
        <w:lastRenderedPageBreak/>
        <w:t>recommendation to proceed with Internet sales expansion, convinced that it will improve profitability, strengthen market positioning, and create sustainable shareholder value.</w:t>
      </w:r>
    </w:p>
    <w:p w14:paraId="741E91B6" w14:textId="77777777" w:rsidR="00A61A68" w:rsidRPr="00071D0F" w:rsidRDefault="00A61A68" w:rsidP="00A61A68"/>
    <w:p w14:paraId="53C8DB0B" w14:textId="77777777" w:rsidR="00B459EF" w:rsidRDefault="00B459EF">
      <w:r>
        <w:br w:type="page"/>
      </w:r>
    </w:p>
    <w:p w14:paraId="5B880C70" w14:textId="77777777" w:rsidR="00C1224C" w:rsidRDefault="00B459EF" w:rsidP="00B459EF">
      <w:pPr>
        <w:pStyle w:val="Heading1"/>
      </w:pPr>
      <w:bookmarkStart w:id="22" w:name="_Toc203668432"/>
      <w:r>
        <w:lastRenderedPageBreak/>
        <w:t>References</w:t>
      </w:r>
      <w:bookmarkEnd w:id="22"/>
    </w:p>
    <w:p w14:paraId="0D51FD8E" w14:textId="77777777" w:rsidR="006D39FF" w:rsidRPr="005F29C8" w:rsidRDefault="006D39FF" w:rsidP="006D39FF">
      <w:pPr>
        <w:rPr>
          <w:lang w:val="en-US"/>
        </w:rPr>
      </w:pPr>
      <w:r w:rsidRPr="005F29C8">
        <w:rPr>
          <w:lang w:val="en-US"/>
        </w:rPr>
        <w:t xml:space="preserve">Abdul </w:t>
      </w:r>
      <w:proofErr w:type="spellStart"/>
      <w:r w:rsidRPr="005F29C8">
        <w:rPr>
          <w:lang w:val="en-US"/>
        </w:rPr>
        <w:t>kareem</w:t>
      </w:r>
      <w:proofErr w:type="spellEnd"/>
      <w:r w:rsidRPr="005F29C8">
        <w:rPr>
          <w:lang w:val="en-US"/>
        </w:rPr>
        <w:t xml:space="preserve">, A.A. </w:t>
      </w:r>
      <w:r w:rsidRPr="005F29C8">
        <w:rPr>
          <w:i/>
          <w:iCs/>
          <w:lang w:val="en-US"/>
        </w:rPr>
        <w:t>et al.</w:t>
      </w:r>
      <w:r w:rsidRPr="005F29C8">
        <w:rPr>
          <w:lang w:val="en-US"/>
        </w:rPr>
        <w:t xml:space="preserve"> (2023) ‘Factors influencing investment decisions in financial investment companies’, </w:t>
      </w:r>
      <w:r w:rsidRPr="005F29C8">
        <w:rPr>
          <w:i/>
          <w:iCs/>
          <w:lang w:val="en-US"/>
        </w:rPr>
        <w:t>Systems</w:t>
      </w:r>
      <w:r w:rsidRPr="005F29C8">
        <w:rPr>
          <w:lang w:val="en-US"/>
        </w:rPr>
        <w:t xml:space="preserve">, 11(3), p. 146. doi:10.3390/systems11030146. </w:t>
      </w:r>
    </w:p>
    <w:p w14:paraId="1D78F466" w14:textId="77777777" w:rsidR="006D39FF" w:rsidRPr="005F29C8" w:rsidRDefault="006D39FF" w:rsidP="006D39FF">
      <w:pPr>
        <w:rPr>
          <w:lang w:val="en-US"/>
        </w:rPr>
      </w:pPr>
      <w:r w:rsidRPr="005F29C8">
        <w:rPr>
          <w:lang w:val="en-US"/>
        </w:rPr>
        <w:t xml:space="preserve">Arjunan, K. (2022) ‘A new method to estimate NPV and IRR from the capital amortization schedule and the advantages of the new method’, </w:t>
      </w:r>
      <w:r w:rsidRPr="005F29C8">
        <w:rPr>
          <w:i/>
          <w:iCs/>
          <w:lang w:val="en-US"/>
        </w:rPr>
        <w:t>Australasian Business, Accounting and Finance Journal</w:t>
      </w:r>
      <w:r w:rsidRPr="005F29C8">
        <w:rPr>
          <w:lang w:val="en-US"/>
        </w:rPr>
        <w:t>, 16(6), pp. 23–44. doi:10.14453/</w:t>
      </w:r>
      <w:proofErr w:type="gramStart"/>
      <w:r w:rsidRPr="005F29C8">
        <w:rPr>
          <w:lang w:val="en-US"/>
        </w:rPr>
        <w:t>aabfj.v</w:t>
      </w:r>
      <w:proofErr w:type="gramEnd"/>
      <w:r w:rsidRPr="005F29C8">
        <w:rPr>
          <w:lang w:val="en-US"/>
        </w:rPr>
        <w:t xml:space="preserve">16i6.03. </w:t>
      </w:r>
    </w:p>
    <w:p w14:paraId="4444AF4B" w14:textId="77777777" w:rsidR="006D39FF" w:rsidRPr="00EB04F2" w:rsidRDefault="006D39FF" w:rsidP="006D39FF">
      <w:pPr>
        <w:rPr>
          <w:lang w:val="en-US"/>
        </w:rPr>
      </w:pPr>
      <w:r w:rsidRPr="00EB04F2">
        <w:rPr>
          <w:lang w:val="en-US"/>
        </w:rPr>
        <w:t xml:space="preserve">BBC (2023) </w:t>
      </w:r>
      <w:r w:rsidRPr="00EB04F2">
        <w:rPr>
          <w:i/>
          <w:iCs/>
          <w:lang w:val="en-US"/>
        </w:rPr>
        <w:t xml:space="preserve">Internal and external sources of finance - sources of finance - </w:t>
      </w:r>
      <w:proofErr w:type="spellStart"/>
      <w:r w:rsidRPr="00EB04F2">
        <w:rPr>
          <w:i/>
          <w:iCs/>
          <w:lang w:val="en-US"/>
        </w:rPr>
        <w:t>eduqas</w:t>
      </w:r>
      <w:proofErr w:type="spellEnd"/>
      <w:r w:rsidRPr="00EB04F2">
        <w:rPr>
          <w:i/>
          <w:iCs/>
          <w:lang w:val="en-US"/>
        </w:rPr>
        <w:t xml:space="preserve"> - GCSE business revision - </w:t>
      </w:r>
      <w:proofErr w:type="spellStart"/>
      <w:r w:rsidRPr="00EB04F2">
        <w:rPr>
          <w:i/>
          <w:iCs/>
          <w:lang w:val="en-US"/>
        </w:rPr>
        <w:t>eduqas</w:t>
      </w:r>
      <w:proofErr w:type="spellEnd"/>
      <w:r w:rsidRPr="00EB04F2">
        <w:rPr>
          <w:i/>
          <w:iCs/>
          <w:lang w:val="en-US"/>
        </w:rPr>
        <w:t xml:space="preserve"> - BBC bitesize</w:t>
      </w:r>
      <w:r w:rsidRPr="00EB04F2">
        <w:rPr>
          <w:lang w:val="en-US"/>
        </w:rPr>
        <w:t xml:space="preserve">, </w:t>
      </w:r>
      <w:r w:rsidRPr="00EB04F2">
        <w:rPr>
          <w:i/>
          <w:iCs/>
          <w:lang w:val="en-US"/>
        </w:rPr>
        <w:t>BBC News</w:t>
      </w:r>
      <w:r w:rsidRPr="00EB04F2">
        <w:rPr>
          <w:lang w:val="en-US"/>
        </w:rPr>
        <w:t xml:space="preserve">. Available at: https://www.bbc.co.uk/bitesize/guides/zj7yy9q/revision/1 (Accessed: 17 July 2025). </w:t>
      </w:r>
    </w:p>
    <w:p w14:paraId="1A05999B" w14:textId="77777777" w:rsidR="006D39FF" w:rsidRPr="00EB04F2" w:rsidRDefault="006D39FF" w:rsidP="006D39FF">
      <w:pPr>
        <w:rPr>
          <w:lang w:val="en-US"/>
        </w:rPr>
      </w:pPr>
      <w:r w:rsidRPr="00EB04F2">
        <w:rPr>
          <w:lang w:val="en-US"/>
        </w:rPr>
        <w:t xml:space="preserve">Besley, S. and Brigham, E.F. (2015) </w:t>
      </w:r>
      <w:r w:rsidRPr="00EB04F2">
        <w:rPr>
          <w:i/>
          <w:iCs/>
          <w:lang w:val="en-US"/>
        </w:rPr>
        <w:t>Principles of finance</w:t>
      </w:r>
      <w:r w:rsidRPr="00EB04F2">
        <w:rPr>
          <w:lang w:val="en-US"/>
        </w:rPr>
        <w:t xml:space="preserve">. Boston, MA: Cengage Learning. </w:t>
      </w:r>
    </w:p>
    <w:p w14:paraId="63E27C1D" w14:textId="77777777" w:rsidR="006D39FF" w:rsidRPr="005F29C8" w:rsidRDefault="006D39FF" w:rsidP="006D39FF">
      <w:pPr>
        <w:rPr>
          <w:lang w:val="en-US"/>
        </w:rPr>
      </w:pPr>
      <w:r w:rsidRPr="005F29C8">
        <w:rPr>
          <w:lang w:val="en-US"/>
        </w:rPr>
        <w:t xml:space="preserve">Bialowolski, P. and </w:t>
      </w:r>
      <w:proofErr w:type="spellStart"/>
      <w:r w:rsidRPr="005F29C8">
        <w:rPr>
          <w:lang w:val="en-US"/>
        </w:rPr>
        <w:t>Weziak-Bialowolska</w:t>
      </w:r>
      <w:proofErr w:type="spellEnd"/>
      <w:r w:rsidRPr="005F29C8">
        <w:rPr>
          <w:lang w:val="en-US"/>
        </w:rPr>
        <w:t xml:space="preserve">, D. (2014) ‘External factors affecting investment decisions of companies’, </w:t>
      </w:r>
      <w:r w:rsidRPr="005F29C8">
        <w:rPr>
          <w:i/>
          <w:iCs/>
          <w:lang w:val="en-US"/>
        </w:rPr>
        <w:t>Economics</w:t>
      </w:r>
      <w:r w:rsidRPr="005F29C8">
        <w:rPr>
          <w:lang w:val="en-US"/>
        </w:rPr>
        <w:t xml:space="preserve">, 8(1). doi:10.5018/economics-ejournal.ja.2014-11. </w:t>
      </w:r>
    </w:p>
    <w:p w14:paraId="02C05635" w14:textId="77777777" w:rsidR="006D39FF" w:rsidRPr="005F29C8" w:rsidRDefault="006D39FF" w:rsidP="006D39FF">
      <w:pPr>
        <w:rPr>
          <w:lang w:val="en-US"/>
        </w:rPr>
      </w:pPr>
      <w:r w:rsidRPr="005F29C8">
        <w:rPr>
          <w:lang w:val="en-US"/>
        </w:rPr>
        <w:t xml:space="preserve">Bierman, H. and Smidt, S. (2007) </w:t>
      </w:r>
      <w:r w:rsidRPr="005F29C8">
        <w:rPr>
          <w:i/>
          <w:iCs/>
          <w:lang w:val="en-US"/>
        </w:rPr>
        <w:t>The Capital Budgeting Decision: Economic Analysis of Investment Projects</w:t>
      </w:r>
      <w:r w:rsidRPr="005F29C8">
        <w:rPr>
          <w:lang w:val="en-US"/>
        </w:rPr>
        <w:t xml:space="preserve">. New York: Routledge. </w:t>
      </w:r>
    </w:p>
    <w:p w14:paraId="27B7D16C" w14:textId="77777777" w:rsidR="006D39FF" w:rsidRPr="00EB04F2" w:rsidRDefault="006D39FF" w:rsidP="006D39FF">
      <w:pPr>
        <w:rPr>
          <w:lang w:val="en-US"/>
        </w:rPr>
      </w:pPr>
      <w:r w:rsidRPr="00EB04F2">
        <w:rPr>
          <w:lang w:val="en-US"/>
        </w:rPr>
        <w:t xml:space="preserve">Bodie, Z., Merton, R.C. and Thakor, R.T. (2025) </w:t>
      </w:r>
      <w:r w:rsidRPr="00EB04F2">
        <w:rPr>
          <w:i/>
          <w:iCs/>
          <w:lang w:val="en-US"/>
        </w:rPr>
        <w:t>Principles of finance</w:t>
      </w:r>
      <w:r w:rsidRPr="00EB04F2">
        <w:rPr>
          <w:lang w:val="en-US"/>
        </w:rPr>
        <w:t xml:space="preserve">. Cambridge, United Kingdom: Cambridge University Press. </w:t>
      </w:r>
    </w:p>
    <w:p w14:paraId="51E9EF7B" w14:textId="77777777" w:rsidR="006D39FF" w:rsidRPr="00EB04F2" w:rsidRDefault="006D39FF" w:rsidP="006D39FF">
      <w:pPr>
        <w:rPr>
          <w:lang w:val="en-US"/>
        </w:rPr>
      </w:pPr>
      <w:proofErr w:type="spellStart"/>
      <w:r w:rsidRPr="00EB04F2">
        <w:rPr>
          <w:lang w:val="en-US"/>
        </w:rPr>
        <w:t>Chapeyama</w:t>
      </w:r>
      <w:proofErr w:type="spellEnd"/>
      <w:r w:rsidRPr="00EB04F2">
        <w:rPr>
          <w:lang w:val="en-US"/>
        </w:rPr>
        <w:t xml:space="preserve">, M. (2014) </w:t>
      </w:r>
      <w:r w:rsidRPr="00EB04F2">
        <w:rPr>
          <w:i/>
          <w:iCs/>
          <w:lang w:val="en-US"/>
        </w:rPr>
        <w:t>Principles of Finance Essays</w:t>
      </w:r>
      <w:r w:rsidRPr="00EB04F2">
        <w:rPr>
          <w:lang w:val="en-US"/>
        </w:rPr>
        <w:t xml:space="preserve">. </w:t>
      </w:r>
      <w:proofErr w:type="spellStart"/>
      <w:r w:rsidRPr="00EB04F2">
        <w:rPr>
          <w:lang w:val="en-US"/>
        </w:rPr>
        <w:t>München</w:t>
      </w:r>
      <w:proofErr w:type="spellEnd"/>
      <w:r w:rsidRPr="00EB04F2">
        <w:rPr>
          <w:lang w:val="en-US"/>
        </w:rPr>
        <w:t xml:space="preserve">: GRIN Verlag GmbH. </w:t>
      </w:r>
    </w:p>
    <w:p w14:paraId="16952AF6" w14:textId="77777777" w:rsidR="006D39FF" w:rsidRPr="005F29C8" w:rsidRDefault="006D39FF" w:rsidP="006D39FF">
      <w:pPr>
        <w:rPr>
          <w:lang w:val="en-US"/>
        </w:rPr>
      </w:pPr>
      <w:r w:rsidRPr="005F29C8">
        <w:rPr>
          <w:lang w:val="en-US"/>
        </w:rPr>
        <w:t xml:space="preserve">Chen, S. (2008) ‘DCF techniques and nonfinancial measures in capital budgeting: A contingency approach analysis’, </w:t>
      </w:r>
      <w:r w:rsidRPr="005F29C8">
        <w:rPr>
          <w:i/>
          <w:iCs/>
          <w:lang w:val="en-US"/>
        </w:rPr>
        <w:t>Behavioral Research in Accounting</w:t>
      </w:r>
      <w:r w:rsidRPr="005F29C8">
        <w:rPr>
          <w:lang w:val="en-US"/>
        </w:rPr>
        <w:t xml:space="preserve">, 20(1), pp. 13–29. doi:10.2308/bria.2008.20.1.13. </w:t>
      </w:r>
    </w:p>
    <w:p w14:paraId="739DDAB5" w14:textId="77777777" w:rsidR="006D39FF" w:rsidRPr="005F29C8" w:rsidRDefault="006D39FF" w:rsidP="006D39FF">
      <w:pPr>
        <w:rPr>
          <w:lang w:val="en-US"/>
        </w:rPr>
      </w:pPr>
      <w:r w:rsidRPr="005F29C8">
        <w:rPr>
          <w:lang w:val="en-US"/>
        </w:rPr>
        <w:t xml:space="preserve">Dai, H. </w:t>
      </w:r>
      <w:r w:rsidRPr="005F29C8">
        <w:rPr>
          <w:i/>
          <w:iCs/>
          <w:lang w:val="en-US"/>
        </w:rPr>
        <w:t>et al.</w:t>
      </w:r>
      <w:r w:rsidRPr="005F29C8">
        <w:rPr>
          <w:lang w:val="en-US"/>
        </w:rPr>
        <w:t xml:space="preserve"> (2022) ‘The analysis of Three Main Investment Criteria: NPV IRR and Payback Period’, </w:t>
      </w:r>
      <w:r w:rsidRPr="005F29C8">
        <w:rPr>
          <w:i/>
          <w:iCs/>
          <w:lang w:val="en-US"/>
        </w:rPr>
        <w:t>Advances in Economics, Business and Management Research</w:t>
      </w:r>
      <w:r w:rsidRPr="005F29C8">
        <w:rPr>
          <w:lang w:val="en-US"/>
        </w:rPr>
        <w:t xml:space="preserve"> [Preprint]. doi:10.2991/aebmr.k.220307.028. </w:t>
      </w:r>
    </w:p>
    <w:p w14:paraId="09DC4C91" w14:textId="77777777" w:rsidR="006D39FF" w:rsidRPr="005F29C8" w:rsidRDefault="006D39FF" w:rsidP="006D39FF">
      <w:pPr>
        <w:rPr>
          <w:lang w:val="en-US"/>
        </w:rPr>
      </w:pPr>
      <w:r w:rsidRPr="005F29C8">
        <w:rPr>
          <w:lang w:val="en-US"/>
        </w:rPr>
        <w:t xml:space="preserve">Drake, P.P. and Fabozzi, F.J. (2002) </w:t>
      </w:r>
      <w:r w:rsidRPr="005F29C8">
        <w:rPr>
          <w:i/>
          <w:iCs/>
          <w:lang w:val="en-US"/>
        </w:rPr>
        <w:t>Capital budgeting theory and practice</w:t>
      </w:r>
      <w:r w:rsidRPr="005F29C8">
        <w:rPr>
          <w:lang w:val="en-US"/>
        </w:rPr>
        <w:t xml:space="preserve">. West Sussex: John Wiley &amp; Sons. </w:t>
      </w:r>
    </w:p>
    <w:p w14:paraId="6371FF0F" w14:textId="77777777" w:rsidR="006D39FF" w:rsidRPr="00EB04F2" w:rsidRDefault="006D39FF" w:rsidP="006D39FF">
      <w:pPr>
        <w:rPr>
          <w:lang w:val="en-US"/>
        </w:rPr>
      </w:pPr>
      <w:r w:rsidRPr="00EB04F2">
        <w:rPr>
          <w:lang w:val="en-US"/>
        </w:rPr>
        <w:t xml:space="preserve">Gitman, L.J. and Zutter, C.J. (2015) </w:t>
      </w:r>
      <w:r w:rsidRPr="00EB04F2">
        <w:rPr>
          <w:i/>
          <w:iCs/>
          <w:lang w:val="en-US"/>
        </w:rPr>
        <w:t>Principles of Managerial Finance, brief</w:t>
      </w:r>
      <w:r w:rsidRPr="00EB04F2">
        <w:rPr>
          <w:lang w:val="en-US"/>
        </w:rPr>
        <w:t xml:space="preserve">. Harlow, Essex, England: Pearson. </w:t>
      </w:r>
    </w:p>
    <w:p w14:paraId="2752DEFB" w14:textId="77777777" w:rsidR="006D39FF" w:rsidRPr="005F29C8" w:rsidRDefault="006D39FF" w:rsidP="006D39FF">
      <w:pPr>
        <w:rPr>
          <w:lang w:val="en-US"/>
        </w:rPr>
      </w:pPr>
      <w:r w:rsidRPr="005F29C8">
        <w:rPr>
          <w:lang w:val="en-US"/>
        </w:rPr>
        <w:lastRenderedPageBreak/>
        <w:t xml:space="preserve">Gordon, L.A., Loeb, M.P. and Tseng, C. (2006) ‘Capital budgeting and informational impediments: A management accounting perspective’, </w:t>
      </w:r>
      <w:r w:rsidRPr="005F29C8">
        <w:rPr>
          <w:i/>
          <w:iCs/>
          <w:lang w:val="en-US"/>
        </w:rPr>
        <w:t>Contemporary Issues in Management Accounting</w:t>
      </w:r>
      <w:r w:rsidRPr="005F29C8">
        <w:rPr>
          <w:lang w:val="en-US"/>
        </w:rPr>
        <w:t>, pp. 146–165. doi:10.1093/</w:t>
      </w:r>
      <w:proofErr w:type="spellStart"/>
      <w:proofErr w:type="gramStart"/>
      <w:r w:rsidRPr="005F29C8">
        <w:rPr>
          <w:lang w:val="en-US"/>
        </w:rPr>
        <w:t>acprof:oso</w:t>
      </w:r>
      <w:proofErr w:type="spellEnd"/>
      <w:proofErr w:type="gramEnd"/>
      <w:r w:rsidRPr="005F29C8">
        <w:rPr>
          <w:lang w:val="en-US"/>
        </w:rPr>
        <w:t xml:space="preserve">/9780199283361.003.0007. </w:t>
      </w:r>
    </w:p>
    <w:p w14:paraId="314118AE" w14:textId="77777777" w:rsidR="006D39FF" w:rsidRPr="005F29C8" w:rsidRDefault="006D39FF" w:rsidP="006D39FF">
      <w:pPr>
        <w:rPr>
          <w:lang w:val="en-US"/>
        </w:rPr>
      </w:pPr>
      <w:r w:rsidRPr="005F29C8">
        <w:rPr>
          <w:lang w:val="en-US"/>
        </w:rPr>
        <w:t xml:space="preserve">Götze, U., Northcott, D. and Schuster, P. (2015) ‘Selected further applications of investment appraisal methods’, </w:t>
      </w:r>
      <w:r w:rsidRPr="005F29C8">
        <w:rPr>
          <w:i/>
          <w:iCs/>
          <w:lang w:val="en-US"/>
        </w:rPr>
        <w:t>Springer Texts in Business and Economics</w:t>
      </w:r>
      <w:r w:rsidRPr="005F29C8">
        <w:rPr>
          <w:lang w:val="en-US"/>
        </w:rPr>
        <w:t xml:space="preserve">, pp. 105–159. doi:10.1007/978-3-662-45851-8_5. </w:t>
      </w:r>
    </w:p>
    <w:p w14:paraId="295C885B" w14:textId="77777777" w:rsidR="006D39FF" w:rsidRPr="005F29C8" w:rsidRDefault="006D39FF" w:rsidP="006D39FF">
      <w:pPr>
        <w:rPr>
          <w:lang w:val="en-US"/>
        </w:rPr>
      </w:pPr>
      <w:r w:rsidRPr="005F29C8">
        <w:rPr>
          <w:lang w:val="en-US"/>
        </w:rPr>
        <w:t xml:space="preserve">Haidari, M.N. (2023) ‘Impact of decision-making on Investment Performance: A comprehensive analysis’, </w:t>
      </w:r>
      <w:r w:rsidRPr="005F29C8">
        <w:rPr>
          <w:i/>
          <w:iCs/>
          <w:lang w:val="en-US"/>
        </w:rPr>
        <w:t>Journal of Asian Development Studies</w:t>
      </w:r>
      <w:r w:rsidRPr="005F29C8">
        <w:rPr>
          <w:lang w:val="en-US"/>
        </w:rPr>
        <w:t xml:space="preserve">, 12(4), pp. 980–990. doi:10.62345/jads.2023.12.4.78. </w:t>
      </w:r>
    </w:p>
    <w:p w14:paraId="5DE7C6ED" w14:textId="77777777" w:rsidR="006D39FF" w:rsidRPr="005F29C8" w:rsidRDefault="006D39FF" w:rsidP="006D39FF">
      <w:pPr>
        <w:rPr>
          <w:lang w:val="en-US"/>
        </w:rPr>
      </w:pPr>
      <w:r w:rsidRPr="005F29C8">
        <w:rPr>
          <w:lang w:val="en-US"/>
        </w:rPr>
        <w:t xml:space="preserve">Huang, J. </w:t>
      </w:r>
      <w:r w:rsidRPr="005F29C8">
        <w:rPr>
          <w:i/>
          <w:iCs/>
          <w:lang w:val="en-US"/>
        </w:rPr>
        <w:t>et al.</w:t>
      </w:r>
      <w:r w:rsidRPr="005F29C8">
        <w:rPr>
          <w:lang w:val="en-US"/>
        </w:rPr>
        <w:t xml:space="preserve"> (2022) ‘Application and comparison of NPV and IRR methods in the company investment decision’, </w:t>
      </w:r>
      <w:r w:rsidRPr="005F29C8">
        <w:rPr>
          <w:i/>
          <w:iCs/>
          <w:lang w:val="en-US"/>
        </w:rPr>
        <w:t>Advances in Economics, Business and Management Research</w:t>
      </w:r>
      <w:r w:rsidRPr="005F29C8">
        <w:rPr>
          <w:lang w:val="en-US"/>
        </w:rPr>
        <w:t xml:space="preserve"> [Preprint]. doi:10.2991/aebmr.k.220307.012. </w:t>
      </w:r>
    </w:p>
    <w:p w14:paraId="1FC750F6" w14:textId="77777777" w:rsidR="006D39FF" w:rsidRPr="005F29C8" w:rsidRDefault="006D39FF" w:rsidP="006D39FF">
      <w:pPr>
        <w:rPr>
          <w:lang w:val="en-US"/>
        </w:rPr>
      </w:pPr>
      <w:proofErr w:type="spellStart"/>
      <w:r w:rsidRPr="005F29C8">
        <w:rPr>
          <w:lang w:val="en-US"/>
        </w:rPr>
        <w:t>Kengatharan</w:t>
      </w:r>
      <w:proofErr w:type="spellEnd"/>
      <w:r w:rsidRPr="005F29C8">
        <w:rPr>
          <w:lang w:val="en-US"/>
        </w:rPr>
        <w:t xml:space="preserve">, L. (2016) ‘Capital budgeting theory and practice: A review and agenda for future research’, </w:t>
      </w:r>
      <w:r w:rsidRPr="005F29C8">
        <w:rPr>
          <w:i/>
          <w:iCs/>
          <w:lang w:val="en-US"/>
        </w:rPr>
        <w:t>Applied Economics and Finance</w:t>
      </w:r>
      <w:r w:rsidRPr="005F29C8">
        <w:rPr>
          <w:lang w:val="en-US"/>
        </w:rPr>
        <w:t>, 3(2). doi:10.11114/</w:t>
      </w:r>
      <w:proofErr w:type="gramStart"/>
      <w:r w:rsidRPr="005F29C8">
        <w:rPr>
          <w:lang w:val="en-US"/>
        </w:rPr>
        <w:t>aef.v</w:t>
      </w:r>
      <w:proofErr w:type="gramEnd"/>
      <w:r w:rsidRPr="005F29C8">
        <w:rPr>
          <w:lang w:val="en-US"/>
        </w:rPr>
        <w:t xml:space="preserve">3i2.1261. </w:t>
      </w:r>
    </w:p>
    <w:p w14:paraId="3C799F32" w14:textId="77777777" w:rsidR="006D39FF" w:rsidRPr="00EB04F2" w:rsidRDefault="006D39FF" w:rsidP="006D39FF">
      <w:pPr>
        <w:rPr>
          <w:lang w:val="en-US"/>
        </w:rPr>
      </w:pPr>
      <w:r w:rsidRPr="00EB04F2">
        <w:rPr>
          <w:lang w:val="en-US"/>
        </w:rPr>
        <w:t xml:space="preserve">Kumar, S. (2024) </w:t>
      </w:r>
      <w:r w:rsidRPr="00EB04F2">
        <w:rPr>
          <w:i/>
          <w:iCs/>
          <w:lang w:val="en-US"/>
        </w:rPr>
        <w:t>Principles of finance</w:t>
      </w:r>
      <w:r w:rsidRPr="00EB04F2">
        <w:rPr>
          <w:lang w:val="en-US"/>
        </w:rPr>
        <w:t xml:space="preserve">. United States: Surjeet Kumar. </w:t>
      </w:r>
    </w:p>
    <w:p w14:paraId="20DD12FD" w14:textId="77777777" w:rsidR="006D39FF" w:rsidRPr="00EB04F2" w:rsidRDefault="006D39FF" w:rsidP="006D39FF">
      <w:pPr>
        <w:rPr>
          <w:lang w:val="en-US"/>
        </w:rPr>
      </w:pPr>
      <w:proofErr w:type="spellStart"/>
      <w:r w:rsidRPr="00EB04F2">
        <w:rPr>
          <w:lang w:val="en-US"/>
        </w:rPr>
        <w:t>Merbecks</w:t>
      </w:r>
      <w:proofErr w:type="spellEnd"/>
      <w:r w:rsidRPr="00EB04F2">
        <w:rPr>
          <w:lang w:val="en-US"/>
        </w:rPr>
        <w:t xml:space="preserve">, U. (2023) ‘Mezzanine finance’, </w:t>
      </w:r>
      <w:r w:rsidRPr="00EB04F2">
        <w:rPr>
          <w:i/>
          <w:iCs/>
          <w:lang w:val="en-US"/>
        </w:rPr>
        <w:t>Encyclopedia of Sustainable Management</w:t>
      </w:r>
      <w:r w:rsidRPr="00EB04F2">
        <w:rPr>
          <w:lang w:val="en-US"/>
        </w:rPr>
        <w:t xml:space="preserve">, pp. 1–7. doi:10.1007/978-3-030-02006-4_614-1. </w:t>
      </w:r>
    </w:p>
    <w:p w14:paraId="5C2E34DF" w14:textId="77777777" w:rsidR="006D39FF" w:rsidRPr="005F29C8" w:rsidRDefault="006D39FF" w:rsidP="006D39FF">
      <w:pPr>
        <w:rPr>
          <w:lang w:val="en-US"/>
        </w:rPr>
      </w:pPr>
      <w:proofErr w:type="spellStart"/>
      <w:r w:rsidRPr="005F29C8">
        <w:rPr>
          <w:lang w:val="en-US"/>
        </w:rPr>
        <w:t>Paseda</w:t>
      </w:r>
      <w:proofErr w:type="spellEnd"/>
      <w:r w:rsidRPr="005F29C8">
        <w:rPr>
          <w:lang w:val="en-US"/>
        </w:rPr>
        <w:t xml:space="preserve">, O.A. (2016) ‘Advanced Capital Budgeting Techniques: A review article’, </w:t>
      </w:r>
      <w:r w:rsidRPr="005F29C8">
        <w:rPr>
          <w:i/>
          <w:iCs/>
          <w:lang w:val="en-US"/>
        </w:rPr>
        <w:t>SSRN Electronic Journal</w:t>
      </w:r>
      <w:r w:rsidRPr="005F29C8">
        <w:rPr>
          <w:lang w:val="en-US"/>
        </w:rPr>
        <w:t xml:space="preserve"> [Preprint]. doi:10.2139/ssrn.2901530. </w:t>
      </w:r>
    </w:p>
    <w:p w14:paraId="73AF3B5B" w14:textId="77777777" w:rsidR="006D39FF" w:rsidRPr="005F29C8" w:rsidRDefault="006D39FF" w:rsidP="006D39FF">
      <w:pPr>
        <w:rPr>
          <w:lang w:val="en-US"/>
        </w:rPr>
      </w:pPr>
      <w:proofErr w:type="spellStart"/>
      <w:r w:rsidRPr="005F29C8">
        <w:rPr>
          <w:lang w:val="en-US"/>
        </w:rPr>
        <w:t>Röhrich</w:t>
      </w:r>
      <w:proofErr w:type="spellEnd"/>
      <w:r w:rsidRPr="005F29C8">
        <w:rPr>
          <w:lang w:val="en-US"/>
        </w:rPr>
        <w:t xml:space="preserve">, M. (2015) </w:t>
      </w:r>
      <w:r w:rsidRPr="005F29C8">
        <w:rPr>
          <w:i/>
          <w:iCs/>
          <w:lang w:val="en-US"/>
        </w:rPr>
        <w:t>Fundamentals of Investment Appraisal: An illustration based on a case study</w:t>
      </w:r>
      <w:r w:rsidRPr="005F29C8">
        <w:rPr>
          <w:lang w:val="en-US"/>
        </w:rPr>
        <w:t xml:space="preserve">. Berlin: De Gruyter. </w:t>
      </w:r>
    </w:p>
    <w:p w14:paraId="248504ED" w14:textId="77777777" w:rsidR="006D39FF" w:rsidRPr="005F29C8" w:rsidRDefault="006D39FF" w:rsidP="006D39FF">
      <w:pPr>
        <w:rPr>
          <w:lang w:val="en-US"/>
        </w:rPr>
      </w:pPr>
      <w:r w:rsidRPr="005F29C8">
        <w:rPr>
          <w:lang w:val="en-US"/>
        </w:rPr>
        <w:t xml:space="preserve">Tseng, S.-Y. and Yang, C. (2010) ‘The mediating role of information searches in risky investment preferences: Does more digital information search have a stronger effect?’, </w:t>
      </w:r>
      <w:r w:rsidRPr="005F29C8">
        <w:rPr>
          <w:i/>
          <w:iCs/>
          <w:lang w:val="en-US"/>
        </w:rPr>
        <w:t>2010 2nd IEEE International Conference on Information and Financial Engineering</w:t>
      </w:r>
      <w:r w:rsidRPr="005F29C8">
        <w:rPr>
          <w:lang w:val="en-US"/>
        </w:rPr>
        <w:t xml:space="preserve">, pp. 228–232. doi:10.1109/icife.2010.5609288. </w:t>
      </w:r>
    </w:p>
    <w:p w14:paraId="1E1ABD1C" w14:textId="77777777" w:rsidR="006D39FF" w:rsidRPr="00EB04F2" w:rsidRDefault="006D39FF" w:rsidP="006D39FF">
      <w:pPr>
        <w:rPr>
          <w:lang w:val="en-US"/>
        </w:rPr>
      </w:pPr>
      <w:r w:rsidRPr="00EB04F2">
        <w:rPr>
          <w:lang w:val="en-US"/>
        </w:rPr>
        <w:t xml:space="preserve">Zavyalova, L., </w:t>
      </w:r>
      <w:proofErr w:type="spellStart"/>
      <w:r w:rsidRPr="00EB04F2">
        <w:rPr>
          <w:lang w:val="en-US"/>
        </w:rPr>
        <w:t>Garanina</w:t>
      </w:r>
      <w:proofErr w:type="spellEnd"/>
      <w:r w:rsidRPr="00EB04F2">
        <w:rPr>
          <w:lang w:val="en-US"/>
        </w:rPr>
        <w:t xml:space="preserve">, S. and </w:t>
      </w:r>
      <w:proofErr w:type="spellStart"/>
      <w:r w:rsidRPr="00EB04F2">
        <w:rPr>
          <w:lang w:val="en-US"/>
        </w:rPr>
        <w:t>Levochkina</w:t>
      </w:r>
      <w:proofErr w:type="spellEnd"/>
      <w:r w:rsidRPr="00EB04F2">
        <w:rPr>
          <w:lang w:val="en-US"/>
        </w:rPr>
        <w:t xml:space="preserve">, N. (2021) ‘Mezzanine financing as a source of financing for business activities in Russia in a crisis’, </w:t>
      </w:r>
      <w:r w:rsidRPr="00EB04F2">
        <w:rPr>
          <w:i/>
          <w:iCs/>
          <w:lang w:val="en-US"/>
        </w:rPr>
        <w:t>Proceedings of the 1st International Scientific Forum on Sustainable Development of Socio-economic Systems</w:t>
      </w:r>
      <w:r w:rsidRPr="00EB04F2">
        <w:rPr>
          <w:lang w:val="en-US"/>
        </w:rPr>
        <w:t xml:space="preserve">, pp. 380–384. doi:10.5220/0010669000003223. </w:t>
      </w:r>
    </w:p>
    <w:p w14:paraId="02D599D1" w14:textId="77777777" w:rsidR="006D39FF" w:rsidRPr="00EB04F2" w:rsidRDefault="006D39FF" w:rsidP="006D39FF">
      <w:pPr>
        <w:rPr>
          <w:lang w:val="en-US"/>
        </w:rPr>
      </w:pPr>
      <w:r w:rsidRPr="00EB04F2">
        <w:rPr>
          <w:lang w:val="en-US"/>
        </w:rPr>
        <w:lastRenderedPageBreak/>
        <w:t xml:space="preserve">Zutter, C.J. and Smart, S.B. (2022) </w:t>
      </w:r>
      <w:r w:rsidRPr="00EB04F2">
        <w:rPr>
          <w:i/>
          <w:iCs/>
          <w:lang w:val="en-US"/>
        </w:rPr>
        <w:t>Principles of Managerial Finance</w:t>
      </w:r>
      <w:r w:rsidRPr="00EB04F2">
        <w:rPr>
          <w:lang w:val="en-US"/>
        </w:rPr>
        <w:t xml:space="preserve">. Harlow, Essex: Pearson Education Limited. </w:t>
      </w:r>
    </w:p>
    <w:p w14:paraId="577A94B5" w14:textId="77777777" w:rsidR="00B459EF" w:rsidRPr="00B459EF" w:rsidRDefault="00B459EF" w:rsidP="00B459EF"/>
    <w:sectPr w:rsidR="00B459EF" w:rsidRPr="00B459EF" w:rsidSect="00114D9B">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7AFAA" w14:textId="77777777" w:rsidR="004D6FA2" w:rsidRDefault="004D6FA2" w:rsidP="00FC5606">
      <w:pPr>
        <w:spacing w:before="0" w:after="0" w:line="240" w:lineRule="auto"/>
      </w:pPr>
      <w:r>
        <w:separator/>
      </w:r>
    </w:p>
  </w:endnote>
  <w:endnote w:type="continuationSeparator" w:id="0">
    <w:p w14:paraId="63C03786" w14:textId="77777777" w:rsidR="004D6FA2" w:rsidRDefault="004D6FA2" w:rsidP="00FC56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6640558"/>
      <w:docPartObj>
        <w:docPartGallery w:val="Page Numbers (Bottom of Page)"/>
        <w:docPartUnique/>
      </w:docPartObj>
    </w:sdtPr>
    <w:sdtEndPr>
      <w:rPr>
        <w:noProof/>
      </w:rPr>
    </w:sdtEndPr>
    <w:sdtContent>
      <w:p w14:paraId="225AE6A8" w14:textId="77777777" w:rsidR="00FC5606" w:rsidRDefault="0017166B">
        <w:pPr>
          <w:pStyle w:val="Footer"/>
          <w:jc w:val="center"/>
        </w:pPr>
        <w:r>
          <w:fldChar w:fldCharType="begin"/>
        </w:r>
        <w:r w:rsidR="00FC5606">
          <w:instrText xml:space="preserve"> PAGE   \* MERGEFORMAT </w:instrText>
        </w:r>
        <w:r>
          <w:fldChar w:fldCharType="separate"/>
        </w:r>
        <w:r w:rsidR="00DE1500">
          <w:rPr>
            <w:noProof/>
          </w:rPr>
          <w:t>17</w:t>
        </w:r>
        <w:r>
          <w:rPr>
            <w:noProof/>
          </w:rPr>
          <w:fldChar w:fldCharType="end"/>
        </w:r>
      </w:p>
    </w:sdtContent>
  </w:sdt>
  <w:p w14:paraId="144F769A" w14:textId="77777777" w:rsidR="00FC5606" w:rsidRDefault="00FC5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A7C6F" w14:textId="77777777" w:rsidR="004D6FA2" w:rsidRDefault="004D6FA2" w:rsidP="00FC5606">
      <w:pPr>
        <w:spacing w:before="0" w:after="0" w:line="240" w:lineRule="auto"/>
      </w:pPr>
      <w:r>
        <w:separator/>
      </w:r>
    </w:p>
  </w:footnote>
  <w:footnote w:type="continuationSeparator" w:id="0">
    <w:p w14:paraId="1BD60ABC" w14:textId="77777777" w:rsidR="004D6FA2" w:rsidRDefault="004D6FA2" w:rsidP="00FC56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118DE"/>
    <w:multiLevelType w:val="multilevel"/>
    <w:tmpl w:val="80827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D25117"/>
    <w:multiLevelType w:val="multilevel"/>
    <w:tmpl w:val="698C9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995EB4"/>
    <w:multiLevelType w:val="multilevel"/>
    <w:tmpl w:val="E4FE5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1F5403"/>
    <w:multiLevelType w:val="multilevel"/>
    <w:tmpl w:val="69CA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23546A"/>
    <w:multiLevelType w:val="multilevel"/>
    <w:tmpl w:val="5608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523708"/>
    <w:multiLevelType w:val="multilevel"/>
    <w:tmpl w:val="DF14A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F677C7"/>
    <w:multiLevelType w:val="multilevel"/>
    <w:tmpl w:val="A48CF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C42FE0"/>
    <w:multiLevelType w:val="hybridMultilevel"/>
    <w:tmpl w:val="AD203C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875FEC"/>
    <w:multiLevelType w:val="hybridMultilevel"/>
    <w:tmpl w:val="58D07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D3353C"/>
    <w:multiLevelType w:val="multilevel"/>
    <w:tmpl w:val="EC7E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9400DC"/>
    <w:multiLevelType w:val="multilevel"/>
    <w:tmpl w:val="390A8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A05053"/>
    <w:multiLevelType w:val="multilevel"/>
    <w:tmpl w:val="A8741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330C60"/>
    <w:multiLevelType w:val="multilevel"/>
    <w:tmpl w:val="F8207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973B14"/>
    <w:multiLevelType w:val="multilevel"/>
    <w:tmpl w:val="6358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5B5BF3"/>
    <w:multiLevelType w:val="hybridMultilevel"/>
    <w:tmpl w:val="78248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DA2FCA"/>
    <w:multiLevelType w:val="multilevel"/>
    <w:tmpl w:val="3A78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587740">
    <w:abstractNumId w:val="6"/>
  </w:num>
  <w:num w:numId="2" w16cid:durableId="1801069487">
    <w:abstractNumId w:val="11"/>
  </w:num>
  <w:num w:numId="3" w16cid:durableId="1282767504">
    <w:abstractNumId w:val="7"/>
  </w:num>
  <w:num w:numId="4" w16cid:durableId="2077975490">
    <w:abstractNumId w:val="8"/>
  </w:num>
  <w:num w:numId="5" w16cid:durableId="1517888871">
    <w:abstractNumId w:val="3"/>
  </w:num>
  <w:num w:numId="6" w16cid:durableId="1317108412">
    <w:abstractNumId w:val="1"/>
  </w:num>
  <w:num w:numId="7" w16cid:durableId="568811873">
    <w:abstractNumId w:val="13"/>
  </w:num>
  <w:num w:numId="8" w16cid:durableId="1625043582">
    <w:abstractNumId w:val="10"/>
  </w:num>
  <w:num w:numId="9" w16cid:durableId="1363481468">
    <w:abstractNumId w:val="4"/>
  </w:num>
  <w:num w:numId="10" w16cid:durableId="1648971943">
    <w:abstractNumId w:val="5"/>
  </w:num>
  <w:num w:numId="11" w16cid:durableId="701712435">
    <w:abstractNumId w:val="9"/>
  </w:num>
  <w:num w:numId="12" w16cid:durableId="43716669">
    <w:abstractNumId w:val="2"/>
  </w:num>
  <w:num w:numId="13" w16cid:durableId="1494638957">
    <w:abstractNumId w:val="0"/>
  </w:num>
  <w:num w:numId="14" w16cid:durableId="1657949720">
    <w:abstractNumId w:val="12"/>
  </w:num>
  <w:num w:numId="15" w16cid:durableId="136537126">
    <w:abstractNumId w:val="15"/>
  </w:num>
  <w:num w:numId="16" w16cid:durableId="7363209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654"/>
    <w:rsid w:val="00071D0F"/>
    <w:rsid w:val="0008710F"/>
    <w:rsid w:val="000A53E3"/>
    <w:rsid w:val="000B73D8"/>
    <w:rsid w:val="000D295F"/>
    <w:rsid w:val="00114D9B"/>
    <w:rsid w:val="001219F9"/>
    <w:rsid w:val="00163DE5"/>
    <w:rsid w:val="0017166B"/>
    <w:rsid w:val="001A4327"/>
    <w:rsid w:val="001F056C"/>
    <w:rsid w:val="001F0990"/>
    <w:rsid w:val="002103A8"/>
    <w:rsid w:val="002129C7"/>
    <w:rsid w:val="00217C0F"/>
    <w:rsid w:val="002307C5"/>
    <w:rsid w:val="00253C2C"/>
    <w:rsid w:val="00267713"/>
    <w:rsid w:val="00270E65"/>
    <w:rsid w:val="002D4EE8"/>
    <w:rsid w:val="002D7586"/>
    <w:rsid w:val="002E05C4"/>
    <w:rsid w:val="002E7A40"/>
    <w:rsid w:val="00306D11"/>
    <w:rsid w:val="00375366"/>
    <w:rsid w:val="00375F23"/>
    <w:rsid w:val="00393AE5"/>
    <w:rsid w:val="003C6180"/>
    <w:rsid w:val="003F3FB8"/>
    <w:rsid w:val="00420B2B"/>
    <w:rsid w:val="0042355C"/>
    <w:rsid w:val="00426FD7"/>
    <w:rsid w:val="004737B1"/>
    <w:rsid w:val="00481ED5"/>
    <w:rsid w:val="004909DA"/>
    <w:rsid w:val="004D6FA2"/>
    <w:rsid w:val="004E7F33"/>
    <w:rsid w:val="004F26AC"/>
    <w:rsid w:val="00573ED1"/>
    <w:rsid w:val="005752F3"/>
    <w:rsid w:val="0058247F"/>
    <w:rsid w:val="00583FFF"/>
    <w:rsid w:val="00595A40"/>
    <w:rsid w:val="005E5B1D"/>
    <w:rsid w:val="005F626F"/>
    <w:rsid w:val="006053DD"/>
    <w:rsid w:val="0064023C"/>
    <w:rsid w:val="006468FA"/>
    <w:rsid w:val="00692FEF"/>
    <w:rsid w:val="006B67DF"/>
    <w:rsid w:val="006D39FF"/>
    <w:rsid w:val="006E3B06"/>
    <w:rsid w:val="00701CCD"/>
    <w:rsid w:val="00715C9B"/>
    <w:rsid w:val="00733CD9"/>
    <w:rsid w:val="00762113"/>
    <w:rsid w:val="00797FC6"/>
    <w:rsid w:val="007F1E0F"/>
    <w:rsid w:val="008015E4"/>
    <w:rsid w:val="00807652"/>
    <w:rsid w:val="0081555F"/>
    <w:rsid w:val="008234C3"/>
    <w:rsid w:val="008566D3"/>
    <w:rsid w:val="008E6158"/>
    <w:rsid w:val="0090538E"/>
    <w:rsid w:val="00925654"/>
    <w:rsid w:val="00933A36"/>
    <w:rsid w:val="0096373A"/>
    <w:rsid w:val="009821C9"/>
    <w:rsid w:val="00983D9A"/>
    <w:rsid w:val="00A275DC"/>
    <w:rsid w:val="00A37CF8"/>
    <w:rsid w:val="00A61A68"/>
    <w:rsid w:val="00A76135"/>
    <w:rsid w:val="00AF1931"/>
    <w:rsid w:val="00B35732"/>
    <w:rsid w:val="00B459EF"/>
    <w:rsid w:val="00B75BB8"/>
    <w:rsid w:val="00B87590"/>
    <w:rsid w:val="00B914E8"/>
    <w:rsid w:val="00BB4C95"/>
    <w:rsid w:val="00C1224C"/>
    <w:rsid w:val="00C20442"/>
    <w:rsid w:val="00C3213E"/>
    <w:rsid w:val="00CC3075"/>
    <w:rsid w:val="00D07983"/>
    <w:rsid w:val="00D24809"/>
    <w:rsid w:val="00D55AEE"/>
    <w:rsid w:val="00D6095F"/>
    <w:rsid w:val="00DA7ED5"/>
    <w:rsid w:val="00DE1500"/>
    <w:rsid w:val="00DE773B"/>
    <w:rsid w:val="00DF383A"/>
    <w:rsid w:val="00E4483D"/>
    <w:rsid w:val="00E65B85"/>
    <w:rsid w:val="00E71579"/>
    <w:rsid w:val="00EB035B"/>
    <w:rsid w:val="00F0136F"/>
    <w:rsid w:val="00F35BF1"/>
    <w:rsid w:val="00F8162D"/>
    <w:rsid w:val="00FA2217"/>
    <w:rsid w:val="00FC5606"/>
    <w:rsid w:val="00FF5147"/>
    <w:rsid w:val="00FF79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EB0AF"/>
  <w15:docId w15:val="{49915FFE-B473-42F2-9879-39AC71A5C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IN"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66B"/>
    <w:rPr>
      <w:lang w:val="en-GB"/>
    </w:rPr>
  </w:style>
  <w:style w:type="paragraph" w:styleId="Heading1">
    <w:name w:val="heading 1"/>
    <w:basedOn w:val="Normal"/>
    <w:next w:val="Normal"/>
    <w:link w:val="Heading1Char"/>
    <w:autoRedefine/>
    <w:uiPriority w:val="9"/>
    <w:qFormat/>
    <w:rsid w:val="001F056C"/>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1F056C"/>
    <w:pPr>
      <w:keepNext/>
      <w:keepLines/>
      <w:spacing w:before="40"/>
      <w:outlineLvl w:val="1"/>
    </w:pPr>
    <w:rPr>
      <w:rFonts w:eastAsiaTheme="majorEastAsia" w:cstheme="majorBidi"/>
      <w:sz w:val="26"/>
      <w:szCs w:val="26"/>
      <w:u w:val="single"/>
    </w:rPr>
  </w:style>
  <w:style w:type="paragraph" w:styleId="Heading3">
    <w:name w:val="heading 3"/>
    <w:basedOn w:val="Normal"/>
    <w:next w:val="Normal"/>
    <w:link w:val="Heading3Char"/>
    <w:autoRedefine/>
    <w:uiPriority w:val="9"/>
    <w:unhideWhenUsed/>
    <w:qFormat/>
    <w:rsid w:val="001F056C"/>
    <w:pPr>
      <w:keepNext/>
      <w:keepLines/>
      <w:spacing w:before="40"/>
      <w:outlineLvl w:val="2"/>
    </w:pPr>
    <w:rPr>
      <w:rFonts w:eastAsiaTheme="majorEastAs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56C"/>
    <w:rPr>
      <w:rFonts w:eastAsiaTheme="majorEastAsia" w:cstheme="majorBidi"/>
      <w:b/>
      <w:sz w:val="32"/>
      <w:szCs w:val="32"/>
    </w:rPr>
  </w:style>
  <w:style w:type="character" w:customStyle="1" w:styleId="Heading2Char">
    <w:name w:val="Heading 2 Char"/>
    <w:basedOn w:val="DefaultParagraphFont"/>
    <w:link w:val="Heading2"/>
    <w:uiPriority w:val="9"/>
    <w:rsid w:val="001F056C"/>
    <w:rPr>
      <w:rFonts w:eastAsiaTheme="majorEastAsia" w:cstheme="majorBidi"/>
      <w:sz w:val="26"/>
      <w:szCs w:val="26"/>
      <w:u w:val="single"/>
    </w:rPr>
  </w:style>
  <w:style w:type="character" w:customStyle="1" w:styleId="Heading3Char">
    <w:name w:val="Heading 3 Char"/>
    <w:basedOn w:val="DefaultParagraphFont"/>
    <w:link w:val="Heading3"/>
    <w:uiPriority w:val="9"/>
    <w:rsid w:val="001F056C"/>
    <w:rPr>
      <w:rFonts w:eastAsiaTheme="majorEastAsia" w:cstheme="majorBidi"/>
      <w:i/>
    </w:rPr>
  </w:style>
  <w:style w:type="paragraph" w:styleId="Caption">
    <w:name w:val="caption"/>
    <w:basedOn w:val="Normal"/>
    <w:next w:val="Normal"/>
    <w:autoRedefine/>
    <w:uiPriority w:val="35"/>
    <w:unhideWhenUsed/>
    <w:qFormat/>
    <w:rsid w:val="0090538E"/>
    <w:pPr>
      <w:spacing w:after="200"/>
    </w:pPr>
    <w:rPr>
      <w:i/>
      <w:iCs/>
      <w:szCs w:val="18"/>
    </w:rPr>
  </w:style>
  <w:style w:type="paragraph" w:styleId="Header">
    <w:name w:val="header"/>
    <w:basedOn w:val="Normal"/>
    <w:link w:val="HeaderChar"/>
    <w:uiPriority w:val="99"/>
    <w:unhideWhenUsed/>
    <w:rsid w:val="00FC560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C5606"/>
    <w:rPr>
      <w:lang w:val="en-GB"/>
    </w:rPr>
  </w:style>
  <w:style w:type="paragraph" w:styleId="Footer">
    <w:name w:val="footer"/>
    <w:basedOn w:val="Normal"/>
    <w:link w:val="FooterChar"/>
    <w:uiPriority w:val="99"/>
    <w:unhideWhenUsed/>
    <w:rsid w:val="00FC560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C5606"/>
    <w:rPr>
      <w:lang w:val="en-GB"/>
    </w:rPr>
  </w:style>
  <w:style w:type="paragraph" w:styleId="ListParagraph">
    <w:name w:val="List Paragraph"/>
    <w:basedOn w:val="Normal"/>
    <w:uiPriority w:val="34"/>
    <w:qFormat/>
    <w:rsid w:val="0042355C"/>
    <w:pPr>
      <w:ind w:left="720"/>
      <w:contextualSpacing/>
    </w:pPr>
  </w:style>
  <w:style w:type="paragraph" w:styleId="TOCHeading">
    <w:name w:val="TOC Heading"/>
    <w:basedOn w:val="Heading1"/>
    <w:next w:val="Normal"/>
    <w:uiPriority w:val="39"/>
    <w:unhideWhenUsed/>
    <w:qFormat/>
    <w:rsid w:val="008015E4"/>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8015E4"/>
    <w:pPr>
      <w:spacing w:after="100"/>
    </w:pPr>
  </w:style>
  <w:style w:type="paragraph" w:styleId="TOC2">
    <w:name w:val="toc 2"/>
    <w:basedOn w:val="Normal"/>
    <w:next w:val="Normal"/>
    <w:autoRedefine/>
    <w:uiPriority w:val="39"/>
    <w:unhideWhenUsed/>
    <w:rsid w:val="008015E4"/>
    <w:pPr>
      <w:spacing w:after="100"/>
      <w:ind w:left="240"/>
    </w:pPr>
  </w:style>
  <w:style w:type="paragraph" w:styleId="TOC3">
    <w:name w:val="toc 3"/>
    <w:basedOn w:val="Normal"/>
    <w:next w:val="Normal"/>
    <w:autoRedefine/>
    <w:uiPriority w:val="39"/>
    <w:unhideWhenUsed/>
    <w:rsid w:val="008015E4"/>
    <w:pPr>
      <w:spacing w:after="100"/>
      <w:ind w:left="480"/>
    </w:pPr>
  </w:style>
  <w:style w:type="character" w:styleId="Hyperlink">
    <w:name w:val="Hyperlink"/>
    <w:basedOn w:val="DefaultParagraphFont"/>
    <w:uiPriority w:val="99"/>
    <w:unhideWhenUsed/>
    <w:rsid w:val="008015E4"/>
    <w:rPr>
      <w:color w:val="0563C1" w:themeColor="hyperlink"/>
      <w:u w:val="single"/>
    </w:rPr>
  </w:style>
  <w:style w:type="paragraph" w:styleId="BalloonText">
    <w:name w:val="Balloon Text"/>
    <w:basedOn w:val="Normal"/>
    <w:link w:val="BalloonTextChar"/>
    <w:uiPriority w:val="99"/>
    <w:semiHidden/>
    <w:unhideWhenUsed/>
    <w:rsid w:val="00D2480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809"/>
    <w:rPr>
      <w:rFonts w:ascii="Tahoma" w:hAnsi="Tahoma" w:cs="Tahoma"/>
      <w:sz w:val="16"/>
      <w:szCs w:val="16"/>
      <w:lang w:val="en-GB"/>
    </w:rPr>
  </w:style>
  <w:style w:type="paragraph" w:styleId="NoSpacing">
    <w:name w:val="No Spacing"/>
    <w:link w:val="NoSpacingChar"/>
    <w:uiPriority w:val="1"/>
    <w:qFormat/>
    <w:rsid w:val="00114D9B"/>
    <w:pPr>
      <w:spacing w:before="0" w:after="0"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114D9B"/>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7602">
      <w:bodyDiv w:val="1"/>
      <w:marLeft w:val="0"/>
      <w:marRight w:val="0"/>
      <w:marTop w:val="0"/>
      <w:marBottom w:val="0"/>
      <w:divBdr>
        <w:top w:val="none" w:sz="0" w:space="0" w:color="auto"/>
        <w:left w:val="none" w:sz="0" w:space="0" w:color="auto"/>
        <w:bottom w:val="none" w:sz="0" w:space="0" w:color="auto"/>
        <w:right w:val="none" w:sz="0" w:space="0" w:color="auto"/>
      </w:divBdr>
    </w:div>
    <w:div w:id="49160589">
      <w:bodyDiv w:val="1"/>
      <w:marLeft w:val="0"/>
      <w:marRight w:val="0"/>
      <w:marTop w:val="0"/>
      <w:marBottom w:val="0"/>
      <w:divBdr>
        <w:top w:val="none" w:sz="0" w:space="0" w:color="auto"/>
        <w:left w:val="none" w:sz="0" w:space="0" w:color="auto"/>
        <w:bottom w:val="none" w:sz="0" w:space="0" w:color="auto"/>
        <w:right w:val="none" w:sz="0" w:space="0" w:color="auto"/>
      </w:divBdr>
    </w:div>
    <w:div w:id="186718919">
      <w:bodyDiv w:val="1"/>
      <w:marLeft w:val="0"/>
      <w:marRight w:val="0"/>
      <w:marTop w:val="0"/>
      <w:marBottom w:val="0"/>
      <w:divBdr>
        <w:top w:val="none" w:sz="0" w:space="0" w:color="auto"/>
        <w:left w:val="none" w:sz="0" w:space="0" w:color="auto"/>
        <w:bottom w:val="none" w:sz="0" w:space="0" w:color="auto"/>
        <w:right w:val="none" w:sz="0" w:space="0" w:color="auto"/>
      </w:divBdr>
    </w:div>
    <w:div w:id="188841859">
      <w:bodyDiv w:val="1"/>
      <w:marLeft w:val="0"/>
      <w:marRight w:val="0"/>
      <w:marTop w:val="0"/>
      <w:marBottom w:val="0"/>
      <w:divBdr>
        <w:top w:val="none" w:sz="0" w:space="0" w:color="auto"/>
        <w:left w:val="none" w:sz="0" w:space="0" w:color="auto"/>
        <w:bottom w:val="none" w:sz="0" w:space="0" w:color="auto"/>
        <w:right w:val="none" w:sz="0" w:space="0" w:color="auto"/>
      </w:divBdr>
    </w:div>
    <w:div w:id="205140866">
      <w:bodyDiv w:val="1"/>
      <w:marLeft w:val="0"/>
      <w:marRight w:val="0"/>
      <w:marTop w:val="0"/>
      <w:marBottom w:val="0"/>
      <w:divBdr>
        <w:top w:val="none" w:sz="0" w:space="0" w:color="auto"/>
        <w:left w:val="none" w:sz="0" w:space="0" w:color="auto"/>
        <w:bottom w:val="none" w:sz="0" w:space="0" w:color="auto"/>
        <w:right w:val="none" w:sz="0" w:space="0" w:color="auto"/>
      </w:divBdr>
    </w:div>
    <w:div w:id="224099719">
      <w:bodyDiv w:val="1"/>
      <w:marLeft w:val="0"/>
      <w:marRight w:val="0"/>
      <w:marTop w:val="0"/>
      <w:marBottom w:val="0"/>
      <w:divBdr>
        <w:top w:val="none" w:sz="0" w:space="0" w:color="auto"/>
        <w:left w:val="none" w:sz="0" w:space="0" w:color="auto"/>
        <w:bottom w:val="none" w:sz="0" w:space="0" w:color="auto"/>
        <w:right w:val="none" w:sz="0" w:space="0" w:color="auto"/>
      </w:divBdr>
    </w:div>
    <w:div w:id="252977093">
      <w:bodyDiv w:val="1"/>
      <w:marLeft w:val="0"/>
      <w:marRight w:val="0"/>
      <w:marTop w:val="0"/>
      <w:marBottom w:val="0"/>
      <w:divBdr>
        <w:top w:val="none" w:sz="0" w:space="0" w:color="auto"/>
        <w:left w:val="none" w:sz="0" w:space="0" w:color="auto"/>
        <w:bottom w:val="none" w:sz="0" w:space="0" w:color="auto"/>
        <w:right w:val="none" w:sz="0" w:space="0" w:color="auto"/>
      </w:divBdr>
    </w:div>
    <w:div w:id="282656982">
      <w:bodyDiv w:val="1"/>
      <w:marLeft w:val="0"/>
      <w:marRight w:val="0"/>
      <w:marTop w:val="0"/>
      <w:marBottom w:val="0"/>
      <w:divBdr>
        <w:top w:val="none" w:sz="0" w:space="0" w:color="auto"/>
        <w:left w:val="none" w:sz="0" w:space="0" w:color="auto"/>
        <w:bottom w:val="none" w:sz="0" w:space="0" w:color="auto"/>
        <w:right w:val="none" w:sz="0" w:space="0" w:color="auto"/>
      </w:divBdr>
    </w:div>
    <w:div w:id="340812814">
      <w:bodyDiv w:val="1"/>
      <w:marLeft w:val="0"/>
      <w:marRight w:val="0"/>
      <w:marTop w:val="0"/>
      <w:marBottom w:val="0"/>
      <w:divBdr>
        <w:top w:val="none" w:sz="0" w:space="0" w:color="auto"/>
        <w:left w:val="none" w:sz="0" w:space="0" w:color="auto"/>
        <w:bottom w:val="none" w:sz="0" w:space="0" w:color="auto"/>
        <w:right w:val="none" w:sz="0" w:space="0" w:color="auto"/>
      </w:divBdr>
    </w:div>
    <w:div w:id="351690640">
      <w:bodyDiv w:val="1"/>
      <w:marLeft w:val="0"/>
      <w:marRight w:val="0"/>
      <w:marTop w:val="0"/>
      <w:marBottom w:val="0"/>
      <w:divBdr>
        <w:top w:val="none" w:sz="0" w:space="0" w:color="auto"/>
        <w:left w:val="none" w:sz="0" w:space="0" w:color="auto"/>
        <w:bottom w:val="none" w:sz="0" w:space="0" w:color="auto"/>
        <w:right w:val="none" w:sz="0" w:space="0" w:color="auto"/>
      </w:divBdr>
    </w:div>
    <w:div w:id="355891543">
      <w:bodyDiv w:val="1"/>
      <w:marLeft w:val="0"/>
      <w:marRight w:val="0"/>
      <w:marTop w:val="0"/>
      <w:marBottom w:val="0"/>
      <w:divBdr>
        <w:top w:val="none" w:sz="0" w:space="0" w:color="auto"/>
        <w:left w:val="none" w:sz="0" w:space="0" w:color="auto"/>
        <w:bottom w:val="none" w:sz="0" w:space="0" w:color="auto"/>
        <w:right w:val="none" w:sz="0" w:space="0" w:color="auto"/>
      </w:divBdr>
    </w:div>
    <w:div w:id="423456495">
      <w:bodyDiv w:val="1"/>
      <w:marLeft w:val="0"/>
      <w:marRight w:val="0"/>
      <w:marTop w:val="0"/>
      <w:marBottom w:val="0"/>
      <w:divBdr>
        <w:top w:val="none" w:sz="0" w:space="0" w:color="auto"/>
        <w:left w:val="none" w:sz="0" w:space="0" w:color="auto"/>
        <w:bottom w:val="none" w:sz="0" w:space="0" w:color="auto"/>
        <w:right w:val="none" w:sz="0" w:space="0" w:color="auto"/>
      </w:divBdr>
    </w:div>
    <w:div w:id="483741027">
      <w:bodyDiv w:val="1"/>
      <w:marLeft w:val="0"/>
      <w:marRight w:val="0"/>
      <w:marTop w:val="0"/>
      <w:marBottom w:val="0"/>
      <w:divBdr>
        <w:top w:val="none" w:sz="0" w:space="0" w:color="auto"/>
        <w:left w:val="none" w:sz="0" w:space="0" w:color="auto"/>
        <w:bottom w:val="none" w:sz="0" w:space="0" w:color="auto"/>
        <w:right w:val="none" w:sz="0" w:space="0" w:color="auto"/>
      </w:divBdr>
    </w:div>
    <w:div w:id="487747993">
      <w:bodyDiv w:val="1"/>
      <w:marLeft w:val="0"/>
      <w:marRight w:val="0"/>
      <w:marTop w:val="0"/>
      <w:marBottom w:val="0"/>
      <w:divBdr>
        <w:top w:val="none" w:sz="0" w:space="0" w:color="auto"/>
        <w:left w:val="none" w:sz="0" w:space="0" w:color="auto"/>
        <w:bottom w:val="none" w:sz="0" w:space="0" w:color="auto"/>
        <w:right w:val="none" w:sz="0" w:space="0" w:color="auto"/>
      </w:divBdr>
    </w:div>
    <w:div w:id="535849064">
      <w:bodyDiv w:val="1"/>
      <w:marLeft w:val="0"/>
      <w:marRight w:val="0"/>
      <w:marTop w:val="0"/>
      <w:marBottom w:val="0"/>
      <w:divBdr>
        <w:top w:val="none" w:sz="0" w:space="0" w:color="auto"/>
        <w:left w:val="none" w:sz="0" w:space="0" w:color="auto"/>
        <w:bottom w:val="none" w:sz="0" w:space="0" w:color="auto"/>
        <w:right w:val="none" w:sz="0" w:space="0" w:color="auto"/>
      </w:divBdr>
    </w:div>
    <w:div w:id="567694594">
      <w:bodyDiv w:val="1"/>
      <w:marLeft w:val="0"/>
      <w:marRight w:val="0"/>
      <w:marTop w:val="0"/>
      <w:marBottom w:val="0"/>
      <w:divBdr>
        <w:top w:val="none" w:sz="0" w:space="0" w:color="auto"/>
        <w:left w:val="none" w:sz="0" w:space="0" w:color="auto"/>
        <w:bottom w:val="none" w:sz="0" w:space="0" w:color="auto"/>
        <w:right w:val="none" w:sz="0" w:space="0" w:color="auto"/>
      </w:divBdr>
    </w:div>
    <w:div w:id="629283760">
      <w:bodyDiv w:val="1"/>
      <w:marLeft w:val="0"/>
      <w:marRight w:val="0"/>
      <w:marTop w:val="0"/>
      <w:marBottom w:val="0"/>
      <w:divBdr>
        <w:top w:val="none" w:sz="0" w:space="0" w:color="auto"/>
        <w:left w:val="none" w:sz="0" w:space="0" w:color="auto"/>
        <w:bottom w:val="none" w:sz="0" w:space="0" w:color="auto"/>
        <w:right w:val="none" w:sz="0" w:space="0" w:color="auto"/>
      </w:divBdr>
    </w:div>
    <w:div w:id="661543795">
      <w:bodyDiv w:val="1"/>
      <w:marLeft w:val="0"/>
      <w:marRight w:val="0"/>
      <w:marTop w:val="0"/>
      <w:marBottom w:val="0"/>
      <w:divBdr>
        <w:top w:val="none" w:sz="0" w:space="0" w:color="auto"/>
        <w:left w:val="none" w:sz="0" w:space="0" w:color="auto"/>
        <w:bottom w:val="none" w:sz="0" w:space="0" w:color="auto"/>
        <w:right w:val="none" w:sz="0" w:space="0" w:color="auto"/>
      </w:divBdr>
    </w:div>
    <w:div w:id="718088396">
      <w:bodyDiv w:val="1"/>
      <w:marLeft w:val="0"/>
      <w:marRight w:val="0"/>
      <w:marTop w:val="0"/>
      <w:marBottom w:val="0"/>
      <w:divBdr>
        <w:top w:val="none" w:sz="0" w:space="0" w:color="auto"/>
        <w:left w:val="none" w:sz="0" w:space="0" w:color="auto"/>
        <w:bottom w:val="none" w:sz="0" w:space="0" w:color="auto"/>
        <w:right w:val="none" w:sz="0" w:space="0" w:color="auto"/>
      </w:divBdr>
    </w:div>
    <w:div w:id="727921325">
      <w:bodyDiv w:val="1"/>
      <w:marLeft w:val="0"/>
      <w:marRight w:val="0"/>
      <w:marTop w:val="0"/>
      <w:marBottom w:val="0"/>
      <w:divBdr>
        <w:top w:val="none" w:sz="0" w:space="0" w:color="auto"/>
        <w:left w:val="none" w:sz="0" w:space="0" w:color="auto"/>
        <w:bottom w:val="none" w:sz="0" w:space="0" w:color="auto"/>
        <w:right w:val="none" w:sz="0" w:space="0" w:color="auto"/>
      </w:divBdr>
    </w:div>
    <w:div w:id="741870551">
      <w:bodyDiv w:val="1"/>
      <w:marLeft w:val="0"/>
      <w:marRight w:val="0"/>
      <w:marTop w:val="0"/>
      <w:marBottom w:val="0"/>
      <w:divBdr>
        <w:top w:val="none" w:sz="0" w:space="0" w:color="auto"/>
        <w:left w:val="none" w:sz="0" w:space="0" w:color="auto"/>
        <w:bottom w:val="none" w:sz="0" w:space="0" w:color="auto"/>
        <w:right w:val="none" w:sz="0" w:space="0" w:color="auto"/>
      </w:divBdr>
    </w:div>
    <w:div w:id="807940752">
      <w:bodyDiv w:val="1"/>
      <w:marLeft w:val="0"/>
      <w:marRight w:val="0"/>
      <w:marTop w:val="0"/>
      <w:marBottom w:val="0"/>
      <w:divBdr>
        <w:top w:val="none" w:sz="0" w:space="0" w:color="auto"/>
        <w:left w:val="none" w:sz="0" w:space="0" w:color="auto"/>
        <w:bottom w:val="none" w:sz="0" w:space="0" w:color="auto"/>
        <w:right w:val="none" w:sz="0" w:space="0" w:color="auto"/>
      </w:divBdr>
    </w:div>
    <w:div w:id="841046316">
      <w:bodyDiv w:val="1"/>
      <w:marLeft w:val="0"/>
      <w:marRight w:val="0"/>
      <w:marTop w:val="0"/>
      <w:marBottom w:val="0"/>
      <w:divBdr>
        <w:top w:val="none" w:sz="0" w:space="0" w:color="auto"/>
        <w:left w:val="none" w:sz="0" w:space="0" w:color="auto"/>
        <w:bottom w:val="none" w:sz="0" w:space="0" w:color="auto"/>
        <w:right w:val="none" w:sz="0" w:space="0" w:color="auto"/>
      </w:divBdr>
    </w:div>
    <w:div w:id="852186168">
      <w:bodyDiv w:val="1"/>
      <w:marLeft w:val="0"/>
      <w:marRight w:val="0"/>
      <w:marTop w:val="0"/>
      <w:marBottom w:val="0"/>
      <w:divBdr>
        <w:top w:val="none" w:sz="0" w:space="0" w:color="auto"/>
        <w:left w:val="none" w:sz="0" w:space="0" w:color="auto"/>
        <w:bottom w:val="none" w:sz="0" w:space="0" w:color="auto"/>
        <w:right w:val="none" w:sz="0" w:space="0" w:color="auto"/>
      </w:divBdr>
    </w:div>
    <w:div w:id="852501750">
      <w:bodyDiv w:val="1"/>
      <w:marLeft w:val="0"/>
      <w:marRight w:val="0"/>
      <w:marTop w:val="0"/>
      <w:marBottom w:val="0"/>
      <w:divBdr>
        <w:top w:val="none" w:sz="0" w:space="0" w:color="auto"/>
        <w:left w:val="none" w:sz="0" w:space="0" w:color="auto"/>
        <w:bottom w:val="none" w:sz="0" w:space="0" w:color="auto"/>
        <w:right w:val="none" w:sz="0" w:space="0" w:color="auto"/>
      </w:divBdr>
    </w:div>
    <w:div w:id="948508981">
      <w:bodyDiv w:val="1"/>
      <w:marLeft w:val="0"/>
      <w:marRight w:val="0"/>
      <w:marTop w:val="0"/>
      <w:marBottom w:val="0"/>
      <w:divBdr>
        <w:top w:val="none" w:sz="0" w:space="0" w:color="auto"/>
        <w:left w:val="none" w:sz="0" w:space="0" w:color="auto"/>
        <w:bottom w:val="none" w:sz="0" w:space="0" w:color="auto"/>
        <w:right w:val="none" w:sz="0" w:space="0" w:color="auto"/>
      </w:divBdr>
    </w:div>
    <w:div w:id="998923436">
      <w:bodyDiv w:val="1"/>
      <w:marLeft w:val="0"/>
      <w:marRight w:val="0"/>
      <w:marTop w:val="0"/>
      <w:marBottom w:val="0"/>
      <w:divBdr>
        <w:top w:val="none" w:sz="0" w:space="0" w:color="auto"/>
        <w:left w:val="none" w:sz="0" w:space="0" w:color="auto"/>
        <w:bottom w:val="none" w:sz="0" w:space="0" w:color="auto"/>
        <w:right w:val="none" w:sz="0" w:space="0" w:color="auto"/>
      </w:divBdr>
    </w:div>
    <w:div w:id="1035161116">
      <w:bodyDiv w:val="1"/>
      <w:marLeft w:val="0"/>
      <w:marRight w:val="0"/>
      <w:marTop w:val="0"/>
      <w:marBottom w:val="0"/>
      <w:divBdr>
        <w:top w:val="none" w:sz="0" w:space="0" w:color="auto"/>
        <w:left w:val="none" w:sz="0" w:space="0" w:color="auto"/>
        <w:bottom w:val="none" w:sz="0" w:space="0" w:color="auto"/>
        <w:right w:val="none" w:sz="0" w:space="0" w:color="auto"/>
      </w:divBdr>
    </w:div>
    <w:div w:id="1057121951">
      <w:bodyDiv w:val="1"/>
      <w:marLeft w:val="0"/>
      <w:marRight w:val="0"/>
      <w:marTop w:val="0"/>
      <w:marBottom w:val="0"/>
      <w:divBdr>
        <w:top w:val="none" w:sz="0" w:space="0" w:color="auto"/>
        <w:left w:val="none" w:sz="0" w:space="0" w:color="auto"/>
        <w:bottom w:val="none" w:sz="0" w:space="0" w:color="auto"/>
        <w:right w:val="none" w:sz="0" w:space="0" w:color="auto"/>
      </w:divBdr>
    </w:div>
    <w:div w:id="1103456318">
      <w:bodyDiv w:val="1"/>
      <w:marLeft w:val="0"/>
      <w:marRight w:val="0"/>
      <w:marTop w:val="0"/>
      <w:marBottom w:val="0"/>
      <w:divBdr>
        <w:top w:val="none" w:sz="0" w:space="0" w:color="auto"/>
        <w:left w:val="none" w:sz="0" w:space="0" w:color="auto"/>
        <w:bottom w:val="none" w:sz="0" w:space="0" w:color="auto"/>
        <w:right w:val="none" w:sz="0" w:space="0" w:color="auto"/>
      </w:divBdr>
    </w:div>
    <w:div w:id="1114521049">
      <w:bodyDiv w:val="1"/>
      <w:marLeft w:val="0"/>
      <w:marRight w:val="0"/>
      <w:marTop w:val="0"/>
      <w:marBottom w:val="0"/>
      <w:divBdr>
        <w:top w:val="none" w:sz="0" w:space="0" w:color="auto"/>
        <w:left w:val="none" w:sz="0" w:space="0" w:color="auto"/>
        <w:bottom w:val="none" w:sz="0" w:space="0" w:color="auto"/>
        <w:right w:val="none" w:sz="0" w:space="0" w:color="auto"/>
      </w:divBdr>
    </w:div>
    <w:div w:id="1229684642">
      <w:bodyDiv w:val="1"/>
      <w:marLeft w:val="0"/>
      <w:marRight w:val="0"/>
      <w:marTop w:val="0"/>
      <w:marBottom w:val="0"/>
      <w:divBdr>
        <w:top w:val="none" w:sz="0" w:space="0" w:color="auto"/>
        <w:left w:val="none" w:sz="0" w:space="0" w:color="auto"/>
        <w:bottom w:val="none" w:sz="0" w:space="0" w:color="auto"/>
        <w:right w:val="none" w:sz="0" w:space="0" w:color="auto"/>
      </w:divBdr>
    </w:div>
    <w:div w:id="1244728141">
      <w:bodyDiv w:val="1"/>
      <w:marLeft w:val="0"/>
      <w:marRight w:val="0"/>
      <w:marTop w:val="0"/>
      <w:marBottom w:val="0"/>
      <w:divBdr>
        <w:top w:val="none" w:sz="0" w:space="0" w:color="auto"/>
        <w:left w:val="none" w:sz="0" w:space="0" w:color="auto"/>
        <w:bottom w:val="none" w:sz="0" w:space="0" w:color="auto"/>
        <w:right w:val="none" w:sz="0" w:space="0" w:color="auto"/>
      </w:divBdr>
    </w:div>
    <w:div w:id="1253666010">
      <w:bodyDiv w:val="1"/>
      <w:marLeft w:val="0"/>
      <w:marRight w:val="0"/>
      <w:marTop w:val="0"/>
      <w:marBottom w:val="0"/>
      <w:divBdr>
        <w:top w:val="none" w:sz="0" w:space="0" w:color="auto"/>
        <w:left w:val="none" w:sz="0" w:space="0" w:color="auto"/>
        <w:bottom w:val="none" w:sz="0" w:space="0" w:color="auto"/>
        <w:right w:val="none" w:sz="0" w:space="0" w:color="auto"/>
      </w:divBdr>
    </w:div>
    <w:div w:id="1330251628">
      <w:bodyDiv w:val="1"/>
      <w:marLeft w:val="0"/>
      <w:marRight w:val="0"/>
      <w:marTop w:val="0"/>
      <w:marBottom w:val="0"/>
      <w:divBdr>
        <w:top w:val="none" w:sz="0" w:space="0" w:color="auto"/>
        <w:left w:val="none" w:sz="0" w:space="0" w:color="auto"/>
        <w:bottom w:val="none" w:sz="0" w:space="0" w:color="auto"/>
        <w:right w:val="none" w:sz="0" w:space="0" w:color="auto"/>
      </w:divBdr>
    </w:div>
    <w:div w:id="1370454609">
      <w:bodyDiv w:val="1"/>
      <w:marLeft w:val="0"/>
      <w:marRight w:val="0"/>
      <w:marTop w:val="0"/>
      <w:marBottom w:val="0"/>
      <w:divBdr>
        <w:top w:val="none" w:sz="0" w:space="0" w:color="auto"/>
        <w:left w:val="none" w:sz="0" w:space="0" w:color="auto"/>
        <w:bottom w:val="none" w:sz="0" w:space="0" w:color="auto"/>
        <w:right w:val="none" w:sz="0" w:space="0" w:color="auto"/>
      </w:divBdr>
    </w:div>
    <w:div w:id="1399479697">
      <w:bodyDiv w:val="1"/>
      <w:marLeft w:val="0"/>
      <w:marRight w:val="0"/>
      <w:marTop w:val="0"/>
      <w:marBottom w:val="0"/>
      <w:divBdr>
        <w:top w:val="none" w:sz="0" w:space="0" w:color="auto"/>
        <w:left w:val="none" w:sz="0" w:space="0" w:color="auto"/>
        <w:bottom w:val="none" w:sz="0" w:space="0" w:color="auto"/>
        <w:right w:val="none" w:sz="0" w:space="0" w:color="auto"/>
      </w:divBdr>
    </w:div>
    <w:div w:id="1417171941">
      <w:bodyDiv w:val="1"/>
      <w:marLeft w:val="0"/>
      <w:marRight w:val="0"/>
      <w:marTop w:val="0"/>
      <w:marBottom w:val="0"/>
      <w:divBdr>
        <w:top w:val="none" w:sz="0" w:space="0" w:color="auto"/>
        <w:left w:val="none" w:sz="0" w:space="0" w:color="auto"/>
        <w:bottom w:val="none" w:sz="0" w:space="0" w:color="auto"/>
        <w:right w:val="none" w:sz="0" w:space="0" w:color="auto"/>
      </w:divBdr>
    </w:div>
    <w:div w:id="1458910522">
      <w:bodyDiv w:val="1"/>
      <w:marLeft w:val="0"/>
      <w:marRight w:val="0"/>
      <w:marTop w:val="0"/>
      <w:marBottom w:val="0"/>
      <w:divBdr>
        <w:top w:val="none" w:sz="0" w:space="0" w:color="auto"/>
        <w:left w:val="none" w:sz="0" w:space="0" w:color="auto"/>
        <w:bottom w:val="none" w:sz="0" w:space="0" w:color="auto"/>
        <w:right w:val="none" w:sz="0" w:space="0" w:color="auto"/>
      </w:divBdr>
    </w:div>
    <w:div w:id="1461417659">
      <w:bodyDiv w:val="1"/>
      <w:marLeft w:val="0"/>
      <w:marRight w:val="0"/>
      <w:marTop w:val="0"/>
      <w:marBottom w:val="0"/>
      <w:divBdr>
        <w:top w:val="none" w:sz="0" w:space="0" w:color="auto"/>
        <w:left w:val="none" w:sz="0" w:space="0" w:color="auto"/>
        <w:bottom w:val="none" w:sz="0" w:space="0" w:color="auto"/>
        <w:right w:val="none" w:sz="0" w:space="0" w:color="auto"/>
      </w:divBdr>
    </w:div>
    <w:div w:id="1486582515">
      <w:bodyDiv w:val="1"/>
      <w:marLeft w:val="0"/>
      <w:marRight w:val="0"/>
      <w:marTop w:val="0"/>
      <w:marBottom w:val="0"/>
      <w:divBdr>
        <w:top w:val="none" w:sz="0" w:space="0" w:color="auto"/>
        <w:left w:val="none" w:sz="0" w:space="0" w:color="auto"/>
        <w:bottom w:val="none" w:sz="0" w:space="0" w:color="auto"/>
        <w:right w:val="none" w:sz="0" w:space="0" w:color="auto"/>
      </w:divBdr>
    </w:div>
    <w:div w:id="1589076811">
      <w:bodyDiv w:val="1"/>
      <w:marLeft w:val="0"/>
      <w:marRight w:val="0"/>
      <w:marTop w:val="0"/>
      <w:marBottom w:val="0"/>
      <w:divBdr>
        <w:top w:val="none" w:sz="0" w:space="0" w:color="auto"/>
        <w:left w:val="none" w:sz="0" w:space="0" w:color="auto"/>
        <w:bottom w:val="none" w:sz="0" w:space="0" w:color="auto"/>
        <w:right w:val="none" w:sz="0" w:space="0" w:color="auto"/>
      </w:divBdr>
    </w:div>
    <w:div w:id="1593079043">
      <w:bodyDiv w:val="1"/>
      <w:marLeft w:val="0"/>
      <w:marRight w:val="0"/>
      <w:marTop w:val="0"/>
      <w:marBottom w:val="0"/>
      <w:divBdr>
        <w:top w:val="none" w:sz="0" w:space="0" w:color="auto"/>
        <w:left w:val="none" w:sz="0" w:space="0" w:color="auto"/>
        <w:bottom w:val="none" w:sz="0" w:space="0" w:color="auto"/>
        <w:right w:val="none" w:sz="0" w:space="0" w:color="auto"/>
      </w:divBdr>
    </w:div>
    <w:div w:id="1620144744">
      <w:bodyDiv w:val="1"/>
      <w:marLeft w:val="0"/>
      <w:marRight w:val="0"/>
      <w:marTop w:val="0"/>
      <w:marBottom w:val="0"/>
      <w:divBdr>
        <w:top w:val="none" w:sz="0" w:space="0" w:color="auto"/>
        <w:left w:val="none" w:sz="0" w:space="0" w:color="auto"/>
        <w:bottom w:val="none" w:sz="0" w:space="0" w:color="auto"/>
        <w:right w:val="none" w:sz="0" w:space="0" w:color="auto"/>
      </w:divBdr>
    </w:div>
    <w:div w:id="1698459321">
      <w:bodyDiv w:val="1"/>
      <w:marLeft w:val="0"/>
      <w:marRight w:val="0"/>
      <w:marTop w:val="0"/>
      <w:marBottom w:val="0"/>
      <w:divBdr>
        <w:top w:val="none" w:sz="0" w:space="0" w:color="auto"/>
        <w:left w:val="none" w:sz="0" w:space="0" w:color="auto"/>
        <w:bottom w:val="none" w:sz="0" w:space="0" w:color="auto"/>
        <w:right w:val="none" w:sz="0" w:space="0" w:color="auto"/>
      </w:divBdr>
    </w:div>
    <w:div w:id="1776829175">
      <w:bodyDiv w:val="1"/>
      <w:marLeft w:val="0"/>
      <w:marRight w:val="0"/>
      <w:marTop w:val="0"/>
      <w:marBottom w:val="0"/>
      <w:divBdr>
        <w:top w:val="none" w:sz="0" w:space="0" w:color="auto"/>
        <w:left w:val="none" w:sz="0" w:space="0" w:color="auto"/>
        <w:bottom w:val="none" w:sz="0" w:space="0" w:color="auto"/>
        <w:right w:val="none" w:sz="0" w:space="0" w:color="auto"/>
      </w:divBdr>
    </w:div>
    <w:div w:id="1781996105">
      <w:bodyDiv w:val="1"/>
      <w:marLeft w:val="0"/>
      <w:marRight w:val="0"/>
      <w:marTop w:val="0"/>
      <w:marBottom w:val="0"/>
      <w:divBdr>
        <w:top w:val="none" w:sz="0" w:space="0" w:color="auto"/>
        <w:left w:val="none" w:sz="0" w:space="0" w:color="auto"/>
        <w:bottom w:val="none" w:sz="0" w:space="0" w:color="auto"/>
        <w:right w:val="none" w:sz="0" w:space="0" w:color="auto"/>
      </w:divBdr>
    </w:div>
    <w:div w:id="1837839644">
      <w:bodyDiv w:val="1"/>
      <w:marLeft w:val="0"/>
      <w:marRight w:val="0"/>
      <w:marTop w:val="0"/>
      <w:marBottom w:val="0"/>
      <w:divBdr>
        <w:top w:val="none" w:sz="0" w:space="0" w:color="auto"/>
        <w:left w:val="none" w:sz="0" w:space="0" w:color="auto"/>
        <w:bottom w:val="none" w:sz="0" w:space="0" w:color="auto"/>
        <w:right w:val="none" w:sz="0" w:space="0" w:color="auto"/>
      </w:divBdr>
    </w:div>
    <w:div w:id="1866746961">
      <w:bodyDiv w:val="1"/>
      <w:marLeft w:val="0"/>
      <w:marRight w:val="0"/>
      <w:marTop w:val="0"/>
      <w:marBottom w:val="0"/>
      <w:divBdr>
        <w:top w:val="none" w:sz="0" w:space="0" w:color="auto"/>
        <w:left w:val="none" w:sz="0" w:space="0" w:color="auto"/>
        <w:bottom w:val="none" w:sz="0" w:space="0" w:color="auto"/>
        <w:right w:val="none" w:sz="0" w:space="0" w:color="auto"/>
      </w:divBdr>
    </w:div>
    <w:div w:id="2011761055">
      <w:bodyDiv w:val="1"/>
      <w:marLeft w:val="0"/>
      <w:marRight w:val="0"/>
      <w:marTop w:val="0"/>
      <w:marBottom w:val="0"/>
      <w:divBdr>
        <w:top w:val="none" w:sz="0" w:space="0" w:color="auto"/>
        <w:left w:val="none" w:sz="0" w:space="0" w:color="auto"/>
        <w:bottom w:val="none" w:sz="0" w:space="0" w:color="auto"/>
        <w:right w:val="none" w:sz="0" w:space="0" w:color="auto"/>
      </w:divBdr>
    </w:div>
    <w:div w:id="2097435567">
      <w:bodyDiv w:val="1"/>
      <w:marLeft w:val="0"/>
      <w:marRight w:val="0"/>
      <w:marTop w:val="0"/>
      <w:marBottom w:val="0"/>
      <w:divBdr>
        <w:top w:val="none" w:sz="0" w:space="0" w:color="auto"/>
        <w:left w:val="none" w:sz="0" w:space="0" w:color="auto"/>
        <w:bottom w:val="none" w:sz="0" w:space="0" w:color="auto"/>
        <w:right w:val="none" w:sz="0" w:space="0" w:color="auto"/>
      </w:divBdr>
    </w:div>
    <w:div w:id="2125805162">
      <w:bodyDiv w:val="1"/>
      <w:marLeft w:val="0"/>
      <w:marRight w:val="0"/>
      <w:marTop w:val="0"/>
      <w:marBottom w:val="0"/>
      <w:divBdr>
        <w:top w:val="none" w:sz="0" w:space="0" w:color="auto"/>
        <w:left w:val="none" w:sz="0" w:space="0" w:color="auto"/>
        <w:bottom w:val="none" w:sz="0" w:space="0" w:color="auto"/>
        <w:right w:val="none" w:sz="0" w:space="0" w:color="auto"/>
      </w:divBdr>
    </w:div>
    <w:div w:id="213964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1AA5452-904B-476B-8ECB-879A0466F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6594</Words>
  <Characters>37586</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2424040</Company>
  <LinksUpToDate>false</LinksUpToDate>
  <CharactersWithSpaces>44092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Finance For Business Managers</dc:title>
  <dc:subject>BMMB7005D</dc:subject>
  <dc:creator>Varun Chekuri</dc:creator>
  <cp:keywords/>
  <dc:description/>
  <cp:lastModifiedBy>Chekuri Varun</cp:lastModifiedBy>
  <cp:revision>2</cp:revision>
  <dcterms:created xsi:type="dcterms:W3CDTF">2025-07-21T09:16:00Z</dcterms:created>
  <dcterms:modified xsi:type="dcterms:W3CDTF">2025-07-21T09:16:00Z</dcterms:modified>
</cp:coreProperties>
</file>