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65789B" w14:textId="77777777" w:rsidR="00BB3652" w:rsidRPr="003A466B" w:rsidRDefault="00BB3652" w:rsidP="00F55C02">
      <w:pPr>
        <w:spacing w:line="360" w:lineRule="auto"/>
        <w:jc w:val="center"/>
        <w:rPr>
          <w:b/>
          <w:bCs/>
          <w:sz w:val="32"/>
          <w:szCs w:val="32"/>
        </w:rPr>
      </w:pPr>
    </w:p>
    <w:p w14:paraId="6C41166C" w14:textId="77777777" w:rsidR="00BB3652" w:rsidRPr="003A466B" w:rsidRDefault="00BB3652" w:rsidP="00404A00">
      <w:pPr>
        <w:spacing w:line="360" w:lineRule="auto"/>
        <w:rPr>
          <w:b/>
          <w:bCs/>
          <w:sz w:val="32"/>
          <w:szCs w:val="32"/>
        </w:rPr>
      </w:pPr>
    </w:p>
    <w:p w14:paraId="406BAF0A" w14:textId="77777777" w:rsidR="00BB3652" w:rsidRPr="003A466B" w:rsidRDefault="00BB3652" w:rsidP="00F55C02">
      <w:pPr>
        <w:spacing w:line="360" w:lineRule="auto"/>
        <w:jc w:val="center"/>
        <w:rPr>
          <w:b/>
          <w:bCs/>
          <w:sz w:val="32"/>
          <w:szCs w:val="32"/>
        </w:rPr>
      </w:pPr>
    </w:p>
    <w:p w14:paraId="3384AF93" w14:textId="77777777" w:rsidR="00BB3652" w:rsidRPr="003A466B" w:rsidRDefault="00BB3652" w:rsidP="00F55C02">
      <w:pPr>
        <w:spacing w:line="360" w:lineRule="auto"/>
        <w:jc w:val="center"/>
        <w:rPr>
          <w:b/>
          <w:bCs/>
          <w:sz w:val="32"/>
          <w:szCs w:val="32"/>
        </w:rPr>
      </w:pPr>
    </w:p>
    <w:p w14:paraId="1ACADFC1" w14:textId="77777777" w:rsidR="00BB3652" w:rsidRPr="003A466B" w:rsidRDefault="00BB3652" w:rsidP="00F55C02">
      <w:pPr>
        <w:spacing w:line="360" w:lineRule="auto"/>
        <w:jc w:val="center"/>
        <w:rPr>
          <w:b/>
          <w:bCs/>
          <w:sz w:val="32"/>
          <w:szCs w:val="32"/>
        </w:rPr>
      </w:pPr>
    </w:p>
    <w:p w14:paraId="75ADB4AA" w14:textId="045061F6" w:rsidR="00BB3652" w:rsidRPr="00404A00" w:rsidRDefault="00BB3652" w:rsidP="00F55C02">
      <w:pPr>
        <w:spacing w:line="360" w:lineRule="auto"/>
        <w:jc w:val="center"/>
        <w:rPr>
          <w:b/>
          <w:bCs/>
        </w:rPr>
      </w:pPr>
      <w:r w:rsidRPr="00404A00">
        <w:rPr>
          <w:b/>
          <w:bCs/>
        </w:rPr>
        <w:t>ASSESSMENT 2</w:t>
      </w:r>
    </w:p>
    <w:p w14:paraId="484F391B" w14:textId="0FF6447A" w:rsidR="00BB3652" w:rsidRPr="00404A00" w:rsidRDefault="00BB3652" w:rsidP="00F55C02">
      <w:pPr>
        <w:spacing w:line="360" w:lineRule="auto"/>
        <w:jc w:val="center"/>
        <w:rPr>
          <w:b/>
          <w:bCs/>
        </w:rPr>
      </w:pPr>
      <w:r w:rsidRPr="00404A00">
        <w:rPr>
          <w:b/>
          <w:bCs/>
        </w:rPr>
        <w:t>REPORT CASE STUDY: THE CITY HOTEL</w:t>
      </w:r>
    </w:p>
    <w:p w14:paraId="765535FF" w14:textId="3880CFFE" w:rsidR="00BB3652" w:rsidRPr="00404A00" w:rsidRDefault="00BB3652" w:rsidP="00F55C02">
      <w:pPr>
        <w:spacing w:line="360" w:lineRule="auto"/>
        <w:jc w:val="center"/>
        <w:rPr>
          <w:b/>
          <w:bCs/>
        </w:rPr>
      </w:pPr>
      <w:r w:rsidRPr="00404A00">
        <w:rPr>
          <w:b/>
          <w:bCs/>
        </w:rPr>
        <w:t xml:space="preserve">STUDENT NAME: </w:t>
      </w:r>
      <w:r w:rsidR="00404A00" w:rsidRPr="00404A00">
        <w:rPr>
          <w:b/>
          <w:bCs/>
        </w:rPr>
        <w:t>SABIANA MIHAELA OPREA</w:t>
      </w:r>
    </w:p>
    <w:p w14:paraId="7F533966" w14:textId="0444B11D" w:rsidR="00BB3652" w:rsidRPr="00404A00" w:rsidRDefault="00BB3652" w:rsidP="00F55C02">
      <w:pPr>
        <w:spacing w:line="360" w:lineRule="auto"/>
        <w:jc w:val="center"/>
        <w:rPr>
          <w:b/>
          <w:bCs/>
        </w:rPr>
      </w:pPr>
      <w:r w:rsidRPr="00404A00">
        <w:rPr>
          <w:b/>
          <w:bCs/>
        </w:rPr>
        <w:t xml:space="preserve">STUDENT ID NUMBER: </w:t>
      </w:r>
      <w:r w:rsidR="00404A00" w:rsidRPr="00404A00">
        <w:rPr>
          <w:b/>
          <w:bCs/>
        </w:rPr>
        <w:t>2237673</w:t>
      </w:r>
    </w:p>
    <w:p w14:paraId="18719074" w14:textId="36338280" w:rsidR="00404A00" w:rsidRPr="00404A00" w:rsidRDefault="00404A00" w:rsidP="00F55C02">
      <w:pPr>
        <w:spacing w:line="360" w:lineRule="auto"/>
        <w:jc w:val="center"/>
        <w:rPr>
          <w:b/>
          <w:bCs/>
        </w:rPr>
      </w:pPr>
      <w:r w:rsidRPr="00404A00">
        <w:rPr>
          <w:b/>
          <w:bCs/>
        </w:rPr>
        <w:t>LECTURER NAME: TRISTAN HAWKINS</w:t>
      </w:r>
    </w:p>
    <w:p w14:paraId="2FE1553C" w14:textId="1153A3F4" w:rsidR="00BB3652" w:rsidRPr="00404A00" w:rsidRDefault="00BB3652" w:rsidP="00404A00">
      <w:pPr>
        <w:spacing w:line="360" w:lineRule="auto"/>
        <w:jc w:val="center"/>
        <w:rPr>
          <w:b/>
          <w:bCs/>
        </w:rPr>
      </w:pPr>
      <w:r w:rsidRPr="00404A00">
        <w:rPr>
          <w:b/>
          <w:bCs/>
        </w:rPr>
        <w:t xml:space="preserve">WORD COUNT: </w:t>
      </w:r>
      <w:r w:rsidR="00404A00" w:rsidRPr="00404A00">
        <w:rPr>
          <w:b/>
          <w:bCs/>
        </w:rPr>
        <w:t>2121</w:t>
      </w:r>
    </w:p>
    <w:p w14:paraId="648DA4E7" w14:textId="77777777" w:rsidR="00404A00" w:rsidRPr="00404A00" w:rsidRDefault="00404A00" w:rsidP="00404A00">
      <w:pPr>
        <w:spacing w:line="360" w:lineRule="auto"/>
        <w:jc w:val="center"/>
        <w:rPr>
          <w:b/>
          <w:bCs/>
        </w:rPr>
      </w:pPr>
    </w:p>
    <w:p w14:paraId="68EE7C8D" w14:textId="77777777" w:rsidR="00404A00" w:rsidRPr="00404A00" w:rsidRDefault="00404A00" w:rsidP="00404A00">
      <w:pPr>
        <w:spacing w:line="360" w:lineRule="auto"/>
        <w:jc w:val="center"/>
        <w:rPr>
          <w:b/>
          <w:bCs/>
        </w:rPr>
      </w:pPr>
    </w:p>
    <w:p w14:paraId="6304A9D1" w14:textId="77777777" w:rsidR="00404A00" w:rsidRPr="00404A00" w:rsidRDefault="00404A00" w:rsidP="00404A00">
      <w:r w:rsidRPr="00404A00">
        <w:t xml:space="preserve">I confirm that I have not used any AI tools in the research and creation of this </w:t>
      </w:r>
    </w:p>
    <w:p w14:paraId="44F3A093" w14:textId="77777777" w:rsidR="00404A00" w:rsidRPr="00404A00" w:rsidRDefault="00404A00" w:rsidP="00404A00">
      <w:r w:rsidRPr="00404A00">
        <w:t xml:space="preserve">assignment. I confirm that I have not presented any AI generated materials as my own </w:t>
      </w:r>
    </w:p>
    <w:p w14:paraId="51640596" w14:textId="77777777" w:rsidR="00404A00" w:rsidRPr="00404A00" w:rsidRDefault="00404A00" w:rsidP="00404A00">
      <w:r w:rsidRPr="00404A00">
        <w:t xml:space="preserve">work. I confirm I have copies of my drafts, notes, and other resources I used, which I </w:t>
      </w:r>
    </w:p>
    <w:p w14:paraId="7D6300BA" w14:textId="053731B3" w:rsidR="00404A00" w:rsidRPr="00404A00" w:rsidRDefault="00404A00" w:rsidP="00404A00">
      <w:pPr>
        <w:spacing w:line="360" w:lineRule="auto"/>
        <w:rPr>
          <w:b/>
          <w:bCs/>
        </w:rPr>
      </w:pPr>
      <w:r w:rsidRPr="00404A00">
        <w:t>may be asked to provide in evidence.</w:t>
      </w:r>
    </w:p>
    <w:p w14:paraId="1390A3FD" w14:textId="77777777" w:rsidR="00404A00" w:rsidRPr="00404A00" w:rsidRDefault="00404A00" w:rsidP="00404A00">
      <w:pPr>
        <w:spacing w:line="360" w:lineRule="auto"/>
        <w:jc w:val="center"/>
        <w:rPr>
          <w:b/>
          <w:bCs/>
        </w:rPr>
      </w:pPr>
    </w:p>
    <w:p w14:paraId="41EA492E" w14:textId="77777777" w:rsidR="00404A00" w:rsidRPr="00404A00" w:rsidRDefault="00404A00" w:rsidP="00404A00">
      <w:pPr>
        <w:spacing w:line="360" w:lineRule="auto"/>
        <w:jc w:val="center"/>
        <w:rPr>
          <w:b/>
          <w:bCs/>
        </w:rPr>
      </w:pPr>
    </w:p>
    <w:p w14:paraId="0F0CAD64" w14:textId="77777777" w:rsidR="00404A00" w:rsidRDefault="00404A00" w:rsidP="00404A00">
      <w:pPr>
        <w:spacing w:line="360" w:lineRule="auto"/>
        <w:jc w:val="center"/>
        <w:rPr>
          <w:b/>
          <w:bCs/>
          <w:sz w:val="32"/>
          <w:szCs w:val="32"/>
        </w:rPr>
      </w:pPr>
    </w:p>
    <w:p w14:paraId="4F3D3FE1" w14:textId="77777777" w:rsidR="00404A00" w:rsidRDefault="00404A00" w:rsidP="00404A00">
      <w:pPr>
        <w:spacing w:line="360" w:lineRule="auto"/>
        <w:jc w:val="center"/>
        <w:rPr>
          <w:b/>
          <w:bCs/>
          <w:sz w:val="32"/>
          <w:szCs w:val="32"/>
        </w:rPr>
      </w:pPr>
    </w:p>
    <w:p w14:paraId="54D3DBF0" w14:textId="77777777" w:rsidR="00404A00" w:rsidRDefault="00404A00" w:rsidP="00404A00">
      <w:pPr>
        <w:spacing w:line="360" w:lineRule="auto"/>
        <w:jc w:val="center"/>
        <w:rPr>
          <w:b/>
          <w:bCs/>
          <w:sz w:val="32"/>
          <w:szCs w:val="32"/>
        </w:rPr>
      </w:pPr>
    </w:p>
    <w:p w14:paraId="21714E41" w14:textId="77777777" w:rsidR="00404A00" w:rsidRDefault="00404A00" w:rsidP="00404A00">
      <w:pPr>
        <w:spacing w:line="360" w:lineRule="auto"/>
        <w:jc w:val="center"/>
        <w:rPr>
          <w:b/>
          <w:bCs/>
          <w:sz w:val="32"/>
          <w:szCs w:val="32"/>
        </w:rPr>
      </w:pPr>
    </w:p>
    <w:p w14:paraId="634FBA98" w14:textId="77777777" w:rsidR="00404A00" w:rsidRDefault="00404A00" w:rsidP="00404A00">
      <w:pPr>
        <w:spacing w:line="360" w:lineRule="auto"/>
        <w:jc w:val="center"/>
        <w:rPr>
          <w:b/>
          <w:bCs/>
          <w:sz w:val="32"/>
          <w:szCs w:val="32"/>
        </w:rPr>
      </w:pPr>
    </w:p>
    <w:p w14:paraId="5CE89716" w14:textId="77777777" w:rsidR="00404A00" w:rsidRDefault="00404A00" w:rsidP="00404A00">
      <w:pPr>
        <w:spacing w:line="360" w:lineRule="auto"/>
        <w:jc w:val="center"/>
        <w:rPr>
          <w:b/>
          <w:bCs/>
          <w:sz w:val="32"/>
          <w:szCs w:val="32"/>
        </w:rPr>
      </w:pPr>
    </w:p>
    <w:p w14:paraId="3DA16606" w14:textId="77777777" w:rsidR="00404A00" w:rsidRPr="003A466B" w:rsidRDefault="00404A00" w:rsidP="00404A00">
      <w:pPr>
        <w:spacing w:line="360" w:lineRule="auto"/>
        <w:jc w:val="center"/>
        <w:rPr>
          <w:b/>
          <w:bCs/>
          <w:sz w:val="32"/>
          <w:szCs w:val="32"/>
        </w:rPr>
      </w:pPr>
    </w:p>
    <w:p w14:paraId="2E49D8C5" w14:textId="77777777" w:rsidR="00BB3652" w:rsidRPr="003A466B" w:rsidRDefault="00BB3652" w:rsidP="00F55C02">
      <w:pPr>
        <w:spacing w:line="360" w:lineRule="auto"/>
        <w:rPr>
          <w:rFonts w:eastAsia="Times New Roman"/>
          <w:b/>
          <w:sz w:val="28"/>
          <w:szCs w:val="28"/>
        </w:rPr>
      </w:pPr>
      <w:r w:rsidRPr="003A466B">
        <w:rPr>
          <w:rFonts w:eastAsia="Times New Roman"/>
          <w:b/>
          <w:sz w:val="28"/>
          <w:szCs w:val="28"/>
        </w:rPr>
        <w:t>List of Abbreviations</w:t>
      </w:r>
    </w:p>
    <w:p w14:paraId="620DBD07" w14:textId="77777777" w:rsidR="00BB3652" w:rsidRPr="003A466B" w:rsidRDefault="00BB3652" w:rsidP="00F55C02">
      <w:pPr>
        <w:spacing w:line="360" w:lineRule="auto"/>
        <w:rPr>
          <w:rFonts w:eastAsia="Times New Roman"/>
        </w:rPr>
      </w:pPr>
      <w:r w:rsidRPr="003A466B">
        <w:rPr>
          <w:rFonts w:eastAsia="Times New Roman"/>
          <w:b/>
        </w:rPr>
        <w:t>GPM:</w:t>
      </w:r>
      <w:r w:rsidRPr="003A466B">
        <w:rPr>
          <w:rFonts w:eastAsia="Times New Roman"/>
        </w:rPr>
        <w:t xml:space="preserve"> Gross Profit Margin</w:t>
      </w:r>
    </w:p>
    <w:p w14:paraId="4419AFFA" w14:textId="77777777" w:rsidR="00BB3652" w:rsidRPr="003A466B" w:rsidRDefault="00BB3652" w:rsidP="00F55C02">
      <w:pPr>
        <w:spacing w:line="360" w:lineRule="auto"/>
        <w:rPr>
          <w:rFonts w:eastAsia="Times New Roman"/>
        </w:rPr>
      </w:pPr>
      <w:r w:rsidRPr="003A466B">
        <w:rPr>
          <w:rFonts w:eastAsia="Times New Roman"/>
          <w:b/>
        </w:rPr>
        <w:t xml:space="preserve">OPM: </w:t>
      </w:r>
      <w:r w:rsidRPr="003A466B">
        <w:rPr>
          <w:rFonts w:eastAsia="Times New Roman"/>
        </w:rPr>
        <w:t>Operating Profit Margin</w:t>
      </w:r>
    </w:p>
    <w:p w14:paraId="2880DC05" w14:textId="77777777" w:rsidR="00BB3652" w:rsidRPr="003A466B" w:rsidRDefault="00BB3652" w:rsidP="00F55C02">
      <w:pPr>
        <w:spacing w:line="360" w:lineRule="auto"/>
        <w:rPr>
          <w:rFonts w:eastAsia="Times New Roman"/>
        </w:rPr>
      </w:pPr>
      <w:r w:rsidRPr="003A466B">
        <w:rPr>
          <w:rFonts w:eastAsia="Times New Roman"/>
          <w:b/>
        </w:rPr>
        <w:t xml:space="preserve">ROCE: </w:t>
      </w:r>
      <w:r w:rsidRPr="003A466B">
        <w:rPr>
          <w:rFonts w:eastAsia="Times New Roman"/>
        </w:rPr>
        <w:t>Return on Capital Employed</w:t>
      </w:r>
    </w:p>
    <w:p w14:paraId="72856941" w14:textId="77777777" w:rsidR="00BB3652" w:rsidRPr="003A466B" w:rsidRDefault="00BB3652" w:rsidP="00F55C02">
      <w:pPr>
        <w:spacing w:line="360" w:lineRule="auto"/>
        <w:rPr>
          <w:rFonts w:eastAsia="Times New Roman"/>
        </w:rPr>
      </w:pPr>
      <w:r w:rsidRPr="003A466B">
        <w:rPr>
          <w:rFonts w:eastAsia="Times New Roman"/>
          <w:b/>
        </w:rPr>
        <w:lastRenderedPageBreak/>
        <w:t xml:space="preserve">OM: </w:t>
      </w:r>
      <w:r w:rsidRPr="003A466B">
        <w:rPr>
          <w:rFonts w:eastAsia="Times New Roman"/>
        </w:rPr>
        <w:t>Operating Margin</w:t>
      </w:r>
    </w:p>
    <w:p w14:paraId="0323E0B9" w14:textId="77777777" w:rsidR="00BB3652" w:rsidRPr="003A466B" w:rsidRDefault="00BB3652" w:rsidP="00F55C02">
      <w:pPr>
        <w:spacing w:line="360" w:lineRule="auto"/>
        <w:rPr>
          <w:rFonts w:eastAsia="Times New Roman"/>
        </w:rPr>
      </w:pPr>
      <w:r w:rsidRPr="003A466B">
        <w:rPr>
          <w:rFonts w:eastAsia="Times New Roman"/>
          <w:b/>
        </w:rPr>
        <w:t xml:space="preserve">CR: </w:t>
      </w:r>
      <w:r w:rsidRPr="003A466B">
        <w:rPr>
          <w:rFonts w:eastAsia="Times New Roman"/>
        </w:rPr>
        <w:t>Cash Ratio</w:t>
      </w:r>
    </w:p>
    <w:p w14:paraId="1270C14C" w14:textId="77777777" w:rsidR="00BB3652" w:rsidRPr="003A466B" w:rsidRDefault="00BB3652" w:rsidP="00F55C02">
      <w:pPr>
        <w:spacing w:line="360" w:lineRule="auto"/>
        <w:rPr>
          <w:rFonts w:eastAsia="Times New Roman"/>
        </w:rPr>
      </w:pPr>
      <w:r w:rsidRPr="003A466B">
        <w:rPr>
          <w:rFonts w:eastAsia="Times New Roman"/>
          <w:b/>
        </w:rPr>
        <w:t xml:space="preserve">QR: </w:t>
      </w:r>
      <w:r w:rsidRPr="003A466B">
        <w:rPr>
          <w:rFonts w:eastAsia="Times New Roman"/>
        </w:rPr>
        <w:t>Quick Ratio</w:t>
      </w:r>
    </w:p>
    <w:p w14:paraId="0AB43AE9" w14:textId="77777777" w:rsidR="00BB3652" w:rsidRPr="003A466B" w:rsidRDefault="00BB3652" w:rsidP="00F55C02">
      <w:pPr>
        <w:spacing w:line="360" w:lineRule="auto"/>
        <w:rPr>
          <w:rFonts w:eastAsia="Times New Roman"/>
        </w:rPr>
      </w:pPr>
      <w:r w:rsidRPr="003A466B">
        <w:rPr>
          <w:rFonts w:eastAsia="Times New Roman"/>
          <w:b/>
        </w:rPr>
        <w:t xml:space="preserve">WCS: </w:t>
      </w:r>
      <w:r w:rsidRPr="003A466B">
        <w:rPr>
          <w:rFonts w:eastAsia="Times New Roman"/>
        </w:rPr>
        <w:t>Working Capital to Sales</w:t>
      </w:r>
    </w:p>
    <w:p w14:paraId="3F44ACE6" w14:textId="77777777" w:rsidR="00BB3652" w:rsidRPr="003A466B" w:rsidRDefault="00BB3652" w:rsidP="00F55C02">
      <w:pPr>
        <w:spacing w:line="360" w:lineRule="auto"/>
        <w:rPr>
          <w:rFonts w:eastAsia="Times New Roman"/>
        </w:rPr>
      </w:pPr>
      <w:r w:rsidRPr="003A466B">
        <w:rPr>
          <w:rFonts w:eastAsia="Times New Roman"/>
          <w:b/>
        </w:rPr>
        <w:t xml:space="preserve">CAR: </w:t>
      </w:r>
      <w:r w:rsidRPr="003A466B">
        <w:rPr>
          <w:rFonts w:eastAsia="Times New Roman"/>
        </w:rPr>
        <w:t>Cash Ratio</w:t>
      </w:r>
    </w:p>
    <w:p w14:paraId="48A9CC7F" w14:textId="77777777" w:rsidR="00BB3652" w:rsidRPr="003A466B" w:rsidRDefault="00BB3652" w:rsidP="00F55C02">
      <w:pPr>
        <w:spacing w:line="360" w:lineRule="auto"/>
        <w:rPr>
          <w:rFonts w:eastAsia="Times New Roman"/>
        </w:rPr>
      </w:pPr>
      <w:r w:rsidRPr="003A466B">
        <w:rPr>
          <w:rFonts w:eastAsia="Times New Roman"/>
          <w:b/>
        </w:rPr>
        <w:t xml:space="preserve">GR: </w:t>
      </w:r>
      <w:r w:rsidRPr="003A466B">
        <w:rPr>
          <w:rFonts w:eastAsia="Times New Roman"/>
        </w:rPr>
        <w:t>Gearing Ratio</w:t>
      </w:r>
    </w:p>
    <w:p w14:paraId="3516EEEB" w14:textId="77777777" w:rsidR="00BB3652" w:rsidRPr="003A466B" w:rsidRDefault="00BB3652" w:rsidP="00F55C02">
      <w:pPr>
        <w:spacing w:line="360" w:lineRule="auto"/>
        <w:rPr>
          <w:rFonts w:eastAsia="Times New Roman"/>
        </w:rPr>
      </w:pPr>
      <w:r w:rsidRPr="003A466B">
        <w:rPr>
          <w:rFonts w:eastAsia="Times New Roman"/>
          <w:b/>
        </w:rPr>
        <w:t xml:space="preserve">DER: </w:t>
      </w:r>
      <w:r w:rsidRPr="003A466B">
        <w:rPr>
          <w:rFonts w:eastAsia="Times New Roman"/>
        </w:rPr>
        <w:t>Debt Equity Ratio</w:t>
      </w:r>
    </w:p>
    <w:p w14:paraId="4BD86B7C" w14:textId="77777777" w:rsidR="00BB3652" w:rsidRPr="003A466B" w:rsidRDefault="00BB3652" w:rsidP="00F55C02">
      <w:pPr>
        <w:spacing w:line="360" w:lineRule="auto"/>
        <w:rPr>
          <w:rFonts w:eastAsia="Times New Roman"/>
        </w:rPr>
      </w:pPr>
      <w:r w:rsidRPr="003A466B">
        <w:rPr>
          <w:rFonts w:eastAsia="Times New Roman"/>
          <w:b/>
        </w:rPr>
        <w:t xml:space="preserve">PR: </w:t>
      </w:r>
      <w:r w:rsidRPr="003A466B">
        <w:rPr>
          <w:rFonts w:eastAsia="Times New Roman"/>
        </w:rPr>
        <w:t>Proprietary Ratio</w:t>
      </w:r>
    </w:p>
    <w:p w14:paraId="48A06424" w14:textId="27CA2542" w:rsidR="00BB3652" w:rsidRPr="003A466B" w:rsidRDefault="00BB3652" w:rsidP="00F55C02">
      <w:pPr>
        <w:spacing w:line="360" w:lineRule="auto"/>
        <w:rPr>
          <w:rFonts w:eastAsia="Times New Roman"/>
        </w:rPr>
      </w:pPr>
      <w:r w:rsidRPr="003A466B">
        <w:rPr>
          <w:rFonts w:eastAsia="Times New Roman"/>
          <w:b/>
        </w:rPr>
        <w:t xml:space="preserve">DR: </w:t>
      </w:r>
      <w:r w:rsidRPr="003A466B">
        <w:rPr>
          <w:rFonts w:eastAsia="Times New Roman"/>
        </w:rPr>
        <w:t>Debt Ratio</w:t>
      </w:r>
    </w:p>
    <w:p w14:paraId="1104169E" w14:textId="77777777" w:rsidR="00BB3652" w:rsidRPr="003A466B" w:rsidRDefault="00BB3652" w:rsidP="00F55C02">
      <w:pPr>
        <w:spacing w:line="360" w:lineRule="auto"/>
        <w:rPr>
          <w:rFonts w:eastAsia="Times New Roman"/>
        </w:rPr>
      </w:pPr>
      <w:r w:rsidRPr="003A466B">
        <w:rPr>
          <w:rFonts w:eastAsia="Times New Roman"/>
        </w:rPr>
        <w:br w:type="page"/>
      </w:r>
    </w:p>
    <w:sdt>
      <w:sdtPr>
        <w:rPr>
          <w:rFonts w:ascii="Times New Roman" w:eastAsiaTheme="minorHAnsi" w:hAnsi="Times New Roman" w:cs="Times New Roman"/>
          <w:color w:val="auto"/>
          <w:kern w:val="2"/>
          <w:sz w:val="24"/>
          <w:szCs w:val="24"/>
          <w:lang w:val="en-GB"/>
          <w14:ligatures w14:val="standardContextual"/>
        </w:rPr>
        <w:id w:val="-1139571001"/>
        <w:docPartObj>
          <w:docPartGallery w:val="Table of Contents"/>
          <w:docPartUnique/>
        </w:docPartObj>
      </w:sdtPr>
      <w:sdtEndPr>
        <w:rPr>
          <w:b/>
          <w:bCs/>
        </w:rPr>
      </w:sdtEndPr>
      <w:sdtContent>
        <w:p w14:paraId="7AF31EBD" w14:textId="61323437" w:rsidR="00BB3652" w:rsidRPr="003A466B" w:rsidRDefault="00BB3652" w:rsidP="00F55C02">
          <w:pPr>
            <w:pStyle w:val="TOCHeading"/>
            <w:spacing w:before="0" w:line="360" w:lineRule="auto"/>
            <w:jc w:val="center"/>
            <w:rPr>
              <w:rFonts w:ascii="Times New Roman" w:hAnsi="Times New Roman" w:cs="Times New Roman"/>
              <w:b/>
              <w:bCs/>
              <w:color w:val="auto"/>
              <w:sz w:val="28"/>
              <w:szCs w:val="28"/>
              <w:lang w:val="en-GB"/>
            </w:rPr>
          </w:pPr>
          <w:r w:rsidRPr="003A466B">
            <w:rPr>
              <w:rFonts w:ascii="Times New Roman" w:hAnsi="Times New Roman" w:cs="Times New Roman"/>
              <w:b/>
              <w:bCs/>
              <w:color w:val="auto"/>
              <w:sz w:val="28"/>
              <w:szCs w:val="28"/>
              <w:lang w:val="en-GB"/>
            </w:rPr>
            <w:t>Table of Contents</w:t>
          </w:r>
        </w:p>
        <w:p w14:paraId="6D90F629" w14:textId="34CA64F2" w:rsidR="00BB3652" w:rsidRPr="003A466B" w:rsidRDefault="00BB3652" w:rsidP="00F55C02">
          <w:pPr>
            <w:pStyle w:val="TOC1"/>
            <w:tabs>
              <w:tab w:val="right" w:leader="dot" w:pos="9016"/>
            </w:tabs>
            <w:spacing w:after="0" w:line="360" w:lineRule="auto"/>
          </w:pPr>
          <w:r w:rsidRPr="003A466B">
            <w:fldChar w:fldCharType="begin"/>
          </w:r>
          <w:r w:rsidRPr="003A466B">
            <w:instrText xml:space="preserve"> TOC \o "1-3" \h \z \u </w:instrText>
          </w:r>
          <w:r w:rsidRPr="003A466B">
            <w:fldChar w:fldCharType="separate"/>
          </w:r>
          <w:hyperlink w:anchor="_Toc178950112" w:history="1">
            <w:r w:rsidRPr="003A466B">
              <w:rPr>
                <w:rStyle w:val="Hyperlink"/>
                <w:color w:val="auto"/>
              </w:rPr>
              <w:t>Assessment 2: Report Case Study</w:t>
            </w:r>
            <w:r w:rsidRPr="003A466B">
              <w:rPr>
                <w:webHidden/>
              </w:rPr>
              <w:tab/>
            </w:r>
            <w:r w:rsidRPr="003A466B">
              <w:rPr>
                <w:webHidden/>
              </w:rPr>
              <w:fldChar w:fldCharType="begin"/>
            </w:r>
            <w:r w:rsidRPr="003A466B">
              <w:rPr>
                <w:webHidden/>
              </w:rPr>
              <w:instrText xml:space="preserve"> PAGEREF _Toc178950112 \h </w:instrText>
            </w:r>
            <w:r w:rsidRPr="003A466B">
              <w:rPr>
                <w:webHidden/>
              </w:rPr>
            </w:r>
            <w:r w:rsidRPr="003A466B">
              <w:rPr>
                <w:webHidden/>
              </w:rPr>
              <w:fldChar w:fldCharType="separate"/>
            </w:r>
            <w:r w:rsidRPr="003A466B">
              <w:rPr>
                <w:webHidden/>
              </w:rPr>
              <w:t>5</w:t>
            </w:r>
            <w:r w:rsidRPr="003A466B">
              <w:rPr>
                <w:webHidden/>
              </w:rPr>
              <w:fldChar w:fldCharType="end"/>
            </w:r>
          </w:hyperlink>
        </w:p>
        <w:p w14:paraId="6D407EE6" w14:textId="67071947" w:rsidR="00BB3652" w:rsidRPr="003A466B" w:rsidRDefault="00BB3652" w:rsidP="00F55C02">
          <w:pPr>
            <w:pStyle w:val="TOC1"/>
            <w:tabs>
              <w:tab w:val="right" w:leader="dot" w:pos="9016"/>
            </w:tabs>
            <w:spacing w:after="0" w:line="360" w:lineRule="auto"/>
          </w:pPr>
          <w:hyperlink w:anchor="_Toc178950113" w:history="1">
            <w:r w:rsidRPr="003A466B">
              <w:rPr>
                <w:rStyle w:val="Hyperlink"/>
                <w:color w:val="auto"/>
              </w:rPr>
              <w:t>Introduction</w:t>
            </w:r>
            <w:r w:rsidRPr="003A466B">
              <w:rPr>
                <w:webHidden/>
              </w:rPr>
              <w:tab/>
            </w:r>
            <w:r w:rsidRPr="003A466B">
              <w:rPr>
                <w:webHidden/>
              </w:rPr>
              <w:fldChar w:fldCharType="begin"/>
            </w:r>
            <w:r w:rsidRPr="003A466B">
              <w:rPr>
                <w:webHidden/>
              </w:rPr>
              <w:instrText xml:space="preserve"> PAGEREF _Toc178950113 \h </w:instrText>
            </w:r>
            <w:r w:rsidRPr="003A466B">
              <w:rPr>
                <w:webHidden/>
              </w:rPr>
            </w:r>
            <w:r w:rsidRPr="003A466B">
              <w:rPr>
                <w:webHidden/>
              </w:rPr>
              <w:fldChar w:fldCharType="separate"/>
            </w:r>
            <w:r w:rsidRPr="003A466B">
              <w:rPr>
                <w:webHidden/>
              </w:rPr>
              <w:t>5</w:t>
            </w:r>
            <w:r w:rsidRPr="003A466B">
              <w:rPr>
                <w:webHidden/>
              </w:rPr>
              <w:fldChar w:fldCharType="end"/>
            </w:r>
          </w:hyperlink>
        </w:p>
        <w:p w14:paraId="5E512F12" w14:textId="6C8C7567" w:rsidR="00BB3652" w:rsidRPr="003A466B" w:rsidRDefault="00BB3652" w:rsidP="00F55C02">
          <w:pPr>
            <w:pStyle w:val="TOC1"/>
            <w:tabs>
              <w:tab w:val="right" w:leader="dot" w:pos="9016"/>
            </w:tabs>
            <w:spacing w:after="0" w:line="360" w:lineRule="auto"/>
          </w:pPr>
          <w:hyperlink w:anchor="_Toc178950114" w:history="1">
            <w:r w:rsidRPr="003A466B">
              <w:rPr>
                <w:rStyle w:val="Hyperlink"/>
                <w:color w:val="auto"/>
              </w:rPr>
              <w:t>1: Financial Performance Trends and Patterns</w:t>
            </w:r>
            <w:r w:rsidRPr="003A466B">
              <w:rPr>
                <w:webHidden/>
              </w:rPr>
              <w:tab/>
            </w:r>
            <w:r w:rsidRPr="003A466B">
              <w:rPr>
                <w:webHidden/>
              </w:rPr>
              <w:fldChar w:fldCharType="begin"/>
            </w:r>
            <w:r w:rsidRPr="003A466B">
              <w:rPr>
                <w:webHidden/>
              </w:rPr>
              <w:instrText xml:space="preserve"> PAGEREF _Toc178950114 \h </w:instrText>
            </w:r>
            <w:r w:rsidRPr="003A466B">
              <w:rPr>
                <w:webHidden/>
              </w:rPr>
            </w:r>
            <w:r w:rsidRPr="003A466B">
              <w:rPr>
                <w:webHidden/>
              </w:rPr>
              <w:fldChar w:fldCharType="separate"/>
            </w:r>
            <w:r w:rsidRPr="003A466B">
              <w:rPr>
                <w:webHidden/>
              </w:rPr>
              <w:t>5</w:t>
            </w:r>
            <w:r w:rsidRPr="003A466B">
              <w:rPr>
                <w:webHidden/>
              </w:rPr>
              <w:fldChar w:fldCharType="end"/>
            </w:r>
          </w:hyperlink>
        </w:p>
        <w:p w14:paraId="6B87A692" w14:textId="7CFDF22A" w:rsidR="00BB3652" w:rsidRPr="003A466B" w:rsidRDefault="00BB3652" w:rsidP="00F55C02">
          <w:pPr>
            <w:pStyle w:val="TOC2"/>
            <w:tabs>
              <w:tab w:val="right" w:leader="dot" w:pos="9016"/>
            </w:tabs>
            <w:spacing w:after="0" w:line="360" w:lineRule="auto"/>
          </w:pPr>
          <w:hyperlink w:anchor="_Toc178950115" w:history="1">
            <w:r w:rsidRPr="003A466B">
              <w:rPr>
                <w:rStyle w:val="Hyperlink"/>
                <w:color w:val="auto"/>
              </w:rPr>
              <w:t>1.1: Revenue</w:t>
            </w:r>
            <w:r w:rsidRPr="003A466B">
              <w:rPr>
                <w:webHidden/>
              </w:rPr>
              <w:tab/>
            </w:r>
            <w:r w:rsidRPr="003A466B">
              <w:rPr>
                <w:webHidden/>
              </w:rPr>
              <w:fldChar w:fldCharType="begin"/>
            </w:r>
            <w:r w:rsidRPr="003A466B">
              <w:rPr>
                <w:webHidden/>
              </w:rPr>
              <w:instrText xml:space="preserve"> PAGEREF _Toc178950115 \h </w:instrText>
            </w:r>
            <w:r w:rsidRPr="003A466B">
              <w:rPr>
                <w:webHidden/>
              </w:rPr>
            </w:r>
            <w:r w:rsidRPr="003A466B">
              <w:rPr>
                <w:webHidden/>
              </w:rPr>
              <w:fldChar w:fldCharType="separate"/>
            </w:r>
            <w:r w:rsidRPr="003A466B">
              <w:rPr>
                <w:webHidden/>
              </w:rPr>
              <w:t>5</w:t>
            </w:r>
            <w:r w:rsidRPr="003A466B">
              <w:rPr>
                <w:webHidden/>
              </w:rPr>
              <w:fldChar w:fldCharType="end"/>
            </w:r>
          </w:hyperlink>
        </w:p>
        <w:p w14:paraId="4E0E117F" w14:textId="70AC0B55" w:rsidR="00BB3652" w:rsidRPr="003A466B" w:rsidRDefault="00BB3652" w:rsidP="00F55C02">
          <w:pPr>
            <w:pStyle w:val="TOC2"/>
            <w:tabs>
              <w:tab w:val="right" w:leader="dot" w:pos="9016"/>
            </w:tabs>
            <w:spacing w:after="0" w:line="360" w:lineRule="auto"/>
          </w:pPr>
          <w:hyperlink w:anchor="_Toc178950116" w:history="1">
            <w:r w:rsidRPr="003A466B">
              <w:rPr>
                <w:rStyle w:val="Hyperlink"/>
                <w:color w:val="auto"/>
              </w:rPr>
              <w:t>1.2: Expenses</w:t>
            </w:r>
            <w:r w:rsidRPr="003A466B">
              <w:rPr>
                <w:webHidden/>
              </w:rPr>
              <w:tab/>
            </w:r>
            <w:r w:rsidRPr="003A466B">
              <w:rPr>
                <w:webHidden/>
              </w:rPr>
              <w:fldChar w:fldCharType="begin"/>
            </w:r>
            <w:r w:rsidRPr="003A466B">
              <w:rPr>
                <w:webHidden/>
              </w:rPr>
              <w:instrText xml:space="preserve"> PAGEREF _Toc178950116 \h </w:instrText>
            </w:r>
            <w:r w:rsidRPr="003A466B">
              <w:rPr>
                <w:webHidden/>
              </w:rPr>
            </w:r>
            <w:r w:rsidRPr="003A466B">
              <w:rPr>
                <w:webHidden/>
              </w:rPr>
              <w:fldChar w:fldCharType="separate"/>
            </w:r>
            <w:r w:rsidRPr="003A466B">
              <w:rPr>
                <w:webHidden/>
              </w:rPr>
              <w:t>6</w:t>
            </w:r>
            <w:r w:rsidRPr="003A466B">
              <w:rPr>
                <w:webHidden/>
              </w:rPr>
              <w:fldChar w:fldCharType="end"/>
            </w:r>
          </w:hyperlink>
        </w:p>
        <w:p w14:paraId="0CC202B1" w14:textId="1EC56BAD" w:rsidR="00BB3652" w:rsidRPr="003A466B" w:rsidRDefault="00BB3652" w:rsidP="00F55C02">
          <w:pPr>
            <w:pStyle w:val="TOC2"/>
            <w:tabs>
              <w:tab w:val="right" w:leader="dot" w:pos="9016"/>
            </w:tabs>
            <w:spacing w:after="0" w:line="360" w:lineRule="auto"/>
          </w:pPr>
          <w:hyperlink w:anchor="_Toc178950117" w:history="1">
            <w:r w:rsidRPr="003A466B">
              <w:rPr>
                <w:rStyle w:val="Hyperlink"/>
                <w:color w:val="auto"/>
              </w:rPr>
              <w:t>1.3: Profitability</w:t>
            </w:r>
            <w:r w:rsidRPr="003A466B">
              <w:rPr>
                <w:webHidden/>
              </w:rPr>
              <w:tab/>
            </w:r>
            <w:r w:rsidRPr="003A466B">
              <w:rPr>
                <w:webHidden/>
              </w:rPr>
              <w:fldChar w:fldCharType="begin"/>
            </w:r>
            <w:r w:rsidRPr="003A466B">
              <w:rPr>
                <w:webHidden/>
              </w:rPr>
              <w:instrText xml:space="preserve"> PAGEREF _Toc178950117 \h </w:instrText>
            </w:r>
            <w:r w:rsidRPr="003A466B">
              <w:rPr>
                <w:webHidden/>
              </w:rPr>
            </w:r>
            <w:r w:rsidRPr="003A466B">
              <w:rPr>
                <w:webHidden/>
              </w:rPr>
              <w:fldChar w:fldCharType="separate"/>
            </w:r>
            <w:r w:rsidRPr="003A466B">
              <w:rPr>
                <w:webHidden/>
              </w:rPr>
              <w:t>7</w:t>
            </w:r>
            <w:r w:rsidRPr="003A466B">
              <w:rPr>
                <w:webHidden/>
              </w:rPr>
              <w:fldChar w:fldCharType="end"/>
            </w:r>
          </w:hyperlink>
        </w:p>
        <w:p w14:paraId="09EDF3B5" w14:textId="1033D9FC" w:rsidR="00BB3652" w:rsidRPr="003A466B" w:rsidRDefault="00BB3652" w:rsidP="00F55C02">
          <w:pPr>
            <w:pStyle w:val="TOC2"/>
            <w:tabs>
              <w:tab w:val="right" w:leader="dot" w:pos="9016"/>
            </w:tabs>
            <w:spacing w:after="0" w:line="360" w:lineRule="auto"/>
          </w:pPr>
          <w:hyperlink w:anchor="_Toc178950118" w:history="1">
            <w:r w:rsidRPr="003A466B">
              <w:rPr>
                <w:rStyle w:val="Hyperlink"/>
                <w:color w:val="auto"/>
              </w:rPr>
              <w:t>1.4: Liquidity</w:t>
            </w:r>
            <w:r w:rsidRPr="003A466B">
              <w:rPr>
                <w:webHidden/>
              </w:rPr>
              <w:tab/>
            </w:r>
            <w:r w:rsidRPr="003A466B">
              <w:rPr>
                <w:webHidden/>
              </w:rPr>
              <w:fldChar w:fldCharType="begin"/>
            </w:r>
            <w:r w:rsidRPr="003A466B">
              <w:rPr>
                <w:webHidden/>
              </w:rPr>
              <w:instrText xml:space="preserve"> PAGEREF _Toc178950118 \h </w:instrText>
            </w:r>
            <w:r w:rsidRPr="003A466B">
              <w:rPr>
                <w:webHidden/>
              </w:rPr>
            </w:r>
            <w:r w:rsidRPr="003A466B">
              <w:rPr>
                <w:webHidden/>
              </w:rPr>
              <w:fldChar w:fldCharType="separate"/>
            </w:r>
            <w:r w:rsidRPr="003A466B">
              <w:rPr>
                <w:webHidden/>
              </w:rPr>
              <w:t>8</w:t>
            </w:r>
            <w:r w:rsidRPr="003A466B">
              <w:rPr>
                <w:webHidden/>
              </w:rPr>
              <w:fldChar w:fldCharType="end"/>
            </w:r>
          </w:hyperlink>
        </w:p>
        <w:p w14:paraId="08AB0B19" w14:textId="5B833E20" w:rsidR="00BB3652" w:rsidRPr="003A466B" w:rsidRDefault="00BB3652" w:rsidP="00F55C02">
          <w:pPr>
            <w:pStyle w:val="TOC2"/>
            <w:tabs>
              <w:tab w:val="right" w:leader="dot" w:pos="9016"/>
            </w:tabs>
            <w:spacing w:after="0" w:line="360" w:lineRule="auto"/>
          </w:pPr>
          <w:hyperlink w:anchor="_Toc178950119" w:history="1">
            <w:r w:rsidRPr="003A466B">
              <w:rPr>
                <w:rStyle w:val="Hyperlink"/>
                <w:color w:val="auto"/>
              </w:rPr>
              <w:t>1.5: Solvency</w:t>
            </w:r>
            <w:r w:rsidRPr="003A466B">
              <w:rPr>
                <w:webHidden/>
              </w:rPr>
              <w:tab/>
            </w:r>
            <w:r w:rsidRPr="003A466B">
              <w:rPr>
                <w:webHidden/>
              </w:rPr>
              <w:fldChar w:fldCharType="begin"/>
            </w:r>
            <w:r w:rsidRPr="003A466B">
              <w:rPr>
                <w:webHidden/>
              </w:rPr>
              <w:instrText xml:space="preserve"> PAGEREF _Toc178950119 \h </w:instrText>
            </w:r>
            <w:r w:rsidRPr="003A466B">
              <w:rPr>
                <w:webHidden/>
              </w:rPr>
            </w:r>
            <w:r w:rsidRPr="003A466B">
              <w:rPr>
                <w:webHidden/>
              </w:rPr>
              <w:fldChar w:fldCharType="separate"/>
            </w:r>
            <w:r w:rsidRPr="003A466B">
              <w:rPr>
                <w:webHidden/>
              </w:rPr>
              <w:t>9</w:t>
            </w:r>
            <w:r w:rsidRPr="003A466B">
              <w:rPr>
                <w:webHidden/>
              </w:rPr>
              <w:fldChar w:fldCharType="end"/>
            </w:r>
          </w:hyperlink>
        </w:p>
        <w:p w14:paraId="24D5753B" w14:textId="032CB7EF" w:rsidR="00BB3652" w:rsidRPr="003A466B" w:rsidRDefault="00BB3652" w:rsidP="00F55C02">
          <w:pPr>
            <w:pStyle w:val="TOC1"/>
            <w:tabs>
              <w:tab w:val="right" w:leader="dot" w:pos="9016"/>
            </w:tabs>
            <w:spacing w:after="0" w:line="360" w:lineRule="auto"/>
          </w:pPr>
          <w:hyperlink w:anchor="_Toc178950120" w:history="1">
            <w:r w:rsidRPr="003A466B">
              <w:rPr>
                <w:rStyle w:val="Hyperlink"/>
                <w:color w:val="auto"/>
              </w:rPr>
              <w:t>2: Identification of key reasons behind decline in profitability</w:t>
            </w:r>
            <w:r w:rsidRPr="003A466B">
              <w:rPr>
                <w:webHidden/>
              </w:rPr>
              <w:tab/>
            </w:r>
            <w:r w:rsidRPr="003A466B">
              <w:rPr>
                <w:webHidden/>
              </w:rPr>
              <w:fldChar w:fldCharType="begin"/>
            </w:r>
            <w:r w:rsidRPr="003A466B">
              <w:rPr>
                <w:webHidden/>
              </w:rPr>
              <w:instrText xml:space="preserve"> PAGEREF _Toc178950120 \h </w:instrText>
            </w:r>
            <w:r w:rsidRPr="003A466B">
              <w:rPr>
                <w:webHidden/>
              </w:rPr>
            </w:r>
            <w:r w:rsidRPr="003A466B">
              <w:rPr>
                <w:webHidden/>
              </w:rPr>
              <w:fldChar w:fldCharType="separate"/>
            </w:r>
            <w:r w:rsidRPr="003A466B">
              <w:rPr>
                <w:webHidden/>
              </w:rPr>
              <w:t>10</w:t>
            </w:r>
            <w:r w:rsidRPr="003A466B">
              <w:rPr>
                <w:webHidden/>
              </w:rPr>
              <w:fldChar w:fldCharType="end"/>
            </w:r>
          </w:hyperlink>
        </w:p>
        <w:p w14:paraId="2BFF2649" w14:textId="1C7E6957" w:rsidR="00BB3652" w:rsidRPr="003A466B" w:rsidRDefault="00BB3652" w:rsidP="00F55C02">
          <w:pPr>
            <w:pStyle w:val="TOC2"/>
            <w:tabs>
              <w:tab w:val="right" w:leader="dot" w:pos="9016"/>
            </w:tabs>
            <w:spacing w:after="0" w:line="360" w:lineRule="auto"/>
          </w:pPr>
          <w:hyperlink w:anchor="_Toc178950121" w:history="1">
            <w:r w:rsidRPr="003A466B">
              <w:rPr>
                <w:rStyle w:val="Hyperlink"/>
                <w:color w:val="auto"/>
              </w:rPr>
              <w:t>2.1: Higher Operating Costs</w:t>
            </w:r>
            <w:r w:rsidRPr="003A466B">
              <w:rPr>
                <w:webHidden/>
              </w:rPr>
              <w:tab/>
            </w:r>
            <w:r w:rsidRPr="003A466B">
              <w:rPr>
                <w:webHidden/>
              </w:rPr>
              <w:fldChar w:fldCharType="begin"/>
            </w:r>
            <w:r w:rsidRPr="003A466B">
              <w:rPr>
                <w:webHidden/>
              </w:rPr>
              <w:instrText xml:space="preserve"> PAGEREF _Toc178950121 \h </w:instrText>
            </w:r>
            <w:r w:rsidRPr="003A466B">
              <w:rPr>
                <w:webHidden/>
              </w:rPr>
            </w:r>
            <w:r w:rsidRPr="003A466B">
              <w:rPr>
                <w:webHidden/>
              </w:rPr>
              <w:fldChar w:fldCharType="separate"/>
            </w:r>
            <w:r w:rsidRPr="003A466B">
              <w:rPr>
                <w:webHidden/>
              </w:rPr>
              <w:t>10</w:t>
            </w:r>
            <w:r w:rsidRPr="003A466B">
              <w:rPr>
                <w:webHidden/>
              </w:rPr>
              <w:fldChar w:fldCharType="end"/>
            </w:r>
          </w:hyperlink>
        </w:p>
        <w:p w14:paraId="766C8DCA" w14:textId="68E7C38D" w:rsidR="00BB3652" w:rsidRPr="003A466B" w:rsidRDefault="00BB3652" w:rsidP="00F55C02">
          <w:pPr>
            <w:pStyle w:val="TOC2"/>
            <w:tabs>
              <w:tab w:val="right" w:leader="dot" w:pos="9016"/>
            </w:tabs>
            <w:spacing w:after="0" w:line="360" w:lineRule="auto"/>
          </w:pPr>
          <w:hyperlink w:anchor="_Toc178950122" w:history="1">
            <w:r w:rsidRPr="003A466B">
              <w:rPr>
                <w:rStyle w:val="Hyperlink"/>
                <w:color w:val="auto"/>
              </w:rPr>
              <w:t>2.2: Decrease in Recent Sales Values</w:t>
            </w:r>
            <w:r w:rsidRPr="003A466B">
              <w:rPr>
                <w:webHidden/>
              </w:rPr>
              <w:tab/>
            </w:r>
            <w:r w:rsidRPr="003A466B">
              <w:rPr>
                <w:webHidden/>
              </w:rPr>
              <w:fldChar w:fldCharType="begin"/>
            </w:r>
            <w:r w:rsidRPr="003A466B">
              <w:rPr>
                <w:webHidden/>
              </w:rPr>
              <w:instrText xml:space="preserve"> PAGEREF _Toc178950122 \h </w:instrText>
            </w:r>
            <w:r w:rsidRPr="003A466B">
              <w:rPr>
                <w:webHidden/>
              </w:rPr>
            </w:r>
            <w:r w:rsidRPr="003A466B">
              <w:rPr>
                <w:webHidden/>
              </w:rPr>
              <w:fldChar w:fldCharType="separate"/>
            </w:r>
            <w:r w:rsidRPr="003A466B">
              <w:rPr>
                <w:webHidden/>
              </w:rPr>
              <w:t>10</w:t>
            </w:r>
            <w:r w:rsidRPr="003A466B">
              <w:rPr>
                <w:webHidden/>
              </w:rPr>
              <w:fldChar w:fldCharType="end"/>
            </w:r>
          </w:hyperlink>
        </w:p>
        <w:p w14:paraId="3D888554" w14:textId="308D2E55" w:rsidR="00BB3652" w:rsidRPr="003A466B" w:rsidRDefault="00BB3652" w:rsidP="00F55C02">
          <w:pPr>
            <w:pStyle w:val="TOC1"/>
            <w:tabs>
              <w:tab w:val="right" w:leader="dot" w:pos="9016"/>
            </w:tabs>
            <w:spacing w:after="0" w:line="360" w:lineRule="auto"/>
          </w:pPr>
          <w:hyperlink w:anchor="_Toc178950123" w:history="1">
            <w:r w:rsidRPr="003A466B">
              <w:rPr>
                <w:rStyle w:val="Hyperlink"/>
                <w:color w:val="auto"/>
              </w:rPr>
              <w:t>3: Comprehensive turnaround strategy to restore financial health and reputation</w:t>
            </w:r>
            <w:r w:rsidRPr="003A466B">
              <w:rPr>
                <w:webHidden/>
              </w:rPr>
              <w:tab/>
            </w:r>
            <w:r w:rsidRPr="003A466B">
              <w:rPr>
                <w:webHidden/>
              </w:rPr>
              <w:fldChar w:fldCharType="begin"/>
            </w:r>
            <w:r w:rsidRPr="003A466B">
              <w:rPr>
                <w:webHidden/>
              </w:rPr>
              <w:instrText xml:space="preserve"> PAGEREF _Toc178950123 \h </w:instrText>
            </w:r>
            <w:r w:rsidRPr="003A466B">
              <w:rPr>
                <w:webHidden/>
              </w:rPr>
            </w:r>
            <w:r w:rsidRPr="003A466B">
              <w:rPr>
                <w:webHidden/>
              </w:rPr>
              <w:fldChar w:fldCharType="separate"/>
            </w:r>
            <w:r w:rsidRPr="003A466B">
              <w:rPr>
                <w:webHidden/>
              </w:rPr>
              <w:t>11</w:t>
            </w:r>
            <w:r w:rsidRPr="003A466B">
              <w:rPr>
                <w:webHidden/>
              </w:rPr>
              <w:fldChar w:fldCharType="end"/>
            </w:r>
          </w:hyperlink>
        </w:p>
        <w:p w14:paraId="396FC69A" w14:textId="3FA6FE84" w:rsidR="00BB3652" w:rsidRPr="003A466B" w:rsidRDefault="00BB3652" w:rsidP="00F55C02">
          <w:pPr>
            <w:pStyle w:val="TOC2"/>
            <w:tabs>
              <w:tab w:val="right" w:leader="dot" w:pos="9016"/>
            </w:tabs>
            <w:spacing w:after="0" w:line="360" w:lineRule="auto"/>
          </w:pPr>
          <w:hyperlink w:anchor="_Toc178950124" w:history="1">
            <w:r w:rsidRPr="003A466B">
              <w:rPr>
                <w:rStyle w:val="Hyperlink"/>
                <w:color w:val="auto"/>
              </w:rPr>
              <w:t>3.1: Initiating Cost Saving Techniques</w:t>
            </w:r>
            <w:r w:rsidRPr="003A466B">
              <w:rPr>
                <w:webHidden/>
              </w:rPr>
              <w:tab/>
            </w:r>
            <w:r w:rsidRPr="003A466B">
              <w:rPr>
                <w:webHidden/>
              </w:rPr>
              <w:fldChar w:fldCharType="begin"/>
            </w:r>
            <w:r w:rsidRPr="003A466B">
              <w:rPr>
                <w:webHidden/>
              </w:rPr>
              <w:instrText xml:space="preserve"> PAGEREF _Toc178950124 \h </w:instrText>
            </w:r>
            <w:r w:rsidRPr="003A466B">
              <w:rPr>
                <w:webHidden/>
              </w:rPr>
            </w:r>
            <w:r w:rsidRPr="003A466B">
              <w:rPr>
                <w:webHidden/>
              </w:rPr>
              <w:fldChar w:fldCharType="separate"/>
            </w:r>
            <w:r w:rsidRPr="003A466B">
              <w:rPr>
                <w:webHidden/>
              </w:rPr>
              <w:t>11</w:t>
            </w:r>
            <w:r w:rsidRPr="003A466B">
              <w:rPr>
                <w:webHidden/>
              </w:rPr>
              <w:fldChar w:fldCharType="end"/>
            </w:r>
          </w:hyperlink>
        </w:p>
        <w:p w14:paraId="1022C8AE" w14:textId="19243F29" w:rsidR="00BB3652" w:rsidRPr="003A466B" w:rsidRDefault="00BB3652" w:rsidP="00F55C02">
          <w:pPr>
            <w:pStyle w:val="TOC2"/>
            <w:tabs>
              <w:tab w:val="right" w:leader="dot" w:pos="9016"/>
            </w:tabs>
            <w:spacing w:after="0" w:line="360" w:lineRule="auto"/>
          </w:pPr>
          <w:hyperlink w:anchor="_Toc178950125" w:history="1">
            <w:r w:rsidRPr="003A466B">
              <w:rPr>
                <w:rStyle w:val="Hyperlink"/>
                <w:color w:val="auto"/>
              </w:rPr>
              <w:t>3.2: Identifying Additional Revenue channels and sources</w:t>
            </w:r>
            <w:r w:rsidRPr="003A466B">
              <w:rPr>
                <w:webHidden/>
              </w:rPr>
              <w:tab/>
            </w:r>
            <w:r w:rsidRPr="003A466B">
              <w:rPr>
                <w:webHidden/>
              </w:rPr>
              <w:fldChar w:fldCharType="begin"/>
            </w:r>
            <w:r w:rsidRPr="003A466B">
              <w:rPr>
                <w:webHidden/>
              </w:rPr>
              <w:instrText xml:space="preserve"> PAGEREF _Toc178950125 \h </w:instrText>
            </w:r>
            <w:r w:rsidRPr="003A466B">
              <w:rPr>
                <w:webHidden/>
              </w:rPr>
            </w:r>
            <w:r w:rsidRPr="003A466B">
              <w:rPr>
                <w:webHidden/>
              </w:rPr>
              <w:fldChar w:fldCharType="separate"/>
            </w:r>
            <w:r w:rsidRPr="003A466B">
              <w:rPr>
                <w:webHidden/>
              </w:rPr>
              <w:t>11</w:t>
            </w:r>
            <w:r w:rsidRPr="003A466B">
              <w:rPr>
                <w:webHidden/>
              </w:rPr>
              <w:fldChar w:fldCharType="end"/>
            </w:r>
          </w:hyperlink>
        </w:p>
        <w:p w14:paraId="217980AC" w14:textId="652410E1" w:rsidR="00BB3652" w:rsidRPr="003A466B" w:rsidRDefault="00BB3652" w:rsidP="00F55C02">
          <w:pPr>
            <w:pStyle w:val="TOC1"/>
            <w:tabs>
              <w:tab w:val="right" w:leader="dot" w:pos="9016"/>
            </w:tabs>
            <w:spacing w:after="0" w:line="360" w:lineRule="auto"/>
          </w:pPr>
          <w:hyperlink w:anchor="_Toc178950126" w:history="1">
            <w:r w:rsidRPr="003A466B">
              <w:rPr>
                <w:rStyle w:val="Hyperlink"/>
                <w:color w:val="auto"/>
              </w:rPr>
              <w:t>Conclusion</w:t>
            </w:r>
            <w:r w:rsidRPr="003A466B">
              <w:rPr>
                <w:webHidden/>
              </w:rPr>
              <w:tab/>
            </w:r>
            <w:r w:rsidRPr="003A466B">
              <w:rPr>
                <w:webHidden/>
              </w:rPr>
              <w:fldChar w:fldCharType="begin"/>
            </w:r>
            <w:r w:rsidRPr="003A466B">
              <w:rPr>
                <w:webHidden/>
              </w:rPr>
              <w:instrText xml:space="preserve"> PAGEREF _Toc178950126 \h </w:instrText>
            </w:r>
            <w:r w:rsidRPr="003A466B">
              <w:rPr>
                <w:webHidden/>
              </w:rPr>
            </w:r>
            <w:r w:rsidRPr="003A466B">
              <w:rPr>
                <w:webHidden/>
              </w:rPr>
              <w:fldChar w:fldCharType="separate"/>
            </w:r>
            <w:r w:rsidRPr="003A466B">
              <w:rPr>
                <w:webHidden/>
              </w:rPr>
              <w:t>11</w:t>
            </w:r>
            <w:r w:rsidRPr="003A466B">
              <w:rPr>
                <w:webHidden/>
              </w:rPr>
              <w:fldChar w:fldCharType="end"/>
            </w:r>
          </w:hyperlink>
        </w:p>
        <w:p w14:paraId="5BEF43E0" w14:textId="33A878E2" w:rsidR="00BB3652" w:rsidRPr="003A466B" w:rsidRDefault="00BB3652" w:rsidP="00F55C02">
          <w:pPr>
            <w:spacing w:line="360" w:lineRule="auto"/>
          </w:pPr>
          <w:r w:rsidRPr="003A466B">
            <w:rPr>
              <w:b/>
              <w:bCs/>
            </w:rPr>
            <w:fldChar w:fldCharType="end"/>
          </w:r>
        </w:p>
      </w:sdtContent>
    </w:sdt>
    <w:p w14:paraId="304024A2" w14:textId="77777777" w:rsidR="00BB3652" w:rsidRPr="003A466B" w:rsidRDefault="00BB3652" w:rsidP="00F55C02">
      <w:pPr>
        <w:spacing w:line="360" w:lineRule="auto"/>
        <w:rPr>
          <w:rFonts w:eastAsia="Times New Roman"/>
        </w:rPr>
      </w:pPr>
    </w:p>
    <w:p w14:paraId="1888FD2F" w14:textId="2A3AE148" w:rsidR="00BB3652" w:rsidRPr="003A466B" w:rsidRDefault="00BB3652" w:rsidP="00F55C02">
      <w:pPr>
        <w:spacing w:line="360" w:lineRule="auto"/>
      </w:pPr>
      <w:r w:rsidRPr="003A466B">
        <w:br w:type="page"/>
      </w:r>
    </w:p>
    <w:p w14:paraId="637E38BD" w14:textId="77777777" w:rsidR="00BB3652" w:rsidRPr="003A466B" w:rsidRDefault="00BB3652" w:rsidP="00F55C02">
      <w:pPr>
        <w:pStyle w:val="Heading1"/>
        <w:spacing w:before="0" w:line="360" w:lineRule="auto"/>
        <w:rPr>
          <w:color w:val="auto"/>
        </w:rPr>
      </w:pPr>
      <w:bookmarkStart w:id="0" w:name="_Toc178950112"/>
      <w:r w:rsidRPr="003A466B">
        <w:rPr>
          <w:color w:val="auto"/>
        </w:rPr>
        <w:lastRenderedPageBreak/>
        <w:t>Assessment 2: Report Case Study</w:t>
      </w:r>
      <w:bookmarkEnd w:id="0"/>
    </w:p>
    <w:p w14:paraId="7C53A158" w14:textId="77777777" w:rsidR="00BB3652" w:rsidRPr="003A466B" w:rsidRDefault="00BB3652" w:rsidP="00F55C02">
      <w:pPr>
        <w:pStyle w:val="Heading1"/>
        <w:spacing w:before="0" w:line="360" w:lineRule="auto"/>
        <w:rPr>
          <w:color w:val="auto"/>
        </w:rPr>
      </w:pPr>
      <w:bookmarkStart w:id="1" w:name="_vkwkvrwv1uon" w:colFirst="0" w:colLast="0"/>
      <w:bookmarkStart w:id="2" w:name="_Toc178950113"/>
      <w:bookmarkEnd w:id="1"/>
      <w:r w:rsidRPr="003A466B">
        <w:rPr>
          <w:color w:val="auto"/>
        </w:rPr>
        <w:t>Introduction</w:t>
      </w:r>
      <w:bookmarkEnd w:id="2"/>
    </w:p>
    <w:p w14:paraId="2F61A262" w14:textId="5CA8A69F" w:rsidR="00BB3652" w:rsidRPr="003A466B" w:rsidRDefault="00BB3652" w:rsidP="00F55C02">
      <w:pPr>
        <w:spacing w:line="360" w:lineRule="auto"/>
        <w:rPr>
          <w:rFonts w:eastAsia="Times New Roman"/>
        </w:rPr>
      </w:pPr>
      <w:r w:rsidRPr="003A466B">
        <w:rPr>
          <w:rFonts w:eastAsia="Times New Roman"/>
        </w:rPr>
        <w:t xml:space="preserve">This report is intended to offer a detailed financial analysis for The City </w:t>
      </w:r>
      <w:r w:rsidR="00F77919" w:rsidRPr="003A466B">
        <w:rPr>
          <w:rFonts w:eastAsia="Times New Roman"/>
        </w:rPr>
        <w:t>H</w:t>
      </w:r>
      <w:r w:rsidRPr="003A466B">
        <w:rPr>
          <w:rFonts w:eastAsia="Times New Roman"/>
        </w:rPr>
        <w:t>otel</w:t>
      </w:r>
      <w:r w:rsidR="00F77919" w:rsidRPr="003A466B">
        <w:rPr>
          <w:rFonts w:eastAsia="Times New Roman"/>
        </w:rPr>
        <w:t>,</w:t>
      </w:r>
      <w:r w:rsidRPr="003A466B">
        <w:rPr>
          <w:rFonts w:eastAsia="Times New Roman"/>
        </w:rPr>
        <w:t xml:space="preserve"> where financial management propositions will be enlightened. The primary task of this report will cover financial performance trends and patterns applicable for key items</w:t>
      </w:r>
      <w:r w:rsidR="00F77919" w:rsidRPr="003A466B">
        <w:rPr>
          <w:rFonts w:eastAsia="Times New Roman"/>
        </w:rPr>
        <w:t>,</w:t>
      </w:r>
      <w:r w:rsidRPr="003A466B">
        <w:rPr>
          <w:rFonts w:eastAsia="Times New Roman"/>
        </w:rPr>
        <w:t xml:space="preserve"> including revenues and expenses. Additionally, in this task calculation of ratios will be conducted </w:t>
      </w:r>
      <w:r w:rsidR="00F55C02" w:rsidRPr="003A466B">
        <w:rPr>
          <w:rFonts w:eastAsia="Times New Roman"/>
        </w:rPr>
        <w:t>to</w:t>
      </w:r>
      <w:r w:rsidRPr="003A466B">
        <w:rPr>
          <w:rFonts w:eastAsia="Times New Roman"/>
        </w:rPr>
        <w:t xml:space="preserve"> determine </w:t>
      </w:r>
      <w:r w:rsidR="00F77919" w:rsidRPr="003A466B">
        <w:rPr>
          <w:rFonts w:eastAsia="Times New Roman"/>
        </w:rPr>
        <w:t>the </w:t>
      </w:r>
      <w:r w:rsidRPr="003A466B">
        <w:rPr>
          <w:rFonts w:eastAsia="Times New Roman"/>
        </w:rPr>
        <w:t xml:space="preserve">overall financial prosperity achieved by the concerned organisation. Task 2 of this report will elaborate </w:t>
      </w:r>
      <w:r w:rsidR="00F77919" w:rsidRPr="003A466B">
        <w:rPr>
          <w:rFonts w:eastAsia="Times New Roman"/>
        </w:rPr>
        <w:t>on </w:t>
      </w:r>
      <w:r w:rsidRPr="003A466B">
        <w:rPr>
          <w:rFonts w:eastAsia="Times New Roman"/>
        </w:rPr>
        <w:t xml:space="preserve">key reasons attributed to </w:t>
      </w:r>
      <w:r w:rsidR="00F77919" w:rsidRPr="003A466B">
        <w:rPr>
          <w:rFonts w:eastAsia="Times New Roman"/>
        </w:rPr>
        <w:t>a </w:t>
      </w:r>
      <w:r w:rsidRPr="003A466B">
        <w:rPr>
          <w:rFonts w:eastAsia="Times New Roman"/>
        </w:rPr>
        <w:t>decline in profitability</w:t>
      </w:r>
      <w:r w:rsidR="00F77919" w:rsidRPr="003A466B">
        <w:rPr>
          <w:rFonts w:eastAsia="Times New Roman"/>
        </w:rPr>
        <w:t>,</w:t>
      </w:r>
      <w:r w:rsidRPr="003A466B">
        <w:rPr>
          <w:rFonts w:eastAsia="Times New Roman"/>
        </w:rPr>
        <w:t xml:space="preserve"> while task 3 will formulate a comprehensive turnaround strategy for The City </w:t>
      </w:r>
      <w:r w:rsidR="00F77919" w:rsidRPr="003A466B">
        <w:rPr>
          <w:rFonts w:eastAsia="Times New Roman"/>
        </w:rPr>
        <w:t>H</w:t>
      </w:r>
      <w:r w:rsidRPr="003A466B">
        <w:rPr>
          <w:rFonts w:eastAsia="Times New Roman"/>
        </w:rPr>
        <w:t>otel to restore financial health and reputation.</w:t>
      </w:r>
    </w:p>
    <w:p w14:paraId="4F9F555A" w14:textId="77777777" w:rsidR="00BB3652" w:rsidRPr="003A466B" w:rsidRDefault="00BB3652" w:rsidP="00F55C02">
      <w:pPr>
        <w:pStyle w:val="Heading1"/>
        <w:spacing w:before="0" w:line="360" w:lineRule="auto"/>
        <w:rPr>
          <w:color w:val="auto"/>
        </w:rPr>
      </w:pPr>
      <w:bookmarkStart w:id="3" w:name="_x816z5zg0bek" w:colFirst="0" w:colLast="0"/>
      <w:bookmarkStart w:id="4" w:name="_Toc178950114"/>
      <w:bookmarkEnd w:id="3"/>
      <w:r w:rsidRPr="003A466B">
        <w:rPr>
          <w:color w:val="auto"/>
        </w:rPr>
        <w:t>1: Financial Performance Trends and Patterns</w:t>
      </w:r>
      <w:bookmarkEnd w:id="4"/>
    </w:p>
    <w:p w14:paraId="2E9A500A" w14:textId="0E522226" w:rsidR="00BB3652" w:rsidRPr="003A466B" w:rsidRDefault="00BB3652" w:rsidP="00F55C02">
      <w:pPr>
        <w:spacing w:line="360" w:lineRule="auto"/>
        <w:rPr>
          <w:rFonts w:eastAsia="Times New Roman"/>
        </w:rPr>
      </w:pPr>
      <w:r w:rsidRPr="003A466B">
        <w:rPr>
          <w:rFonts w:eastAsia="Times New Roman"/>
        </w:rPr>
        <w:t xml:space="preserve">The assessment and examination of financial performance trends and patterns will be </w:t>
      </w:r>
      <w:r w:rsidR="00F55C02" w:rsidRPr="003A466B">
        <w:rPr>
          <w:rFonts w:eastAsia="Times New Roman"/>
        </w:rPr>
        <w:t>conducted</w:t>
      </w:r>
      <w:r w:rsidRPr="003A466B">
        <w:rPr>
          <w:rFonts w:eastAsia="Times New Roman"/>
        </w:rPr>
        <w:t xml:space="preserve"> for </w:t>
      </w:r>
      <w:r w:rsidR="00F77919" w:rsidRPr="003A466B">
        <w:rPr>
          <w:rFonts w:eastAsia="Times New Roman"/>
        </w:rPr>
        <w:t>three</w:t>
      </w:r>
      <w:r w:rsidRPr="003A466B">
        <w:rPr>
          <w:rFonts w:eastAsia="Times New Roman"/>
        </w:rPr>
        <w:t xml:space="preserve"> assessment years</w:t>
      </w:r>
      <w:r w:rsidR="00F77919" w:rsidRPr="003A466B">
        <w:rPr>
          <w:rFonts w:eastAsia="Times New Roman"/>
        </w:rPr>
        <w:t>,</w:t>
      </w:r>
      <w:r w:rsidRPr="003A466B">
        <w:rPr>
          <w:rFonts w:eastAsia="Times New Roman"/>
        </w:rPr>
        <w:t xml:space="preserve"> including 2021, 2022 and </w:t>
      </w:r>
      <w:r w:rsidR="00F55C02" w:rsidRPr="003A466B">
        <w:rPr>
          <w:rFonts w:eastAsia="Times New Roman"/>
        </w:rPr>
        <w:t>2023,</w:t>
      </w:r>
      <w:r w:rsidRPr="003A466B">
        <w:rPr>
          <w:rFonts w:eastAsia="Times New Roman"/>
        </w:rPr>
        <w:t xml:space="preserve"> respectively. Under profitability ratios, computation of GPM, OPM, ROCE and OM will be conducted. Similarly, calculations and analysis of CR, QR, WCS and CAR will be carried out in liquidity ratios. Calculations and analysis of GR, DER, </w:t>
      </w:r>
      <w:r w:rsidR="00F55C02" w:rsidRPr="003A466B">
        <w:rPr>
          <w:rFonts w:eastAsia="Times New Roman"/>
        </w:rPr>
        <w:t>PR,</w:t>
      </w:r>
      <w:r w:rsidRPr="003A466B">
        <w:rPr>
          <w:rFonts w:eastAsia="Times New Roman"/>
        </w:rPr>
        <w:t xml:space="preserve"> and DR will be performed under solvency ratios. </w:t>
      </w:r>
    </w:p>
    <w:p w14:paraId="70FD4A26" w14:textId="77777777" w:rsidR="00BB3652" w:rsidRPr="003A466B" w:rsidRDefault="00BB3652" w:rsidP="00F55C02">
      <w:pPr>
        <w:pStyle w:val="Heading2"/>
        <w:spacing w:before="0" w:line="360" w:lineRule="auto"/>
        <w:rPr>
          <w:color w:val="auto"/>
        </w:rPr>
      </w:pPr>
      <w:bookmarkStart w:id="5" w:name="_ukul2qihnkf6" w:colFirst="0" w:colLast="0"/>
      <w:bookmarkStart w:id="6" w:name="_Toc178950115"/>
      <w:bookmarkEnd w:id="5"/>
      <w:r w:rsidRPr="003A466B">
        <w:rPr>
          <w:color w:val="auto"/>
        </w:rPr>
        <w:t>1.1: Revenue</w:t>
      </w:r>
      <w:bookmarkEnd w:id="6"/>
      <w:r w:rsidRPr="003A466B">
        <w:rPr>
          <w:color w:val="auto"/>
        </w:rPr>
        <w:t xml:space="preserve"> </w:t>
      </w:r>
    </w:p>
    <w:p w14:paraId="40128EB0" w14:textId="77777777" w:rsidR="00BB3652" w:rsidRPr="003A466B" w:rsidRDefault="00BB3652" w:rsidP="00F55C02">
      <w:pPr>
        <w:spacing w:line="360" w:lineRule="auto"/>
        <w:rPr>
          <w:rFonts w:eastAsia="Times New Roman"/>
        </w:rPr>
      </w:pPr>
      <w:r w:rsidRPr="003A466B">
        <w:rPr>
          <w:rFonts w:eastAsia="Times New Roman"/>
          <w:noProof/>
        </w:rPr>
        <w:drawing>
          <wp:inline distT="114300" distB="114300" distL="114300" distR="114300" wp14:anchorId="1B1D05F2" wp14:editId="4379DB92">
            <wp:extent cx="5731200" cy="3441700"/>
            <wp:effectExtent l="25400" t="25400" r="25400" b="25400"/>
            <wp:docPr id="3"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6"/>
                    <a:srcRect/>
                    <a:stretch>
                      <a:fillRect/>
                    </a:stretch>
                  </pic:blipFill>
                  <pic:spPr>
                    <a:xfrm>
                      <a:off x="0" y="0"/>
                      <a:ext cx="5731200" cy="3441700"/>
                    </a:xfrm>
                    <a:prstGeom prst="rect">
                      <a:avLst/>
                    </a:prstGeom>
                    <a:ln w="25400">
                      <a:solidFill>
                        <a:srgbClr val="000000"/>
                      </a:solidFill>
                      <a:prstDash val="solid"/>
                    </a:ln>
                  </pic:spPr>
                </pic:pic>
              </a:graphicData>
            </a:graphic>
          </wp:inline>
        </w:drawing>
      </w:r>
    </w:p>
    <w:p w14:paraId="22F8CB95" w14:textId="77777777" w:rsidR="00BB3652" w:rsidRPr="003A466B" w:rsidRDefault="00BB3652" w:rsidP="00F55C02">
      <w:pPr>
        <w:spacing w:line="360" w:lineRule="auto"/>
        <w:jc w:val="center"/>
        <w:rPr>
          <w:rFonts w:eastAsia="Times New Roman"/>
          <w:b/>
        </w:rPr>
      </w:pPr>
      <w:r w:rsidRPr="003A466B">
        <w:rPr>
          <w:rFonts w:eastAsia="Times New Roman"/>
          <w:b/>
        </w:rPr>
        <w:t xml:space="preserve">Figure 6: Trend of Revenues </w:t>
      </w:r>
    </w:p>
    <w:p w14:paraId="3DA6DE35" w14:textId="5C401893" w:rsidR="00BB3652" w:rsidRPr="003A466B" w:rsidRDefault="00BB3652" w:rsidP="00F55C02">
      <w:pPr>
        <w:spacing w:line="360" w:lineRule="auto"/>
        <w:rPr>
          <w:rFonts w:eastAsia="Times New Roman"/>
        </w:rPr>
      </w:pPr>
      <w:r w:rsidRPr="003A466B">
        <w:rPr>
          <w:rFonts w:eastAsia="Times New Roman"/>
        </w:rPr>
        <w:lastRenderedPageBreak/>
        <w:t xml:space="preserve">From the above figure depicting the trend of revenues, it can be observed that total revenues in 2023 have decreased significantly in comparison to total revenues of 2022 and 2021. As critically illustrated by </w:t>
      </w:r>
      <w:r w:rsidRPr="003A466B">
        <w:rPr>
          <w:rFonts w:eastAsia="Times New Roman"/>
          <w:highlight w:val="white"/>
        </w:rPr>
        <w:t xml:space="preserve">Husain and Sunardi </w:t>
      </w:r>
      <w:r w:rsidRPr="003A466B">
        <w:rPr>
          <w:rFonts w:eastAsia="Times New Roman"/>
        </w:rPr>
        <w:t xml:space="preserve">(2020), the decrease in total revenue is an adverse situation for an organisation due to which business stability and profitability reduces significantly. Corresponding revenue figures from 2021 to 2023 are numerically expressed as GBP 52,48,290, GBP </w:t>
      </w:r>
      <w:r w:rsidR="00F55C02" w:rsidRPr="003A466B">
        <w:rPr>
          <w:rFonts w:eastAsia="Times New Roman"/>
        </w:rPr>
        <w:t>53,07,480,</w:t>
      </w:r>
      <w:r w:rsidRPr="003A466B">
        <w:rPr>
          <w:rFonts w:eastAsia="Times New Roman"/>
        </w:rPr>
        <w:t xml:space="preserve"> and GBP </w:t>
      </w:r>
      <w:r w:rsidR="00F55C02" w:rsidRPr="003A466B">
        <w:rPr>
          <w:rFonts w:eastAsia="Times New Roman"/>
        </w:rPr>
        <w:t>23,25,440,</w:t>
      </w:r>
      <w:r w:rsidRPr="003A466B">
        <w:rPr>
          <w:rFonts w:eastAsia="Times New Roman"/>
        </w:rPr>
        <w:t xml:space="preserve"> respectively. </w:t>
      </w:r>
    </w:p>
    <w:p w14:paraId="45A7713E" w14:textId="77777777" w:rsidR="00BB3652" w:rsidRPr="003A466B" w:rsidRDefault="00BB3652" w:rsidP="00F55C02">
      <w:pPr>
        <w:pStyle w:val="Heading2"/>
        <w:spacing w:before="0" w:line="360" w:lineRule="auto"/>
        <w:rPr>
          <w:color w:val="auto"/>
        </w:rPr>
      </w:pPr>
      <w:bookmarkStart w:id="7" w:name="_6cuupcudp8e9" w:colFirst="0" w:colLast="0"/>
      <w:bookmarkStart w:id="8" w:name="_Toc178950116"/>
      <w:bookmarkEnd w:id="7"/>
      <w:r w:rsidRPr="003A466B">
        <w:rPr>
          <w:color w:val="auto"/>
        </w:rPr>
        <w:t>1.2: Expenses</w:t>
      </w:r>
      <w:bookmarkEnd w:id="8"/>
    </w:p>
    <w:p w14:paraId="43B03722" w14:textId="77777777" w:rsidR="00BB3652" w:rsidRPr="003A466B" w:rsidRDefault="00BB3652" w:rsidP="00F55C02">
      <w:pPr>
        <w:spacing w:line="360" w:lineRule="auto"/>
        <w:rPr>
          <w:rFonts w:eastAsia="Times New Roman"/>
        </w:rPr>
      </w:pPr>
      <w:r w:rsidRPr="003A466B">
        <w:rPr>
          <w:rFonts w:eastAsia="Times New Roman"/>
          <w:noProof/>
        </w:rPr>
        <w:drawing>
          <wp:inline distT="114300" distB="114300" distL="114300" distR="114300" wp14:anchorId="34E954E5" wp14:editId="766A9B65">
            <wp:extent cx="5731200" cy="3492500"/>
            <wp:effectExtent l="25400" t="25400" r="25400" b="2540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7"/>
                    <a:srcRect/>
                    <a:stretch>
                      <a:fillRect/>
                    </a:stretch>
                  </pic:blipFill>
                  <pic:spPr>
                    <a:xfrm>
                      <a:off x="0" y="0"/>
                      <a:ext cx="5731200" cy="3492500"/>
                    </a:xfrm>
                    <a:prstGeom prst="rect">
                      <a:avLst/>
                    </a:prstGeom>
                    <a:ln w="25400">
                      <a:solidFill>
                        <a:srgbClr val="000000"/>
                      </a:solidFill>
                      <a:prstDash val="solid"/>
                    </a:ln>
                  </pic:spPr>
                </pic:pic>
              </a:graphicData>
            </a:graphic>
          </wp:inline>
        </w:drawing>
      </w:r>
    </w:p>
    <w:p w14:paraId="5A3FE47F" w14:textId="77777777" w:rsidR="00BB3652" w:rsidRPr="003A466B" w:rsidRDefault="00BB3652" w:rsidP="00F55C02">
      <w:pPr>
        <w:spacing w:line="360" w:lineRule="auto"/>
        <w:jc w:val="center"/>
        <w:rPr>
          <w:rFonts w:eastAsia="Times New Roman"/>
          <w:b/>
        </w:rPr>
      </w:pPr>
      <w:r w:rsidRPr="003A466B">
        <w:rPr>
          <w:rFonts w:eastAsia="Times New Roman"/>
          <w:b/>
        </w:rPr>
        <w:t>Figure 7: Trend of Expenses</w:t>
      </w:r>
    </w:p>
    <w:p w14:paraId="602DD179" w14:textId="61CA1774" w:rsidR="00BB3652" w:rsidRPr="003A466B" w:rsidRDefault="00BB3652" w:rsidP="00F55C02">
      <w:pPr>
        <w:spacing w:line="360" w:lineRule="auto"/>
        <w:rPr>
          <w:rFonts w:eastAsia="Times New Roman"/>
        </w:rPr>
      </w:pPr>
      <w:r w:rsidRPr="003A466B">
        <w:rPr>
          <w:rFonts w:eastAsia="Times New Roman"/>
        </w:rPr>
        <w:t xml:space="preserve">From the above figure depicting </w:t>
      </w:r>
      <w:r w:rsidR="00F77919" w:rsidRPr="003A466B">
        <w:rPr>
          <w:rFonts w:eastAsia="Times New Roman"/>
        </w:rPr>
        <w:t>the </w:t>
      </w:r>
      <w:r w:rsidRPr="003A466B">
        <w:rPr>
          <w:rFonts w:eastAsia="Times New Roman"/>
        </w:rPr>
        <w:t xml:space="preserve">trend of expenses, it can be observed that a higher contribution is offered by operating expenses when compared to the contribution of cost of sales. As per opinions of </w:t>
      </w:r>
      <w:r w:rsidRPr="003A466B">
        <w:rPr>
          <w:rFonts w:eastAsia="Times New Roman"/>
          <w:highlight w:val="white"/>
        </w:rPr>
        <w:t xml:space="preserve">Rafid </w:t>
      </w:r>
      <w:r w:rsidRPr="003A466B">
        <w:rPr>
          <w:rFonts w:eastAsia="Times New Roman"/>
          <w:i/>
          <w:highlight w:val="white"/>
        </w:rPr>
        <w:t xml:space="preserve">et al. </w:t>
      </w:r>
      <w:r w:rsidRPr="003A466B">
        <w:rPr>
          <w:rFonts w:eastAsia="Times New Roman"/>
        </w:rPr>
        <w:t xml:space="preserve">(2024), high total expense contribution </w:t>
      </w:r>
      <w:r w:rsidR="00F55C02" w:rsidRPr="003A466B">
        <w:rPr>
          <w:rFonts w:eastAsia="Times New Roman"/>
        </w:rPr>
        <w:t>is</w:t>
      </w:r>
      <w:r w:rsidRPr="003A466B">
        <w:rPr>
          <w:rFonts w:eastAsia="Times New Roman"/>
        </w:rPr>
        <w:t xml:space="preserve"> a normal situation since operating expenses remain in bulk volumes</w:t>
      </w:r>
      <w:r w:rsidR="00F77919" w:rsidRPr="003A466B">
        <w:rPr>
          <w:rFonts w:eastAsia="Times New Roman"/>
        </w:rPr>
        <w:t>,</w:t>
      </w:r>
      <w:r w:rsidRPr="003A466B">
        <w:rPr>
          <w:rFonts w:eastAsia="Times New Roman"/>
        </w:rPr>
        <w:t xml:space="preserve"> which are borne </w:t>
      </w:r>
      <w:r w:rsidR="00F55C02" w:rsidRPr="003A466B">
        <w:rPr>
          <w:rFonts w:eastAsia="Times New Roman"/>
        </w:rPr>
        <w:t>daily</w:t>
      </w:r>
      <w:r w:rsidRPr="003A466B">
        <w:rPr>
          <w:rFonts w:eastAsia="Times New Roman"/>
        </w:rPr>
        <w:t xml:space="preserve">. The corresponding figures of cost of sales are numerically represented as GBP 411,600, GBP </w:t>
      </w:r>
      <w:r w:rsidR="00F55C02" w:rsidRPr="003A466B">
        <w:rPr>
          <w:rFonts w:eastAsia="Times New Roman"/>
        </w:rPr>
        <w:t>401,510,</w:t>
      </w:r>
      <w:r w:rsidRPr="003A466B">
        <w:rPr>
          <w:rFonts w:eastAsia="Times New Roman"/>
        </w:rPr>
        <w:t xml:space="preserve"> and GBP </w:t>
      </w:r>
      <w:r w:rsidR="00F55C02" w:rsidRPr="003A466B">
        <w:rPr>
          <w:rFonts w:eastAsia="Times New Roman"/>
        </w:rPr>
        <w:t>176,250,</w:t>
      </w:r>
      <w:r w:rsidRPr="003A466B">
        <w:rPr>
          <w:rFonts w:eastAsia="Times New Roman"/>
        </w:rPr>
        <w:t xml:space="preserve"> respectively. Similarly, the corresponding figures of operating expenses are represented as GBP 41,72,530, GBP </w:t>
      </w:r>
      <w:r w:rsidR="00F55C02" w:rsidRPr="003A466B">
        <w:rPr>
          <w:rFonts w:eastAsia="Times New Roman"/>
        </w:rPr>
        <w:t>42,31,340,</w:t>
      </w:r>
      <w:r w:rsidRPr="003A466B">
        <w:rPr>
          <w:rFonts w:eastAsia="Times New Roman"/>
        </w:rPr>
        <w:t xml:space="preserve"> and GBP </w:t>
      </w:r>
      <w:r w:rsidR="00F55C02" w:rsidRPr="003A466B">
        <w:rPr>
          <w:rFonts w:eastAsia="Times New Roman"/>
        </w:rPr>
        <w:t>930,340,</w:t>
      </w:r>
      <w:r w:rsidRPr="003A466B">
        <w:rPr>
          <w:rFonts w:eastAsia="Times New Roman"/>
        </w:rPr>
        <w:t xml:space="preserve"> respectively. From the above figure, it is also indicated that cost savings are initiated by The City Hotel in 2023 which can be linked with adverse business planning conducted during recent times.</w:t>
      </w:r>
    </w:p>
    <w:p w14:paraId="58C9FA07" w14:textId="77777777" w:rsidR="00BB3652" w:rsidRPr="003A466B" w:rsidRDefault="00BB3652" w:rsidP="00F55C02">
      <w:pPr>
        <w:pStyle w:val="Heading2"/>
        <w:spacing w:before="0" w:line="360" w:lineRule="auto"/>
        <w:rPr>
          <w:color w:val="auto"/>
        </w:rPr>
      </w:pPr>
      <w:bookmarkStart w:id="9" w:name="_851ve2xxfadf" w:colFirst="0" w:colLast="0"/>
      <w:bookmarkStart w:id="10" w:name="_Toc178950117"/>
      <w:bookmarkEnd w:id="9"/>
      <w:r w:rsidRPr="003A466B">
        <w:rPr>
          <w:color w:val="auto"/>
        </w:rPr>
        <w:lastRenderedPageBreak/>
        <w:t>1.3: Profitability</w:t>
      </w:r>
      <w:bookmarkEnd w:id="10"/>
      <w:r w:rsidRPr="003A466B">
        <w:rPr>
          <w:color w:val="auto"/>
        </w:rPr>
        <w:t xml:space="preserve"> </w:t>
      </w:r>
    </w:p>
    <w:p w14:paraId="5789CE09" w14:textId="77777777" w:rsidR="00BB3652" w:rsidRPr="003A466B" w:rsidRDefault="00BB3652" w:rsidP="00F55C02">
      <w:pPr>
        <w:spacing w:line="360" w:lineRule="auto"/>
        <w:rPr>
          <w:rFonts w:eastAsia="Times New Roman"/>
        </w:rPr>
      </w:pPr>
      <w:r w:rsidRPr="003A466B">
        <w:rPr>
          <w:rFonts w:eastAsia="Times New Roman"/>
          <w:noProof/>
        </w:rPr>
        <w:drawing>
          <wp:inline distT="114300" distB="114300" distL="114300" distR="114300" wp14:anchorId="72D87975" wp14:editId="75B882CC">
            <wp:extent cx="5734050" cy="1159641"/>
            <wp:effectExtent l="25400" t="25400" r="25400" b="25400"/>
            <wp:docPr id="1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734050" cy="1159641"/>
                    </a:xfrm>
                    <a:prstGeom prst="rect">
                      <a:avLst/>
                    </a:prstGeom>
                    <a:ln w="25400">
                      <a:solidFill>
                        <a:srgbClr val="000000"/>
                      </a:solidFill>
                      <a:prstDash val="solid"/>
                    </a:ln>
                  </pic:spPr>
                </pic:pic>
              </a:graphicData>
            </a:graphic>
          </wp:inline>
        </w:drawing>
      </w:r>
    </w:p>
    <w:p w14:paraId="5CB213E6" w14:textId="77777777" w:rsidR="00BB3652" w:rsidRPr="003A466B" w:rsidRDefault="00BB3652" w:rsidP="00F55C02">
      <w:pPr>
        <w:spacing w:line="360" w:lineRule="auto"/>
        <w:jc w:val="center"/>
        <w:rPr>
          <w:rFonts w:eastAsia="Times New Roman"/>
          <w:b/>
        </w:rPr>
      </w:pPr>
      <w:r w:rsidRPr="003A466B">
        <w:rPr>
          <w:rFonts w:eastAsia="Times New Roman"/>
          <w:b/>
        </w:rPr>
        <w:t>Figure 8: Profitability Ratios</w:t>
      </w:r>
    </w:p>
    <w:p w14:paraId="36B23639" w14:textId="20AFDE20" w:rsidR="00BB3652" w:rsidRPr="003A466B" w:rsidRDefault="00BB3652" w:rsidP="00F55C02">
      <w:pPr>
        <w:spacing w:line="360" w:lineRule="auto"/>
        <w:rPr>
          <w:rFonts w:eastAsia="Times New Roman"/>
        </w:rPr>
      </w:pPr>
      <w:r w:rsidRPr="003A466B">
        <w:rPr>
          <w:rFonts w:eastAsia="Times New Roman"/>
        </w:rPr>
        <w:t xml:space="preserve">According to the above figure of profitability ratios, GPM from 2021 to 2023 has been calculated as 92.16%, 92.44% and </w:t>
      </w:r>
      <w:r w:rsidR="00F55C02" w:rsidRPr="003A466B">
        <w:rPr>
          <w:rFonts w:eastAsia="Times New Roman"/>
        </w:rPr>
        <w:t>92.42%,</w:t>
      </w:r>
      <w:r w:rsidRPr="003A466B">
        <w:rPr>
          <w:rFonts w:eastAsia="Times New Roman"/>
        </w:rPr>
        <w:t xml:space="preserve"> respectively. Based on the above figures, GPM for 2023 has slightly decreased in comparison to 2022 figures</w:t>
      </w:r>
      <w:r w:rsidR="00F77919" w:rsidRPr="003A466B">
        <w:rPr>
          <w:rFonts w:eastAsia="Times New Roman"/>
        </w:rPr>
        <w:t>,</w:t>
      </w:r>
      <w:r w:rsidRPr="003A466B">
        <w:rPr>
          <w:rFonts w:eastAsia="Times New Roman"/>
        </w:rPr>
        <w:t xml:space="preserve"> which is </w:t>
      </w:r>
      <w:r w:rsidR="00F55C02" w:rsidRPr="003A466B">
        <w:rPr>
          <w:rFonts w:eastAsia="Times New Roman"/>
        </w:rPr>
        <w:t>caused</w:t>
      </w:r>
      <w:r w:rsidRPr="003A466B">
        <w:rPr>
          <w:rFonts w:eastAsia="Times New Roman"/>
        </w:rPr>
        <w:t xml:space="preserve"> due to decrease in sales and gross profit values. GPM is identified as an integral profitability ratio that illustrates the proportional relationship between “gross profit” and “sales”</w:t>
      </w:r>
      <w:r w:rsidR="00F77919" w:rsidRPr="003A466B">
        <w:rPr>
          <w:rFonts w:eastAsia="Times New Roman"/>
        </w:rPr>
        <w:t>,</w:t>
      </w:r>
      <w:r w:rsidRPr="003A466B">
        <w:rPr>
          <w:rFonts w:eastAsia="Times New Roman"/>
        </w:rPr>
        <w:t xml:space="preserve"> in which “gross profit” is the difference between “sales” and “cost of sales</w:t>
      </w:r>
      <w:r w:rsidR="00F55C02" w:rsidRPr="003A466B">
        <w:rPr>
          <w:rFonts w:eastAsia="Times New Roman"/>
        </w:rPr>
        <w:t>.”</w:t>
      </w:r>
      <w:r w:rsidRPr="003A466B">
        <w:rPr>
          <w:rFonts w:eastAsia="Times New Roman"/>
        </w:rPr>
        <w:t xml:space="preserve"> As per critical opinions and illustrations the decrease in GPM is an adversity to a company due to which manufacturing efficiency is hampered.</w:t>
      </w:r>
    </w:p>
    <w:p w14:paraId="6DD6F01C" w14:textId="28BB0066" w:rsidR="00BB3652" w:rsidRPr="003A466B" w:rsidRDefault="00BB3652" w:rsidP="00F55C02">
      <w:pPr>
        <w:spacing w:line="360" w:lineRule="auto"/>
        <w:rPr>
          <w:rFonts w:eastAsia="Times New Roman"/>
        </w:rPr>
      </w:pPr>
      <w:r w:rsidRPr="003A466B">
        <w:rPr>
          <w:rFonts w:eastAsia="Times New Roman"/>
        </w:rPr>
        <w:t>Similarly, OPM has been calculated as 12.65%, 12.71% and -52.41% from 2021 to 2023</w:t>
      </w:r>
      <w:r w:rsidR="00F77919" w:rsidRPr="003A466B">
        <w:rPr>
          <w:rFonts w:eastAsia="Times New Roman"/>
        </w:rPr>
        <w:t>,</w:t>
      </w:r>
      <w:r w:rsidRPr="003A466B">
        <w:rPr>
          <w:rFonts w:eastAsia="Times New Roman"/>
        </w:rPr>
        <w:t xml:space="preserve"> and this ratio illustrates the proportional relationship between “operating profits” and “sales”.</w:t>
      </w:r>
      <w:r w:rsidR="00FB5817" w:rsidRPr="003A466B">
        <w:rPr>
          <w:rFonts w:eastAsia="Times New Roman"/>
        </w:rPr>
        <w:t xml:space="preserve"> </w:t>
      </w:r>
      <w:r w:rsidRPr="003A466B">
        <w:rPr>
          <w:rFonts w:eastAsia="Times New Roman"/>
        </w:rPr>
        <w:t>Therefore, a decreasing pattern is established in 2023</w:t>
      </w:r>
      <w:r w:rsidR="00F77919" w:rsidRPr="003A466B">
        <w:rPr>
          <w:rFonts w:eastAsia="Times New Roman"/>
        </w:rPr>
        <w:t>,</w:t>
      </w:r>
      <w:r w:rsidRPr="003A466B">
        <w:rPr>
          <w:rFonts w:eastAsia="Times New Roman"/>
        </w:rPr>
        <w:t xml:space="preserve"> which is </w:t>
      </w:r>
      <w:r w:rsidR="00F55C02" w:rsidRPr="003A466B">
        <w:rPr>
          <w:rFonts w:eastAsia="Times New Roman"/>
        </w:rPr>
        <w:t>factored</w:t>
      </w:r>
      <w:r w:rsidRPr="003A466B">
        <w:rPr>
          <w:rFonts w:eastAsia="Times New Roman"/>
        </w:rPr>
        <w:t xml:space="preserve"> due to </w:t>
      </w:r>
      <w:r w:rsidR="00F77919" w:rsidRPr="003A466B">
        <w:rPr>
          <w:rFonts w:eastAsia="Times New Roman"/>
        </w:rPr>
        <w:t>a </w:t>
      </w:r>
      <w:r w:rsidRPr="003A466B">
        <w:rPr>
          <w:rFonts w:eastAsia="Times New Roman"/>
        </w:rPr>
        <w:t xml:space="preserve">decrease in revenues and </w:t>
      </w:r>
      <w:r w:rsidR="00F77919" w:rsidRPr="003A466B">
        <w:rPr>
          <w:rFonts w:eastAsia="Times New Roman"/>
        </w:rPr>
        <w:t>a </w:t>
      </w:r>
      <w:r w:rsidRPr="003A466B">
        <w:rPr>
          <w:rFonts w:eastAsia="Times New Roman"/>
        </w:rPr>
        <w:t xml:space="preserve">significant increase in operational costs and expenses. </w:t>
      </w:r>
      <w:r w:rsidRPr="003A466B">
        <w:rPr>
          <w:rFonts w:eastAsia="Times New Roman"/>
          <w:highlight w:val="white"/>
        </w:rPr>
        <w:t xml:space="preserve">Mayya </w:t>
      </w:r>
      <w:r w:rsidRPr="003A466B">
        <w:rPr>
          <w:rFonts w:eastAsia="Times New Roman"/>
        </w:rPr>
        <w:t>(2022) critically stated and illustrated that a reducing and negative OPM is harmful for an organisation</w:t>
      </w:r>
      <w:r w:rsidR="00F77919" w:rsidRPr="003A466B">
        <w:rPr>
          <w:rFonts w:eastAsia="Times New Roman"/>
        </w:rPr>
        <w:t>,</w:t>
      </w:r>
      <w:r w:rsidRPr="003A466B">
        <w:rPr>
          <w:rFonts w:eastAsia="Times New Roman"/>
        </w:rPr>
        <w:t xml:space="preserve"> due to which operational stability and efficiency suffer significantly. The decrease in OPM for The City Hotel is also instrumental for the company to suffer from a competent and affluent competitive advantage and business credibility in the hotel and hospitality market. </w:t>
      </w:r>
    </w:p>
    <w:p w14:paraId="69C66658" w14:textId="69D735D5" w:rsidR="00BB3652" w:rsidRPr="003A466B" w:rsidRDefault="00BB3652" w:rsidP="00F55C02">
      <w:pPr>
        <w:spacing w:line="360" w:lineRule="auto"/>
        <w:rPr>
          <w:rFonts w:eastAsia="Times New Roman"/>
        </w:rPr>
      </w:pPr>
      <w:r w:rsidRPr="003A466B">
        <w:rPr>
          <w:rFonts w:eastAsia="Times New Roman"/>
        </w:rPr>
        <w:t>In addition to the above two ratios, ROCE from 2021 to 2023 has been calculated as 6.05%, 4.88% and -8.94%</w:t>
      </w:r>
      <w:r w:rsidR="00F77919" w:rsidRPr="003A466B">
        <w:rPr>
          <w:rFonts w:eastAsia="Times New Roman"/>
        </w:rPr>
        <w:t>,</w:t>
      </w:r>
      <w:r w:rsidRPr="003A466B">
        <w:rPr>
          <w:rFonts w:eastAsia="Times New Roman"/>
        </w:rPr>
        <w:t xml:space="preserve"> respectively. ROCE is also identified as an integral profitability and return ratio</w:t>
      </w:r>
      <w:r w:rsidR="00F77919" w:rsidRPr="003A466B">
        <w:rPr>
          <w:rFonts w:eastAsia="Times New Roman"/>
        </w:rPr>
        <w:t>,</w:t>
      </w:r>
      <w:r w:rsidRPr="003A466B">
        <w:rPr>
          <w:rFonts w:eastAsia="Times New Roman"/>
        </w:rPr>
        <w:t xml:space="preserve"> which elaborates the proportional relationship existing between “operating profit” and “capital employed”</w:t>
      </w:r>
      <w:r w:rsidR="00F77919" w:rsidRPr="003A466B">
        <w:rPr>
          <w:rFonts w:eastAsia="Times New Roman"/>
        </w:rPr>
        <w:t>,</w:t>
      </w:r>
      <w:r w:rsidRPr="003A466B">
        <w:rPr>
          <w:rFonts w:eastAsia="Times New Roman"/>
        </w:rPr>
        <w:t xml:space="preserve"> where the latter is the summation of “debt” and “equity</w:t>
      </w:r>
      <w:r w:rsidR="00F55C02" w:rsidRPr="003A466B">
        <w:rPr>
          <w:rFonts w:eastAsia="Times New Roman"/>
        </w:rPr>
        <w:t>.”</w:t>
      </w:r>
      <w:r w:rsidR="00FB5817" w:rsidRPr="003A466B">
        <w:rPr>
          <w:rFonts w:eastAsia="Times New Roman"/>
        </w:rPr>
        <w:t xml:space="preserve"> </w:t>
      </w:r>
      <w:r w:rsidRPr="003A466B">
        <w:rPr>
          <w:rFonts w:eastAsia="Times New Roman"/>
        </w:rPr>
        <w:t>From the above figure, a negative value and a diminishing trend is administered for 2023</w:t>
      </w:r>
      <w:r w:rsidR="00F77919" w:rsidRPr="003A466B">
        <w:rPr>
          <w:rFonts w:eastAsia="Times New Roman"/>
        </w:rPr>
        <w:t>,</w:t>
      </w:r>
      <w:r w:rsidRPr="003A466B">
        <w:rPr>
          <w:rFonts w:eastAsia="Times New Roman"/>
        </w:rPr>
        <w:t xml:space="preserve"> which is </w:t>
      </w:r>
      <w:r w:rsidR="00F55C02" w:rsidRPr="003A466B">
        <w:rPr>
          <w:rFonts w:eastAsia="Times New Roman"/>
        </w:rPr>
        <w:t>caused</w:t>
      </w:r>
      <w:r w:rsidRPr="003A466B">
        <w:rPr>
          <w:rFonts w:eastAsia="Times New Roman"/>
        </w:rPr>
        <w:t xml:space="preserve"> due to high operating losses incurred by The City Hotel. As per critical expressions of </w:t>
      </w:r>
      <w:r w:rsidRPr="003A466B">
        <w:rPr>
          <w:rFonts w:eastAsia="Times New Roman"/>
          <w:highlight w:val="white"/>
        </w:rPr>
        <w:t xml:space="preserve">Arsyad </w:t>
      </w:r>
      <w:r w:rsidRPr="003A466B">
        <w:rPr>
          <w:rFonts w:eastAsia="Times New Roman"/>
          <w:i/>
          <w:highlight w:val="white"/>
        </w:rPr>
        <w:t xml:space="preserve">et al. </w:t>
      </w:r>
      <w:r w:rsidRPr="003A466B">
        <w:rPr>
          <w:rFonts w:eastAsia="Times New Roman"/>
        </w:rPr>
        <w:t>(2021), negative ROCE figures are also expected to impact financial continuity of an organisation</w:t>
      </w:r>
      <w:r w:rsidR="00F77919" w:rsidRPr="003A466B">
        <w:rPr>
          <w:rFonts w:eastAsia="Times New Roman"/>
        </w:rPr>
        <w:t>,</w:t>
      </w:r>
      <w:r w:rsidRPr="003A466B">
        <w:rPr>
          <w:rFonts w:eastAsia="Times New Roman"/>
        </w:rPr>
        <w:t xml:space="preserve"> due to which stakeholder and investor participation for future business expansion suffers significantly. </w:t>
      </w:r>
    </w:p>
    <w:p w14:paraId="7B5127B0" w14:textId="556C2C0F" w:rsidR="00BB3652" w:rsidRPr="003A466B" w:rsidRDefault="00BB3652" w:rsidP="00F55C02">
      <w:pPr>
        <w:spacing w:line="360" w:lineRule="auto"/>
        <w:rPr>
          <w:rFonts w:eastAsia="Times New Roman"/>
        </w:rPr>
      </w:pPr>
      <w:r w:rsidRPr="003A466B">
        <w:rPr>
          <w:rFonts w:eastAsia="Times New Roman"/>
        </w:rPr>
        <w:t>In addition to the three ratios calculated above, OM has been calculated as 79.50%, 79.72% and 144.83%</w:t>
      </w:r>
      <w:r w:rsidR="00F77919" w:rsidRPr="003A466B">
        <w:rPr>
          <w:rFonts w:eastAsia="Times New Roman"/>
        </w:rPr>
        <w:t>,</w:t>
      </w:r>
      <w:r w:rsidRPr="003A466B">
        <w:rPr>
          <w:rFonts w:eastAsia="Times New Roman"/>
        </w:rPr>
        <w:t xml:space="preserve"> respectively</w:t>
      </w:r>
      <w:r w:rsidR="00F77919" w:rsidRPr="003A466B">
        <w:rPr>
          <w:rFonts w:eastAsia="Times New Roman"/>
        </w:rPr>
        <w:t>,</w:t>
      </w:r>
      <w:r w:rsidRPr="003A466B">
        <w:rPr>
          <w:rFonts w:eastAsia="Times New Roman"/>
        </w:rPr>
        <w:t xml:space="preserve"> from 2021 to 2023. The OM is also an important determinant of </w:t>
      </w:r>
      <w:r w:rsidRPr="003A466B">
        <w:rPr>
          <w:rFonts w:eastAsia="Times New Roman"/>
        </w:rPr>
        <w:lastRenderedPageBreak/>
        <w:t>profitability position for a company which recognises the proportional relationship between “operating expenses” and “sales revenues</w:t>
      </w:r>
      <w:r w:rsidR="00F55C02" w:rsidRPr="003A466B">
        <w:rPr>
          <w:rFonts w:eastAsia="Times New Roman"/>
        </w:rPr>
        <w:t>.”</w:t>
      </w:r>
      <w:r w:rsidRPr="003A466B">
        <w:rPr>
          <w:rFonts w:eastAsia="Times New Roman"/>
        </w:rPr>
        <w:t xml:space="preserve"> According to the above figure, an incremental trend is established for 2023 in comparison to previous years which is </w:t>
      </w:r>
      <w:r w:rsidR="00F55C02" w:rsidRPr="003A466B">
        <w:rPr>
          <w:rFonts w:eastAsia="Times New Roman"/>
        </w:rPr>
        <w:t>caused</w:t>
      </w:r>
      <w:r w:rsidRPr="003A466B">
        <w:rPr>
          <w:rFonts w:eastAsia="Times New Roman"/>
        </w:rPr>
        <w:t xml:space="preserve"> due to high taxes, provisions and depreciation paid by The City Hotel. As critically narrated by </w:t>
      </w:r>
      <w:r w:rsidRPr="003A466B">
        <w:rPr>
          <w:rFonts w:eastAsia="Times New Roman"/>
          <w:highlight w:val="white"/>
        </w:rPr>
        <w:t xml:space="preserve">Markonah </w:t>
      </w:r>
      <w:r w:rsidRPr="003A466B">
        <w:rPr>
          <w:rFonts w:eastAsia="Times New Roman"/>
          <w:i/>
          <w:highlight w:val="white"/>
        </w:rPr>
        <w:t xml:space="preserve">et al. </w:t>
      </w:r>
      <w:r w:rsidRPr="003A466B">
        <w:rPr>
          <w:rFonts w:eastAsia="Times New Roman"/>
        </w:rPr>
        <w:t>(2020),</w:t>
      </w:r>
      <w:r w:rsidR="00FB5817" w:rsidRPr="003A466B">
        <w:rPr>
          <w:rFonts w:eastAsia="Times New Roman"/>
        </w:rPr>
        <w:t xml:space="preserve"> </w:t>
      </w:r>
      <w:r w:rsidRPr="003A466B">
        <w:rPr>
          <w:rFonts w:eastAsia="Times New Roman"/>
        </w:rPr>
        <w:t xml:space="preserve">a high OM </w:t>
      </w:r>
      <w:r w:rsidR="00F55C02" w:rsidRPr="003A466B">
        <w:rPr>
          <w:rFonts w:eastAsia="Times New Roman"/>
        </w:rPr>
        <w:t>is</w:t>
      </w:r>
      <w:r w:rsidRPr="003A466B">
        <w:rPr>
          <w:rFonts w:eastAsia="Times New Roman"/>
        </w:rPr>
        <w:t xml:space="preserve"> disadvantageous for an organisation</w:t>
      </w:r>
      <w:r w:rsidR="00F77919" w:rsidRPr="003A466B">
        <w:rPr>
          <w:rFonts w:eastAsia="Times New Roman"/>
        </w:rPr>
        <w:t>,</w:t>
      </w:r>
      <w:r w:rsidRPr="003A466B">
        <w:rPr>
          <w:rFonts w:eastAsia="Times New Roman"/>
        </w:rPr>
        <w:t xml:space="preserve"> due to which daily activity streams are likely to distort. Overall, a negative and unfavourable profitability position is observed for The City Hotel in recent times. </w:t>
      </w:r>
    </w:p>
    <w:p w14:paraId="736C9674" w14:textId="77777777" w:rsidR="00BB3652" w:rsidRPr="003A466B" w:rsidRDefault="00BB3652" w:rsidP="00F55C02">
      <w:pPr>
        <w:pStyle w:val="Heading2"/>
        <w:spacing w:before="0" w:line="360" w:lineRule="auto"/>
        <w:rPr>
          <w:color w:val="auto"/>
        </w:rPr>
      </w:pPr>
      <w:bookmarkStart w:id="11" w:name="_uximgfovs47k" w:colFirst="0" w:colLast="0"/>
      <w:bookmarkStart w:id="12" w:name="_Toc178950118"/>
      <w:bookmarkEnd w:id="11"/>
      <w:r w:rsidRPr="003A466B">
        <w:rPr>
          <w:color w:val="auto"/>
        </w:rPr>
        <w:t>1.4: Liquidity</w:t>
      </w:r>
      <w:bookmarkEnd w:id="12"/>
      <w:r w:rsidRPr="003A466B">
        <w:rPr>
          <w:color w:val="auto"/>
        </w:rPr>
        <w:t xml:space="preserve"> </w:t>
      </w:r>
    </w:p>
    <w:p w14:paraId="27D4C260" w14:textId="77777777" w:rsidR="00BB3652" w:rsidRPr="003A466B" w:rsidRDefault="00BB3652" w:rsidP="00F55C02">
      <w:pPr>
        <w:spacing w:line="360" w:lineRule="auto"/>
        <w:rPr>
          <w:rFonts w:eastAsia="Times New Roman"/>
        </w:rPr>
      </w:pPr>
      <w:r w:rsidRPr="003A466B">
        <w:rPr>
          <w:rFonts w:eastAsia="Times New Roman"/>
          <w:noProof/>
        </w:rPr>
        <w:drawing>
          <wp:inline distT="114300" distB="114300" distL="114300" distR="114300" wp14:anchorId="427ED1B5" wp14:editId="163FE180">
            <wp:extent cx="5731200" cy="1016000"/>
            <wp:effectExtent l="25400" t="25400" r="25400" b="25400"/>
            <wp:docPr id="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9"/>
                    <a:srcRect/>
                    <a:stretch>
                      <a:fillRect/>
                    </a:stretch>
                  </pic:blipFill>
                  <pic:spPr>
                    <a:xfrm>
                      <a:off x="0" y="0"/>
                      <a:ext cx="5731200" cy="1016000"/>
                    </a:xfrm>
                    <a:prstGeom prst="rect">
                      <a:avLst/>
                    </a:prstGeom>
                    <a:ln w="25400">
                      <a:solidFill>
                        <a:srgbClr val="000000"/>
                      </a:solidFill>
                      <a:prstDash val="solid"/>
                    </a:ln>
                  </pic:spPr>
                </pic:pic>
              </a:graphicData>
            </a:graphic>
          </wp:inline>
        </w:drawing>
      </w:r>
    </w:p>
    <w:p w14:paraId="28319573" w14:textId="77777777" w:rsidR="00BB3652" w:rsidRPr="003A466B" w:rsidRDefault="00BB3652" w:rsidP="00F55C02">
      <w:pPr>
        <w:spacing w:line="360" w:lineRule="auto"/>
        <w:jc w:val="center"/>
        <w:rPr>
          <w:rFonts w:eastAsia="Times New Roman"/>
          <w:b/>
        </w:rPr>
      </w:pPr>
      <w:r w:rsidRPr="003A466B">
        <w:rPr>
          <w:rFonts w:eastAsia="Times New Roman"/>
          <w:b/>
        </w:rPr>
        <w:t>Figure 9: Liquidity Ratios</w:t>
      </w:r>
    </w:p>
    <w:p w14:paraId="113F1594" w14:textId="25DC225A" w:rsidR="00BB3652" w:rsidRPr="003A466B" w:rsidRDefault="00BB3652" w:rsidP="00F55C02">
      <w:pPr>
        <w:spacing w:line="360" w:lineRule="auto"/>
        <w:rPr>
          <w:rFonts w:eastAsia="Times New Roman"/>
        </w:rPr>
      </w:pPr>
      <w:r w:rsidRPr="003A466B">
        <w:rPr>
          <w:rFonts w:eastAsia="Times New Roman"/>
        </w:rPr>
        <w:t>From the above figure of liquidity ratios, CR has been measured as 0.97, 0.93 and 0.64:1 from 2021 to 2023. The CR is identified as an important liquidity measure which expresses the proportional relationship existing between “current assets” and “current liabilities</w:t>
      </w:r>
      <w:r w:rsidR="00F55C02" w:rsidRPr="003A466B">
        <w:rPr>
          <w:rFonts w:eastAsia="Times New Roman"/>
        </w:rPr>
        <w:t>.”</w:t>
      </w:r>
      <w:r w:rsidRPr="003A466B">
        <w:rPr>
          <w:rFonts w:eastAsia="Times New Roman"/>
        </w:rPr>
        <w:t xml:space="preserve"> Hen</w:t>
      </w:r>
      <w:r w:rsidR="00F77919" w:rsidRPr="003A466B">
        <w:rPr>
          <w:rFonts w:eastAsia="Times New Roman"/>
        </w:rPr>
        <w:t>c</w:t>
      </w:r>
      <w:r w:rsidRPr="003A466B">
        <w:rPr>
          <w:rFonts w:eastAsia="Times New Roman"/>
        </w:rPr>
        <w:t xml:space="preserve">e, a decreasing performance trend can be administered in 2023 as compared to performances identified in 2021 and </w:t>
      </w:r>
      <w:r w:rsidR="00F55C02" w:rsidRPr="003A466B">
        <w:rPr>
          <w:rFonts w:eastAsia="Times New Roman"/>
        </w:rPr>
        <w:t>2022,</w:t>
      </w:r>
      <w:r w:rsidRPr="003A466B">
        <w:rPr>
          <w:rFonts w:eastAsia="Times New Roman"/>
        </w:rPr>
        <w:t xml:space="preserve"> respectively.</w:t>
      </w:r>
      <w:r w:rsidR="00FB5817" w:rsidRPr="003A466B">
        <w:rPr>
          <w:rFonts w:eastAsia="Times New Roman"/>
        </w:rPr>
        <w:t xml:space="preserve"> </w:t>
      </w:r>
      <w:r w:rsidRPr="003A466B">
        <w:rPr>
          <w:rFonts w:eastAsia="Times New Roman"/>
        </w:rPr>
        <w:t xml:space="preserve">The decrease in CR is </w:t>
      </w:r>
      <w:r w:rsidR="00F55C02" w:rsidRPr="003A466B">
        <w:rPr>
          <w:rFonts w:eastAsia="Times New Roman"/>
        </w:rPr>
        <w:t>orchestrated</w:t>
      </w:r>
      <w:r w:rsidRPr="003A466B">
        <w:rPr>
          <w:rFonts w:eastAsia="Times New Roman"/>
        </w:rPr>
        <w:t xml:space="preserve"> due to a significant decrease experienced for “current assets” by The City Hotel. The decreasing values of CR are identified as critical disadvantages for a company due to which working capital efficiency and reliability is hampered in the market. </w:t>
      </w:r>
    </w:p>
    <w:p w14:paraId="3C2B761B" w14:textId="7CA731E2" w:rsidR="00BB3652" w:rsidRPr="003A466B" w:rsidRDefault="00BB3652" w:rsidP="00F55C02">
      <w:pPr>
        <w:spacing w:line="360" w:lineRule="auto"/>
        <w:rPr>
          <w:rFonts w:eastAsia="Times New Roman"/>
        </w:rPr>
      </w:pPr>
      <w:r w:rsidRPr="003A466B">
        <w:rPr>
          <w:rFonts w:eastAsia="Times New Roman"/>
        </w:rPr>
        <w:t>Likewise, QR has been measured as 0.95, 0.92 and 0.62:1 from 2021 to 2023 and a decreasing trend is also administered for 2023. QR is identified as an integral component of the liquidity assessment of a company that establishes the proportion between “quick assets” and “current liabilities”</w:t>
      </w:r>
      <w:r w:rsidR="00F77919" w:rsidRPr="003A466B">
        <w:rPr>
          <w:rFonts w:eastAsia="Times New Roman"/>
        </w:rPr>
        <w:t>,</w:t>
      </w:r>
      <w:r w:rsidRPr="003A466B">
        <w:rPr>
          <w:rFonts w:eastAsia="Times New Roman"/>
        </w:rPr>
        <w:t xml:space="preserve"> where the former is the difference between “current assets” and “inventory</w:t>
      </w:r>
      <w:r w:rsidR="00F55C02" w:rsidRPr="003A466B">
        <w:rPr>
          <w:rFonts w:eastAsia="Times New Roman"/>
        </w:rPr>
        <w:t>.”</w:t>
      </w:r>
      <w:r w:rsidRPr="003A466B">
        <w:rPr>
          <w:rFonts w:eastAsia="Times New Roman"/>
        </w:rPr>
        <w:t xml:space="preserve"> The decreasing trend is also observed on the back of a significant decrease in “current asset” as well as “inventory” values for 2023. As per critical narratives and views of </w:t>
      </w:r>
      <w:r w:rsidRPr="003A466B">
        <w:rPr>
          <w:rFonts w:eastAsia="Times New Roman"/>
          <w:highlight w:val="white"/>
        </w:rPr>
        <w:t xml:space="preserve">Dirman </w:t>
      </w:r>
      <w:r w:rsidRPr="003A466B">
        <w:rPr>
          <w:rFonts w:eastAsia="Times New Roman"/>
        </w:rPr>
        <w:t>(2020), a decreasing QR is also identified as a major adversity for a company</w:t>
      </w:r>
      <w:r w:rsidR="00F77919" w:rsidRPr="003A466B">
        <w:rPr>
          <w:rFonts w:eastAsia="Times New Roman"/>
        </w:rPr>
        <w:t>,</w:t>
      </w:r>
      <w:r w:rsidRPr="003A466B">
        <w:rPr>
          <w:rFonts w:eastAsia="Times New Roman"/>
        </w:rPr>
        <w:t xml:space="preserve"> due to which absolute liquidity provisions reduce significantly.</w:t>
      </w:r>
    </w:p>
    <w:p w14:paraId="6A5EAB25" w14:textId="6C47C7D8" w:rsidR="00BB3652" w:rsidRPr="003A466B" w:rsidRDefault="00BB3652" w:rsidP="00F55C02">
      <w:pPr>
        <w:spacing w:line="360" w:lineRule="auto"/>
        <w:rPr>
          <w:rFonts w:eastAsia="Times New Roman"/>
        </w:rPr>
      </w:pPr>
      <w:r w:rsidRPr="003A466B">
        <w:rPr>
          <w:rFonts w:eastAsia="Times New Roman"/>
        </w:rPr>
        <w:t>In addition to CR and QR, WCS has been measured as -0.01, - 0.03 and - 0.31:1 for The City Hotel during the assessment periods 2021, 2022 and 2023. WCS is additionally identified as an important metric of liquidity</w:t>
      </w:r>
      <w:r w:rsidR="00F77919" w:rsidRPr="003A466B">
        <w:rPr>
          <w:rFonts w:eastAsia="Times New Roman"/>
        </w:rPr>
        <w:t>,</w:t>
      </w:r>
      <w:r w:rsidRPr="003A466B">
        <w:rPr>
          <w:rFonts w:eastAsia="Times New Roman"/>
        </w:rPr>
        <w:t xml:space="preserve"> which justifies the quantum of “working capital” corresponding to “sales revenues</w:t>
      </w:r>
      <w:r w:rsidR="00F55C02" w:rsidRPr="003A466B">
        <w:rPr>
          <w:rFonts w:eastAsia="Times New Roman"/>
        </w:rPr>
        <w:t>.”</w:t>
      </w:r>
      <w:r w:rsidRPr="003A466B">
        <w:rPr>
          <w:rFonts w:eastAsia="Times New Roman"/>
        </w:rPr>
        <w:t xml:space="preserve"> Hence, a negative and decreasing trend of WCS is </w:t>
      </w:r>
      <w:r w:rsidRPr="003A466B">
        <w:rPr>
          <w:rFonts w:eastAsia="Times New Roman"/>
        </w:rPr>
        <w:lastRenderedPageBreak/>
        <w:t>administered for The City Hotel in 2023</w:t>
      </w:r>
      <w:r w:rsidR="00F77919" w:rsidRPr="003A466B">
        <w:rPr>
          <w:rFonts w:eastAsia="Times New Roman"/>
        </w:rPr>
        <w:t>,</w:t>
      </w:r>
      <w:r w:rsidRPr="003A466B">
        <w:rPr>
          <w:rFonts w:eastAsia="Times New Roman"/>
        </w:rPr>
        <w:t xml:space="preserve"> which is </w:t>
      </w:r>
      <w:r w:rsidR="00F55C02" w:rsidRPr="003A466B">
        <w:rPr>
          <w:rFonts w:eastAsia="Times New Roman"/>
        </w:rPr>
        <w:t>caused</w:t>
      </w:r>
      <w:r w:rsidRPr="003A466B">
        <w:rPr>
          <w:rFonts w:eastAsia="Times New Roman"/>
        </w:rPr>
        <w:t xml:space="preserve"> due to incremental “current liability” values and due to low values of “current assets” and “sales”. As Sari </w:t>
      </w:r>
      <w:r w:rsidRPr="003A466B">
        <w:rPr>
          <w:rFonts w:eastAsia="Times New Roman"/>
          <w:i/>
        </w:rPr>
        <w:t xml:space="preserve">et al. </w:t>
      </w:r>
      <w:r w:rsidRPr="003A466B">
        <w:rPr>
          <w:rFonts w:eastAsia="Times New Roman"/>
        </w:rPr>
        <w:t>(2022) critically explained and idealised a negative and low value of WCS could be impactful for an organisation</w:t>
      </w:r>
      <w:r w:rsidR="00F77919" w:rsidRPr="003A466B">
        <w:rPr>
          <w:rFonts w:eastAsia="Times New Roman"/>
        </w:rPr>
        <w:t>,</w:t>
      </w:r>
      <w:r w:rsidRPr="003A466B">
        <w:rPr>
          <w:rFonts w:eastAsia="Times New Roman"/>
        </w:rPr>
        <w:t xml:space="preserve"> due to which liquidity and profitability traits are expected to be tarnished. </w:t>
      </w:r>
    </w:p>
    <w:p w14:paraId="4CD89344" w14:textId="3AC655AD" w:rsidR="00BB3652" w:rsidRPr="003A466B" w:rsidRDefault="00BB3652" w:rsidP="00F55C02">
      <w:pPr>
        <w:spacing w:line="360" w:lineRule="auto"/>
        <w:rPr>
          <w:rFonts w:eastAsia="Times New Roman"/>
        </w:rPr>
      </w:pPr>
      <w:r w:rsidRPr="003A466B">
        <w:rPr>
          <w:rFonts w:eastAsia="Times New Roman"/>
        </w:rPr>
        <w:t xml:space="preserve">In addition to the above three ratios calculated, CAR has been measured as 0.38, 0.30 and 0.15:1 from 2021 to 2023. The CAR </w:t>
      </w:r>
      <w:r w:rsidR="00F55C02" w:rsidRPr="003A466B">
        <w:rPr>
          <w:rFonts w:eastAsia="Times New Roman"/>
        </w:rPr>
        <w:t>defines</w:t>
      </w:r>
      <w:r w:rsidRPr="003A466B">
        <w:rPr>
          <w:rFonts w:eastAsia="Times New Roman"/>
        </w:rPr>
        <w:t xml:space="preserve"> the absolute liquidity position of a company</w:t>
      </w:r>
      <w:r w:rsidR="00F77919" w:rsidRPr="003A466B">
        <w:rPr>
          <w:rFonts w:eastAsia="Times New Roman"/>
        </w:rPr>
        <w:t>,</w:t>
      </w:r>
      <w:r w:rsidRPr="003A466B">
        <w:rPr>
          <w:rFonts w:eastAsia="Times New Roman"/>
        </w:rPr>
        <w:t xml:space="preserve"> which is formulated by considering the division of “cash and cash equivalents” and “current liabilities</w:t>
      </w:r>
      <w:r w:rsidR="00F55C02" w:rsidRPr="003A466B">
        <w:rPr>
          <w:rFonts w:eastAsia="Times New Roman"/>
        </w:rPr>
        <w:t>.”</w:t>
      </w:r>
      <w:r w:rsidRPr="003A466B">
        <w:rPr>
          <w:rFonts w:eastAsia="Times New Roman"/>
        </w:rPr>
        <w:t xml:space="preserve"> Hence, a decreasing trend of performance is also established in 2023</w:t>
      </w:r>
      <w:r w:rsidR="00F77919" w:rsidRPr="003A466B">
        <w:rPr>
          <w:rFonts w:eastAsia="Times New Roman"/>
        </w:rPr>
        <w:t>,</w:t>
      </w:r>
      <w:r w:rsidRPr="003A466B">
        <w:rPr>
          <w:rFonts w:eastAsia="Times New Roman"/>
        </w:rPr>
        <w:t xml:space="preserve"> which is </w:t>
      </w:r>
      <w:r w:rsidR="00F55C02" w:rsidRPr="003A466B">
        <w:rPr>
          <w:rFonts w:eastAsia="Times New Roman"/>
        </w:rPr>
        <w:t>contributed</w:t>
      </w:r>
      <w:r w:rsidRPr="003A466B">
        <w:rPr>
          <w:rFonts w:eastAsia="Times New Roman"/>
        </w:rPr>
        <w:t xml:space="preserve"> due to low “cash and cash equivalent” figures. </w:t>
      </w:r>
      <w:r w:rsidRPr="003A466B">
        <w:rPr>
          <w:rFonts w:eastAsia="Times New Roman"/>
          <w:highlight w:val="white"/>
        </w:rPr>
        <w:t xml:space="preserve">Jihadi </w:t>
      </w:r>
      <w:r w:rsidRPr="003A466B">
        <w:rPr>
          <w:rFonts w:eastAsia="Times New Roman"/>
          <w:i/>
          <w:highlight w:val="white"/>
        </w:rPr>
        <w:t xml:space="preserve">et al. </w:t>
      </w:r>
      <w:r w:rsidRPr="003A466B">
        <w:rPr>
          <w:rFonts w:eastAsia="Times New Roman"/>
        </w:rPr>
        <w:t>(2021) critically observed that a low CAR is impactful for an organisation due to which cash sufficiency could become restricted. The overall liquidity performance of The City Hotel in recent times is therefore identified as unfavourable and gaining an adverse growth momentum</w:t>
      </w:r>
      <w:r w:rsidR="00FB5817" w:rsidRPr="003A466B">
        <w:rPr>
          <w:rFonts w:eastAsia="Times New Roman"/>
        </w:rPr>
        <w:t xml:space="preserve">. </w:t>
      </w:r>
    </w:p>
    <w:p w14:paraId="2B9675F7" w14:textId="77777777" w:rsidR="00BB3652" w:rsidRPr="003A466B" w:rsidRDefault="00BB3652" w:rsidP="00F55C02">
      <w:pPr>
        <w:pStyle w:val="Heading2"/>
        <w:spacing w:before="0" w:line="360" w:lineRule="auto"/>
        <w:rPr>
          <w:color w:val="auto"/>
        </w:rPr>
      </w:pPr>
      <w:bookmarkStart w:id="13" w:name="_55nenoku2p3e" w:colFirst="0" w:colLast="0"/>
      <w:bookmarkStart w:id="14" w:name="_Toc178950119"/>
      <w:bookmarkEnd w:id="13"/>
      <w:r w:rsidRPr="003A466B">
        <w:rPr>
          <w:color w:val="auto"/>
        </w:rPr>
        <w:t>1.5: Solvency</w:t>
      </w:r>
      <w:bookmarkEnd w:id="14"/>
    </w:p>
    <w:p w14:paraId="46384B8A" w14:textId="77777777" w:rsidR="00BB3652" w:rsidRPr="003A466B" w:rsidRDefault="00BB3652" w:rsidP="00F55C02">
      <w:pPr>
        <w:spacing w:line="360" w:lineRule="auto"/>
        <w:rPr>
          <w:rFonts w:eastAsia="Times New Roman"/>
        </w:rPr>
      </w:pPr>
      <w:r w:rsidRPr="003A466B">
        <w:rPr>
          <w:rFonts w:eastAsia="Times New Roman"/>
          <w:noProof/>
        </w:rPr>
        <w:drawing>
          <wp:inline distT="114300" distB="114300" distL="114300" distR="114300" wp14:anchorId="2BBAAFB0" wp14:editId="33F2B1A7">
            <wp:extent cx="5731200" cy="1054100"/>
            <wp:effectExtent l="25400" t="25400" r="25400" b="2540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731200" cy="1054100"/>
                    </a:xfrm>
                    <a:prstGeom prst="rect">
                      <a:avLst/>
                    </a:prstGeom>
                    <a:ln w="25400">
                      <a:solidFill>
                        <a:srgbClr val="000000"/>
                      </a:solidFill>
                      <a:prstDash val="solid"/>
                    </a:ln>
                  </pic:spPr>
                </pic:pic>
              </a:graphicData>
            </a:graphic>
          </wp:inline>
        </w:drawing>
      </w:r>
    </w:p>
    <w:p w14:paraId="78B6B98E" w14:textId="77777777" w:rsidR="00BB3652" w:rsidRPr="003A466B" w:rsidRDefault="00BB3652" w:rsidP="00F55C02">
      <w:pPr>
        <w:spacing w:line="360" w:lineRule="auto"/>
        <w:jc w:val="center"/>
        <w:rPr>
          <w:rFonts w:eastAsia="Times New Roman"/>
          <w:b/>
        </w:rPr>
      </w:pPr>
      <w:r w:rsidRPr="003A466B">
        <w:rPr>
          <w:rFonts w:eastAsia="Times New Roman"/>
          <w:b/>
        </w:rPr>
        <w:t xml:space="preserve">Figure 10: Solvency Ratios </w:t>
      </w:r>
    </w:p>
    <w:p w14:paraId="14F98748" w14:textId="506CBBA5" w:rsidR="00BB3652" w:rsidRPr="003A466B" w:rsidRDefault="00BB3652" w:rsidP="00F55C02">
      <w:pPr>
        <w:spacing w:line="360" w:lineRule="auto"/>
        <w:rPr>
          <w:rFonts w:eastAsia="Times New Roman"/>
        </w:rPr>
      </w:pPr>
      <w:r w:rsidRPr="003A466B">
        <w:rPr>
          <w:rFonts w:eastAsia="Times New Roman"/>
        </w:rPr>
        <w:t>According to the above calculations of solvency ratios, GR is numerically represented as 0.79, 0.81 and 0.90 times</w:t>
      </w:r>
      <w:r w:rsidR="00F77919" w:rsidRPr="003A466B">
        <w:rPr>
          <w:rFonts w:eastAsia="Times New Roman"/>
        </w:rPr>
        <w:t>,</w:t>
      </w:r>
      <w:r w:rsidRPr="003A466B">
        <w:rPr>
          <w:rFonts w:eastAsia="Times New Roman"/>
        </w:rPr>
        <w:t xml:space="preserve"> respectively</w:t>
      </w:r>
      <w:r w:rsidR="00F77919" w:rsidRPr="003A466B">
        <w:rPr>
          <w:rFonts w:eastAsia="Times New Roman"/>
        </w:rPr>
        <w:t>,</w:t>
      </w:r>
      <w:r w:rsidRPr="003A466B">
        <w:rPr>
          <w:rFonts w:eastAsia="Times New Roman"/>
        </w:rPr>
        <w:t xml:space="preserve"> from 2021 to 2023. The GR is an integral component of the solvency ratio examination of a company</w:t>
      </w:r>
      <w:r w:rsidR="00F77919" w:rsidRPr="003A466B">
        <w:rPr>
          <w:rFonts w:eastAsia="Times New Roman"/>
        </w:rPr>
        <w:t>,</w:t>
      </w:r>
      <w:r w:rsidRPr="003A466B">
        <w:rPr>
          <w:rFonts w:eastAsia="Times New Roman"/>
        </w:rPr>
        <w:t xml:space="preserve"> which elaborates the proportional relationship existing between “debt” and “capital employed</w:t>
      </w:r>
      <w:r w:rsidR="00F55C02" w:rsidRPr="003A466B">
        <w:rPr>
          <w:rFonts w:eastAsia="Times New Roman"/>
        </w:rPr>
        <w:t>.”</w:t>
      </w:r>
      <w:r w:rsidRPr="003A466B">
        <w:rPr>
          <w:rFonts w:eastAsia="Times New Roman"/>
        </w:rPr>
        <w:t xml:space="preserve"> Hence, an increasing performance trend can be identified for The City Hotel in 2023 which is </w:t>
      </w:r>
      <w:r w:rsidR="00F55C02" w:rsidRPr="003A466B">
        <w:rPr>
          <w:rFonts w:eastAsia="Times New Roman"/>
        </w:rPr>
        <w:t>facilitated</w:t>
      </w:r>
      <w:r w:rsidRPr="003A466B">
        <w:rPr>
          <w:rFonts w:eastAsia="Times New Roman"/>
        </w:rPr>
        <w:t xml:space="preserve"> due to growth experienced for “debt” values. According to </w:t>
      </w:r>
      <w:r w:rsidRPr="003A466B">
        <w:rPr>
          <w:rFonts w:eastAsia="Times New Roman"/>
          <w:highlight w:val="white"/>
        </w:rPr>
        <w:t xml:space="preserve">Mukhtarov </w:t>
      </w:r>
      <w:r w:rsidRPr="003A466B">
        <w:rPr>
          <w:rFonts w:eastAsia="Times New Roman"/>
          <w:i/>
          <w:highlight w:val="white"/>
        </w:rPr>
        <w:t xml:space="preserve">et al. </w:t>
      </w:r>
      <w:r w:rsidRPr="003A466B">
        <w:rPr>
          <w:rFonts w:eastAsia="Times New Roman"/>
        </w:rPr>
        <w:t xml:space="preserve">(2022), growth in GR is considered as a beneficial prospect for a company due to which more investors can be </w:t>
      </w:r>
      <w:r w:rsidR="00F55C02" w:rsidRPr="003A466B">
        <w:rPr>
          <w:rFonts w:eastAsia="Times New Roman"/>
        </w:rPr>
        <w:t>lured,</w:t>
      </w:r>
      <w:r w:rsidRPr="003A466B">
        <w:rPr>
          <w:rFonts w:eastAsia="Times New Roman"/>
        </w:rPr>
        <w:t xml:space="preserve"> and investment capital can be obtained to boost future organisational empowerment.</w:t>
      </w:r>
      <w:r w:rsidR="00FB5817" w:rsidRPr="003A466B">
        <w:rPr>
          <w:rFonts w:eastAsia="Times New Roman"/>
        </w:rPr>
        <w:t xml:space="preserve"> </w:t>
      </w:r>
    </w:p>
    <w:p w14:paraId="43C79106" w14:textId="18A78273" w:rsidR="00BB3652" w:rsidRPr="003A466B" w:rsidRDefault="00BB3652" w:rsidP="00F55C02">
      <w:pPr>
        <w:spacing w:line="360" w:lineRule="auto"/>
        <w:rPr>
          <w:rFonts w:eastAsia="Times New Roman"/>
        </w:rPr>
      </w:pPr>
      <w:r w:rsidRPr="003A466B">
        <w:rPr>
          <w:rFonts w:eastAsia="Times New Roman"/>
        </w:rPr>
        <w:t>Additionally, DER has been calculated as 3.87, 4.35 and 8.67 times from 2021 to 2023</w:t>
      </w:r>
      <w:r w:rsidR="00F77919" w:rsidRPr="003A466B">
        <w:rPr>
          <w:rFonts w:eastAsia="Times New Roman"/>
        </w:rPr>
        <w:t>,</w:t>
      </w:r>
      <w:r w:rsidRPr="003A466B">
        <w:rPr>
          <w:rFonts w:eastAsia="Times New Roman"/>
        </w:rPr>
        <w:t xml:space="preserve"> and this ratio represents the proportional relationship existing between “debt” and “equity”.</w:t>
      </w:r>
      <w:r w:rsidR="00FB5817" w:rsidRPr="003A466B">
        <w:rPr>
          <w:rFonts w:eastAsia="Times New Roman"/>
        </w:rPr>
        <w:t xml:space="preserve"> </w:t>
      </w:r>
      <w:r w:rsidRPr="003A466B">
        <w:rPr>
          <w:rFonts w:eastAsia="Times New Roman"/>
        </w:rPr>
        <w:t>Therefore, an increasing trend of performance is identified for DER in 2023</w:t>
      </w:r>
      <w:r w:rsidR="00F77919" w:rsidRPr="003A466B">
        <w:rPr>
          <w:rFonts w:eastAsia="Times New Roman"/>
        </w:rPr>
        <w:t>,</w:t>
      </w:r>
      <w:r w:rsidRPr="003A466B">
        <w:rPr>
          <w:rFonts w:eastAsia="Times New Roman"/>
        </w:rPr>
        <w:t xml:space="preserve"> which is </w:t>
      </w:r>
      <w:r w:rsidR="00F55C02" w:rsidRPr="003A466B">
        <w:rPr>
          <w:rFonts w:eastAsia="Times New Roman"/>
        </w:rPr>
        <w:t>caused</w:t>
      </w:r>
      <w:r w:rsidRPr="003A466B">
        <w:rPr>
          <w:rFonts w:eastAsia="Times New Roman"/>
        </w:rPr>
        <w:t xml:space="preserve"> due to growth in “debt” and</w:t>
      </w:r>
      <w:r w:rsidR="00FB5817" w:rsidRPr="003A466B">
        <w:rPr>
          <w:rFonts w:eastAsia="Times New Roman"/>
        </w:rPr>
        <w:t xml:space="preserve"> </w:t>
      </w:r>
      <w:r w:rsidRPr="003A466B">
        <w:rPr>
          <w:rFonts w:eastAsia="Times New Roman"/>
        </w:rPr>
        <w:t>decreasing values of “equity”. The growth in DER is considered a beneficial preposition for an organisation to enhance capital structure composition</w:t>
      </w:r>
      <w:r w:rsidR="00F77919" w:rsidRPr="003A466B">
        <w:rPr>
          <w:rFonts w:eastAsia="Times New Roman"/>
        </w:rPr>
        <w:t>,</w:t>
      </w:r>
      <w:r w:rsidRPr="003A466B">
        <w:rPr>
          <w:rFonts w:eastAsia="Times New Roman"/>
        </w:rPr>
        <w:t xml:space="preserve"> due to which more long-term funding can be secured easily (</w:t>
      </w:r>
      <w:r w:rsidRPr="003A466B">
        <w:rPr>
          <w:rFonts w:eastAsia="Times New Roman"/>
          <w:highlight w:val="white"/>
        </w:rPr>
        <w:t>Syarifah, 2021</w:t>
      </w:r>
      <w:r w:rsidRPr="003A466B">
        <w:rPr>
          <w:rFonts w:eastAsia="Times New Roman"/>
        </w:rPr>
        <w:t xml:space="preserve">). The growth in DER is </w:t>
      </w:r>
      <w:r w:rsidRPr="003A466B">
        <w:rPr>
          <w:rFonts w:eastAsia="Times New Roman"/>
        </w:rPr>
        <w:lastRenderedPageBreak/>
        <w:t>also favourable for The City Hotel to locate additional business expansion opportunities for boosting its future credibility in the hospitality industry.</w:t>
      </w:r>
      <w:r w:rsidR="00FB5817" w:rsidRPr="003A466B">
        <w:rPr>
          <w:rFonts w:eastAsia="Times New Roman"/>
        </w:rPr>
        <w:t xml:space="preserve"> </w:t>
      </w:r>
    </w:p>
    <w:p w14:paraId="5A13720A" w14:textId="0A4082BF" w:rsidR="00BB3652" w:rsidRPr="003A466B" w:rsidRDefault="00BB3652" w:rsidP="00F55C02">
      <w:pPr>
        <w:spacing w:line="360" w:lineRule="auto"/>
        <w:rPr>
          <w:rFonts w:eastAsia="Times New Roman"/>
        </w:rPr>
      </w:pPr>
      <w:r w:rsidRPr="003A466B">
        <w:rPr>
          <w:rFonts w:eastAsia="Times New Roman"/>
        </w:rPr>
        <w:t>In addition to the above ratios, PR has been evaluated as 0.17, 0.16 and 0.09 times</w:t>
      </w:r>
      <w:r w:rsidR="00F77919" w:rsidRPr="003A466B">
        <w:rPr>
          <w:rFonts w:eastAsia="Times New Roman"/>
        </w:rPr>
        <w:t>,</w:t>
      </w:r>
      <w:r w:rsidRPr="003A466B">
        <w:rPr>
          <w:rFonts w:eastAsia="Times New Roman"/>
        </w:rPr>
        <w:t xml:space="preserve"> respectively</w:t>
      </w:r>
      <w:r w:rsidR="00F77919" w:rsidRPr="003A466B">
        <w:rPr>
          <w:rFonts w:eastAsia="Times New Roman"/>
        </w:rPr>
        <w:t>,</w:t>
      </w:r>
      <w:r w:rsidRPr="003A466B">
        <w:rPr>
          <w:rFonts w:eastAsia="Times New Roman"/>
        </w:rPr>
        <w:t xml:space="preserve"> from 2021 to 2023. The PR is also an important constituent of the solvency ratio assessment of a company that determines the proportional relationship between “equity” and</w:t>
      </w:r>
      <w:r w:rsidR="00FB5817" w:rsidRPr="003A466B">
        <w:rPr>
          <w:rFonts w:eastAsia="Times New Roman"/>
        </w:rPr>
        <w:t xml:space="preserve"> </w:t>
      </w:r>
      <w:r w:rsidRPr="003A466B">
        <w:rPr>
          <w:rFonts w:eastAsia="Times New Roman"/>
        </w:rPr>
        <w:t>“total assets</w:t>
      </w:r>
      <w:r w:rsidR="00F55C02" w:rsidRPr="003A466B">
        <w:rPr>
          <w:rFonts w:eastAsia="Times New Roman"/>
        </w:rPr>
        <w:t>.”</w:t>
      </w:r>
      <w:r w:rsidRPr="003A466B">
        <w:rPr>
          <w:rFonts w:eastAsia="Times New Roman"/>
        </w:rPr>
        <w:t xml:space="preserve"> Based on the above figures, a decreasing trend is established </w:t>
      </w:r>
      <w:r w:rsidR="00F55C02" w:rsidRPr="003A466B">
        <w:rPr>
          <w:rFonts w:eastAsia="Times New Roman"/>
        </w:rPr>
        <w:t>due</w:t>
      </w:r>
      <w:r w:rsidRPr="003A466B">
        <w:rPr>
          <w:rFonts w:eastAsia="Times New Roman"/>
        </w:rPr>
        <w:t xml:space="preserve"> to a significant increase in values of “total assets” during 2023. As critically illustrated and idealised by </w:t>
      </w:r>
      <w:r w:rsidRPr="003A466B">
        <w:rPr>
          <w:rFonts w:eastAsia="Times New Roman"/>
          <w:highlight w:val="white"/>
        </w:rPr>
        <w:t xml:space="preserve">Yusnita </w:t>
      </w:r>
      <w:r w:rsidRPr="003A466B">
        <w:rPr>
          <w:rFonts w:eastAsia="Times New Roman"/>
        </w:rPr>
        <w:t xml:space="preserve">(2023), a decrease in PR is expected to impact the net worth prospects of an organisation due to which capital market performances could suffer </w:t>
      </w:r>
      <w:r w:rsidR="00F55C02" w:rsidRPr="003A466B">
        <w:rPr>
          <w:rFonts w:eastAsia="Times New Roman"/>
        </w:rPr>
        <w:t>eventually</w:t>
      </w:r>
      <w:r w:rsidRPr="003A466B">
        <w:rPr>
          <w:rFonts w:eastAsia="Times New Roman"/>
        </w:rPr>
        <w:t xml:space="preserve">. </w:t>
      </w:r>
    </w:p>
    <w:p w14:paraId="370AC1D3" w14:textId="2F655BB8" w:rsidR="00BB3652" w:rsidRPr="003A466B" w:rsidRDefault="00BB3652" w:rsidP="00F55C02">
      <w:pPr>
        <w:spacing w:line="360" w:lineRule="auto"/>
        <w:rPr>
          <w:rFonts w:eastAsia="Times New Roman"/>
        </w:rPr>
      </w:pPr>
      <w:r w:rsidRPr="003A466B">
        <w:rPr>
          <w:rFonts w:eastAsia="Times New Roman"/>
        </w:rPr>
        <w:t>In addition to the three ratios analysed above, DR has been measured as 0.67, 0.71 and 0.</w:t>
      </w:r>
      <w:r w:rsidR="00F55C02" w:rsidRPr="003A466B">
        <w:rPr>
          <w:rFonts w:eastAsia="Times New Roman"/>
        </w:rPr>
        <w:t>78. times</w:t>
      </w:r>
      <w:r w:rsidRPr="003A466B">
        <w:rPr>
          <w:rFonts w:eastAsia="Times New Roman"/>
        </w:rPr>
        <w:t xml:space="preserve"> respectively from 2021 to 2023. The DR is also vital for </w:t>
      </w:r>
      <w:r w:rsidR="00F77919" w:rsidRPr="003A466B">
        <w:rPr>
          <w:rFonts w:eastAsia="Times New Roman"/>
        </w:rPr>
        <w:t>the </w:t>
      </w:r>
      <w:r w:rsidRPr="003A466B">
        <w:rPr>
          <w:rFonts w:eastAsia="Times New Roman"/>
        </w:rPr>
        <w:t>solvency assessment of a company</w:t>
      </w:r>
      <w:r w:rsidR="00F77919" w:rsidRPr="003A466B">
        <w:rPr>
          <w:rFonts w:eastAsia="Times New Roman"/>
        </w:rPr>
        <w:t>,</w:t>
      </w:r>
      <w:r w:rsidRPr="003A466B">
        <w:rPr>
          <w:rFonts w:eastAsia="Times New Roman"/>
        </w:rPr>
        <w:t xml:space="preserve"> which establishes the relationship between “debt” and “total assets</w:t>
      </w:r>
      <w:r w:rsidR="00F55C02" w:rsidRPr="003A466B">
        <w:rPr>
          <w:rFonts w:eastAsia="Times New Roman"/>
        </w:rPr>
        <w:t>.”</w:t>
      </w:r>
      <w:r w:rsidRPr="003A466B">
        <w:rPr>
          <w:rFonts w:eastAsia="Times New Roman"/>
        </w:rPr>
        <w:t xml:space="preserve"> Therefore, an increasing trend of performances can be identified for The City Hotel in 2023</w:t>
      </w:r>
      <w:r w:rsidR="00F77919" w:rsidRPr="003A466B">
        <w:rPr>
          <w:rFonts w:eastAsia="Times New Roman"/>
        </w:rPr>
        <w:t>,</w:t>
      </w:r>
      <w:r w:rsidRPr="003A466B">
        <w:rPr>
          <w:rFonts w:eastAsia="Times New Roman"/>
        </w:rPr>
        <w:t xml:space="preserve"> which is </w:t>
      </w:r>
      <w:r w:rsidR="00F55C02" w:rsidRPr="003A466B">
        <w:rPr>
          <w:rFonts w:eastAsia="Times New Roman"/>
        </w:rPr>
        <w:t>caused</w:t>
      </w:r>
      <w:r w:rsidRPr="003A466B">
        <w:rPr>
          <w:rFonts w:eastAsia="Times New Roman"/>
        </w:rPr>
        <w:t xml:space="preserve"> due to growth in “debt” values. The growth in DR </w:t>
      </w:r>
      <w:r w:rsidR="00F55C02" w:rsidRPr="003A466B">
        <w:rPr>
          <w:rFonts w:eastAsia="Times New Roman"/>
        </w:rPr>
        <w:t>is</w:t>
      </w:r>
      <w:r w:rsidRPr="003A466B">
        <w:rPr>
          <w:rFonts w:eastAsia="Times New Roman"/>
        </w:rPr>
        <w:t xml:space="preserve"> advantageous for an organisation especially to induce a high financial leverage (</w:t>
      </w:r>
      <w:r w:rsidRPr="003A466B">
        <w:rPr>
          <w:rFonts w:eastAsia="Times New Roman"/>
          <w:highlight w:val="white"/>
        </w:rPr>
        <w:t xml:space="preserve">Noviyana </w:t>
      </w:r>
      <w:r w:rsidRPr="003A466B">
        <w:rPr>
          <w:rFonts w:eastAsia="Times New Roman"/>
          <w:i/>
          <w:highlight w:val="white"/>
        </w:rPr>
        <w:t xml:space="preserve">et al. </w:t>
      </w:r>
      <w:r w:rsidRPr="003A466B">
        <w:rPr>
          <w:rFonts w:eastAsia="Times New Roman"/>
          <w:highlight w:val="white"/>
        </w:rPr>
        <w:t>2023</w:t>
      </w:r>
      <w:r w:rsidRPr="003A466B">
        <w:rPr>
          <w:rFonts w:eastAsia="Times New Roman"/>
        </w:rPr>
        <w:t xml:space="preserve">). Based on the above solvency ratio assessment, a favourable and dominant position </w:t>
      </w:r>
      <w:r w:rsidR="00F77919" w:rsidRPr="003A466B">
        <w:rPr>
          <w:rFonts w:eastAsia="Times New Roman"/>
        </w:rPr>
        <w:t>ha</w:t>
      </w:r>
      <w:r w:rsidRPr="003A466B">
        <w:rPr>
          <w:rFonts w:eastAsia="Times New Roman"/>
        </w:rPr>
        <w:t>s</w:t>
      </w:r>
      <w:r w:rsidR="00F77919" w:rsidRPr="003A466B">
        <w:rPr>
          <w:rFonts w:eastAsia="Times New Roman"/>
        </w:rPr>
        <w:t xml:space="preserve"> been</w:t>
      </w:r>
      <w:r w:rsidRPr="003A466B">
        <w:rPr>
          <w:rFonts w:eastAsia="Times New Roman"/>
        </w:rPr>
        <w:t xml:space="preserve"> witnessed for The City Hotel in recent times</w:t>
      </w:r>
      <w:r w:rsidR="00B4456F" w:rsidRPr="003A466B">
        <w:rPr>
          <w:rFonts w:eastAsia="Times New Roman"/>
        </w:rPr>
        <w:t>.</w:t>
      </w:r>
    </w:p>
    <w:p w14:paraId="32BA8D7A" w14:textId="43317B24" w:rsidR="00BB3652" w:rsidRPr="003A466B" w:rsidRDefault="00BB3652" w:rsidP="00F55C02">
      <w:pPr>
        <w:pStyle w:val="Heading1"/>
        <w:spacing w:before="0" w:line="360" w:lineRule="auto"/>
        <w:rPr>
          <w:color w:val="auto"/>
        </w:rPr>
      </w:pPr>
      <w:bookmarkStart w:id="15" w:name="_4siwm0mzoi55" w:colFirst="0" w:colLast="0"/>
      <w:bookmarkStart w:id="16" w:name="_Toc178950120"/>
      <w:bookmarkEnd w:id="15"/>
      <w:r w:rsidRPr="003A466B">
        <w:rPr>
          <w:color w:val="auto"/>
        </w:rPr>
        <w:t xml:space="preserve">2: Identification of key reasons behind </w:t>
      </w:r>
      <w:r w:rsidR="00F77919" w:rsidRPr="003A466B">
        <w:rPr>
          <w:color w:val="auto"/>
        </w:rPr>
        <w:t>the </w:t>
      </w:r>
      <w:r w:rsidRPr="003A466B">
        <w:rPr>
          <w:color w:val="auto"/>
        </w:rPr>
        <w:t>decline in profitability</w:t>
      </w:r>
      <w:bookmarkEnd w:id="16"/>
      <w:r w:rsidRPr="003A466B">
        <w:rPr>
          <w:color w:val="auto"/>
        </w:rPr>
        <w:t xml:space="preserve"> </w:t>
      </w:r>
    </w:p>
    <w:p w14:paraId="39D24249" w14:textId="77777777" w:rsidR="00BB3652" w:rsidRPr="003A466B" w:rsidRDefault="00BB3652" w:rsidP="00F55C02">
      <w:pPr>
        <w:pStyle w:val="Heading2"/>
        <w:spacing w:before="0" w:line="360" w:lineRule="auto"/>
        <w:rPr>
          <w:color w:val="auto"/>
        </w:rPr>
      </w:pPr>
      <w:bookmarkStart w:id="17" w:name="_iikbg43kzyci" w:colFirst="0" w:colLast="0"/>
      <w:bookmarkStart w:id="18" w:name="_Toc178950121"/>
      <w:bookmarkEnd w:id="17"/>
      <w:r w:rsidRPr="003A466B">
        <w:rPr>
          <w:color w:val="auto"/>
        </w:rPr>
        <w:t>2.1: Higher Operating Costs</w:t>
      </w:r>
      <w:bookmarkEnd w:id="18"/>
      <w:r w:rsidRPr="003A466B">
        <w:rPr>
          <w:color w:val="auto"/>
        </w:rPr>
        <w:t xml:space="preserve"> </w:t>
      </w:r>
    </w:p>
    <w:p w14:paraId="5245B080" w14:textId="160C7697" w:rsidR="00BB3652" w:rsidRPr="003A466B" w:rsidRDefault="00BB3652" w:rsidP="00F55C02">
      <w:pPr>
        <w:spacing w:line="360" w:lineRule="auto"/>
        <w:rPr>
          <w:rFonts w:eastAsia="Times New Roman"/>
        </w:rPr>
      </w:pPr>
      <w:r w:rsidRPr="003A466B">
        <w:rPr>
          <w:rFonts w:eastAsia="Times New Roman"/>
        </w:rPr>
        <w:t xml:space="preserve">Higher operating costs are identified as primary reasons associated with </w:t>
      </w:r>
      <w:r w:rsidR="00F77919" w:rsidRPr="003A466B">
        <w:rPr>
          <w:rFonts w:eastAsia="Times New Roman"/>
        </w:rPr>
        <w:t>a </w:t>
      </w:r>
      <w:r w:rsidRPr="003A466B">
        <w:rPr>
          <w:rFonts w:eastAsia="Times New Roman"/>
        </w:rPr>
        <w:t>decline in profitability for The City Hotel in 2023. As a result of incremental operating costs, the profit margins have reduced significantly due to which significant losses are incurred from operations. Moreover, high cost of depreciation, provisions and taxes are also borne by The City Hotel</w:t>
      </w:r>
      <w:r w:rsidR="00F77919" w:rsidRPr="003A466B">
        <w:rPr>
          <w:rFonts w:eastAsia="Times New Roman"/>
        </w:rPr>
        <w:t>,</w:t>
      </w:r>
      <w:r w:rsidRPr="003A466B">
        <w:rPr>
          <w:rFonts w:eastAsia="Times New Roman"/>
        </w:rPr>
        <w:t xml:space="preserve"> due to which profitability margin has diminished. </w:t>
      </w:r>
    </w:p>
    <w:p w14:paraId="5691115D" w14:textId="77777777" w:rsidR="00BB3652" w:rsidRPr="003A466B" w:rsidRDefault="00BB3652" w:rsidP="00F55C02">
      <w:pPr>
        <w:pStyle w:val="Heading2"/>
        <w:spacing w:before="0" w:line="360" w:lineRule="auto"/>
        <w:rPr>
          <w:color w:val="auto"/>
        </w:rPr>
      </w:pPr>
      <w:bookmarkStart w:id="19" w:name="_c7astwx0p9os" w:colFirst="0" w:colLast="0"/>
      <w:bookmarkStart w:id="20" w:name="_Toc178950122"/>
      <w:bookmarkEnd w:id="19"/>
      <w:r w:rsidRPr="003A466B">
        <w:rPr>
          <w:color w:val="auto"/>
        </w:rPr>
        <w:t>2.2: Decrease in Recent Sales Values</w:t>
      </w:r>
      <w:bookmarkEnd w:id="20"/>
    </w:p>
    <w:p w14:paraId="16540816" w14:textId="3295A66D" w:rsidR="00BB3652" w:rsidRPr="003A466B" w:rsidRDefault="00F77919" w:rsidP="00F55C02">
      <w:pPr>
        <w:spacing w:line="360" w:lineRule="auto"/>
        <w:rPr>
          <w:rFonts w:eastAsia="Times New Roman"/>
        </w:rPr>
      </w:pPr>
      <w:r w:rsidRPr="003A466B">
        <w:rPr>
          <w:rFonts w:eastAsia="Times New Roman"/>
        </w:rPr>
        <w:t>A d</w:t>
      </w:r>
      <w:r w:rsidR="00BB3652" w:rsidRPr="003A466B">
        <w:rPr>
          <w:rFonts w:eastAsia="Times New Roman"/>
        </w:rPr>
        <w:t>ecrease in recent sales values</w:t>
      </w:r>
      <w:r w:rsidR="00FB5817" w:rsidRPr="003A466B">
        <w:rPr>
          <w:rFonts w:eastAsia="Times New Roman"/>
        </w:rPr>
        <w:t xml:space="preserve"> </w:t>
      </w:r>
      <w:r w:rsidR="00BB3652" w:rsidRPr="003A466B">
        <w:rPr>
          <w:rFonts w:eastAsia="Times New Roman"/>
        </w:rPr>
        <w:t>is identified as the second reason due to which profitability has rapidly declined The City Hotel in 2023. The decline in sales values can be further associated with reduced customer association and orientation for hotel services</w:t>
      </w:r>
      <w:r w:rsidRPr="003A466B">
        <w:rPr>
          <w:rFonts w:eastAsia="Times New Roman"/>
        </w:rPr>
        <w:t>,</w:t>
      </w:r>
      <w:r w:rsidR="00BB3652" w:rsidRPr="003A466B">
        <w:rPr>
          <w:rFonts w:eastAsia="Times New Roman"/>
        </w:rPr>
        <w:t xml:space="preserve"> which can be further linked with reduced occupancy rights and customer satisfaction faced by the company in recent times.</w:t>
      </w:r>
    </w:p>
    <w:p w14:paraId="30C6EBAA" w14:textId="77777777" w:rsidR="00BB3652" w:rsidRPr="003A466B" w:rsidRDefault="00BB3652" w:rsidP="00F55C02">
      <w:pPr>
        <w:pStyle w:val="Heading1"/>
        <w:spacing w:before="0" w:line="360" w:lineRule="auto"/>
        <w:rPr>
          <w:color w:val="auto"/>
        </w:rPr>
      </w:pPr>
      <w:bookmarkStart w:id="21" w:name="_24u7yvdfhvxa" w:colFirst="0" w:colLast="0"/>
      <w:bookmarkStart w:id="22" w:name="_Toc178950123"/>
      <w:bookmarkEnd w:id="21"/>
      <w:r w:rsidRPr="003A466B">
        <w:rPr>
          <w:color w:val="auto"/>
        </w:rPr>
        <w:lastRenderedPageBreak/>
        <w:t>3: Comprehensive turnaround strategy to restore financial health and reputation</w:t>
      </w:r>
      <w:bookmarkEnd w:id="22"/>
    </w:p>
    <w:p w14:paraId="5A4BB106" w14:textId="77777777" w:rsidR="00BB3652" w:rsidRPr="003A466B" w:rsidRDefault="00BB3652" w:rsidP="00F55C02">
      <w:pPr>
        <w:pStyle w:val="Heading2"/>
        <w:spacing w:before="0" w:line="360" w:lineRule="auto"/>
        <w:rPr>
          <w:color w:val="auto"/>
        </w:rPr>
      </w:pPr>
      <w:bookmarkStart w:id="23" w:name="_fx4trbgwwe27" w:colFirst="0" w:colLast="0"/>
      <w:bookmarkStart w:id="24" w:name="_Toc178950124"/>
      <w:bookmarkEnd w:id="23"/>
      <w:r w:rsidRPr="003A466B">
        <w:rPr>
          <w:color w:val="auto"/>
        </w:rPr>
        <w:t>3.1: Initiating Cost Saving Techniques</w:t>
      </w:r>
      <w:bookmarkEnd w:id="24"/>
    </w:p>
    <w:p w14:paraId="24D30BF9" w14:textId="3D70ADFF" w:rsidR="00BB3652" w:rsidRPr="003A466B" w:rsidRDefault="00BB3652" w:rsidP="00F55C02">
      <w:pPr>
        <w:spacing w:line="360" w:lineRule="auto"/>
        <w:rPr>
          <w:rFonts w:eastAsia="Times New Roman"/>
        </w:rPr>
      </w:pPr>
      <w:r w:rsidRPr="003A466B">
        <w:rPr>
          <w:rFonts w:eastAsia="Times New Roman"/>
        </w:rPr>
        <w:t>Initiating cost</w:t>
      </w:r>
      <w:r w:rsidR="00F77919" w:rsidRPr="003A466B">
        <w:rPr>
          <w:rFonts w:eastAsia="Times New Roman"/>
        </w:rPr>
        <w:t>-</w:t>
      </w:r>
      <w:r w:rsidRPr="003A466B">
        <w:rPr>
          <w:rFonts w:eastAsia="Times New Roman"/>
        </w:rPr>
        <w:t xml:space="preserve">saving techniques is the primary turnaround strategy that can be exercised by The City Hotel to revive and restore financial health and reputation. In this strategy, creation of budgets can be </w:t>
      </w:r>
      <w:r w:rsidR="00F55C02" w:rsidRPr="003A466B">
        <w:rPr>
          <w:rFonts w:eastAsia="Times New Roman"/>
        </w:rPr>
        <w:t>implemented,</w:t>
      </w:r>
      <w:r w:rsidRPr="003A466B">
        <w:rPr>
          <w:rFonts w:eastAsia="Times New Roman"/>
        </w:rPr>
        <w:t xml:space="preserve"> or least feasible services can be temporarily or permanently</w:t>
      </w:r>
      <w:r w:rsidR="00FB5817" w:rsidRPr="003A466B">
        <w:rPr>
          <w:rFonts w:eastAsia="Times New Roman"/>
        </w:rPr>
        <w:t xml:space="preserve"> </w:t>
      </w:r>
      <w:r w:rsidRPr="003A466B">
        <w:rPr>
          <w:rFonts w:eastAsia="Times New Roman"/>
        </w:rPr>
        <w:t xml:space="preserve">stopped </w:t>
      </w:r>
      <w:r w:rsidR="00F55C02" w:rsidRPr="003A466B">
        <w:rPr>
          <w:rFonts w:eastAsia="Times New Roman"/>
        </w:rPr>
        <w:t>to</w:t>
      </w:r>
      <w:r w:rsidRPr="003A466B">
        <w:rPr>
          <w:rFonts w:eastAsia="Times New Roman"/>
        </w:rPr>
        <w:t xml:space="preserve"> magnify profit generation quantum in the long run.</w:t>
      </w:r>
    </w:p>
    <w:p w14:paraId="4F7F0C4C" w14:textId="77777777" w:rsidR="00BB3652" w:rsidRPr="003A466B" w:rsidRDefault="00BB3652" w:rsidP="00F55C02">
      <w:pPr>
        <w:pStyle w:val="Heading2"/>
        <w:spacing w:before="0" w:line="360" w:lineRule="auto"/>
        <w:rPr>
          <w:color w:val="auto"/>
        </w:rPr>
      </w:pPr>
      <w:bookmarkStart w:id="25" w:name="_xdgj5buq9yup" w:colFirst="0" w:colLast="0"/>
      <w:bookmarkStart w:id="26" w:name="_Toc178950125"/>
      <w:bookmarkEnd w:id="25"/>
      <w:r w:rsidRPr="003A466B">
        <w:rPr>
          <w:color w:val="auto"/>
        </w:rPr>
        <w:t>3.2: Identifying Additional Revenue channels and sources</w:t>
      </w:r>
      <w:bookmarkEnd w:id="26"/>
      <w:r w:rsidRPr="003A466B">
        <w:rPr>
          <w:color w:val="auto"/>
        </w:rPr>
        <w:t xml:space="preserve"> </w:t>
      </w:r>
    </w:p>
    <w:p w14:paraId="5807AC54" w14:textId="3308A5F8" w:rsidR="00BB3652" w:rsidRPr="003A466B" w:rsidRDefault="00BB3652" w:rsidP="00F55C02">
      <w:pPr>
        <w:spacing w:line="360" w:lineRule="auto"/>
        <w:rPr>
          <w:rFonts w:eastAsia="Times New Roman"/>
        </w:rPr>
      </w:pPr>
      <w:r w:rsidRPr="003A466B">
        <w:rPr>
          <w:rFonts w:eastAsia="Times New Roman"/>
        </w:rPr>
        <w:t xml:space="preserve">Identification of additional revenue channels and sources is the second turnaround strategy where more add-on services can be provided to customers </w:t>
      </w:r>
      <w:r w:rsidR="00F55C02" w:rsidRPr="003A466B">
        <w:rPr>
          <w:rFonts w:eastAsia="Times New Roman"/>
        </w:rPr>
        <w:t>to</w:t>
      </w:r>
      <w:r w:rsidRPr="003A466B">
        <w:rPr>
          <w:rFonts w:eastAsia="Times New Roman"/>
        </w:rPr>
        <w:t xml:space="preserve"> gain occupancy and customer satisfaction numbers. This can be further tweaked or modified according to a competent pricing strategy due to which affordability is guaranteed to ensure a high customer participation.</w:t>
      </w:r>
    </w:p>
    <w:p w14:paraId="2C17CB86" w14:textId="77777777" w:rsidR="00BB3652" w:rsidRPr="003A466B" w:rsidRDefault="00BB3652" w:rsidP="00F55C02">
      <w:pPr>
        <w:pStyle w:val="Heading1"/>
        <w:spacing w:before="0" w:line="360" w:lineRule="auto"/>
        <w:rPr>
          <w:color w:val="auto"/>
        </w:rPr>
      </w:pPr>
      <w:bookmarkStart w:id="27" w:name="_iaq9459bcohr" w:colFirst="0" w:colLast="0"/>
      <w:bookmarkStart w:id="28" w:name="_Toc178950126"/>
      <w:bookmarkEnd w:id="27"/>
      <w:r w:rsidRPr="003A466B">
        <w:rPr>
          <w:color w:val="auto"/>
        </w:rPr>
        <w:t>Conclusion</w:t>
      </w:r>
      <w:bookmarkEnd w:id="28"/>
    </w:p>
    <w:p w14:paraId="08814D46" w14:textId="7CE05798" w:rsidR="000A476C" w:rsidRPr="003A466B" w:rsidRDefault="00BB3652" w:rsidP="00F55C02">
      <w:pPr>
        <w:spacing w:line="360" w:lineRule="auto"/>
        <w:rPr>
          <w:rStyle w:val="Heading1Char"/>
          <w:color w:val="auto"/>
        </w:rPr>
      </w:pPr>
      <w:r w:rsidRPr="003A466B">
        <w:rPr>
          <w:rFonts w:eastAsia="Times New Roman"/>
        </w:rPr>
        <w:t>This report has established that revenue trends and costing trends in recent times have decreased for The City Hotel in 2023. The ratios conducted in this report elaborate adverse performance traits available for profitability and liquidity parameters in 2023</w:t>
      </w:r>
      <w:r w:rsidR="00F77919" w:rsidRPr="003A466B">
        <w:rPr>
          <w:rFonts w:eastAsia="Times New Roman"/>
        </w:rPr>
        <w:t>,</w:t>
      </w:r>
      <w:r w:rsidRPr="003A466B">
        <w:rPr>
          <w:rFonts w:eastAsia="Times New Roman"/>
        </w:rPr>
        <w:t xml:space="preserve"> while a favourable performance trend is generated in 2023. High costs and lack of revenues are identified as </w:t>
      </w:r>
      <w:r w:rsidR="00F77919" w:rsidRPr="003A466B">
        <w:rPr>
          <w:rFonts w:eastAsia="Times New Roman"/>
        </w:rPr>
        <w:t>the </w:t>
      </w:r>
      <w:r w:rsidRPr="003A466B">
        <w:rPr>
          <w:rFonts w:eastAsia="Times New Roman"/>
        </w:rPr>
        <w:t xml:space="preserve">main reasons </w:t>
      </w:r>
      <w:r w:rsidR="00F77919" w:rsidRPr="003A466B">
        <w:rPr>
          <w:rFonts w:eastAsia="Times New Roman"/>
        </w:rPr>
        <w:t>f</w:t>
      </w:r>
      <w:r w:rsidRPr="003A466B">
        <w:rPr>
          <w:rFonts w:eastAsia="Times New Roman"/>
        </w:rPr>
        <w:t>o</w:t>
      </w:r>
      <w:r w:rsidR="00F77919" w:rsidRPr="003A466B">
        <w:rPr>
          <w:rFonts w:eastAsia="Times New Roman"/>
        </w:rPr>
        <w:t>r</w:t>
      </w:r>
      <w:r w:rsidRPr="003A466B">
        <w:rPr>
          <w:rFonts w:eastAsia="Times New Roman"/>
        </w:rPr>
        <w:t xml:space="preserve"> declining profitability in recent times</w:t>
      </w:r>
      <w:r w:rsidR="00F77919" w:rsidRPr="003A466B">
        <w:rPr>
          <w:rFonts w:eastAsia="Times New Roman"/>
        </w:rPr>
        <w:t>,</w:t>
      </w:r>
      <w:r w:rsidRPr="003A466B">
        <w:rPr>
          <w:rFonts w:eastAsia="Times New Roman"/>
        </w:rPr>
        <w:t xml:space="preserve"> while initiation of cost</w:t>
      </w:r>
      <w:r w:rsidR="00F77919" w:rsidRPr="003A466B">
        <w:rPr>
          <w:rFonts w:eastAsia="Times New Roman"/>
        </w:rPr>
        <w:t>-</w:t>
      </w:r>
      <w:r w:rsidRPr="003A466B">
        <w:rPr>
          <w:rFonts w:eastAsia="Times New Roman"/>
        </w:rPr>
        <w:t xml:space="preserve">saving techniques and exploration of additional revenue sources are covered under </w:t>
      </w:r>
      <w:r w:rsidR="00F77919" w:rsidRPr="003A466B">
        <w:rPr>
          <w:rFonts w:eastAsia="Times New Roman"/>
        </w:rPr>
        <w:t>the </w:t>
      </w:r>
      <w:r w:rsidRPr="003A466B">
        <w:rPr>
          <w:rFonts w:eastAsia="Times New Roman"/>
        </w:rPr>
        <w:t xml:space="preserve">turnaround strategy. </w:t>
      </w:r>
      <w:r w:rsidRPr="003A466B">
        <w:br w:type="page"/>
      </w:r>
      <w:r w:rsidRPr="003A466B">
        <w:rPr>
          <w:rStyle w:val="Heading1Char"/>
          <w:color w:val="auto"/>
        </w:rPr>
        <w:lastRenderedPageBreak/>
        <w:t xml:space="preserve">Reference List </w:t>
      </w:r>
    </w:p>
    <w:p w14:paraId="19D8847F" w14:textId="77777777" w:rsidR="00FB5817" w:rsidRPr="003A466B" w:rsidRDefault="00FB5817" w:rsidP="00F55C02">
      <w:pPr>
        <w:spacing w:line="360" w:lineRule="auto"/>
        <w:rPr>
          <w:rFonts w:eastAsia="Times New Roman"/>
          <w:highlight w:val="white"/>
        </w:rPr>
      </w:pPr>
      <w:r w:rsidRPr="003A466B">
        <w:rPr>
          <w:rFonts w:eastAsia="Times New Roman"/>
          <w:highlight w:val="white"/>
        </w:rPr>
        <w:t xml:space="preserve">Arsyad, M., Haeruddin, S.H., Muslim, M. and Pelu, M.F.A., 2021. The effect of activity ratios, liquidity, and profitability on the dividend payout ratio. </w:t>
      </w:r>
      <w:r w:rsidRPr="003A466B">
        <w:rPr>
          <w:rFonts w:eastAsia="Times New Roman"/>
          <w:i/>
          <w:highlight w:val="white"/>
        </w:rPr>
        <w:t>Indonesia Accounting Journal</w:t>
      </w:r>
      <w:r w:rsidRPr="003A466B">
        <w:rPr>
          <w:rFonts w:eastAsia="Times New Roman"/>
          <w:highlight w:val="white"/>
        </w:rPr>
        <w:t xml:space="preserve">, </w:t>
      </w:r>
      <w:r w:rsidRPr="003A466B">
        <w:rPr>
          <w:rFonts w:eastAsia="Times New Roman"/>
          <w:i/>
          <w:highlight w:val="white"/>
        </w:rPr>
        <w:t>3</w:t>
      </w:r>
      <w:r w:rsidRPr="003A466B">
        <w:rPr>
          <w:rFonts w:eastAsia="Times New Roman"/>
          <w:highlight w:val="white"/>
        </w:rPr>
        <w:t>(1), pp.36-44.</w:t>
      </w:r>
    </w:p>
    <w:p w14:paraId="225FAAE5" w14:textId="77777777" w:rsidR="00FB5817" w:rsidRPr="003A466B" w:rsidRDefault="00FB5817" w:rsidP="00F55C02">
      <w:pPr>
        <w:spacing w:line="360" w:lineRule="auto"/>
        <w:rPr>
          <w:rFonts w:eastAsia="Times New Roman"/>
          <w:highlight w:val="white"/>
        </w:rPr>
      </w:pPr>
      <w:r w:rsidRPr="003A466B">
        <w:rPr>
          <w:rFonts w:eastAsia="Times New Roman"/>
          <w:highlight w:val="white"/>
        </w:rPr>
        <w:t xml:space="preserve">Dirman, A., 2020. Financial distress: the impacts of profitability, liquidity, leverage, firm size, and free cash flow. </w:t>
      </w:r>
      <w:r w:rsidRPr="003A466B">
        <w:rPr>
          <w:rFonts w:eastAsia="Times New Roman"/>
          <w:i/>
          <w:highlight w:val="white"/>
        </w:rPr>
        <w:t>International Journal of Business, Economics and Law</w:t>
      </w:r>
      <w:r w:rsidRPr="003A466B">
        <w:rPr>
          <w:rFonts w:eastAsia="Times New Roman"/>
          <w:highlight w:val="white"/>
        </w:rPr>
        <w:t xml:space="preserve">, </w:t>
      </w:r>
      <w:r w:rsidRPr="003A466B">
        <w:rPr>
          <w:rFonts w:eastAsia="Times New Roman"/>
          <w:i/>
          <w:highlight w:val="white"/>
        </w:rPr>
        <w:t>22</w:t>
      </w:r>
      <w:r w:rsidRPr="003A466B">
        <w:rPr>
          <w:rFonts w:eastAsia="Times New Roman"/>
          <w:highlight w:val="white"/>
        </w:rPr>
        <w:t>(1), pp.17-25.</w:t>
      </w:r>
    </w:p>
    <w:p w14:paraId="4B2BD3DB" w14:textId="77777777" w:rsidR="00FB5817" w:rsidRPr="003A466B" w:rsidRDefault="00FB5817" w:rsidP="00F55C02">
      <w:pPr>
        <w:spacing w:line="360" w:lineRule="auto"/>
        <w:rPr>
          <w:rFonts w:eastAsia="Times New Roman"/>
          <w:highlight w:val="white"/>
        </w:rPr>
      </w:pPr>
      <w:r w:rsidRPr="003A466B">
        <w:rPr>
          <w:rFonts w:eastAsia="Times New Roman"/>
          <w:highlight w:val="white"/>
        </w:rPr>
        <w:t xml:space="preserve">Husain, T. and Sunardi, N., 2020. Firm's Value Prediction Based on Profitability Ratios and Dividend Policy. </w:t>
      </w:r>
      <w:r w:rsidRPr="003A466B">
        <w:rPr>
          <w:rFonts w:eastAsia="Times New Roman"/>
          <w:i/>
          <w:highlight w:val="white"/>
        </w:rPr>
        <w:t>Finance &amp; Economics Review</w:t>
      </w:r>
      <w:r w:rsidRPr="003A466B">
        <w:rPr>
          <w:rFonts w:eastAsia="Times New Roman"/>
          <w:highlight w:val="white"/>
        </w:rPr>
        <w:t xml:space="preserve">, </w:t>
      </w:r>
      <w:r w:rsidRPr="003A466B">
        <w:rPr>
          <w:rFonts w:eastAsia="Times New Roman"/>
          <w:i/>
          <w:highlight w:val="white"/>
        </w:rPr>
        <w:t>2</w:t>
      </w:r>
      <w:r w:rsidRPr="003A466B">
        <w:rPr>
          <w:rFonts w:eastAsia="Times New Roman"/>
          <w:highlight w:val="white"/>
        </w:rPr>
        <w:t>(2), pp.13-26.</w:t>
      </w:r>
    </w:p>
    <w:p w14:paraId="6B6B4907" w14:textId="77777777" w:rsidR="00FB5817" w:rsidRPr="003A466B" w:rsidRDefault="00FB5817" w:rsidP="00F55C02">
      <w:pPr>
        <w:spacing w:line="360" w:lineRule="auto"/>
        <w:rPr>
          <w:rFonts w:eastAsia="Times New Roman"/>
          <w:highlight w:val="white"/>
        </w:rPr>
      </w:pPr>
      <w:r w:rsidRPr="003A466B">
        <w:rPr>
          <w:rFonts w:eastAsia="Times New Roman"/>
          <w:highlight w:val="white"/>
        </w:rPr>
        <w:t xml:space="preserve">Jihadi, M., Vilantika, E., Hashemi, S.M., Arifin, Z., Bachtiar, Y. and Sholichah, F., 2021. The effect of liquidity, leverage, and profitability on firm value: Empirical evidence from Indonesia. </w:t>
      </w:r>
      <w:r w:rsidRPr="003A466B">
        <w:rPr>
          <w:rFonts w:eastAsia="Times New Roman"/>
          <w:i/>
          <w:highlight w:val="white"/>
        </w:rPr>
        <w:t>The Journal of Asian Finance, Economics and Business</w:t>
      </w:r>
      <w:r w:rsidRPr="003A466B">
        <w:rPr>
          <w:rFonts w:eastAsia="Times New Roman"/>
          <w:highlight w:val="white"/>
        </w:rPr>
        <w:t xml:space="preserve">, </w:t>
      </w:r>
      <w:r w:rsidRPr="003A466B">
        <w:rPr>
          <w:rFonts w:eastAsia="Times New Roman"/>
          <w:i/>
          <w:highlight w:val="white"/>
        </w:rPr>
        <w:t>8</w:t>
      </w:r>
      <w:r w:rsidRPr="003A466B">
        <w:rPr>
          <w:rFonts w:eastAsia="Times New Roman"/>
          <w:highlight w:val="white"/>
        </w:rPr>
        <w:t>(3), pp.423-431.</w:t>
      </w:r>
    </w:p>
    <w:p w14:paraId="0DDD94E5" w14:textId="77777777" w:rsidR="00FB5817" w:rsidRPr="003A466B" w:rsidRDefault="00FB5817" w:rsidP="00F55C02">
      <w:pPr>
        <w:spacing w:line="360" w:lineRule="auto"/>
        <w:rPr>
          <w:rFonts w:eastAsia="Times New Roman"/>
          <w:highlight w:val="white"/>
        </w:rPr>
      </w:pPr>
      <w:r w:rsidRPr="003A466B">
        <w:rPr>
          <w:rFonts w:eastAsia="Times New Roman"/>
          <w:highlight w:val="white"/>
        </w:rPr>
        <w:t xml:space="preserve">Markonah, M., Salim, A. and Franciska, J., 2020. Effect of profitability, leverage, and liquidity to the firm value. </w:t>
      </w:r>
      <w:r w:rsidRPr="003A466B">
        <w:rPr>
          <w:rFonts w:eastAsia="Times New Roman"/>
          <w:i/>
          <w:highlight w:val="white"/>
        </w:rPr>
        <w:t>Dinasti International Journal of Economics, Finance &amp; Accounting</w:t>
      </w:r>
      <w:r w:rsidRPr="003A466B">
        <w:rPr>
          <w:rFonts w:eastAsia="Times New Roman"/>
          <w:highlight w:val="white"/>
        </w:rPr>
        <w:t xml:space="preserve">, </w:t>
      </w:r>
      <w:r w:rsidRPr="003A466B">
        <w:rPr>
          <w:rFonts w:eastAsia="Times New Roman"/>
          <w:i/>
          <w:highlight w:val="white"/>
        </w:rPr>
        <w:t>1</w:t>
      </w:r>
      <w:r w:rsidRPr="003A466B">
        <w:rPr>
          <w:rFonts w:eastAsia="Times New Roman"/>
          <w:highlight w:val="white"/>
        </w:rPr>
        <w:t>(1), pp.83-94.</w:t>
      </w:r>
    </w:p>
    <w:p w14:paraId="08A5D8B5" w14:textId="77777777" w:rsidR="00FB5817" w:rsidRPr="003A466B" w:rsidRDefault="00FB5817" w:rsidP="00F55C02">
      <w:pPr>
        <w:spacing w:line="360" w:lineRule="auto"/>
        <w:rPr>
          <w:rFonts w:eastAsia="Times New Roman"/>
          <w:highlight w:val="white"/>
        </w:rPr>
      </w:pPr>
      <w:r w:rsidRPr="003A466B">
        <w:rPr>
          <w:rFonts w:eastAsia="Times New Roman"/>
          <w:highlight w:val="white"/>
        </w:rPr>
        <w:t xml:space="preserve">Mayya, S.R., 2022. Performance Evaluation of Dabur India Ltd through Profitability Ratio Analysis: A Case Study. </w:t>
      </w:r>
      <w:r w:rsidRPr="003A466B">
        <w:rPr>
          <w:rFonts w:eastAsia="Times New Roman"/>
          <w:i/>
          <w:highlight w:val="white"/>
        </w:rPr>
        <w:t>International Journal of Case Studies in Business, IT and Education (IJCSBE)</w:t>
      </w:r>
      <w:r w:rsidRPr="003A466B">
        <w:rPr>
          <w:rFonts w:eastAsia="Times New Roman"/>
          <w:highlight w:val="white"/>
        </w:rPr>
        <w:t xml:space="preserve">, </w:t>
      </w:r>
      <w:r w:rsidRPr="003A466B">
        <w:rPr>
          <w:rFonts w:eastAsia="Times New Roman"/>
          <w:i/>
          <w:highlight w:val="white"/>
        </w:rPr>
        <w:t>6</w:t>
      </w:r>
      <w:r w:rsidRPr="003A466B">
        <w:rPr>
          <w:rFonts w:eastAsia="Times New Roman"/>
          <w:highlight w:val="white"/>
        </w:rPr>
        <w:t>(1), pp.387-400.</w:t>
      </w:r>
    </w:p>
    <w:p w14:paraId="5D773E1E" w14:textId="77777777" w:rsidR="00FB5817" w:rsidRPr="003A466B" w:rsidRDefault="00FB5817" w:rsidP="00F55C02">
      <w:pPr>
        <w:spacing w:line="360" w:lineRule="auto"/>
        <w:rPr>
          <w:rFonts w:eastAsia="Times New Roman"/>
          <w:highlight w:val="white"/>
        </w:rPr>
      </w:pPr>
      <w:r w:rsidRPr="003A466B">
        <w:rPr>
          <w:rFonts w:eastAsia="Times New Roman"/>
          <w:highlight w:val="white"/>
        </w:rPr>
        <w:t xml:space="preserve">Mukhtarov, S., Schoute, M. and Wielhouwer, J.L., 2022. The information content of the Solvency II ratio relative to earnings. </w:t>
      </w:r>
      <w:r w:rsidRPr="003A466B">
        <w:rPr>
          <w:rFonts w:eastAsia="Times New Roman"/>
          <w:i/>
          <w:highlight w:val="white"/>
        </w:rPr>
        <w:t>Journal of Risk and Insurance</w:t>
      </w:r>
      <w:r w:rsidRPr="003A466B">
        <w:rPr>
          <w:rFonts w:eastAsia="Times New Roman"/>
          <w:highlight w:val="white"/>
        </w:rPr>
        <w:t xml:space="preserve">, </w:t>
      </w:r>
      <w:r w:rsidRPr="003A466B">
        <w:rPr>
          <w:rFonts w:eastAsia="Times New Roman"/>
          <w:i/>
          <w:highlight w:val="white"/>
        </w:rPr>
        <w:t>89</w:t>
      </w:r>
      <w:r w:rsidRPr="003A466B">
        <w:rPr>
          <w:rFonts w:eastAsia="Times New Roman"/>
          <w:highlight w:val="white"/>
        </w:rPr>
        <w:t>(1), pp.237-266.</w:t>
      </w:r>
    </w:p>
    <w:p w14:paraId="4296DEBD" w14:textId="77777777" w:rsidR="00FB5817" w:rsidRPr="003A466B" w:rsidRDefault="00FB5817" w:rsidP="00F55C02">
      <w:pPr>
        <w:spacing w:line="360" w:lineRule="auto"/>
        <w:rPr>
          <w:rFonts w:eastAsia="Times New Roman"/>
          <w:highlight w:val="white"/>
        </w:rPr>
      </w:pPr>
      <w:r w:rsidRPr="003A466B">
        <w:rPr>
          <w:rFonts w:eastAsia="Times New Roman"/>
          <w:highlight w:val="white"/>
        </w:rPr>
        <w:t xml:space="preserve">Noviyana, S., Febriyola, A.S. and Koranti, K., 2023. Analysis of financial performance using liquidity ratio, solvency ratio, activity ratio, profitability ratio in pharmaceutical Sub-sector manufacturing companies on the Indonesia stock exchange for the 2018-2020 period in Dki Jakarta. </w:t>
      </w:r>
      <w:r w:rsidRPr="003A466B">
        <w:rPr>
          <w:rFonts w:eastAsia="Times New Roman"/>
          <w:i/>
          <w:highlight w:val="white"/>
        </w:rPr>
        <w:t>Jurnal Syntax Transformation</w:t>
      </w:r>
      <w:r w:rsidRPr="003A466B">
        <w:rPr>
          <w:rFonts w:eastAsia="Times New Roman"/>
          <w:highlight w:val="white"/>
        </w:rPr>
        <w:t xml:space="preserve">, </w:t>
      </w:r>
      <w:r w:rsidRPr="003A466B">
        <w:rPr>
          <w:rFonts w:eastAsia="Times New Roman"/>
          <w:i/>
          <w:highlight w:val="white"/>
        </w:rPr>
        <w:t>4</w:t>
      </w:r>
      <w:r w:rsidRPr="003A466B">
        <w:rPr>
          <w:rFonts w:eastAsia="Times New Roman"/>
          <w:highlight w:val="white"/>
        </w:rPr>
        <w:t>(8), pp.79-89.</w:t>
      </w:r>
    </w:p>
    <w:p w14:paraId="30EBCA55" w14:textId="6C6EB775" w:rsidR="00FB5817" w:rsidRPr="003A466B" w:rsidRDefault="00FB5817" w:rsidP="00F55C02">
      <w:pPr>
        <w:spacing w:line="360" w:lineRule="auto"/>
        <w:rPr>
          <w:rFonts w:eastAsia="Times New Roman"/>
          <w:highlight w:val="white"/>
        </w:rPr>
      </w:pPr>
      <w:r w:rsidRPr="003A466B">
        <w:rPr>
          <w:rFonts w:eastAsia="Times New Roman"/>
          <w:highlight w:val="white"/>
        </w:rPr>
        <w:t xml:space="preserve">Rafid, M., Soukotta, A., Cakranegara, P.A., Sutiyan, O.S.J. and Nurriqli, A., 2024. Analysis Of Liquidity Ratios, Profitability Ratios, And Capital Structures </w:t>
      </w:r>
      <w:r w:rsidR="00F55C02" w:rsidRPr="003A466B">
        <w:rPr>
          <w:rFonts w:eastAsia="Times New Roman"/>
          <w:highlight w:val="white"/>
        </w:rPr>
        <w:t>on</w:t>
      </w:r>
      <w:r w:rsidRPr="003A466B">
        <w:rPr>
          <w:rFonts w:eastAsia="Times New Roman"/>
          <w:highlight w:val="white"/>
        </w:rPr>
        <w:t xml:space="preserve"> Financial Distress Conditions </w:t>
      </w:r>
      <w:r w:rsidR="00F55C02" w:rsidRPr="003A466B">
        <w:rPr>
          <w:rFonts w:eastAsia="Times New Roman"/>
          <w:highlight w:val="white"/>
        </w:rPr>
        <w:t>in</w:t>
      </w:r>
      <w:r w:rsidRPr="003A466B">
        <w:rPr>
          <w:rFonts w:eastAsia="Times New Roman"/>
          <w:highlight w:val="white"/>
        </w:rPr>
        <w:t xml:space="preserve"> Service Companies During </w:t>
      </w:r>
      <w:r w:rsidR="00F55C02" w:rsidRPr="003A466B">
        <w:rPr>
          <w:rFonts w:eastAsia="Times New Roman"/>
          <w:highlight w:val="white"/>
        </w:rPr>
        <w:t>the</w:t>
      </w:r>
      <w:r w:rsidRPr="003A466B">
        <w:rPr>
          <w:rFonts w:eastAsia="Times New Roman"/>
          <w:highlight w:val="white"/>
        </w:rPr>
        <w:t xml:space="preserve"> Covid-19 Period. </w:t>
      </w:r>
      <w:r w:rsidRPr="003A466B">
        <w:rPr>
          <w:rFonts w:eastAsia="Times New Roman"/>
          <w:i/>
          <w:highlight w:val="white"/>
        </w:rPr>
        <w:t>Jurnal Darma Agung</w:t>
      </w:r>
      <w:r w:rsidRPr="003A466B">
        <w:rPr>
          <w:rFonts w:eastAsia="Times New Roman"/>
          <w:highlight w:val="white"/>
        </w:rPr>
        <w:t xml:space="preserve">, </w:t>
      </w:r>
      <w:r w:rsidRPr="003A466B">
        <w:rPr>
          <w:rFonts w:eastAsia="Times New Roman"/>
          <w:i/>
          <w:highlight w:val="white"/>
        </w:rPr>
        <w:t>30</w:t>
      </w:r>
      <w:r w:rsidRPr="003A466B">
        <w:rPr>
          <w:rFonts w:eastAsia="Times New Roman"/>
          <w:highlight w:val="white"/>
        </w:rPr>
        <w:t>(3), pp.614-622.</w:t>
      </w:r>
    </w:p>
    <w:p w14:paraId="60BDF844" w14:textId="77777777" w:rsidR="00FB5817" w:rsidRPr="003A466B" w:rsidRDefault="00FB5817" w:rsidP="00F55C02">
      <w:pPr>
        <w:spacing w:line="360" w:lineRule="auto"/>
        <w:rPr>
          <w:rFonts w:eastAsia="Times New Roman"/>
          <w:highlight w:val="white"/>
        </w:rPr>
      </w:pPr>
      <w:r w:rsidRPr="003A466B">
        <w:rPr>
          <w:rFonts w:eastAsia="Times New Roman"/>
          <w:highlight w:val="white"/>
        </w:rPr>
        <w:t xml:space="preserve">Sari, D.P., Nabella, S.D. and Fadlilah, A.H., 2022. The effect of profitability, liquidity, leverage, and activity ratios on dividend policy in manufacturing companies in the food and beverage industry sector listed on the Indonesia Stock Exchange in the 2016-2020 period. </w:t>
      </w:r>
      <w:r w:rsidRPr="003A466B">
        <w:rPr>
          <w:rFonts w:eastAsia="Times New Roman"/>
          <w:i/>
          <w:highlight w:val="white"/>
        </w:rPr>
        <w:t>Jurnal Mantik</w:t>
      </w:r>
      <w:r w:rsidRPr="003A466B">
        <w:rPr>
          <w:rFonts w:eastAsia="Times New Roman"/>
          <w:highlight w:val="white"/>
        </w:rPr>
        <w:t xml:space="preserve">, </w:t>
      </w:r>
      <w:r w:rsidRPr="003A466B">
        <w:rPr>
          <w:rFonts w:eastAsia="Times New Roman"/>
          <w:i/>
          <w:highlight w:val="white"/>
        </w:rPr>
        <w:t>6</w:t>
      </w:r>
      <w:r w:rsidRPr="003A466B">
        <w:rPr>
          <w:rFonts w:eastAsia="Times New Roman"/>
          <w:highlight w:val="white"/>
        </w:rPr>
        <w:t>(2), pp.1365-1375.</w:t>
      </w:r>
    </w:p>
    <w:p w14:paraId="72EA3D4A" w14:textId="77777777" w:rsidR="00FB5817" w:rsidRPr="003A466B" w:rsidRDefault="00FB5817" w:rsidP="00F55C02">
      <w:pPr>
        <w:spacing w:line="360" w:lineRule="auto"/>
        <w:rPr>
          <w:rFonts w:eastAsia="Times New Roman"/>
          <w:highlight w:val="white"/>
        </w:rPr>
      </w:pPr>
      <w:r w:rsidRPr="003A466B">
        <w:rPr>
          <w:rFonts w:eastAsia="Times New Roman"/>
          <w:highlight w:val="white"/>
        </w:rPr>
        <w:t xml:space="preserve">Syarifah, S., 2021. Effect of Earnings Management, Liquidity Ratio, Solvency Ratio and Ratio Profitability of Bond Ratings in Manufacturing:(Case Study Sub-Sector Property and Real </w:t>
      </w:r>
      <w:r w:rsidRPr="003A466B">
        <w:rPr>
          <w:rFonts w:eastAsia="Times New Roman"/>
          <w:highlight w:val="white"/>
        </w:rPr>
        <w:lastRenderedPageBreak/>
        <w:t xml:space="preserve">Estate Sector Companies listed on the Indonesia Stock Exchange (IDX)). </w:t>
      </w:r>
      <w:r w:rsidRPr="003A466B">
        <w:rPr>
          <w:rFonts w:eastAsia="Times New Roman"/>
          <w:i/>
          <w:highlight w:val="white"/>
        </w:rPr>
        <w:t>International Journal of Business, Economics, and Social Development</w:t>
      </w:r>
      <w:r w:rsidRPr="003A466B">
        <w:rPr>
          <w:rFonts w:eastAsia="Times New Roman"/>
          <w:highlight w:val="white"/>
        </w:rPr>
        <w:t xml:space="preserve">, </w:t>
      </w:r>
      <w:r w:rsidRPr="003A466B">
        <w:rPr>
          <w:rFonts w:eastAsia="Times New Roman"/>
          <w:i/>
          <w:highlight w:val="white"/>
        </w:rPr>
        <w:t>2</w:t>
      </w:r>
      <w:r w:rsidRPr="003A466B">
        <w:rPr>
          <w:rFonts w:eastAsia="Times New Roman"/>
          <w:highlight w:val="white"/>
        </w:rPr>
        <w:t>(2), pp.89-97.</w:t>
      </w:r>
    </w:p>
    <w:p w14:paraId="1F3E3200" w14:textId="0C95BD0A" w:rsidR="00FB5817" w:rsidRPr="003A466B" w:rsidRDefault="00FB5817" w:rsidP="00F55C02">
      <w:pPr>
        <w:spacing w:line="360" w:lineRule="auto"/>
        <w:rPr>
          <w:rFonts w:eastAsia="Times New Roman"/>
          <w:highlight w:val="white"/>
        </w:rPr>
      </w:pPr>
      <w:r w:rsidRPr="003A466B">
        <w:rPr>
          <w:rFonts w:eastAsia="Times New Roman"/>
          <w:highlight w:val="white"/>
        </w:rPr>
        <w:t xml:space="preserve">Yusnita, I., 2023. The Effect </w:t>
      </w:r>
      <w:r w:rsidR="00F55C02" w:rsidRPr="003A466B">
        <w:rPr>
          <w:rFonts w:eastAsia="Times New Roman"/>
          <w:highlight w:val="white"/>
        </w:rPr>
        <w:t>of</w:t>
      </w:r>
      <w:r w:rsidRPr="003A466B">
        <w:rPr>
          <w:rFonts w:eastAsia="Times New Roman"/>
          <w:highlight w:val="white"/>
        </w:rPr>
        <w:t xml:space="preserve"> Solvency Ratio, Profitability Ratio </w:t>
      </w:r>
      <w:r w:rsidR="00F55C02" w:rsidRPr="003A466B">
        <w:rPr>
          <w:rFonts w:eastAsia="Times New Roman"/>
          <w:highlight w:val="white"/>
        </w:rPr>
        <w:t>and</w:t>
      </w:r>
      <w:r w:rsidRPr="003A466B">
        <w:rPr>
          <w:rFonts w:eastAsia="Times New Roman"/>
          <w:highlight w:val="white"/>
        </w:rPr>
        <w:t xml:space="preserve"> Activity Ratio </w:t>
      </w:r>
      <w:r w:rsidR="00F55C02" w:rsidRPr="003A466B">
        <w:rPr>
          <w:rFonts w:eastAsia="Times New Roman"/>
          <w:highlight w:val="white"/>
        </w:rPr>
        <w:t>o</w:t>
      </w:r>
      <w:r w:rsidR="00F77919" w:rsidRPr="003A466B">
        <w:rPr>
          <w:rFonts w:eastAsia="Times New Roman"/>
          <w:highlight w:val="white"/>
        </w:rPr>
        <w:t>n</w:t>
      </w:r>
      <w:r w:rsidRPr="003A466B">
        <w:rPr>
          <w:rFonts w:eastAsia="Times New Roman"/>
          <w:highlight w:val="white"/>
        </w:rPr>
        <w:t xml:space="preserve"> Company Value </w:t>
      </w:r>
      <w:r w:rsidR="00F55C02" w:rsidRPr="003A466B">
        <w:rPr>
          <w:rFonts w:eastAsia="Times New Roman"/>
          <w:highlight w:val="white"/>
        </w:rPr>
        <w:t>of</w:t>
      </w:r>
      <w:r w:rsidRPr="003A466B">
        <w:rPr>
          <w:rFonts w:eastAsia="Times New Roman"/>
          <w:highlight w:val="white"/>
        </w:rPr>
        <w:t xml:space="preserve"> PT. Astra Internasional Tbk. </w:t>
      </w:r>
      <w:r w:rsidRPr="003A466B">
        <w:rPr>
          <w:rFonts w:eastAsia="Times New Roman"/>
          <w:i/>
          <w:highlight w:val="white"/>
        </w:rPr>
        <w:t>International Journal of Business and Quality Research</w:t>
      </w:r>
      <w:r w:rsidRPr="003A466B">
        <w:rPr>
          <w:rFonts w:eastAsia="Times New Roman"/>
          <w:highlight w:val="white"/>
        </w:rPr>
        <w:t xml:space="preserve">, </w:t>
      </w:r>
      <w:r w:rsidRPr="003A466B">
        <w:rPr>
          <w:rFonts w:eastAsia="Times New Roman"/>
          <w:i/>
          <w:highlight w:val="white"/>
        </w:rPr>
        <w:t>1</w:t>
      </w:r>
      <w:r w:rsidRPr="003A466B">
        <w:rPr>
          <w:rFonts w:eastAsia="Times New Roman"/>
          <w:highlight w:val="white"/>
        </w:rPr>
        <w:t>(03), pp.102-113.</w:t>
      </w:r>
    </w:p>
    <w:p w14:paraId="01F84EFD" w14:textId="77777777" w:rsidR="00BB3652" w:rsidRPr="003A466B" w:rsidRDefault="00BB3652" w:rsidP="00F55C02">
      <w:pPr>
        <w:spacing w:line="360" w:lineRule="auto"/>
      </w:pPr>
    </w:p>
    <w:sectPr w:rsidR="00BB3652" w:rsidRPr="003A466B" w:rsidSect="000E6D7A">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5812BE" w14:textId="77777777" w:rsidR="007F127D" w:rsidRDefault="007F127D" w:rsidP="006434F5">
      <w:pPr>
        <w:spacing w:line="240" w:lineRule="auto"/>
      </w:pPr>
      <w:r>
        <w:separator/>
      </w:r>
    </w:p>
  </w:endnote>
  <w:endnote w:type="continuationSeparator" w:id="0">
    <w:p w14:paraId="37886197" w14:textId="77777777" w:rsidR="007F127D" w:rsidRDefault="007F127D" w:rsidP="006434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11642869"/>
      <w:docPartObj>
        <w:docPartGallery w:val="Page Numbers (Bottom of Page)"/>
        <w:docPartUnique/>
      </w:docPartObj>
    </w:sdtPr>
    <w:sdtEndPr>
      <w:rPr>
        <w:noProof/>
        <w:sz w:val="20"/>
        <w:szCs w:val="20"/>
      </w:rPr>
    </w:sdtEndPr>
    <w:sdtContent>
      <w:p w14:paraId="221652F7" w14:textId="4C4CDE2C" w:rsidR="006434F5" w:rsidRPr="006434F5" w:rsidRDefault="006434F5">
        <w:pPr>
          <w:pStyle w:val="Footer"/>
          <w:jc w:val="right"/>
          <w:rPr>
            <w:sz w:val="20"/>
            <w:szCs w:val="20"/>
          </w:rPr>
        </w:pPr>
        <w:r w:rsidRPr="006434F5">
          <w:rPr>
            <w:sz w:val="20"/>
            <w:szCs w:val="20"/>
          </w:rPr>
          <w:fldChar w:fldCharType="begin"/>
        </w:r>
        <w:r w:rsidRPr="006434F5">
          <w:rPr>
            <w:sz w:val="20"/>
            <w:szCs w:val="20"/>
          </w:rPr>
          <w:instrText xml:space="preserve"> PAGE   \* MERGEFORMAT </w:instrText>
        </w:r>
        <w:r w:rsidRPr="006434F5">
          <w:rPr>
            <w:sz w:val="20"/>
            <w:szCs w:val="20"/>
          </w:rPr>
          <w:fldChar w:fldCharType="separate"/>
        </w:r>
        <w:r w:rsidRPr="006434F5">
          <w:rPr>
            <w:noProof/>
            <w:sz w:val="20"/>
            <w:szCs w:val="20"/>
          </w:rPr>
          <w:t>2</w:t>
        </w:r>
        <w:r w:rsidRPr="006434F5">
          <w:rPr>
            <w:noProof/>
            <w:sz w:val="20"/>
            <w:szCs w:val="20"/>
          </w:rPr>
          <w:fldChar w:fldCharType="end"/>
        </w:r>
      </w:p>
    </w:sdtContent>
  </w:sdt>
  <w:p w14:paraId="3ACD387D" w14:textId="77777777" w:rsidR="006434F5" w:rsidRDefault="006434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AB514B" w14:textId="77777777" w:rsidR="007F127D" w:rsidRDefault="007F127D" w:rsidP="006434F5">
      <w:pPr>
        <w:spacing w:line="240" w:lineRule="auto"/>
      </w:pPr>
      <w:r>
        <w:separator/>
      </w:r>
    </w:p>
  </w:footnote>
  <w:footnote w:type="continuationSeparator" w:id="0">
    <w:p w14:paraId="443BC71E" w14:textId="77777777" w:rsidR="007F127D" w:rsidRDefault="007F127D" w:rsidP="006434F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652"/>
    <w:rsid w:val="000A476C"/>
    <w:rsid w:val="000C518D"/>
    <w:rsid w:val="000E3068"/>
    <w:rsid w:val="000E6D7A"/>
    <w:rsid w:val="003A466B"/>
    <w:rsid w:val="003F5B5E"/>
    <w:rsid w:val="00404A00"/>
    <w:rsid w:val="0051545C"/>
    <w:rsid w:val="0053549F"/>
    <w:rsid w:val="005A19A3"/>
    <w:rsid w:val="006434F5"/>
    <w:rsid w:val="006D6469"/>
    <w:rsid w:val="007764B4"/>
    <w:rsid w:val="007F127D"/>
    <w:rsid w:val="0091219B"/>
    <w:rsid w:val="00B4456F"/>
    <w:rsid w:val="00BB3652"/>
    <w:rsid w:val="00D474A0"/>
    <w:rsid w:val="00F55C02"/>
    <w:rsid w:val="00F77919"/>
    <w:rsid w:val="00F96741"/>
    <w:rsid w:val="00FB581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C071B1A"/>
  <w15:chartTrackingRefBased/>
  <w15:docId w15:val="{DF0592C8-27CE-4484-83EB-B09EFB3CA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imes New Roman"/>
        <w:kern w:val="2"/>
        <w:sz w:val="24"/>
        <w:szCs w:val="24"/>
        <w:lang w:val="en-IN"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0" w:line="276" w:lineRule="auto"/>
    </w:pPr>
    <w:rPr>
      <w:lang w:val="en-GB"/>
    </w:rPr>
  </w:style>
  <w:style w:type="paragraph" w:styleId="Heading1">
    <w:name w:val="heading 1"/>
    <w:basedOn w:val="Normal"/>
    <w:next w:val="Normal"/>
    <w:link w:val="Heading1Char"/>
    <w:uiPriority w:val="9"/>
    <w:qFormat/>
    <w:rsid w:val="003F5B5E"/>
    <w:pPr>
      <w:keepNext/>
      <w:keepLines/>
      <w:spacing w:before="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semiHidden/>
    <w:unhideWhenUsed/>
    <w:qFormat/>
    <w:rsid w:val="003F5B5E"/>
    <w:pPr>
      <w:keepNext/>
      <w:keepLines/>
      <w:spacing w:before="4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semiHidden/>
    <w:unhideWhenUsed/>
    <w:qFormat/>
    <w:rsid w:val="003F5B5E"/>
    <w:pPr>
      <w:keepNext/>
      <w:keepLines/>
      <w:spacing w:before="40"/>
      <w:outlineLvl w:val="2"/>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5B5E"/>
    <w:rPr>
      <w:rFonts w:eastAsiaTheme="majorEastAsia" w:cstheme="majorBidi"/>
      <w:b/>
      <w:color w:val="000000" w:themeColor="text1"/>
      <w:sz w:val="28"/>
      <w:szCs w:val="32"/>
    </w:rPr>
  </w:style>
  <w:style w:type="character" w:customStyle="1" w:styleId="Heading2Char">
    <w:name w:val="Heading 2 Char"/>
    <w:basedOn w:val="DefaultParagraphFont"/>
    <w:link w:val="Heading2"/>
    <w:uiPriority w:val="9"/>
    <w:semiHidden/>
    <w:rsid w:val="003F5B5E"/>
    <w:rPr>
      <w:rFonts w:eastAsiaTheme="majorEastAsia" w:cstheme="majorBidi"/>
      <w:b/>
      <w:color w:val="000000" w:themeColor="text1"/>
      <w:sz w:val="26"/>
      <w:szCs w:val="26"/>
    </w:rPr>
  </w:style>
  <w:style w:type="character" w:customStyle="1" w:styleId="Heading3Char">
    <w:name w:val="Heading 3 Char"/>
    <w:basedOn w:val="DefaultParagraphFont"/>
    <w:link w:val="Heading3"/>
    <w:uiPriority w:val="9"/>
    <w:semiHidden/>
    <w:rsid w:val="003F5B5E"/>
    <w:rPr>
      <w:rFonts w:eastAsiaTheme="majorEastAsia" w:cstheme="majorBidi"/>
      <w:b/>
      <w:color w:val="000000" w:themeColor="text1"/>
    </w:rPr>
  </w:style>
  <w:style w:type="paragraph" w:styleId="TOCHeading">
    <w:name w:val="TOC Heading"/>
    <w:basedOn w:val="Heading1"/>
    <w:next w:val="Normal"/>
    <w:uiPriority w:val="39"/>
    <w:unhideWhenUsed/>
    <w:qFormat/>
    <w:rsid w:val="00BB3652"/>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BB3652"/>
    <w:pPr>
      <w:spacing w:after="100"/>
    </w:pPr>
  </w:style>
  <w:style w:type="paragraph" w:styleId="TOC2">
    <w:name w:val="toc 2"/>
    <w:basedOn w:val="Normal"/>
    <w:next w:val="Normal"/>
    <w:autoRedefine/>
    <w:uiPriority w:val="39"/>
    <w:unhideWhenUsed/>
    <w:rsid w:val="00BB3652"/>
    <w:pPr>
      <w:spacing w:after="100"/>
      <w:ind w:left="240"/>
    </w:pPr>
  </w:style>
  <w:style w:type="character" w:styleId="Hyperlink">
    <w:name w:val="Hyperlink"/>
    <w:basedOn w:val="DefaultParagraphFont"/>
    <w:uiPriority w:val="99"/>
    <w:unhideWhenUsed/>
    <w:rsid w:val="00BB3652"/>
    <w:rPr>
      <w:color w:val="0563C1" w:themeColor="hyperlink"/>
      <w:u w:val="single"/>
    </w:rPr>
  </w:style>
  <w:style w:type="paragraph" w:styleId="Header">
    <w:name w:val="header"/>
    <w:basedOn w:val="Normal"/>
    <w:link w:val="HeaderChar"/>
    <w:uiPriority w:val="99"/>
    <w:unhideWhenUsed/>
    <w:rsid w:val="006434F5"/>
    <w:pPr>
      <w:tabs>
        <w:tab w:val="center" w:pos="4513"/>
        <w:tab w:val="right" w:pos="9026"/>
      </w:tabs>
      <w:spacing w:line="240" w:lineRule="auto"/>
    </w:pPr>
  </w:style>
  <w:style w:type="character" w:customStyle="1" w:styleId="HeaderChar">
    <w:name w:val="Header Char"/>
    <w:basedOn w:val="DefaultParagraphFont"/>
    <w:link w:val="Header"/>
    <w:uiPriority w:val="99"/>
    <w:rsid w:val="006434F5"/>
    <w:rPr>
      <w:lang w:val="en-GB"/>
    </w:rPr>
  </w:style>
  <w:style w:type="paragraph" w:styleId="Footer">
    <w:name w:val="footer"/>
    <w:basedOn w:val="Normal"/>
    <w:link w:val="FooterChar"/>
    <w:uiPriority w:val="99"/>
    <w:unhideWhenUsed/>
    <w:rsid w:val="006434F5"/>
    <w:pPr>
      <w:tabs>
        <w:tab w:val="center" w:pos="4513"/>
        <w:tab w:val="right" w:pos="9026"/>
      </w:tabs>
      <w:spacing w:line="240" w:lineRule="auto"/>
    </w:pPr>
  </w:style>
  <w:style w:type="character" w:customStyle="1" w:styleId="FooterChar">
    <w:name w:val="Footer Char"/>
    <w:basedOn w:val="DefaultParagraphFont"/>
    <w:link w:val="Footer"/>
    <w:uiPriority w:val="99"/>
    <w:rsid w:val="006434F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2701</Words>
  <Characters>16061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Sabiana Oprea</dc:creator>
  <cp:keywords/>
  <dc:description/>
  <cp:lastModifiedBy>Sabiana Oprea</cp:lastModifiedBy>
  <cp:revision>2</cp:revision>
  <dcterms:created xsi:type="dcterms:W3CDTF">2024-11-13T19:43:00Z</dcterms:created>
  <dcterms:modified xsi:type="dcterms:W3CDTF">2024-11-13T19:43:00Z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e313905246ba157fef7855a587285669649bbe4861ecf901ac4f44acdee4231d</vt:lpwstr>
  </property>
</Properties>
</file>